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3690.xml.htm"/>
      <w:bookmarkStart w:id="1" w:name="kswkform4_17830236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Kelley Susan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3655 NOBEL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Dare Bioscience, Inc.</w:t>
              </w:r>
            </w:hyperlink>
            <w:r>
              <w:rPr/>
              <w:t xml:space="preserve"> [ </w:t>
            </w:r>
            <w:r>
              <w:rPr>
                <w:rFonts w:ascii="Times;serif" w:hAnsi="Times;serif"/>
                <w:color w:val="0000FF"/>
                <w:sz w:val="24"/>
                <w:shd w:fill="FFFFFF" w:val="clear"/>
              </w:rPr>
              <w:t>DARE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23,696</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23,696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underlying restricted stock units ("RSU") granted to the reporting person in lieu of cash compensation for service on the issuer's board of directors and its committees. Each RSU represents a contingent right to receive one share when vested. The RSUs vests on January 4,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Sabrina Martucci Johnson,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9612" TargetMode="External"/><Relationship Id="rId5" Type="http://schemas.openxmlformats.org/officeDocument/2006/relationships/hyperlink" Target="http://www.sec.gov/cgi-bin/browse-edgar?action=getcompany&amp;CIK=0001401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3302</Characters>
  <CharactersWithSpaces>3851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