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8" w:lineRule="exact"/>
        <w:rPr>
          <w:sz w:val="24"/>
          <w:szCs w:val="24"/>
          <w:color w:val="auto"/>
        </w:rPr>
      </w:pPr>
    </w:p>
    <w:p>
      <w:pPr>
        <w:ind w:left="800" w:hanging="774"/>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36"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-5080</wp:posOffset>
            </wp:positionV>
            <wp:extent cx="1440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20320</wp:posOffset>
            </wp:positionV>
            <wp:extent cx="2023110" cy="840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DARÉ BIOSCIENCE, INC.</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(Exact Name of Registrant as Specified in its Charter)</w:t>
      </w:r>
    </w:p>
    <w:p>
      <w:pPr>
        <w:spacing w:after="0" w:line="11" w:lineRule="exact"/>
        <w:rPr>
          <w:sz w:val="24"/>
          <w:szCs w:val="24"/>
          <w:color w:val="auto"/>
        </w:rPr>
      </w:pPr>
    </w:p>
    <w:tbl>
      <w:tblPr>
        <w:tblLayout w:type="fixed"/>
        <w:tblInd w:w="240" w:type="dxa"/>
        <w:tblCellMar>
          <w:top w:w="0" w:type="dxa"/>
          <w:left w:w="0" w:type="dxa"/>
          <w:bottom w:w="0" w:type="dxa"/>
          <w:right w:w="0" w:type="dxa"/>
        </w:tblCellMar>
      </w:tblPr>
      <w:tr>
        <w:trPr>
          <w:trHeight w:val="210"/>
        </w:trPr>
        <w:tc>
          <w:tcPr>
            <w:tcW w:w="3220" w:type="dxa"/>
            <w:vAlign w:val="bottom"/>
          </w:tcPr>
          <w:p>
            <w:pPr>
              <w:jc w:val="center"/>
              <w:ind w:right="295"/>
              <w:spacing w:after="0"/>
              <w:rPr>
                <w:sz w:val="20"/>
                <w:szCs w:val="20"/>
                <w:color w:val="auto"/>
              </w:rPr>
            </w:pPr>
            <w:r>
              <w:rPr>
                <w:rFonts w:ascii="Arial" w:cs="Arial" w:eastAsia="Arial" w:hAnsi="Arial"/>
                <w:sz w:val="18"/>
                <w:szCs w:val="18"/>
                <w:b w:val="1"/>
                <w:bCs w:val="1"/>
                <w:color w:val="auto"/>
              </w:rPr>
              <w:t>Delaware</w:t>
            </w:r>
          </w:p>
        </w:tc>
        <w:tc>
          <w:tcPr>
            <w:tcW w:w="4900" w:type="dxa"/>
            <w:vAlign w:val="bottom"/>
          </w:tcPr>
          <w:p>
            <w:pPr>
              <w:spacing w:after="0"/>
              <w:rPr>
                <w:sz w:val="18"/>
                <w:szCs w:val="18"/>
                <w:color w:val="auto"/>
              </w:rPr>
            </w:pPr>
          </w:p>
        </w:tc>
        <w:tc>
          <w:tcPr>
            <w:tcW w:w="1980" w:type="dxa"/>
            <w:vAlign w:val="bottom"/>
          </w:tcPr>
          <w:p>
            <w:pPr>
              <w:jc w:val="right"/>
              <w:ind w:right="55"/>
              <w:spacing w:after="0"/>
              <w:rPr>
                <w:sz w:val="20"/>
                <w:szCs w:val="20"/>
                <w:color w:val="auto"/>
              </w:rPr>
            </w:pPr>
            <w:r>
              <w:rPr>
                <w:rFonts w:ascii="Arial" w:cs="Arial" w:eastAsia="Arial" w:hAnsi="Arial"/>
                <w:sz w:val="18"/>
                <w:szCs w:val="18"/>
                <w:b w:val="1"/>
                <w:bCs w:val="1"/>
                <w:color w:val="auto"/>
              </w:rPr>
              <w:t>20-4139823</w:t>
            </w:r>
          </w:p>
        </w:tc>
      </w:tr>
      <w:tr>
        <w:trPr>
          <w:trHeight w:val="162"/>
        </w:trPr>
        <w:tc>
          <w:tcPr>
            <w:tcW w:w="3220" w:type="dxa"/>
            <w:vAlign w:val="bottom"/>
          </w:tcPr>
          <w:p>
            <w:pPr>
              <w:jc w:val="center"/>
              <w:ind w:right="295"/>
              <w:spacing w:after="0" w:line="162" w:lineRule="exact"/>
              <w:rPr>
                <w:sz w:val="20"/>
                <w:szCs w:val="20"/>
                <w:color w:val="auto"/>
              </w:rPr>
            </w:pPr>
            <w:r>
              <w:rPr>
                <w:rFonts w:ascii="Arial" w:cs="Arial" w:eastAsia="Arial" w:hAnsi="Arial"/>
                <w:sz w:val="16"/>
                <w:szCs w:val="16"/>
                <w:color w:val="auto"/>
              </w:rPr>
              <w:t>(State or Other Jurisdiction</w:t>
            </w:r>
          </w:p>
        </w:tc>
        <w:tc>
          <w:tcPr>
            <w:tcW w:w="4900" w:type="dxa"/>
            <w:vAlign w:val="bottom"/>
          </w:tcPr>
          <w:p>
            <w:pPr>
              <w:spacing w:after="0"/>
              <w:rPr>
                <w:sz w:val="14"/>
                <w:szCs w:val="14"/>
                <w:color w:val="auto"/>
              </w:rPr>
            </w:pPr>
          </w:p>
        </w:tc>
        <w:tc>
          <w:tcPr>
            <w:tcW w:w="1980" w:type="dxa"/>
            <w:vAlign w:val="bottom"/>
          </w:tcPr>
          <w:p>
            <w:pPr>
              <w:jc w:val="center"/>
              <w:ind w:left="635"/>
              <w:spacing w:after="0" w:line="162" w:lineRule="exact"/>
              <w:rPr>
                <w:sz w:val="20"/>
                <w:szCs w:val="20"/>
                <w:color w:val="auto"/>
              </w:rPr>
            </w:pPr>
            <w:r>
              <w:rPr>
                <w:rFonts w:ascii="Arial" w:cs="Arial" w:eastAsia="Arial" w:hAnsi="Arial"/>
                <w:sz w:val="16"/>
                <w:szCs w:val="16"/>
                <w:color w:val="auto"/>
              </w:rPr>
              <w:t>(IRS Employer</w:t>
            </w:r>
          </w:p>
        </w:tc>
      </w:tr>
      <w:tr>
        <w:trPr>
          <w:trHeight w:val="195"/>
        </w:trPr>
        <w:tc>
          <w:tcPr>
            <w:tcW w:w="3220" w:type="dxa"/>
            <w:vAlign w:val="bottom"/>
          </w:tcPr>
          <w:p>
            <w:pPr>
              <w:jc w:val="center"/>
              <w:ind w:right="315"/>
              <w:spacing w:after="0"/>
              <w:rPr>
                <w:sz w:val="20"/>
                <w:szCs w:val="20"/>
                <w:color w:val="auto"/>
              </w:rPr>
            </w:pPr>
            <w:r>
              <w:rPr>
                <w:rFonts w:ascii="Arial" w:cs="Arial" w:eastAsia="Arial" w:hAnsi="Arial"/>
                <w:sz w:val="16"/>
                <w:szCs w:val="16"/>
                <w:color w:val="auto"/>
              </w:rPr>
              <w:t>of Incorporation)</w:t>
            </w:r>
          </w:p>
        </w:tc>
        <w:tc>
          <w:tcPr>
            <w:tcW w:w="4900" w:type="dxa"/>
            <w:vAlign w:val="bottom"/>
          </w:tcPr>
          <w:p>
            <w:pPr>
              <w:spacing w:after="0"/>
              <w:rPr>
                <w:sz w:val="16"/>
                <w:szCs w:val="16"/>
                <w:color w:val="auto"/>
              </w:rPr>
            </w:pPr>
          </w:p>
        </w:tc>
        <w:tc>
          <w:tcPr>
            <w:tcW w:w="1980" w:type="dxa"/>
            <w:vAlign w:val="bottom"/>
          </w:tcPr>
          <w:p>
            <w:pPr>
              <w:jc w:val="center"/>
              <w:ind w:left="635"/>
              <w:spacing w:after="0"/>
              <w:rPr>
                <w:sz w:val="20"/>
                <w:szCs w:val="20"/>
                <w:color w:val="auto"/>
              </w:rPr>
            </w:pPr>
            <w:r>
              <w:rPr>
                <w:rFonts w:ascii="Arial" w:cs="Arial" w:eastAsia="Arial" w:hAnsi="Arial"/>
                <w:sz w:val="16"/>
                <w:szCs w:val="16"/>
                <w:color w:val="auto"/>
              </w:rPr>
              <w:t>Identification No.)</w:t>
            </w:r>
          </w:p>
        </w:tc>
      </w:tr>
      <w:tr>
        <w:trPr>
          <w:trHeight w:val="280"/>
        </w:trPr>
        <w:tc>
          <w:tcPr>
            <w:tcW w:w="3220" w:type="dxa"/>
            <w:vAlign w:val="bottom"/>
          </w:tcPr>
          <w:p>
            <w:pPr>
              <w:jc w:val="center"/>
              <w:ind w:right="315"/>
              <w:spacing w:after="0"/>
              <w:rPr>
                <w:sz w:val="20"/>
                <w:szCs w:val="20"/>
                <w:color w:val="auto"/>
              </w:rPr>
            </w:pPr>
            <w:r>
              <w:rPr>
                <w:rFonts w:ascii="Arial" w:cs="Arial" w:eastAsia="Arial" w:hAnsi="Arial"/>
                <w:sz w:val="18"/>
                <w:szCs w:val="18"/>
                <w:b w:val="1"/>
                <w:bCs w:val="1"/>
                <w:color w:val="auto"/>
                <w:w w:val="99"/>
              </w:rPr>
              <w:t>3655 Nobel Drive, Suite 260</w:t>
            </w:r>
          </w:p>
        </w:tc>
        <w:tc>
          <w:tcPr>
            <w:tcW w:w="4900" w:type="dxa"/>
            <w:vAlign w:val="bottom"/>
          </w:tcPr>
          <w:p>
            <w:pPr>
              <w:jc w:val="right"/>
              <w:ind w:right="1915"/>
              <w:spacing w:after="0"/>
              <w:rPr>
                <w:sz w:val="20"/>
                <w:szCs w:val="20"/>
                <w:color w:val="auto"/>
              </w:rPr>
            </w:pPr>
            <w:r>
              <w:rPr>
                <w:rFonts w:ascii="Arial" w:cs="Arial" w:eastAsia="Arial" w:hAnsi="Arial"/>
                <w:sz w:val="18"/>
                <w:szCs w:val="18"/>
                <w:b w:val="1"/>
                <w:bCs w:val="1"/>
                <w:color w:val="auto"/>
              </w:rPr>
              <w:t>(858) 926-7655</w:t>
            </w:r>
          </w:p>
        </w:tc>
        <w:tc>
          <w:tcPr>
            <w:tcW w:w="19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200"/>
        </w:trPr>
        <w:tc>
          <w:tcPr>
            <w:tcW w:w="3220" w:type="dxa"/>
            <w:vAlign w:val="bottom"/>
          </w:tcPr>
          <w:p>
            <w:pPr>
              <w:jc w:val="center"/>
              <w:ind w:right="295"/>
              <w:spacing w:after="0" w:line="201" w:lineRule="exact"/>
              <w:rPr>
                <w:sz w:val="20"/>
                <w:szCs w:val="20"/>
                <w:color w:val="auto"/>
              </w:rPr>
            </w:pPr>
            <w:r>
              <w:rPr>
                <w:rFonts w:ascii="Arial" w:cs="Arial" w:eastAsia="Arial" w:hAnsi="Arial"/>
                <w:sz w:val="18"/>
                <w:szCs w:val="18"/>
                <w:b w:val="1"/>
                <w:bCs w:val="1"/>
                <w:color w:val="auto"/>
                <w:w w:val="99"/>
              </w:rPr>
              <w:t>San Diego, CA</w:t>
            </w:r>
          </w:p>
        </w:tc>
        <w:tc>
          <w:tcPr>
            <w:tcW w:w="4900" w:type="dxa"/>
            <w:vAlign w:val="bottom"/>
          </w:tcPr>
          <w:p>
            <w:pPr>
              <w:jc w:val="center"/>
              <w:ind w:right="255"/>
              <w:spacing w:after="0"/>
              <w:rPr>
                <w:sz w:val="20"/>
                <w:szCs w:val="20"/>
                <w:color w:val="auto"/>
              </w:rPr>
            </w:pPr>
            <w:r>
              <w:rPr>
                <w:rFonts w:ascii="Arial" w:cs="Arial" w:eastAsia="Arial" w:hAnsi="Arial"/>
                <w:sz w:val="16"/>
                <w:szCs w:val="16"/>
                <w:color w:val="auto"/>
              </w:rPr>
              <w:t>(Registrant’s telephone number, including area code)</w:t>
            </w:r>
          </w:p>
        </w:tc>
        <w:tc>
          <w:tcPr>
            <w:tcW w:w="1980" w:type="dxa"/>
            <w:vAlign w:val="bottom"/>
          </w:tcPr>
          <w:p>
            <w:pPr>
              <w:jc w:val="center"/>
              <w:ind w:left="655"/>
              <w:spacing w:after="0"/>
              <w:rPr>
                <w:sz w:val="20"/>
                <w:szCs w:val="20"/>
                <w:color w:val="auto"/>
              </w:rPr>
            </w:pPr>
            <w:r>
              <w:rPr>
                <w:rFonts w:ascii="Arial" w:cs="Arial" w:eastAsia="Arial" w:hAnsi="Arial"/>
                <w:sz w:val="16"/>
                <w:szCs w:val="16"/>
                <w:color w:val="auto"/>
              </w:rPr>
              <w:t>(Zip Code)</w:t>
            </w:r>
          </w:p>
        </w:tc>
      </w:tr>
      <w:tr>
        <w:trPr>
          <w:trHeight w:val="195"/>
        </w:trPr>
        <w:tc>
          <w:tcPr>
            <w:tcW w:w="3220" w:type="dxa"/>
            <w:vAlign w:val="bottom"/>
          </w:tcPr>
          <w:p>
            <w:pPr>
              <w:jc w:val="center"/>
              <w:ind w:right="295"/>
              <w:spacing w:after="0"/>
              <w:rPr>
                <w:sz w:val="20"/>
                <w:szCs w:val="20"/>
                <w:color w:val="auto"/>
              </w:rPr>
            </w:pPr>
            <w:r>
              <w:rPr>
                <w:rFonts w:ascii="Arial" w:cs="Arial" w:eastAsia="Arial" w:hAnsi="Arial"/>
                <w:sz w:val="16"/>
                <w:szCs w:val="16"/>
                <w:color w:val="auto"/>
              </w:rPr>
              <w:t>(Address of Principal Executive Offices)</w:t>
            </w:r>
          </w:p>
        </w:tc>
        <w:tc>
          <w:tcPr>
            <w:tcW w:w="490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129" w:lineRule="exact"/>
        <w:rPr>
          <w:sz w:val="24"/>
          <w:szCs w:val="24"/>
          <w:color w:val="auto"/>
        </w:rPr>
      </w:pPr>
    </w:p>
    <w:p>
      <w:pPr>
        <w:ind w:left="26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 w:lineRule="exact"/>
        <w:rPr>
          <w:sz w:val="24"/>
          <w:szCs w:val="24"/>
          <w:color w:val="auto"/>
        </w:rPr>
      </w:pPr>
    </w:p>
    <w:p>
      <w:pPr>
        <w:ind w:left="8500"/>
        <w:spacing w:after="0"/>
        <w:rPr>
          <w:sz w:val="20"/>
          <w:szCs w:val="20"/>
          <w:color w:val="auto"/>
        </w:rPr>
      </w:pPr>
      <w:r>
        <w:rPr>
          <w:rFonts w:ascii="Arial" w:cs="Arial" w:eastAsia="Arial" w:hAnsi="Arial"/>
          <w:sz w:val="16"/>
          <w:szCs w:val="16"/>
          <w:color w:val="auto"/>
        </w:rPr>
        <w:t>Name of each exchange on which</w:t>
      </w:r>
    </w:p>
    <w:p>
      <w:pPr>
        <w:ind w:left="1000"/>
        <w:spacing w:after="0"/>
        <w:tabs>
          <w:tab w:leader="none" w:pos="5060" w:val="left"/>
          <w:tab w:leader="none" w:pos="93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6"/>
          <w:szCs w:val="16"/>
          <w:color w:val="auto"/>
        </w:rPr>
        <w:t>registered</w:t>
      </w:r>
    </w:p>
    <w:p>
      <w:pPr>
        <w:spacing w:after="0" w:line="12" w:lineRule="exact"/>
        <w:rPr>
          <w:sz w:val="24"/>
          <w:szCs w:val="24"/>
          <w:color w:val="auto"/>
        </w:rPr>
      </w:pPr>
    </w:p>
    <w:p>
      <w:pPr>
        <w:ind w:left="1060"/>
        <w:spacing w:after="0"/>
        <w:tabs>
          <w:tab w:leader="none" w:pos="5500" w:val="left"/>
          <w:tab w:leader="none" w:pos="8820" w:val="left"/>
        </w:tabs>
        <w:rPr>
          <w:sz w:val="20"/>
          <w:szCs w:val="20"/>
          <w:color w:val="auto"/>
        </w:rPr>
      </w:pPr>
      <w:r>
        <w:rPr>
          <w:rFonts w:ascii="Arial" w:cs="Arial" w:eastAsia="Arial" w:hAnsi="Arial"/>
          <w:sz w:val="16"/>
          <w:szCs w:val="16"/>
          <w:b w:val="1"/>
          <w:bCs w:val="1"/>
          <w:color w:val="auto"/>
        </w:rPr>
        <w:t>Common Stock</w:t>
      </w:r>
      <w:r>
        <w:rPr>
          <w:sz w:val="20"/>
          <w:szCs w:val="20"/>
          <w:color w:val="auto"/>
        </w:rPr>
        <w:tab/>
      </w:r>
      <w:r>
        <w:rPr>
          <w:rFonts w:ascii="Arial" w:cs="Arial" w:eastAsia="Arial" w:hAnsi="Arial"/>
          <w:sz w:val="16"/>
          <w:szCs w:val="16"/>
          <w:b w:val="1"/>
          <w:bCs w:val="1"/>
          <w:color w:val="auto"/>
        </w:rPr>
        <w:t>DARE</w:t>
      </w:r>
      <w:r>
        <w:rPr>
          <w:sz w:val="20"/>
          <w:szCs w:val="20"/>
          <w:color w:val="auto"/>
        </w:rPr>
        <w:tab/>
      </w:r>
      <w:r>
        <w:rPr>
          <w:rFonts w:ascii="Arial" w:cs="Arial" w:eastAsia="Arial" w:hAnsi="Arial"/>
          <w:sz w:val="16"/>
          <w:szCs w:val="16"/>
          <w:b w:val="1"/>
          <w:bCs w:val="1"/>
          <w:color w:val="auto"/>
        </w:rPr>
        <w:t>Nasdaq Capital Market</w:t>
      </w:r>
    </w:p>
    <w:p>
      <w:pPr>
        <w:spacing w:after="0" w:line="201" w:lineRule="exact"/>
        <w:rPr>
          <w:sz w:val="24"/>
          <w:szCs w:val="24"/>
          <w:color w:val="auto"/>
        </w:rPr>
      </w:pPr>
    </w:p>
    <w:p>
      <w:pPr>
        <w:jc w:val="both"/>
        <w:ind w:firstLine="324"/>
        <w:spacing w:after="0" w:line="26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9" w:lineRule="exact"/>
        <w:rPr>
          <w:sz w:val="24"/>
          <w:szCs w:val="24"/>
          <w:color w:val="auto"/>
        </w:rPr>
      </w:pPr>
    </w:p>
    <w:p>
      <w:pPr>
        <w:jc w:val="both"/>
        <w:ind w:firstLine="324"/>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6" w:lineRule="exact"/>
        <w:rPr>
          <w:sz w:val="24"/>
          <w:szCs w:val="24"/>
          <w:color w:val="auto"/>
        </w:rPr>
      </w:pPr>
    </w:p>
    <w:p>
      <w:pPr>
        <w:spacing w:after="0"/>
        <w:tabs>
          <w:tab w:leader="none" w:pos="580" w:val="left"/>
          <w:tab w:leader="none" w:pos="1200" w:val="left"/>
        </w:tabs>
        <w:rPr>
          <w:sz w:val="20"/>
          <w:szCs w:val="20"/>
          <w:color w:val="auto"/>
        </w:rPr>
      </w:pPr>
      <w:r>
        <w:rPr>
          <w:rFonts w:ascii="Arial" w:cs="Arial" w:eastAsia="Arial" w:hAnsi="Arial"/>
          <w:sz w:val="16"/>
          <w:szCs w:val="16"/>
          <w:color w:val="auto"/>
        </w:rPr>
        <w:t>files).</w:t>
        <w:tab/>
        <w:t>Yes x</w:t>
        <w:tab/>
        <w:t>No o</w:t>
      </w:r>
    </w:p>
    <w:p>
      <w:pPr>
        <w:spacing w:after="0" w:line="86" w:lineRule="exact"/>
        <w:rPr>
          <w:sz w:val="24"/>
          <w:szCs w:val="24"/>
          <w:color w:val="auto"/>
        </w:rPr>
      </w:pPr>
    </w:p>
    <w:p>
      <w:pPr>
        <w:jc w:val="both"/>
        <w:ind w:firstLine="324"/>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o</w:t>
            </w: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x</w:t>
            </w:r>
          </w:p>
        </w:tc>
        <w:tc>
          <w:tcPr>
            <w:tcW w:w="47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420"/>
              <w:spacing w:after="0"/>
              <w:rPr>
                <w:sz w:val="20"/>
                <w:szCs w:val="20"/>
                <w:color w:val="auto"/>
              </w:rPr>
            </w:pPr>
            <w:r>
              <w:rPr>
                <w:rFonts w:ascii="Arial" w:cs="Arial" w:eastAsia="Arial" w:hAnsi="Arial"/>
                <w:sz w:val="16"/>
                <w:szCs w:val="16"/>
                <w:color w:val="auto"/>
                <w:w w:val="74"/>
              </w:rPr>
              <w:t>x</w:t>
            </w:r>
          </w:p>
        </w:tc>
      </w:tr>
      <w:tr>
        <w:trPr>
          <w:trHeight w:val="256"/>
        </w:trPr>
        <w:tc>
          <w:tcPr>
            <w:tcW w:w="25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43" w:lineRule="exact"/>
        <w:rPr>
          <w:sz w:val="24"/>
          <w:szCs w:val="24"/>
          <w:color w:val="auto"/>
        </w:rPr>
      </w:pPr>
    </w:p>
    <w:p>
      <w:pPr>
        <w:jc w:val="both"/>
        <w:ind w:right="340" w:firstLine="324"/>
        <w:spacing w:after="0" w:line="27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5" w:lineRule="exact"/>
        <w:rPr>
          <w:sz w:val="24"/>
          <w:szCs w:val="24"/>
          <w:color w:val="auto"/>
        </w:rPr>
      </w:pPr>
    </w:p>
    <w:p>
      <w:pPr>
        <w:ind w:left="340"/>
        <w:spacing w:after="0" w:line="184" w:lineRule="exact"/>
        <w:tabs>
          <w:tab w:leader="none" w:pos="78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1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9, 2022, 84,825,481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4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 and continue as a going concern;</w:t>
      </w:r>
    </w:p>
    <w:p>
      <w:pPr>
        <w:spacing w:after="0" w:line="27" w:lineRule="exact"/>
        <w:rPr>
          <w:rFonts w:ascii="Arial" w:cs="Arial" w:eastAsia="Arial" w:hAnsi="Arial"/>
          <w:sz w:val="18"/>
          <w:szCs w:val="18"/>
          <w:i w:val="1"/>
          <w:iCs w:val="1"/>
          <w:color w:val="auto"/>
        </w:rPr>
      </w:pPr>
    </w:p>
    <w:p>
      <w:pPr>
        <w:jc w:val="both"/>
        <w:ind w:left="980" w:hanging="324"/>
        <w:spacing w:after="0" w:line="256"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to complete development of our product candidates, submit and obtain United States Food and Drug Administration, or FDA, or foreign regulatory authority approval and commercialize our product candidates, if approved, on projected timelines or budgets, or at all;</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demonstrate sufficient safety and efficacy of our product candidates;</w:t>
      </w:r>
    </w:p>
    <w:p>
      <w:pPr>
        <w:spacing w:after="0" w:line="117" w:lineRule="exact"/>
        <w:rPr>
          <w:rFonts w:ascii="Arial" w:cs="Arial" w:eastAsia="Arial" w:hAnsi="Arial"/>
          <w:sz w:val="18"/>
          <w:szCs w:val="18"/>
          <w:color w:val="auto"/>
        </w:rPr>
      </w:pPr>
    </w:p>
    <w:p>
      <w:pPr>
        <w:jc w:val="both"/>
        <w:ind w:left="980" w:right="20" w:hanging="324"/>
        <w:spacing w:after="0" w:line="266"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timely supply of XACIATO™ and our clinical trial supplies, including their components as well as the finished product, in the quantities needed in accordance with current good manufacturing practices, our specifications and other applicable requirements;</w:t>
      </w:r>
    </w:p>
    <w:p>
      <w:pPr>
        <w:spacing w:after="0" w:line="6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performance of third parties on which we rely to conduct nonclinical studies and clinical trials of our product candidates;</w:t>
      </w:r>
    </w:p>
    <w:p>
      <w:pPr>
        <w:spacing w:after="0" w:line="117" w:lineRule="exact"/>
        <w:rPr>
          <w:rFonts w:ascii="Arial" w:cs="Arial" w:eastAsia="Arial" w:hAnsi="Arial"/>
          <w:sz w:val="18"/>
          <w:szCs w:val="18"/>
          <w:color w:val="auto"/>
        </w:rPr>
      </w:pPr>
    </w:p>
    <w:p>
      <w:pPr>
        <w:ind w:left="980" w:hanging="324"/>
        <w:spacing w:after="0" w:line="282"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terms and conditions of our strategic collaborations, including our out-license agreements for commercialization of XACIATO and Ovaprene®;</w:t>
      </w:r>
    </w:p>
    <w:p>
      <w:pPr>
        <w:spacing w:after="0" w:line="53" w:lineRule="exact"/>
        <w:rPr>
          <w:rFonts w:ascii="Arial" w:cs="Arial" w:eastAsia="Arial" w:hAnsi="Arial"/>
          <w:sz w:val="18"/>
          <w:szCs w:val="18"/>
          <w:i w:val="1"/>
          <w:iCs w:val="1"/>
          <w:color w:val="auto"/>
        </w:rPr>
      </w:pPr>
    </w:p>
    <w:p>
      <w:pPr>
        <w:jc w:val="both"/>
        <w:ind w:left="980" w:hanging="324"/>
        <w:spacing w:after="0" w:line="266"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decision by the collaborators with whom we have entered into out-license agreements for commercialization of XACIATO and Ovaprene to discontinue their interest in XACIATO and Ovaprene, respectively, or to terminate such agreement, or the failure of our out-license agreement for Ovaprene to become fully effective;</w:t>
      </w:r>
    </w:p>
    <w:p>
      <w:pPr>
        <w:spacing w:after="0" w:line="67" w:lineRule="exact"/>
        <w:rPr>
          <w:rFonts w:ascii="Arial" w:cs="Arial" w:eastAsia="Arial" w:hAnsi="Arial"/>
          <w:sz w:val="18"/>
          <w:szCs w:val="18"/>
          <w:i w:val="1"/>
          <w:iCs w:val="1"/>
          <w:color w:val="auto"/>
        </w:rPr>
      </w:pPr>
    </w:p>
    <w:p>
      <w:pPr>
        <w:ind w:left="980" w:hanging="324"/>
        <w:spacing w:after="0" w:line="282"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performance of third parties on which we rely to commercialize, or assist us in commercializing, XACIATO and any future product;</w:t>
      </w:r>
    </w:p>
    <w:p>
      <w:pPr>
        <w:spacing w:after="0" w:line="53" w:lineRule="exact"/>
        <w:rPr>
          <w:rFonts w:ascii="Arial" w:cs="Arial" w:eastAsia="Arial" w:hAnsi="Arial"/>
          <w:sz w:val="18"/>
          <w:szCs w:val="18"/>
          <w:color w:val="auto"/>
        </w:rPr>
      </w:pPr>
    </w:p>
    <w:p>
      <w:pPr>
        <w:ind w:left="980" w:hanging="324"/>
        <w:spacing w:after="0" w:line="282"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Difficulties with establishing and maintaining collaborations relating to the development and/or commercialization, if approved, of our product candidates on a timely basis or on acceptable terms, or at all;</w:t>
      </w:r>
    </w:p>
    <w:p>
      <w:pPr>
        <w:spacing w:after="0" w:line="53"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loss of, or inability to attract, key personnel;</w:t>
      </w:r>
    </w:p>
    <w:p>
      <w:pPr>
        <w:spacing w:after="0" w:line="117"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degree of market acceptance that XACIATO and any future product achieves;</w:t>
      </w:r>
    </w:p>
    <w:p>
      <w:pPr>
        <w:spacing w:after="0" w:line="117" w:lineRule="exact"/>
        <w:rPr>
          <w:rFonts w:ascii="Arial" w:cs="Arial" w:eastAsia="Arial" w:hAnsi="Arial"/>
          <w:sz w:val="18"/>
          <w:szCs w:val="18"/>
          <w:i w:val="1"/>
          <w:iCs w:val="1"/>
          <w:color w:val="auto"/>
        </w:rPr>
      </w:pPr>
    </w:p>
    <w:p>
      <w:pPr>
        <w:ind w:left="980" w:hanging="324"/>
        <w:spacing w:after="0" w:line="282"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Coverage and reimbursement levels for XACIATO and any future product by government health care programs, private health insurance companies and other third-party payors;</w:t>
      </w:r>
    </w:p>
    <w:p>
      <w:pPr>
        <w:spacing w:after="0" w:line="53" w:lineRule="exact"/>
        <w:rPr>
          <w:rFonts w:ascii="Arial" w:cs="Arial" w:eastAsia="Arial" w:hAnsi="Arial"/>
          <w:sz w:val="18"/>
          <w:szCs w:val="18"/>
          <w:i w:val="1"/>
          <w:iCs w:val="1"/>
          <w:color w:val="auto"/>
        </w:rPr>
      </w:pPr>
    </w:p>
    <w:p>
      <w:pPr>
        <w:ind w:left="980" w:right="20" w:hanging="324"/>
        <w:spacing w:after="0" w:line="282"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FDA's prior determination that the Center for Devices and Radiological Health would lead the review of a premarket approval application for potential marketing approval of Ovaprene;</w:t>
      </w:r>
    </w:p>
    <w:p>
      <w:pPr>
        <w:spacing w:after="0" w:line="53"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w:t>
      </w:r>
    </w:p>
    <w:p>
      <w:pPr>
        <w:spacing w:after="0" w:line="27" w:lineRule="exact"/>
        <w:rPr>
          <w:rFonts w:ascii="Arial" w:cs="Arial" w:eastAsia="Arial" w:hAnsi="Arial"/>
          <w:sz w:val="18"/>
          <w:szCs w:val="18"/>
          <w:i w:val="1"/>
          <w:iCs w:val="1"/>
          <w:color w:val="auto"/>
        </w:rPr>
      </w:pPr>
    </w:p>
    <w:p>
      <w:pPr>
        <w:ind w:left="9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of the Federal Food, Drug, and Cosmetic Act, or the FDA's 505(b)(2) pathway;</w:t>
      </w:r>
    </w:p>
    <w:p>
      <w:pPr>
        <w:spacing w:after="0" w:line="99" w:lineRule="exact"/>
        <w:rPr>
          <w:rFonts w:ascii="Arial" w:cs="Arial" w:eastAsia="Arial" w:hAnsi="Arial"/>
          <w:sz w:val="18"/>
          <w:szCs w:val="18"/>
          <w:i w:val="1"/>
          <w:iCs w:val="1"/>
          <w:color w:val="auto"/>
        </w:rPr>
      </w:pPr>
    </w:p>
    <w:p>
      <w:pPr>
        <w:jc w:val="both"/>
        <w:ind w:left="980" w:hanging="324"/>
        <w:spacing w:after="0" w:line="266"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Adverse differences between preliminary, interim or topline clinical study data reported by us and final study results;</w:t>
      </w:r>
    </w:p>
    <w:p>
      <w:pPr>
        <w:spacing w:after="0" w:line="117" w:lineRule="exact"/>
        <w:rPr>
          <w:rFonts w:ascii="Arial" w:cs="Arial" w:eastAsia="Arial" w:hAnsi="Arial"/>
          <w:sz w:val="18"/>
          <w:szCs w:val="18"/>
          <w:i w:val="1"/>
          <w:iCs w:val="1"/>
          <w:color w:val="auto"/>
        </w:rPr>
      </w:pPr>
    </w:p>
    <w:p>
      <w:pPr>
        <w:jc w:val="both"/>
        <w:ind w:left="324" w:hanging="324"/>
        <w:spacing w:after="0" w:line="261"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Communication from the FDA or another regulatory authority, including a complete response letter, that it does not accept or agree with our assumptions, estimates, calculations, conclusions or analyses of clinical or nonclinical study data regarding a product candidate, or that it interprets or weighs the importance of study data differently than we have in a manner that negatively impacts the candidate's prospects for regulatory approval in a timely manner, or at all;</w:t>
      </w:r>
    </w:p>
    <w:p>
      <w:pPr>
        <w:spacing w:after="0" w:line="71" w:lineRule="exact"/>
        <w:rPr>
          <w:rFonts w:ascii="Arial" w:cs="Arial" w:eastAsia="Arial" w:hAnsi="Arial"/>
          <w:sz w:val="18"/>
          <w:szCs w:val="18"/>
          <w:i w:val="1"/>
          <w:iCs w:val="1"/>
          <w:color w:val="auto"/>
        </w:rPr>
      </w:pPr>
    </w:p>
    <w:p>
      <w:pPr>
        <w:ind w:left="324" w:hanging="324"/>
        <w:spacing w:after="0" w:line="28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monetize our portfolio through licenses, partnerships or other types of commercialization agreements, structured financings, or on our own;</w:t>
      </w:r>
    </w:p>
    <w:p>
      <w:pPr>
        <w:spacing w:after="0" w:line="53" w:lineRule="exact"/>
        <w:rPr>
          <w:rFonts w:ascii="Arial" w:cs="Arial" w:eastAsia="Arial" w:hAnsi="Arial"/>
          <w:sz w:val="18"/>
          <w:szCs w:val="18"/>
          <w:i w:val="1"/>
          <w:iCs w:val="1"/>
          <w:color w:val="auto"/>
        </w:rPr>
      </w:pPr>
    </w:p>
    <w:p>
      <w:pPr>
        <w:ind w:left="324" w:right="20" w:hanging="324"/>
        <w:spacing w:after="0" w:line="28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product candidates that capitalize on the most scientifically, clinically or commercially promising or profitable indications or therapeutic areas within women's health including due to our limited financial resources;</w:t>
      </w:r>
    </w:p>
    <w:p>
      <w:pPr>
        <w:spacing w:after="0" w:line="53"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or impairment of our in-licensed rights to develop and commercialize XACIATO and our product candidates;</w:t>
      </w:r>
    </w:p>
    <w:p>
      <w:pPr>
        <w:spacing w:after="0" w:line="117"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payment and other obligations under our in-license and acquisition agreements for XACIATO and our product candidates;</w:t>
      </w:r>
    </w:p>
    <w:p>
      <w:pPr>
        <w:spacing w:after="0" w:line="117"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XACIATO or any potential product less competitive or obsolete;</w:t>
      </w:r>
    </w:p>
    <w:p>
      <w:pPr>
        <w:spacing w:after="0" w:line="117" w:lineRule="exact"/>
        <w:rPr>
          <w:rFonts w:ascii="Arial" w:cs="Arial" w:eastAsia="Arial" w:hAnsi="Arial"/>
          <w:sz w:val="18"/>
          <w:szCs w:val="18"/>
          <w:i w:val="1"/>
          <w:iCs w:val="1"/>
          <w:color w:val="auto"/>
        </w:rPr>
      </w:pPr>
    </w:p>
    <w:p>
      <w:pPr>
        <w:jc w:val="both"/>
        <w:ind w:left="324" w:hanging="324"/>
        <w:spacing w:after="0" w:line="266"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macroeconomic conditions, geopolitical events, the COVID-19 pandemic and any future pandemic, epidemic, or similar public health threat or natural disasters on our business, operations and financial condition, or on those of third parties on which we rely;</w:t>
      </w:r>
    </w:p>
    <w:p>
      <w:pPr>
        <w:spacing w:after="0" w:line="67" w:lineRule="exact"/>
        <w:rPr>
          <w:rFonts w:ascii="Arial" w:cs="Arial" w:eastAsia="Arial" w:hAnsi="Arial"/>
          <w:sz w:val="18"/>
          <w:szCs w:val="18"/>
          <w:i w:val="1"/>
          <w:iCs w:val="1"/>
          <w:color w:val="auto"/>
        </w:rPr>
      </w:pPr>
    </w:p>
    <w:p>
      <w:pPr>
        <w:ind w:left="324" w:hanging="324"/>
        <w:spacing w:after="0" w:line="28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Reduced interest in women's health relative to other healthcare sectors by the investment community or pharmaceutical companies and other potential development and commercialization collaborators;</w:t>
      </w:r>
    </w:p>
    <w:p>
      <w:pPr>
        <w:spacing w:after="0" w:line="53" w:lineRule="exact"/>
        <w:rPr>
          <w:rFonts w:ascii="Arial" w:cs="Arial" w:eastAsia="Arial" w:hAnsi="Arial"/>
          <w:sz w:val="18"/>
          <w:szCs w:val="18"/>
          <w:i w:val="1"/>
          <w:iCs w:val="1"/>
          <w:color w:val="auto"/>
        </w:rPr>
      </w:pPr>
    </w:p>
    <w:p>
      <w:pPr>
        <w:ind w:left="324" w:hanging="324"/>
        <w:spacing w:after="0" w:line="28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security breaches or similar events compromising our technology systems and data or the technology systems and data of third parties on which we rely;</w:t>
      </w:r>
    </w:p>
    <w:p>
      <w:pPr>
        <w:spacing w:after="0" w:line="53"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17"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17" w:lineRule="exact"/>
        <w:rPr>
          <w:rFonts w:ascii="Arial" w:cs="Arial" w:eastAsia="Arial" w:hAnsi="Arial"/>
          <w:sz w:val="18"/>
          <w:szCs w:val="18"/>
          <w:i w:val="1"/>
          <w:iCs w:val="1"/>
          <w:color w:val="auto"/>
        </w:rPr>
      </w:pPr>
    </w:p>
    <w:p>
      <w:pPr>
        <w:ind w:left="324" w:hanging="324"/>
        <w:spacing w:after="0" w:line="28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XACIATO and certain of our product candidates that expose those product candidates to competition from other formulations using the same active ingredients;</w:t>
      </w:r>
    </w:p>
    <w:p>
      <w:pPr>
        <w:spacing w:after="0" w:line="53" w:lineRule="exact"/>
        <w:rPr>
          <w:rFonts w:ascii="Arial" w:cs="Arial" w:eastAsia="Arial" w:hAnsi="Arial"/>
          <w:sz w:val="18"/>
          <w:szCs w:val="18"/>
          <w:i w:val="1"/>
          <w:iCs w:val="1"/>
          <w:color w:val="auto"/>
        </w:rPr>
      </w:pPr>
    </w:p>
    <w:p>
      <w:pPr>
        <w:ind w:left="324" w:hanging="324"/>
        <w:spacing w:after="0" w:line="28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53"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grant funding for pre-clinical development of DARE-LARC1;</w:t>
      </w:r>
    </w:p>
    <w:p>
      <w:pPr>
        <w:spacing w:after="0" w:line="117"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17" w:lineRule="exact"/>
        <w:rPr>
          <w:rFonts w:ascii="Arial" w:cs="Arial" w:eastAsia="Arial" w:hAnsi="Arial"/>
          <w:sz w:val="18"/>
          <w:szCs w:val="18"/>
          <w:i w:val="1"/>
          <w:iCs w:val="1"/>
          <w:color w:val="auto"/>
        </w:rPr>
      </w:pPr>
    </w:p>
    <w:p>
      <w:pPr>
        <w:ind w:left="324" w:hanging="324"/>
        <w:spacing w:after="0" w:line="28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 or that differ from investors' expectations for such results;</w:t>
      </w:r>
    </w:p>
    <w:p>
      <w:pPr>
        <w:spacing w:after="0" w:line="53" w:lineRule="exact"/>
        <w:rPr>
          <w:rFonts w:ascii="Arial" w:cs="Arial" w:eastAsia="Arial" w:hAnsi="Arial"/>
          <w:sz w:val="18"/>
          <w:szCs w:val="18"/>
          <w:i w:val="1"/>
          <w:iCs w:val="1"/>
          <w:color w:val="auto"/>
        </w:rPr>
      </w:pPr>
    </w:p>
    <w:p>
      <w:pPr>
        <w:ind w:left="324" w:hanging="324"/>
        <w:spacing w:after="0" w:line="28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cause investors to experience losses and subject us to securities class-action litigation;</w:t>
      </w:r>
    </w:p>
    <w:p>
      <w:pPr>
        <w:spacing w:after="0" w:line="53"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maintain the listing of our common stock on the Nasdaq Capital Market or another nationally recognized exchange;</w:t>
      </w:r>
    </w:p>
    <w:p>
      <w:pPr>
        <w:spacing w:after="0" w:line="117" w:lineRule="exact"/>
        <w:rPr>
          <w:rFonts w:ascii="Arial" w:cs="Arial" w:eastAsia="Arial" w:hAnsi="Arial"/>
          <w:sz w:val="18"/>
          <w:szCs w:val="18"/>
          <w:i w:val="1"/>
          <w:iCs w:val="1"/>
          <w:color w:val="auto"/>
        </w:rPr>
      </w:pPr>
    </w:p>
    <w:p>
      <w:pPr>
        <w:ind w:left="324" w:hanging="324"/>
        <w:spacing w:after="0" w:line="28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 of unexpected safety concerns related to our product or product candidates, or third-party products or product candidates that share similar characteristics or drug substances;</w:t>
      </w:r>
    </w:p>
    <w:p>
      <w:pPr>
        <w:spacing w:after="0" w:line="53"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Product liability claims or governmental investigations;</w:t>
      </w:r>
    </w:p>
    <w:p>
      <w:pPr>
        <w:spacing w:after="0" w:line="117" w:lineRule="exact"/>
        <w:rPr>
          <w:rFonts w:ascii="Arial" w:cs="Arial" w:eastAsia="Arial" w:hAnsi="Arial"/>
          <w:sz w:val="18"/>
          <w:szCs w:val="18"/>
          <w:i w:val="1"/>
          <w:iCs w:val="1"/>
          <w:color w:val="auto"/>
        </w:rPr>
      </w:pPr>
    </w:p>
    <w:p>
      <w:pPr>
        <w:jc w:val="both"/>
        <w:ind w:left="324" w:hanging="324"/>
        <w:spacing w:after="0" w:line="266"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laws and regulations designed to control health care product pricing and various fraud and abuse laws, including, without limitation, the Inflation Reduction Act of 2022, the U.S. federal Anti-Kickback Statute, the U.S. federal False Claims Act and the U.S. Foreign Corrupt Practices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625475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3" w:name="page4"/>
    <w:bookmarkEnd w:id="3"/>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XACIATO and any future products; and</w:t>
      </w:r>
    </w:p>
    <w:p>
      <w:pPr>
        <w:spacing w:after="0" w:line="117" w:lineRule="exact"/>
        <w:rPr>
          <w:rFonts w:ascii="Arial" w:cs="Arial" w:eastAsia="Arial" w:hAnsi="Arial"/>
          <w:sz w:val="18"/>
          <w:szCs w:val="18"/>
          <w:i w:val="1"/>
          <w:iCs w:val="1"/>
          <w:color w:val="auto"/>
        </w:rPr>
      </w:pPr>
    </w:p>
    <w:p>
      <w:pPr>
        <w:ind w:left="980" w:hanging="324"/>
        <w:spacing w:after="0" w:line="282" w:lineRule="auto"/>
        <w:tabs>
          <w:tab w:leader="none" w:pos="97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gridSpan w:val="4"/>
          </w:tcPr>
          <w:p>
            <w:pPr>
              <w:jc w:val="right"/>
              <w:ind w:right="140"/>
              <w:spacing w:after="0"/>
              <w:rPr>
                <w:sz w:val="20"/>
                <w:szCs w:val="20"/>
                <w:color w:val="auto"/>
              </w:rPr>
            </w:pPr>
            <w:r>
              <w:rPr>
                <w:rFonts w:ascii="Arial" w:cs="Arial" w:eastAsia="Arial" w:hAnsi="Arial"/>
                <w:sz w:val="14"/>
                <w:szCs w:val="14"/>
                <w:color w:val="auto"/>
              </w:rPr>
              <w:t>Page</w:t>
            </w:r>
          </w:p>
        </w:tc>
      </w:tr>
      <w:tr>
        <w:trPr>
          <w:trHeight w:val="201"/>
        </w:trPr>
        <w:tc>
          <w:tcPr>
            <w:tcW w:w="20" w:type="dxa"/>
            <w:vAlign w:val="bottom"/>
          </w:tcPr>
          <w:p>
            <w:pPr>
              <w:spacing w:after="0"/>
              <w:rPr>
                <w:sz w:val="17"/>
                <w:szCs w:val="17"/>
                <w:color w:val="auto"/>
              </w:rPr>
            </w:pPr>
          </w:p>
        </w:tc>
        <w:tc>
          <w:tcPr>
            <w:tcW w:w="2900" w:type="dxa"/>
            <w:vAlign w:val="bottom"/>
            <w:tcBorders>
              <w:bottom w:val="single" w:sz="8" w:color="0000FF"/>
            </w:tcBorders>
            <w:gridSpan w:val="8"/>
          </w:tcPr>
          <w:p>
            <w:pPr>
              <w:spacing w:after="0" w:line="201" w:lineRule="exact"/>
              <w:rPr>
                <w:sz w:val="20"/>
                <w:szCs w:val="20"/>
                <w:color w:val="auto"/>
              </w:rPr>
            </w:pPr>
            <w:r>
              <w:rPr>
                <w:rFonts w:ascii="Arial" w:cs="Arial" w:eastAsia="Arial" w:hAnsi="Arial"/>
                <w:sz w:val="18"/>
                <w:szCs w:val="18"/>
                <w:b w:val="1"/>
                <w:bCs w:val="1"/>
                <w:color w:val="0000FF"/>
                <w:w w:val="95"/>
              </w:rPr>
              <w:t>PART I. FINANCIAL INFORMATION</w:t>
            </w:r>
          </w:p>
        </w:tc>
        <w:tc>
          <w:tcPr>
            <w:tcW w:w="650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700" w:type="dxa"/>
            <w:vAlign w:val="bottom"/>
            <w:gridSpan w:val="9"/>
          </w:tcPr>
          <w:p>
            <w:pPr>
              <w:spacing w:after="0"/>
              <w:rPr>
                <w:sz w:val="20"/>
                <w:szCs w:val="20"/>
                <w:color w:val="auto"/>
              </w:rPr>
            </w:pPr>
            <w:r>
              <w:rPr>
                <w:rFonts w:ascii="Arial" w:cs="Arial" w:eastAsia="Arial" w:hAnsi="Arial"/>
                <w:sz w:val="18"/>
                <w:szCs w:val="18"/>
                <w:color w:val="0000FF"/>
                <w:w w:val="98"/>
              </w:rPr>
              <w:t>Condensed Consolidated Financial Statements (Unaudited)</w:t>
            </w:r>
          </w:p>
        </w:tc>
        <w:tc>
          <w:tcPr>
            <w:tcW w:w="3720" w:type="dxa"/>
            <w:vAlign w:val="bottom"/>
            <w:gridSpan w:val="3"/>
          </w:tcPr>
          <w:p>
            <w:pPr>
              <w:spacing w:after="0"/>
              <w:rPr>
                <w:sz w:val="22"/>
                <w:szCs w:val="22"/>
                <w:color w:val="auto"/>
              </w:rPr>
            </w:pPr>
          </w:p>
        </w:tc>
        <w:tc>
          <w:tcPr>
            <w:tcW w:w="1700" w:type="dxa"/>
            <w:vAlign w:val="bottom"/>
            <w:gridSpan w:val="2"/>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1"/>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37</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372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37</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9400" w:type="dxa"/>
            <w:vAlign w:val="bottom"/>
            <w:gridSpan w:val="13"/>
          </w:tcPr>
          <w:p>
            <w:pPr>
              <w:spacing w:after="0"/>
              <w:rPr>
                <w:sz w:val="20"/>
                <w:szCs w:val="20"/>
                <w:color w:val="auto"/>
              </w:rPr>
            </w:pPr>
            <w:r>
              <w:rPr>
                <w:rFonts w:ascii="Arial" w:cs="Arial" w:eastAsia="Arial" w:hAnsi="Arial"/>
                <w:sz w:val="18"/>
                <w:szCs w:val="18"/>
                <w:b w:val="1"/>
                <w:bCs w:val="1"/>
                <w:color w:val="0000FF"/>
              </w:rPr>
              <w:t>PART II. OTHER INFORMATION</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Legal Proceedings</w:t>
            </w:r>
          </w:p>
        </w:tc>
        <w:tc>
          <w:tcPr>
            <w:tcW w:w="6740" w:type="dxa"/>
            <w:vAlign w:val="bottom"/>
            <w:gridSpan w:val="6"/>
          </w:tcPr>
          <w:p>
            <w:pPr>
              <w:spacing w:after="0"/>
              <w:rPr>
                <w:sz w:val="22"/>
                <w:szCs w:val="22"/>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22"/>
                <w:szCs w:val="22"/>
                <w:color w:val="auto"/>
              </w:rPr>
            </w:pPr>
          </w:p>
        </w:tc>
        <w:tc>
          <w:tcPr>
            <w:tcW w:w="6940" w:type="dxa"/>
            <w:vAlign w:val="bottom"/>
            <w:gridSpan w:val="7"/>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0000FF"/>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0"/>
          </w:tcPr>
          <w:p>
            <w:pPr>
              <w:spacing w:after="0"/>
              <w:rPr>
                <w:sz w:val="20"/>
                <w:szCs w:val="20"/>
                <w:color w:val="auto"/>
              </w:rPr>
            </w:pPr>
            <w:r>
              <w:rPr>
                <w:rFonts w:ascii="Arial" w:cs="Arial" w:eastAsia="Arial" w:hAnsi="Arial"/>
                <w:sz w:val="18"/>
                <w:szCs w:val="18"/>
                <w:color w:val="0000FF"/>
              </w:rPr>
              <w:t>Defaults Upon Senior Securities</w:t>
            </w:r>
          </w:p>
        </w:tc>
        <w:tc>
          <w:tcPr>
            <w:tcW w:w="3580" w:type="dxa"/>
            <w:vAlign w:val="bottom"/>
            <w:gridSpan w:val="2"/>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sz w:val="20"/>
                <w:szCs w:val="20"/>
                <w:color w:val="auto"/>
              </w:rPr>
            </w:pPr>
            <w:r>
              <w:rPr>
                <w:rFonts w:ascii="Arial" w:cs="Arial" w:eastAsia="Arial" w:hAnsi="Arial"/>
                <w:sz w:val="18"/>
                <w:szCs w:val="18"/>
                <w:color w:val="0000FF"/>
              </w:rPr>
              <w:t>Mine Safety Disclosures</w:t>
            </w:r>
          </w:p>
        </w:tc>
        <w:tc>
          <w:tcPr>
            <w:tcW w:w="5880" w:type="dxa"/>
            <w:vAlign w:val="bottom"/>
            <w:gridSpan w:val="4"/>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3"/>
          </w:tcPr>
          <w:p>
            <w:pPr>
              <w:spacing w:after="0"/>
              <w:rPr>
                <w:sz w:val="22"/>
                <w:szCs w:val="22"/>
                <w:color w:val="auto"/>
              </w:rPr>
            </w:pPr>
          </w:p>
        </w:tc>
        <w:tc>
          <w:tcPr>
            <w:tcW w:w="6500" w:type="dxa"/>
            <w:vAlign w:val="bottom"/>
            <w:gridSpan w:val="5"/>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2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020" w:type="dxa"/>
            <w:vAlign w:val="bottom"/>
            <w:gridSpan w:val="8"/>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20" w:type="dxa"/>
            <w:vAlign w:val="bottom"/>
            <w:gridSpan w:val="12"/>
          </w:tcPr>
          <w:p>
            <w:pPr>
              <w:spacing w:after="0"/>
              <w:rPr>
                <w:sz w:val="20"/>
                <w:szCs w:val="20"/>
                <w:color w:val="auto"/>
              </w:rPr>
            </w:pPr>
            <w:r>
              <w:rPr>
                <w:rFonts w:ascii="Arial" w:cs="Arial" w:eastAsia="Arial" w:hAnsi="Arial"/>
                <w:sz w:val="18"/>
                <w:szCs w:val="18"/>
                <w:color w:val="0000FF"/>
              </w:rPr>
              <w:t>SIGNATURES</w:t>
            </w: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r>
      <w:tr>
        <w:trPr>
          <w:trHeight w:val="1270"/>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40,389,546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51,674,087</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2,292,041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1,145,317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6,885,498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2,476,612</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49,567,085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55,296,016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485,120</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50,376,432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55,807,177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3,477,192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2,103,083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3,136,244</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Deferred grant funding</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14,836,416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10,542,983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270,546</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22,838,073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16,052,856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license revenue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 long-term</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24,032,660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17,052,856</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Common stock, $0.0001 par value; 240,000,000 shares authorized; 84,825,481 and 83,944,119</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at September 30, 2022 and December 31, 2021, respectively</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(530,740)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(154,973)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151,997,447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149,027,802</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(125,131,417)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(110,126,902)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26,343,772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38,754,321</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50,376,432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55,807,177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r>
        <w:rPr>
          <w:rFonts w:ascii="Arial" w:cs="Arial" w:eastAsia="Arial" w:hAnsi="Arial"/>
          <w:sz w:val="18"/>
          <w:szCs w:val="18"/>
          <w:b w:val="1"/>
          <w:bCs w:val="1"/>
          <w:color w:val="auto"/>
        </w:rPr>
        <w:t xml:space="preserve">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8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License fee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2,651,543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2,211,334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8,014,424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5,949,299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17,065,497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23,501,098</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License fee expense</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7,138,793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12,668,937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25,154,921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29,525,397</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(7,138,793)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(12,668,937)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(15,154,921)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(29,525,397)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150,406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note payable</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0" w:type="dxa"/>
            <w:vAlign w:val="bottom"/>
          </w:tcPr>
          <w:p>
            <w:pPr>
              <w:spacing w:after="0"/>
              <w:rPr>
                <w:sz w:val="1"/>
                <w:szCs w:val="1"/>
                <w:color w:val="auto"/>
              </w:rPr>
            </w:pP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(7,019,843)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(12,667,429)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(15,004,515)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(29,153,824)</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CEEFF"/>
          </w:tcPr>
          <w:p>
            <w:pPr>
              <w:ind w:left="140"/>
              <w:spacing w:after="0" w:line="197" w:lineRule="exact"/>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(7,250,591)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(12,730,710)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(15,380,282)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(29,232,826)</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Loss per common share -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84,822,516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70,775,508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85,553,134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64,196,162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ind w:right="20"/>
        <w:spacing w:after="0" w:line="268" w:lineRule="auto"/>
        <w:rPr>
          <w:sz w:val="20"/>
          <w:szCs w:val="20"/>
          <w:color w:val="auto"/>
        </w:rPr>
      </w:pPr>
      <w:r>
        <w:rPr>
          <w:rFonts w:ascii="Arial" w:cs="Arial" w:eastAsia="Arial" w:hAnsi="Arial"/>
          <w:sz w:val="18"/>
          <w:szCs w:val="18"/>
          <w:b w:val="1"/>
          <w:bCs w:val="1"/>
          <w:color w:val="auto"/>
        </w:rPr>
        <w:t>Daré Bioscience, Inc. and Subsidiaries Condensed Consolidated Statements of Stockholders’ Equity (Unaudited)</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200" w:type="dxa"/>
            <w:vAlign w:val="bottom"/>
            <w:tcBorders>
              <w:top w:val="single" w:sz="8" w:color="auto"/>
            </w:tcBorders>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rPr>
              <w:t>Accumulated</w:t>
            </w:r>
          </w:p>
        </w:tc>
        <w:tc>
          <w:tcPr>
            <w:tcW w:w="1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78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loss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deficit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83,944,119</w:t>
            </w: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$ 8,394</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$ 149,027,802</w:t>
            </w:r>
          </w:p>
        </w:tc>
        <w:tc>
          <w:tcPr>
            <w:tcW w:w="8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(154,973)</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$(110,126,902)</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$ 38,754,321</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532,409</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(8,398,670)</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(8,398,670)</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83,944,119</w:t>
            </w: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$ 8,394</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$ 149,560,211</w:t>
            </w:r>
          </w:p>
        </w:tc>
        <w:tc>
          <w:tcPr>
            <w:tcW w:w="8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(164,123)</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$(118,525,572)</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$ 30,878,910</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537,521</w:t>
            </w:r>
          </w:p>
        </w:tc>
        <w:tc>
          <w:tcPr>
            <w:tcW w:w="0" w:type="dxa"/>
            <w:vAlign w:val="bottom"/>
          </w:tcPr>
          <w:p>
            <w:pPr>
              <w:spacing w:after="0"/>
              <w:rPr>
                <w:sz w:val="1"/>
                <w:szCs w:val="1"/>
                <w:color w:val="auto"/>
              </w:rPr>
            </w:pPr>
          </w:p>
        </w:tc>
      </w:tr>
      <w:tr>
        <w:trPr>
          <w:trHeight w:val="188"/>
        </w:trPr>
        <w:tc>
          <w:tcPr>
            <w:tcW w:w="3400" w:type="dxa"/>
            <w:vAlign w:val="bottom"/>
          </w:tcPr>
          <w:p>
            <w:pPr>
              <w:ind w:left="20"/>
              <w:spacing w:after="0" w:line="189" w:lineRule="exact"/>
              <w:rPr>
                <w:sz w:val="20"/>
                <w:szCs w:val="20"/>
                <w:color w:val="auto"/>
              </w:rPr>
            </w:pPr>
            <w:r>
              <w:rPr>
                <w:rFonts w:ascii="Arial" w:cs="Arial" w:eastAsia="Arial" w:hAnsi="Arial"/>
                <w:sz w:val="18"/>
                <w:szCs w:val="18"/>
                <w:color w:val="auto"/>
              </w:rPr>
              <w:t>Issuance of common stock, net of</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1000" w:type="dxa"/>
            <w:vAlign w:val="bottom"/>
          </w:tcPr>
          <w:p>
            <w:pPr>
              <w:jc w:val="right"/>
              <w:spacing w:after="0"/>
              <w:rPr>
                <w:sz w:val="20"/>
                <w:szCs w:val="20"/>
                <w:color w:val="auto"/>
              </w:rPr>
            </w:pPr>
            <w:r>
              <w:rPr>
                <w:rFonts w:ascii="Arial" w:cs="Arial" w:eastAsia="Arial" w:hAnsi="Arial"/>
                <w:sz w:val="18"/>
                <w:szCs w:val="18"/>
                <w:color w:val="auto"/>
              </w:rPr>
              <w:t>751,040</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1,218,675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1,218,750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120,149</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413,998</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413,998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(135,869)</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(135,869)</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84,820,858</w:t>
            </w: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$ 8,482</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$ 151,436,543</w:t>
            </w:r>
          </w:p>
        </w:tc>
        <w:tc>
          <w:tcPr>
            <w:tcW w:w="8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(299,992)</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$(118,111,574)</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$ 33,033,459</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556,448</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000" w:type="dxa"/>
            <w:vAlign w:val="bottom"/>
          </w:tcPr>
          <w:p>
            <w:pPr>
              <w:jc w:val="right"/>
              <w:spacing w:after="0"/>
              <w:rPr>
                <w:sz w:val="20"/>
                <w:szCs w:val="20"/>
                <w:color w:val="auto"/>
              </w:rPr>
            </w:pPr>
            <w:r>
              <w:rPr>
                <w:rFonts w:ascii="Arial" w:cs="Arial" w:eastAsia="Arial" w:hAnsi="Arial"/>
                <w:sz w:val="18"/>
                <w:szCs w:val="18"/>
                <w:color w:val="auto"/>
              </w:rPr>
              <w:t>4,623</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(7,019,843)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(7,019,843)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(230,748)</w:t>
            </w:r>
          </w:p>
        </w:tc>
        <w:tc>
          <w:tcPr>
            <w:tcW w:w="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(230,748)</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84,825,481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$ 8,482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$ 151,997,447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(530,740)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(125,131,417)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$ 26,343,772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780" w:top="1062" w:right="779" w:bottom="1440" w:gutter="0" w:footer="0" w:header="0"/>
        </w:sectPr>
      </w:pPr>
    </w:p>
    <w:bookmarkStart w:id="8" w:name="page9"/>
    <w:bookmarkEnd w:id="8"/>
    <w:p>
      <w:pPr>
        <w:jc w:val="center"/>
        <w:spacing w:after="0" w:line="268" w:lineRule="auto"/>
        <w:rPr>
          <w:sz w:val="20"/>
          <w:szCs w:val="20"/>
          <w:color w:val="auto"/>
        </w:rPr>
      </w:pPr>
      <w:r>
        <w:rPr>
          <w:rFonts w:ascii="Arial" w:cs="Arial" w:eastAsia="Arial" w:hAnsi="Arial"/>
          <w:sz w:val="18"/>
          <w:szCs w:val="18"/>
          <w:b w:val="1"/>
          <w:bCs w:val="1"/>
          <w:color w:val="auto"/>
        </w:rPr>
        <w:t>Daré Bioscience, Inc. and Subsidiaries Condensed Consolidated Statements of Stockholders’ Equity (Unaudited)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200" w:type="dxa"/>
            <w:vAlign w:val="bottom"/>
            <w:tcBorders>
              <w:top w:val="single" w:sz="8" w:color="auto"/>
            </w:tcBorders>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rPr>
              <w:t>Accumulated</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center"/>
              <w:ind w:right="7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7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Pr>
          <w:p>
            <w:pPr>
              <w:spacing w:after="0"/>
              <w:rPr>
                <w:sz w:val="17"/>
                <w:szCs w:val="17"/>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41,596,253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4,159</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70,366,293</w:t>
            </w:r>
          </w:p>
        </w:tc>
        <w:tc>
          <w:tcPr>
            <w:tcW w:w="8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(91,388)</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(71,430,797)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(1,151,733)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0" w:type="dxa"/>
            <w:vAlign w:val="bottom"/>
          </w:tcPr>
          <w:p>
            <w:pPr>
              <w:spacing w:after="0"/>
              <w:rPr>
                <w:sz w:val="1"/>
                <w:szCs w:val="1"/>
                <w:color w:val="auto"/>
              </w:rPr>
            </w:pPr>
          </w:p>
        </w:tc>
      </w:tr>
      <w:tr>
        <w:trPr>
          <w:trHeight w:val="202"/>
        </w:trPr>
        <w:tc>
          <w:tcPr>
            <w:tcW w:w="3440" w:type="dxa"/>
            <w:vAlign w:val="bottom"/>
          </w:tcPr>
          <w:p>
            <w:pPr>
              <w:ind w:left="20"/>
              <w:spacing w:after="0" w:line="201" w:lineRule="exact"/>
              <w:rPr>
                <w:sz w:val="20"/>
                <w:szCs w:val="20"/>
                <w:color w:val="auto"/>
              </w:rPr>
            </w:pPr>
            <w:r>
              <w:rPr>
                <w:rFonts w:ascii="Arial" w:cs="Arial" w:eastAsia="Arial" w:hAnsi="Arial"/>
                <w:sz w:val="18"/>
                <w:szCs w:val="18"/>
                <w:color w:val="auto"/>
              </w:rPr>
              <w:t>Issuance of common stock, net of</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980" w:type="dxa"/>
            <w:vAlign w:val="bottom"/>
          </w:tcPr>
          <w:p>
            <w:pPr>
              <w:jc w:val="right"/>
              <w:spacing w:after="0"/>
              <w:rPr>
                <w:sz w:val="20"/>
                <w:szCs w:val="20"/>
                <w:color w:val="auto"/>
              </w:rPr>
            </w:pPr>
            <w:r>
              <w:rPr>
                <w:rFonts w:ascii="Arial" w:cs="Arial" w:eastAsia="Arial" w:hAnsi="Arial"/>
                <w:sz w:val="18"/>
                <w:szCs w:val="18"/>
                <w:color w:val="auto"/>
              </w:rPr>
              <w:t>5,664,069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11,323,573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11,324,140</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 from the</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(7,323,644)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(7,323,644)</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47,312,822</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4,731</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82,106,172</w:t>
            </w:r>
          </w:p>
        </w:tc>
        <w:tc>
          <w:tcPr>
            <w:tcW w:w="8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(98,229)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(78,754,441)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3,258,233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405,478</w:t>
            </w:r>
          </w:p>
        </w:tc>
        <w:tc>
          <w:tcPr>
            <w:tcW w:w="0" w:type="dxa"/>
            <w:vAlign w:val="bottom"/>
          </w:tcPr>
          <w:p>
            <w:pPr>
              <w:spacing w:after="0"/>
              <w:rPr>
                <w:sz w:val="1"/>
                <w:szCs w:val="1"/>
                <w:color w:val="auto"/>
              </w:rPr>
            </w:pPr>
          </w:p>
        </w:tc>
      </w:tr>
      <w:tr>
        <w:trPr>
          <w:trHeight w:val="202"/>
        </w:trPr>
        <w:tc>
          <w:tcPr>
            <w:tcW w:w="3440" w:type="dxa"/>
            <w:vAlign w:val="bottom"/>
          </w:tcPr>
          <w:p>
            <w:pPr>
              <w:ind w:left="20"/>
              <w:spacing w:after="0" w:line="201" w:lineRule="exact"/>
              <w:rPr>
                <w:sz w:val="20"/>
                <w:szCs w:val="20"/>
                <w:color w:val="auto"/>
              </w:rPr>
            </w:pPr>
            <w:r>
              <w:rPr>
                <w:rFonts w:ascii="Arial" w:cs="Arial" w:eastAsia="Arial" w:hAnsi="Arial"/>
                <w:sz w:val="18"/>
                <w:szCs w:val="18"/>
                <w:color w:val="auto"/>
              </w:rPr>
              <w:t>Issuance of common stock, net of</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10,096,701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13,250,914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13,251,924</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(9,162,751)</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57,409,523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95,762,564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(107,109)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(87,917,192)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7,744,004</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439,497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439,497</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 net of</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costs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18,282,392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35,010,220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35,012,048</w:t>
            </w:r>
          </w:p>
        </w:tc>
        <w:tc>
          <w:tcPr>
            <w:tcW w:w="0" w:type="dxa"/>
            <w:vAlign w:val="bottom"/>
          </w:tcPr>
          <w:p>
            <w:pPr>
              <w:spacing w:after="0"/>
              <w:rPr>
                <w:sz w:val="1"/>
                <w:szCs w:val="1"/>
                <w:color w:val="auto"/>
              </w:rPr>
            </w:pPr>
          </w:p>
        </w:tc>
      </w:tr>
      <w:tr>
        <w:trPr>
          <w:trHeight w:val="202"/>
        </w:trPr>
        <w:tc>
          <w:tcPr>
            <w:tcW w:w="3440" w:type="dxa"/>
            <w:vAlign w:val="bottom"/>
          </w:tcPr>
          <w:p>
            <w:pPr>
              <w:ind w:left="20"/>
              <w:spacing w:after="0" w:line="201" w:lineRule="exact"/>
              <w:rPr>
                <w:sz w:val="20"/>
                <w:szCs w:val="20"/>
                <w:color w:val="auto"/>
              </w:rPr>
            </w:pPr>
            <w:r>
              <w:rPr>
                <w:rFonts w:ascii="Arial" w:cs="Arial" w:eastAsia="Arial" w:hAnsi="Arial"/>
                <w:sz w:val="18"/>
                <w:szCs w:val="18"/>
                <w:color w:val="auto"/>
              </w:rPr>
              <w:t>Issuance of common stock from the</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980" w:type="dxa"/>
            <w:vAlign w:val="bottom"/>
          </w:tcPr>
          <w:p>
            <w:pPr>
              <w:jc w:val="right"/>
              <w:spacing w:after="0"/>
              <w:rPr>
                <w:sz w:val="20"/>
                <w:szCs w:val="20"/>
                <w:color w:val="auto"/>
              </w:rPr>
            </w:pPr>
            <w:r>
              <w:rPr>
                <w:rFonts w:ascii="Arial" w:cs="Arial" w:eastAsia="Arial" w:hAnsi="Arial"/>
                <w:sz w:val="18"/>
                <w:szCs w:val="18"/>
                <w:color w:val="auto"/>
              </w:rPr>
              <w:t>212,985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204,466</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 in connection</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 milestone payment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1,219,286</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(12,667,429)</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(12,667,429)</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76,601,624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132,635,942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(170,390)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(100,584,621)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31,888,591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740" w:top="1062" w:right="7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215"/>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(15,004,515)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(29,153,824)</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19,366</w:t>
            </w: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1,210,886</w:t>
            </w: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Non-cash operating lease cost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(69,356)</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early termination of lease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Non-cash loss on settlement of contingent liability</w:t>
            </w: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44,286</w:t>
            </w: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extinguishment of notes payable and accrued interest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303,921</w:t>
            </w: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(4,408,886)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(661,849)</w:t>
            </w: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57,247</w:t>
            </w: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1,374,109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(415,602)</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594,629</w:t>
            </w:r>
          </w:p>
        </w:tc>
      </w:tr>
      <w:tr>
        <w:trPr>
          <w:trHeight w:val="229"/>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grant funding</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4,293,433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9,592,045</w:t>
            </w:r>
          </w:p>
        </w:tc>
      </w:tr>
      <w:tr>
        <w:trPr>
          <w:trHeight w:val="223"/>
        </w:trPr>
        <w:tc>
          <w:tcPr>
            <w:tcW w:w="7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(12,191,757)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(18,848,138)</w:t>
            </w:r>
          </w:p>
        </w:tc>
      </w:tr>
      <w:tr>
        <w:trPr>
          <w:trHeight w:val="209"/>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(14,524)</w:t>
            </w:r>
          </w:p>
        </w:tc>
      </w:tr>
      <w:tr>
        <w:trPr>
          <w:trHeight w:val="223"/>
        </w:trPr>
        <w:tc>
          <w:tcPr>
            <w:tcW w:w="79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Net proceeds from issuance of common stock</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1,218,750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59,588,112</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254,866</w:t>
            </w:r>
          </w:p>
        </w:tc>
      </w:tr>
      <w:tr>
        <w:trPr>
          <w:trHeight w:val="223"/>
        </w:trPr>
        <w:tc>
          <w:tcPr>
            <w:tcW w:w="79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59,842,978</w:t>
            </w:r>
          </w:p>
        </w:tc>
      </w:tr>
      <w:tr>
        <w:trPr>
          <w:trHeight w:val="223"/>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(79,002)</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(11,284,541)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40,901,314</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51,674,087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4,669,467</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40,389,546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45,570,781</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7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Operating right-of-use assets obtained in exchange for new operating lease liabilities,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585,942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308,533</w:t>
            </w:r>
          </w:p>
        </w:tc>
      </w:tr>
      <w:tr>
        <w:trPr>
          <w:trHeight w:val="229"/>
        </w:trPr>
        <w:tc>
          <w:tcPr>
            <w:tcW w:w="7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Forgiveness of Paycheck Protection Program note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r>
      <w:tr>
        <w:trPr>
          <w:trHeight w:val="188"/>
        </w:trPr>
        <w:tc>
          <w:tcPr>
            <w:tcW w:w="7920" w:type="dxa"/>
            <w:vAlign w:val="bottom"/>
          </w:tcPr>
          <w:p>
            <w:pPr>
              <w:ind w:left="260"/>
              <w:spacing w:after="0" w:line="189" w:lineRule="exact"/>
              <w:rPr>
                <w:sz w:val="20"/>
                <w:szCs w:val="20"/>
                <w:color w:val="auto"/>
              </w:rPr>
            </w:pPr>
            <w:r>
              <w:rPr>
                <w:rFonts w:ascii="Arial" w:cs="Arial" w:eastAsia="Arial" w:hAnsi="Arial"/>
                <w:sz w:val="18"/>
                <w:szCs w:val="18"/>
                <w:color w:val="auto"/>
              </w:rPr>
              <w:t>Settlement of contingent closing consideration liability with stock issuance in connection with</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acquisition of business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925,000</w:t>
            </w:r>
          </w:p>
        </w:tc>
      </w:tr>
      <w:tr>
        <w:trPr>
          <w:trHeight w:val="229"/>
        </w:trPr>
        <w:tc>
          <w:tcPr>
            <w:tcW w:w="7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Milestone payment paid in common stock</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Daré Bioscience, Inc. is a biopharmaceutical company committed to advancing innovative products for women’s health. Daré Bioscience, Inc. and its wholly owned subsidiaries operate one segment. In this report, the “Company” refers collectively to Daré Bioscience, Inc. and its wholly owned subsidiaries, unless otherwise stated or the context otherwise requires.</w:t>
      </w:r>
    </w:p>
    <w:p>
      <w:pPr>
        <w:spacing w:after="0" w:line="1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began assembling its diverse portfolio in 2017 through acquisitions, exclusive in-licenses and other collaborations. The Company's programs target unmet needs in women's health in the areas of contraception, fertility, and vaginal and sexual health, and aim to expand treatment options, enhance outcomes and improve ease of use for women.</w:t>
      </w:r>
    </w:p>
    <w:p>
      <w:pPr>
        <w:spacing w:after="0" w:line="1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Company’s primary operations have consisted of, and are expected to continue to consist primarily of, research and development activities to advance its product candidates through clinical development and regulatory approval.</w:t>
      </w:r>
    </w:p>
    <w:p>
      <w:pPr>
        <w:spacing w:after="0" w:line="1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Company's portfolio includes one FDA-approved product, drug and drug/device product candidates and potential product candidates in various stages of development.</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FDA-approved product, XACIATO™ (clindamycin phosphate) vaginal gel, 2%, was approved by the FDA in December 2021, as a single-dose prescription medication for the treatment of bacterial vaginosis in female patients 12 years of age and older. In March 2022, the Company entered into a license agreement with an affiliate of Organon &amp; Co., Organon International GmbH, or Organon, to commercialize XACIATO. That agreement became effective on June 30, 2022, and in July 2022, the Company received the upfront $10.0 million non-refundable and non-creditable payment due under the agreement.</w:t>
      </w:r>
    </w:p>
    <w:p>
      <w:pPr>
        <w:spacing w:after="0" w:line="29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2021, or the 2021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prepared its consolidated financial statements on a going concern basis, which assumes that the Company will realize its assets and satisfy its liabilities in the normal course of business. Although the Company reported net income of approximately $0.4 million for its fiscal quarter ended June 30, 2022 as a result of the upfront one-time payment due under its license agreement with Organon to commercialize XACIATO,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jc w:val="both"/>
        <w:ind w:firstLine="648"/>
        <w:spacing w:after="0" w:line="253" w:lineRule="auto"/>
        <w:rPr>
          <w:sz w:val="20"/>
          <w:szCs w:val="20"/>
          <w:color w:val="auto"/>
        </w:rPr>
      </w:pPr>
      <w:r>
        <w:rPr>
          <w:rFonts w:ascii="Arial" w:cs="Arial" w:eastAsia="Arial" w:hAnsi="Arial"/>
          <w:sz w:val="18"/>
          <w:szCs w:val="18"/>
          <w:color w:val="auto"/>
        </w:rPr>
        <w:t>As of September 30, 2022, the Company had an accumulated deficit of approximately $125.1 million, cash and cash equivalents of approximately $40.4 million, a deferred grant funding liability of $14.8 million (representing grant funds received that may be applied solely for the development of DARE-LARC1 and which are included in cash and cash equivalents), and working capital of approximately $26.7 million. For the nine months ended September 30, 2022, the Company incurred a net loss of approximately $15.0 million and had negative cash flow from operations of approximately $12.2 million.</w:t>
      </w:r>
    </w:p>
    <w:p>
      <w:pPr>
        <w:spacing w:after="0" w:line="1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expects its primary uses of capital to be staff-related expenses, the cost of clinical trials and regulatory activities related to its product candidates, costs associated with contract manufacturing services and third-party clinical research and development services, payments due to third-parties under the Company's in-license and acquisition agreements including upon the occurrence of commercial milestones for XACIATO and development milestones for the Company’s product candidates, legal expenses, other regulatory expenses and general overhead costs. The Company’s future funding requirements could also include significant costs related to commercialization of its product candidates, if approved, depending on the type, nature and terms of commercial collaborations the Company establishes.</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has devoted significant resources to building its portfolio of product candidates and to research and development activities related to these product candidates. The Company or its licensees must obtain regulatory approvals to market and sell any of its product candidates in the future and to market and sell XACIATO anywhere outside the U.S. The Company will need to generate sufficient safety and efficacy data on each of its product candidates in order to apply for regulatory approvals and for such assets to be attractive assets to potential strategic collaborators to license or to acquire, and for the Company to generate revenue through license fees, royalties on net revenues and commercial milestones related to such product candidates.</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Based on the Company's current operating plan estimates, the Company does not have sufficient cash to satisfy its working capital needs and other liquidity requirements over at least the next 12 months from the date of issuance of the accompanying financial statements. The Company will need to raise substantial additional capital to continue to fund its operations and to execute its current strategy. The Company may continue to seek to raise capital through the sale of shares of its common stock under its at-the-market, or ATM, sales agreement or through other types of equity transactions. However, when the Company can effect such sales and the amount of shares the Company can sell depends on a variety of factors including, among others, market conditions, the trading price of its common stock, its determination as to the appropriate sources of funding for its operations, and the number of authorized shares of common stock that are available for issuance. For the foreseeable future, the Company will evaluate and may pursue a variety of capital raising options on an on-going basis, including equity and debt financings, government or other grant funding, collaborations, structured financings, and strategic alliances, or other similar types of arrangements, to cover its operating expenses, and the cost of any license or other acquisition of new product candidates or technologies. The amount and timing of the Company's capital needs have been, and will continue to be, highly dependent on many factors, including the product development programs the Company chooses to pursue, the pace and results of its clinical development efforts, and the nature and extent of the potential expansion of its product candidate portfolio, if any. If the Company raises capital through collaborations, structured financings, strategic alliances or other similar types of arrangements, it may be required to relinquish some or all of its rights to potential revenue or to intellectual property rights for its product candidates on terms that are not favorable to the Company.</w:t>
      </w:r>
    </w:p>
    <w:p>
      <w:pPr>
        <w:spacing w:after="0" w:line="1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can be no assurance that capital will be available when needed or that, if available, it will be obtained on terms favorable to the Company and its stockholders. In addition, equity or debt financings may have a dilutive effect on the holdings of the Company's existing stockholders, and debt financings may subject the Company to restrictive covenants, operational restrictions and security interests in its assets.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Company's condensed consolidated financial statements do not include any adjustments that might result from the outcome of this uncertainty.</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significant accounting policies are described in Note 2 to the consolidated financial statements included in the 2021 10-K. Since the date of those consolidated financial statements, there have been no material changes to the Company’s significant accounting policies.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9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93"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191C1F"/>
        </w:rPr>
        <w:t>following tables present the classification within the fair value hierarchy of financial assets and liabilities that are remeasured on</w:t>
      </w:r>
      <w:r>
        <w:rPr>
          <w:rFonts w:ascii="Arial" w:cs="Arial" w:eastAsia="Arial" w:hAnsi="Arial"/>
          <w:sz w:val="18"/>
          <w:szCs w:val="18"/>
          <w:color w:val="auto"/>
        </w:rPr>
        <w:t xml:space="preserve"> </w:t>
      </w:r>
      <w:r>
        <w:rPr>
          <w:rFonts w:ascii="Arial" w:cs="Arial" w:eastAsia="Arial" w:hAnsi="Arial"/>
          <w:sz w:val="18"/>
          <w:szCs w:val="18"/>
          <w:color w:val="191C1F"/>
        </w:rPr>
        <w:t>a recurring basis as of September 30, 2022 and December 31, 2021. There were no financial assets or liabilities that were remeasured using a quoted price in active markets for identical assets (Level 2) or using unobservable inputs (Level 3) as of September 30, 2022 or December 31, 2021.</w:t>
      </w:r>
    </w:p>
    <w:p>
      <w:pPr>
        <w:spacing w:after="0" w:line="232"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343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89" w:lineRule="exact"/>
        <w:rPr>
          <w:sz w:val="20"/>
          <w:szCs w:val="20"/>
          <w:color w:val="auto"/>
        </w:rPr>
      </w:pPr>
    </w:p>
    <w:p>
      <w:pPr>
        <w:ind w:left="5420"/>
        <w:spacing w:after="0"/>
        <w:tabs>
          <w:tab w:leader="none" w:pos="6760" w:val="left"/>
          <w:tab w:leader="none" w:pos="8080" w:val="left"/>
          <w:tab w:leader="none" w:pos="952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Level 3</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26035</wp:posOffset>
            </wp:positionV>
            <wp:extent cx="554609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6090" cy="171450"/>
                    </a:xfrm>
                    <a:prstGeom prst="rect">
                      <a:avLst/>
                    </a:prstGeom>
                    <a:noFill/>
                  </pic:spPr>
                </pic:pic>
              </a:graphicData>
            </a:graphic>
          </wp:anchor>
        </w:drawing>
      </w:r>
    </w:p>
    <w:p>
      <w:pPr>
        <w:spacing w:after="0" w:line="5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Balance at September 30, 2022</w:t>
      </w:r>
    </w:p>
    <w:p>
      <w:pPr>
        <w:spacing w:after="0" w:line="8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6350</wp:posOffset>
            </wp:positionV>
            <wp:extent cx="554609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46090" cy="171450"/>
                    </a:xfrm>
                    <a:prstGeom prst="rect">
                      <a:avLst/>
                    </a:prstGeom>
                    <a:noFill/>
                  </pic:spPr>
                </pic:pic>
              </a:graphicData>
            </a:graphic>
          </wp:anchor>
        </w:drawing>
      </w:r>
    </w:p>
    <w:p>
      <w:pPr>
        <w:spacing w:after="0" w:line="16" w:lineRule="exact"/>
        <w:rPr>
          <w:sz w:val="20"/>
          <w:szCs w:val="20"/>
          <w:color w:val="auto"/>
        </w:rPr>
      </w:pPr>
    </w:p>
    <w:p>
      <w:pPr>
        <w:ind w:left="1800"/>
        <w:spacing w:after="0"/>
        <w:tabs>
          <w:tab w:leader="none" w:pos="5040" w:val="left"/>
          <w:tab w:leader="none" w:pos="6480" w:val="left"/>
          <w:tab w:leader="none" w:pos="7280" w:val="left"/>
          <w:tab w:leader="none" w:pos="7780" w:val="left"/>
          <w:tab w:leader="none" w:pos="8600" w:val="left"/>
          <w:tab w:leader="none" w:pos="9100" w:val="left"/>
        </w:tabs>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u w:val="single" w:color="auto"/>
          <w:color w:val="auto"/>
        </w:rPr>
        <w:t>$ 39,083,471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$ 39,083,471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-3810</wp:posOffset>
            </wp:positionV>
            <wp:extent cx="3343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3"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6350</wp:posOffset>
            </wp:positionV>
            <wp:extent cx="554609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46090" cy="171450"/>
                    </a:xfrm>
                    <a:prstGeom prst="rect">
                      <a:avLst/>
                    </a:prstGeom>
                    <a:noFill/>
                  </pic:spPr>
                </pic:pic>
              </a:graphicData>
            </a:graphic>
          </wp:anchor>
        </w:drawing>
      </w:r>
    </w:p>
    <w:p>
      <w:pPr>
        <w:spacing w:after="0" w:line="4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Current assets:</w:t>
      </w:r>
    </w:p>
    <w:p>
      <w:pPr>
        <w:spacing w:after="0" w:line="36" w:lineRule="exact"/>
        <w:rPr>
          <w:sz w:val="20"/>
          <w:szCs w:val="20"/>
          <w:color w:val="auto"/>
        </w:rPr>
      </w:pPr>
    </w:p>
    <w:p>
      <w:pPr>
        <w:ind w:left="1800"/>
        <w:spacing w:after="0"/>
        <w:tabs>
          <w:tab w:leader="none" w:pos="5040" w:val="left"/>
          <w:tab w:leader="none" w:pos="6480" w:val="left"/>
          <w:tab w:leader="none" w:pos="7280" w:val="left"/>
          <w:tab w:leader="none" w:pos="7780" w:val="left"/>
          <w:tab w:leader="none" w:pos="8600" w:val="left"/>
          <w:tab w:leader="none" w:pos="9100" w:val="left"/>
        </w:tabs>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u w:val="single" w:color="auto"/>
          <w:color w:val="auto"/>
        </w:rPr>
        <w:t>$ 49,666,064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$ 49,666,064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-29845</wp:posOffset>
            </wp:positionV>
            <wp:extent cx="334327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3275" cy="34290"/>
                    </a:xfrm>
                    <a:prstGeom prst="rect">
                      <a:avLst/>
                    </a:prstGeom>
                    <a:noFill/>
                  </pic:spPr>
                </pic:pic>
              </a:graphicData>
            </a:graphic>
          </wp:anchor>
        </w:drawing>
      </w:r>
    </w:p>
    <w:p>
      <w:pPr>
        <w:spacing w:after="0" w:line="225" w:lineRule="exact"/>
        <w:rPr>
          <w:sz w:val="20"/>
          <w:szCs w:val="20"/>
          <w:color w:val="auto"/>
        </w:rPr>
      </w:pPr>
    </w:p>
    <w:p>
      <w:pPr>
        <w:ind w:left="1980" w:hanging="179"/>
        <w:spacing w:after="0"/>
        <w:tabs>
          <w:tab w:leader="none" w:pos="19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Represents cash held in money market funds.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 performance obligations. The Company then recognizes as revenue the amount of the transaction price allocated to the respective performance obligation when (or as) the performance obligation is satisfied.</w:t>
      </w:r>
    </w:p>
    <w:p>
      <w:pPr>
        <w:spacing w:after="0" w:line="12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3" w:name="page14"/>
    <w:bookmarkEnd w:id="13"/>
    <w:p>
      <w:pPr>
        <w:jc w:val="both"/>
        <w:ind w:firstLine="648"/>
        <w:spacing w:after="0" w:line="262" w:lineRule="auto"/>
        <w:rPr>
          <w:sz w:val="20"/>
          <w:szCs w:val="20"/>
          <w:color w:val="auto"/>
        </w:rPr>
      </w:pPr>
      <w:r>
        <w:rPr>
          <w:rFonts w:ascii="Arial" w:cs="Arial" w:eastAsia="Arial" w:hAnsi="Arial"/>
          <w:sz w:val="18"/>
          <w:szCs w:val="18"/>
          <w:i w:val="1"/>
          <w:iCs w:val="1"/>
          <w:color w:val="auto"/>
        </w:rPr>
        <w:t>Collaboration Revenues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enters into collaboration and licensing agreements under which it out-licenses certain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to its products or product candidates to third parties. The terms of these arrangements typically include payment of one or more of the following to the Company: non-refundable, up-front license fees; development, regulatory and/or commercial milestone payments; and royalties on net sales of licensed products. To date, the Company has not recognized any collaboration revenues.</w:t>
      </w:r>
    </w:p>
    <w:p>
      <w:pPr>
        <w:spacing w:after="0" w:line="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a contract, the Company recognizes revenues from non-refundable, upfront fees allocated to the license when the license is transferred to the customer and the customer is able to use 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recognized $10.0 million in license fee revenue, all of which represents the upfront payment due under its license agreement for XACIATO.</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w:t>
      </w:r>
    </w:p>
    <w:p>
      <w:pPr>
        <w:spacing w:after="0" w:line="1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Product Supply. </w:t>
      </w:r>
      <w:r>
        <w:rPr>
          <w:rFonts w:ascii="Arial" w:cs="Arial" w:eastAsia="Arial" w:hAnsi="Arial"/>
          <w:sz w:val="18"/>
          <w:szCs w:val="18"/>
          <w:color w:val="auto"/>
        </w:rPr>
        <w:t>Arrangements that include a promise for future supply of product for commercial supply at the licensee’s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generally considered as options. The Company assesses if these options provide a material right to the licensee and if so, they are accounted for as separate performance obligations. The Company evaluates whether it is the principal or agent in the arrangement. The evaluation is based on the degree the Company controls the specified product at any time before transfer to the customer. Revenues are recognized on a gross basis if the Company is in the capacity of principal and on a net basis if the Company is in the capacity of an agent. To date, the Company has not recognized any revenue associated with product supply arrangements.</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Milestones. </w:t>
      </w:r>
      <w:r>
        <w:rPr>
          <w:rFonts w:ascii="Arial" w:cs="Arial" w:eastAsia="Arial" w:hAnsi="Arial"/>
          <w:sz w:val="18"/>
          <w:szCs w:val="18"/>
          <w:color w:val="auto"/>
        </w:rPr>
        <w:t>At the inception of each arrangement in which the Company is a licensor and that includes developmental, regulatory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 the Company 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Milestone payments not within the Company's control, such as where achievement of the specified milestone depends on activities of a third party or regulatory approval, are not considered probable of being achieved until the specified milestone occurs. To date, the Company has not recognized any milestone revenue.</w:t>
      </w:r>
    </w:p>
    <w:p>
      <w:pPr>
        <w:spacing w:after="0" w:line="29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Agreements for Product Commercialization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Organon Exclusive License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March 2022, the Company entered into an exclusive license agreement with Organon pursuant to which Organon will obtain exclusive worldwide rights to develop, manufacture and commercialize XACIATO and other future intravaginal or urological products for human use formulated with clindamycin that rely on intellectual property controlled by the Company. The agreement became effective on June 30, 2022 following the satisfaction of closing conditions.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Organon license agreement:</w:t>
      </w:r>
    </w:p>
    <w:p>
      <w:pPr>
        <w:spacing w:after="0" w:line="16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i w:val="1"/>
          <w:iCs w:val="1"/>
          <w:color w:val="auto"/>
        </w:rPr>
        <w:t>Upfront Payment</w:t>
      </w:r>
      <w:r>
        <w:rPr>
          <w:rFonts w:ascii="Arial" w:cs="Arial" w:eastAsia="Arial" w:hAnsi="Arial"/>
          <w:sz w:val="18"/>
          <w:szCs w:val="18"/>
          <w:color w:val="auto"/>
        </w:rPr>
        <w:t>. Upon the effectiveness of the agreement, the Company recorded the transaction price of $10.0 million as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fee revenue in the accompanying condensed consolidated statement of operations. The $10.0 million was received in July 2022.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4" w:name="page15"/>
    <w:bookmarkEnd w:id="14"/>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Royalty and Milestone Payments. </w:t>
      </w:r>
      <w:r>
        <w:rPr>
          <w:rFonts w:ascii="Arial" w:cs="Arial" w:eastAsia="Arial" w:hAnsi="Arial"/>
          <w:sz w:val="18"/>
          <w:szCs w:val="18"/>
          <w:color w:val="auto"/>
        </w:rPr>
        <w:t>The Company will be entitled to receive tiered double-digit royalties based on net sales and up to</w:t>
      </w:r>
      <w:r>
        <w:rPr>
          <w:rFonts w:ascii="Arial" w:cs="Arial" w:eastAsia="Arial" w:hAnsi="Arial"/>
          <w:sz w:val="18"/>
          <w:szCs w:val="18"/>
          <w:i w:val="1"/>
          <w:iCs w:val="1"/>
          <w:color w:val="auto"/>
        </w:rPr>
        <w:t xml:space="preserve"> </w:t>
      </w:r>
      <w:r>
        <w:rPr>
          <w:rFonts w:ascii="Arial" w:cs="Arial" w:eastAsia="Arial" w:hAnsi="Arial"/>
          <w:sz w:val="18"/>
          <w:szCs w:val="18"/>
          <w:color w:val="auto"/>
        </w:rPr>
        <w:t>$182.5 million in milestone payments as follows: $2.5 million following the first commercial sale of a licensed product in the United States; and up to $180.0 million in tiered commercial sales milestones and regulatory milestones. Royalty payments will be subject to customary reductions and offsets.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royalty period for each licensed product will continue on a country-by-country basis from the first commercial sale of the licensed product in the country until the expiration of the later of (i) the date that no valid patent claim would be infringed in the absence of the license granted under the agreement by the sale of the licensed product in the country, (ii) 10 years after the end of the month in which the first commercial sale of the licensed product in the country occurred, and (iii) the expiration of regulatory market exclusivity for the licensed product in that country.</w:t>
      </w:r>
    </w:p>
    <w:p>
      <w:pPr>
        <w:spacing w:after="0" w:line="1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concluded at the inception of the agreement that the transaction price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For the three and nine months ended September 30, 2022, no adjustments were made to the transaction price.</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w:t>
      </w:r>
    </w:p>
    <w:p>
      <w:pPr>
        <w:spacing w:after="0" w:line="15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i w:val="1"/>
          <w:iCs w:val="1"/>
          <w:color w:val="auto"/>
        </w:rPr>
        <w:t xml:space="preserve">Regulatory Interactions and Product Supply. </w:t>
      </w:r>
      <w:r>
        <w:rPr>
          <w:rFonts w:ascii="Arial" w:cs="Arial" w:eastAsia="Arial" w:hAnsi="Arial"/>
          <w:sz w:val="17"/>
          <w:szCs w:val="17"/>
          <w:color w:val="auto"/>
        </w:rPr>
        <w:t>The Company will be responsible for regulatory interactions and for providing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supply on an interim basis until Organon assumes such responsibilities. Until such time, Organon will purchase all of its product requirements of XACIATO from the Company at a transfer price equal to the Company's manufacturing costs plus a single-digit percentage markup.</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terminated earlier, the agreement will expire on a product-by-product and country-by-country basis upon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spacing w:after="0" w:line="1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The terms of the agreement provide Organon exclusive worldwide rights of first negotiation for specified potential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of the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Bayer HealthCare License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Bayer, in its sole discretion, has the right to make the license effective by paying the Company an additional $20.0 million, referred to as the Clinical Trial and Manufacturing Activities Fee. Such license would be exclusive with regard to the commercialization of Ovaprene for human contraception in the U.S. and co-exclusive with the Company with regard to development.</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$ 20.0 million fee, the license is transferred to Bayer and Bayer is able to use and benefit from the license and (2) the termination of the agreement. As of September 30, 2022, neither of the foregoing had occurred. The $1.0 million payment is recorded as long-term deferred license revenue in the Company's condensed consolidated balance sheet at September 30, 2022 and December 31, 2021.</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Bayer license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jc w:val="both"/>
        <w:ind w:firstLine="648"/>
        <w:spacing w:after="0" w:line="258" w:lineRule="auto"/>
        <w:rPr>
          <w:sz w:val="20"/>
          <w:szCs w:val="20"/>
          <w:color w:val="auto"/>
        </w:rPr>
      </w:pPr>
      <w:r>
        <w:rPr>
          <w:rFonts w:ascii="Arial" w:cs="Arial" w:eastAsia="Arial" w:hAnsi="Arial"/>
          <w:sz w:val="18"/>
          <w:szCs w:val="18"/>
          <w:i w:val="1"/>
          <w:iCs w:val="1"/>
          <w:color w:val="auto"/>
        </w:rPr>
        <w:t>Milestone &amp; Royalty Payments</w:t>
      </w:r>
      <w:r>
        <w:rPr>
          <w:rFonts w:ascii="Arial" w:cs="Arial" w:eastAsia="Arial" w:hAnsi="Arial"/>
          <w:sz w:val="18"/>
          <w:szCs w:val="18"/>
          <w:color w:val="auto"/>
        </w:rPr>
        <w:t>. The Company will be entitled to receive (a) a milestone payment in the low double-digit millions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commercial sale of Ovaprene in the U.S. and escalating milestone payments based on annual net sales of Ovaprene during a calendar year, totaling up to $310.0 million if all such milestones, including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is responsible for the pivotal trial for Ovaprene and for its development and regulatory activities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supply obligations. After payment of the Clinical Trial and Manufacturing Activities Fee, Bayer will be responsible for the commercialization of Ovaprene for human contraception in the U.S.</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initial term of the agreement, which is subject to automatic renewal terms, continues until the later of (a) the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Clinical Trial and Manufacturing Activities Fee if and when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Agreements for Pipeline Development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Hammock/MilanaPharm Assignment and License Agreement</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Each of the Assignment Agreement and License Amendment was amended in December 2019, and the License Agreement was further amended in September 2021 and March 2022.</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License Amendment, as amended:</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A total of $235,000 in license fees were payable to MilanaPharm, the final installment of which was $110,000 paid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paid MilanaPharm $300,000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 $50,000 of which was paid in 2020 and $ 250,000 of which was paid in 2021. The Company may also pay MilanaPharm up to $500,000 upon the first commercial sale in the United States of the first licensed product for each vaginal use and urological use, and up to $250,000 upon the first commercial sale in the United States of successive licensed products for vaginal or urological use. In addition, upon achievement of $50.0 million in cumulative worldwide net sales of licensed products, the Company must pay $1.0 million to MilanaPharm.</w:t>
      </w:r>
    </w:p>
    <w:p>
      <w:pPr>
        <w:spacing w:after="0" w:line="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 w:name="page17"/>
    <w:bookmarkEnd w:id="16"/>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During the royalty term, the Company will pay MilanaPharm high single-digit to low double-digit royalties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required for the Company to exercise the licenses granted to it under the MilanaPharm License Agreement or that are strategically important or could add value to a licensed product or process in a manner expected to materially generate or increase sales.</w:t>
      </w:r>
    </w:p>
    <w:p>
      <w:pPr>
        <w:spacing w:after="0" w:line="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license term continues until (1) on a licensed product-by-product (or process-by-process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Assignment Agreement, as amended:</w:t>
      </w:r>
    </w:p>
    <w:p>
      <w:pPr>
        <w:spacing w:after="0" w:line="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A total of $512,500 in fees were payable to Hammock, the final installment of which was $137,500 paid in 2020.</w:t>
      </w:r>
    </w:p>
    <w:p>
      <w:pPr>
        <w:spacing w:after="0" w:line="1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$1.1 million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 $100,000 of which was paid in 2020 and $750,000 of which was paid in 2021. The remaining milestone does not relate to a bacterial vaginosis product.</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Assignment Agreement will terminate upon the later of (1) completion of the parties' technology transfer plan, and (2)</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Hammock of the last of the milestone payments.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color w:val="auto"/>
        </w:rPr>
        <w:t>ADVA-Tec License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 and must meet certain minimum spending amounts per year, including $2.5 million per year to cover such activities until a final premarket approval application, or PMA, is filed, or until the first commercial sale of Ovaprene, whichever occurs first. ADVA-Tec will conduct certain research and development work as necessary to allow the Company to seek a PMA from the FDA and will provide the Company with clinical trial and commercial supplies of Ovaprene, either directly or through a CMO, on commercially reasonable terms.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the license agreement, in addition to an exclusive license to ADVA-Tec's and its affiliates' intellectual property rights for all uses of Ovaprene as a human contraceptive device, the Company has a right of first refusal to license these patents and patent applications for additional indications.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ADVA-Tec license agreement:</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$200,000 of which was paid in 2021; and (2) up to $20.0 million in the aggregate based on the achievement of certain worldwide net sales milestones. The remaining development and regulatory milestones include: the FDA's approval to commence a pivotal clinical trial; successful completion of such 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 If the Company sublicenses its rights to Ovaprene, the Company will pay to ADVA-Tec a single digit percentage of the upfront payment or license fee due on or around the effective date of the sublicense.</w:t>
      </w:r>
    </w:p>
    <w:p>
      <w:pPr>
        <w:spacing w:after="0" w:line="1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The Company will pay to ADVA-Tec tiered royalties of between 1% and 10% based on percentages of annual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Ovaprene by the Company in specified regions. If the Company sublicenses its rights to Ovaprene, in lieu of the foregoing royalties, the Company will pay to ADVA-Tec a low mid-double digit percentage of the royalty revenue the Company receives from the sublicensee.</w:t>
      </w:r>
    </w:p>
    <w:p>
      <w:pPr>
        <w:spacing w:after="0" w:line="1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license the Company received under the agreement continues on a country-by-country basis</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later of the life of the licensed patents or the Company's last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the Company and ADVA-Tec agree,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the Company’s reasonable control.</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SST License and Collaboration Agreement</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the treatment of female sexual 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following is a summary of other terms of the SST license and collaboration agreement:</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 made by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party owns a 50% undivided interest in all joint inventions.</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Joint Development Committee. </w:t>
      </w:r>
      <w:r>
        <w:rPr>
          <w:rFonts w:ascii="Arial" w:cs="Arial" w:eastAsia="Arial" w:hAnsi="Arial"/>
          <w:sz w:val="18"/>
          <w:szCs w:val="18"/>
          <w:color w:val="auto"/>
        </w:rPr>
        <w:t>The parties will collaborate through a joint development committee that will determine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for, and generally oversee, the development efforts of both parties under the agreement.</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tiered royalties based on percentages of annual net sales of Licensed Products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the single digits to the low double digits. If the Company sublicenses Licensed Products, SST will be eligible to receive the greater of a low mid-double digit percentage of the sublicense revenue the Company receives from the sublicensee or tiered royalties based on percentages of annual net sales of Licensed Products by the sublicensee in the single digits. In each case, the royalties are subject to customary reductions and offsets.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to $100.0 million in the aggregate upon achieving certain commercial sales milestones. If the Company has entered into strategic development or distribution partnerships related to the Licensed Products at the time certain milestones are achieved, additional milestone payments (1) ranging from $2.0 million to $10.0 million upon achieving certain clinical and regulatory milestones, and (2) ranging from $10.0 million to $125.0 million upon achieving certain commercial sales milestones would be due to SST.</w:t>
      </w:r>
    </w:p>
    <w:p>
      <w:pPr>
        <w:spacing w:after="0" w:line="1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Company’s license continues on a country-by-country basis until the later of 10 years from the date of the first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such Licensed Product or the expiration of the last valid claim of patent rights covering the Licensed Product in the Field of Use. Upon expiration (but not termination) of the agreement in a particular country, the Company will have a fully paid-up license under the licensed intellectual property to develop and commercialize the applicable Licensed Products in the applicable country on a non-exclusive basis.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In addition to customary termination rights for both parties: (1) prior to receipt of approval by a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commercialization of a Licensed Product in the corresponding jurisdiction, including NDA approval, the Company may terminate the agreement without cause upon 90 days prior written notice; (2) following receipt of approval by a regulatory authority necessary for commercialization of a Licensed Product in the corresponding jurisdiction, including NDA approval, the Company may terminate the agreement without cause upon 180 days prior written notice; and (3) SST may terminate the agreement with respect to the applicable Licensed Product(s) in the applicable country(ies) upon 30 days’ notice if the Company fails to use commercially reasonable efforts to perform development activities in substantial accordance with the development plan and do not cure such failure within 60 days of receipt of SST's notice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Catalent JNP License Agreement</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Catalent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Annual Maintenance Fee. </w:t>
      </w:r>
      <w:r>
        <w:rPr>
          <w:rFonts w:ascii="Arial" w:cs="Arial" w:eastAsia="Arial" w:hAnsi="Arial"/>
          <w:sz w:val="18"/>
          <w:szCs w:val="18"/>
          <w:color w:val="auto"/>
        </w:rPr>
        <w:t>The Company will pay an annual license maintenance fee to Catalent on each anniversary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the amount of which will be $50,000 for the first two years and $100,000 thereafter, and which will be creditable against royalties and other payments due to Catalent in the same calendar year but may not be carried forward to any other year. The Company made the first payments in April 2019.</w:t>
      </w:r>
    </w:p>
    <w:p>
      <w:pPr>
        <w:spacing w:after="0" w:line="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(1) up to $13.5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upon achieving certain clinical and regulatory milestones, $1.0 million of which became payable in the third quarter of 2021, and in accordance with the license agreement, the amount payable was offset by the $100,000 annual maintenance fee, resulting in a net amount of $900,000 paid during the third quarter of 2021, and (2) up to $30.3 million in the aggregate upon achieving certain commercial sales milestones for each product or process covered by the licenses granted under the agreement.</w:t>
      </w:r>
    </w:p>
    <w:p>
      <w:pPr>
        <w:spacing w:after="0" w:line="1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Catalent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to develop and make at least one product or process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which efforts include achieving specific diligence requirements by specific dates specified in the agreement.</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term of the agreement will continue on a country-by-country basis until the later of (1)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 of the last valid 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the Company’s uncured breach of any payment obligation under the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the Company’s other obligations under the agreement. The Company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the Company terminates the agreement, Catalent will have full access including the right to use and reference all product data generated during the term of the agreement that is owned by the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Adare Development and Option Agreement</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March 2018, the Company entered into an exclusive development and option agreement with Adare Pharma Solutions (formerly known as Adare Pharmaceuticals and Orbis Biosciences, and which the Company refers to as Adare), for the development of two long-acting injectable etonogestrel contraceptives with 6- and 12-month durations (now referred to as ADARE-204 and ADARE-214, respectively). The agreement provides the Company with an option to negotiate an exclusive license agreement for the programs if the Company funds the conduct of specified development work by Adare.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Hennepin License Agreement</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Under the agreement, the Company received an exclusive, worldwide, royalty-bearing license to research, develop and commercialize the licensed technology. The Company is entitled to sublicense the rights granted to it under the agreement.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The following is a summary of other terms of the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agreed to make potential future development and sales milestone payments of (1) up to</w:t>
      </w:r>
      <w:r>
        <w:rPr>
          <w:rFonts w:ascii="Arial" w:cs="Arial" w:eastAsia="Arial" w:hAnsi="Arial"/>
          <w:sz w:val="18"/>
          <w:szCs w:val="18"/>
          <w:i w:val="1"/>
          <w:iCs w:val="1"/>
          <w:color w:val="auto"/>
        </w:rPr>
        <w:t xml:space="preserve"> </w:t>
      </w:r>
      <w:r>
        <w:rPr>
          <w:rFonts w:ascii="Arial" w:cs="Arial" w:eastAsia="Arial" w:hAnsi="Arial"/>
          <w:sz w:val="18"/>
          <w:szCs w:val="18"/>
          <w:color w:val="auto"/>
        </w:rPr>
        <w:t>$6.25 million in the aggregate upon achieving certain clinical and regulatory milestones, and (2) up to $45.0 million in the aggregate upon achieving certain commercial sales milestones for each product covered by the licenses granted under the agreement, which may be paid, in the Company’s sole discretion, in cash or shares of the Company’s common stock.</w:t>
      </w:r>
    </w:p>
    <w:p>
      <w:pPr>
        <w:spacing w:after="0" w:line="1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The Company will pay Hennepin low-single-digit to low double-digit royalties based on worldwide net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processes covered by the licenses granted under the agreement.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to develop and introduce to market at least one product.</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term of the agreement shall expire in its entirety upon the last to expire royalty term.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customary termination rights for both parties, the Company may elect to terminate the agreement at any time, with or without cause, on a country-by-country basis and Hennepin may terminate the agreement if the Company does not undertake any development work with respect to the licensed intellectual property for five consecutive years from the date of the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MBI Acquisition</w:t>
      </w:r>
    </w:p>
    <w:p>
      <w:pPr>
        <w:spacing w:after="0" w:line="20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In November 2019, the Company acquired Dare MB Inc. (formerly, Microchips Biotech, Inc.), or MBI, to secure the rights to develop a long-acting reversible contraception method that a woman can turn on or off herself, according to her own needs. This candidate is now known as DARE-LARC1.</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connection with the MBI acquisition, the Company issued an aggregate of approximately 3.0 million shares of its common stock to the holders of shares of MBI's capital stock outstanding immediately prior to the effective time of the merger and agreed to pay the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the proceeds from annual net sales of such products received by the Company (but not by sublicensees),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In June 2021, a total of $1.25 million of the contingent consideration became payable upon the achievement of certain of the funding and product development milestone events, $1.0 million of which was recorded as contingent consideration on the Company's consolidated balance sheets upon the completion of the MBI acquisition and $250,000 of which was expensed in 2021.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in cash to the stockholders’ representative in accordance with the terms of the merger agreement in satisfaction of the $1.25 million in milestone payments associated with milestones achieved in June 2021. See Note 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Pear Tree Acquisition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spacing w:after="0" w:line="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must make contingent payments to certain Pear Tree licensors and former stockholders of Pear</w:t>
      </w:r>
      <w:r>
        <w:rPr>
          <w:rFonts w:ascii="Arial" w:cs="Arial" w:eastAsia="Arial" w:hAnsi="Arial"/>
          <w:sz w:val="18"/>
          <w:szCs w:val="18"/>
          <w:i w:val="1"/>
          <w:iCs w:val="1"/>
          <w:color w:val="auto"/>
        </w:rPr>
        <w:t xml:space="preserve"> </w:t>
      </w:r>
      <w:r>
        <w:rPr>
          <w:rFonts w:ascii="Arial" w:cs="Arial" w:eastAsia="Arial" w:hAnsi="Arial"/>
          <w:sz w:val="18"/>
          <w:szCs w:val="18"/>
          <w:color w:val="auto"/>
        </w:rPr>
        <w:t>Tree that become payable upon achievement of specified clinical, regulatory and commercial milestones, which may be paid, in the Company’s sole discretion, in cash or shares of the Company’s common stock.</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Subject to royalty reductions and offsets, the former stockholders of Pear Tree and certain Pear Tree licensors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eligible to receive tiered royalties based on percentages of net sales of certain products by the Company and a percentage of royalties the Company receives based on net sales of certain products by sublicensees.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1" w:name="page22"/>
    <w:bookmarkEnd w:id="21"/>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Authorized Shares of Common Stock</w:t>
      </w:r>
    </w:p>
    <w:p>
      <w:pPr>
        <w:spacing w:after="0" w:line="23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July 2022, following the approval of the Company's stockholders at its annual meeting of stockholders, the Company amended its restated certificate of incorporation to increase the Company's authorized shares of common stock to 240,000,000.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2021 ATM Sales Agreement</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October 2021, the Company entered into a sales agreement with SVB Securities LLC (formerly known as SVB Leerink LLC) to sell shares of its common stock from time to time through an "at-the-market," or ATM, equity offering program under which SVB Leerink acts as the Company's agent. The Company agreed to pay a commission equal to 3% of the gross proceeds of any common stock sold under the agreement, plus certain legal expenses.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October 13, 2021 relating to the offering of up to $50.0 million in shares of the Company's common stock under this sales agreement, and any subsequent prospectus supplement filed with the SEC related to this ATM equity offering program.</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nine months ended September 30, 2022, the Company sold approximately 751,000 shares of common stock under this agreement for gross proceeds of approximately $1.3 million and incurred offering expenses of approximately $42,000.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2021 ATM Sales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2021, the Company entered into a sales agreement with SVB Securities LLC to sell shares of its common stock from time to time through an ATM, equity offering program under which SVB Securities acts as the Company's agent. Under the sales agreement, the Company may issue and sell up to $50.0 million of shares of its common stock. The Company agreed to pay a commission equal to 3% of the gross proceeds of any common stock sold under the agreement, plus certain legal expenses. Any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April 7, 2021 filed with the SEC on April 8, 2021.</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nine months ended September 30, 2022, the Company sold no shares under this agreement. During the nine months ended September 30, 2021, the Company sold approximately 26.0 million shares of common stock under this agreement for gross proceeds of approximately $46.9 million and incurred offering expenses of approximately $1.6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ATM Sales Agreement</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January 2018 the Company entered into a common stock sales agreement with H.C. Wainwright &amp; Co., LLC, or Wainwright, relating to the offering and sale of shares of its common stock from time to time in an ATM equity offering program through Wainwright, acting as sales agent. Under the agreement, Wainwright was entitled to a commission at a fixed commission rate equal to 3.0% of the gross proceeds per share sold under the agreement. In March 2021, the Company provided notice to Wainwright to terminate the agreement, and the agreement terminated in April 2021. During the nine months ended September 30, 2021, the Company sold approximately 3.3 million shares of common stock under this agreement for gross proceeds of approximately $7.7 million and incurred offering expenses of approximately $245,000.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April 2020, the Company entered into a purchase agreement, or the Purchase Agreement, and a registration rights agreement with Lincoln Park Capital Fund, LLC, or Lincoln Park. Under the terms and subject to the conditions of the Purchase Agreement, the Company had the right, but not the obligation, to sell to Lincoln Park, and Lincoln Park was obligated to purchase up to $15.0 million of the Company’s common stock. The Company incurred legal, accounting, and other fees related to the Purchase Agreement of approximately $374,000. These costs were amortized and expensed as shares were sold under the Purchase Agreement. As of December 31, 2021, the Company had sold and Lincoln Park had purchased $15.0 million of the Company's common stock under the Purchase Agreement, there were no unamortized costs, and no more shares of common stock may be sold by the Company to Lincoln Park under the Purchase Agreement. During the nine months ended September 30, 2021, the Company sold, and Lincoln Park purchased, 4.8 million shares under the Purchase Agreement for gross proceeds to the Company of approximately $7.0 million and recognized offering expenses of approximately $207,000.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February 2018, the Company closed an underwritten public offering in connection with which the Company issued to the investors in that offering warrants exercisable through February 2023 and that initially had an exercise price of $3.00 per share. 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$ 3.0 million which was recorded in equity as of the grant date. The Company early adopted ASU 2017-11 as of January 1, 2018 and recorded the fair value of the warrants as equity.</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nine months ended September 30, 2022, no warrants were exercised. During the nine months ended September 30, 2021, warrants to purchase 265,485 shares of common stock were exercised for gross proceeds of $254,866. As of September 30, 2022, the Company had the following warrants outstanding:</w:t>
      </w:r>
    </w:p>
    <w:p>
      <w:pPr>
        <w:spacing w:after="0" w:line="15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vMerge w:val="restart"/>
          </w:tcPr>
          <w:p>
            <w:pPr>
              <w:spacing w:after="0"/>
              <w:rPr>
                <w:sz w:val="14"/>
                <w:szCs w:val="14"/>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2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6,500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21"/>
                <w:szCs w:val="21"/>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04/04/2026</w:t>
            </w:r>
          </w:p>
        </w:tc>
        <w:tc>
          <w:tcPr>
            <w:tcW w:w="0" w:type="dxa"/>
            <w:vAlign w:val="bottom"/>
          </w:tcPr>
          <w:p>
            <w:pPr>
              <w:spacing w:after="0"/>
              <w:rPr>
                <w:sz w:val="1"/>
                <w:szCs w:val="1"/>
                <w:color w:val="auto"/>
              </w:rPr>
            </w:pPr>
          </w:p>
        </w:tc>
      </w:tr>
      <w:tr>
        <w:trPr>
          <w:trHeight w:val="270"/>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1,374,515</w:t>
            </w:r>
          </w:p>
        </w:tc>
        <w:tc>
          <w:tcPr>
            <w:tcW w:w="9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tcPr>
          <w:p>
            <w:pPr>
              <w:jc w:val="right"/>
              <w:ind w:right="816"/>
              <w:spacing w:after="0"/>
              <w:rPr>
                <w:sz w:val="20"/>
                <w:szCs w:val="20"/>
                <w:color w:val="auto"/>
              </w:rPr>
            </w:pPr>
            <w:r>
              <w:rPr>
                <w:rFonts w:ascii="Arial" w:cs="Arial" w:eastAsia="Arial" w:hAnsi="Arial"/>
                <w:sz w:val="18"/>
                <w:szCs w:val="18"/>
                <w:color w:val="auto"/>
              </w:rPr>
              <w:t>0.96</w:t>
            </w:r>
          </w:p>
        </w:tc>
        <w:tc>
          <w:tcPr>
            <w:tcW w:w="420" w:type="dxa"/>
            <w:vAlign w:val="bottom"/>
            <w:tcBorders>
              <w:bottom w:val="single" w:sz="8" w:color="CCEEFF"/>
            </w:tcBorders>
          </w:tcPr>
          <w:p>
            <w:pPr>
              <w:spacing w:after="0"/>
              <w:rPr>
                <w:sz w:val="23"/>
                <w:szCs w:val="23"/>
                <w:color w:val="auto"/>
              </w:rPr>
            </w:pPr>
          </w:p>
        </w:tc>
        <w:tc>
          <w:tcPr>
            <w:tcW w:w="28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02/15/2023</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1,381,015</w:t>
            </w: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There was no stock-based compensation related to the ESPP for the nine months ended September 30, 2022 or September 30,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Amended and Restated 2014 Stock Incentive Plan, or the Amended 2014 Plan, provided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increased annually on the first day of each fiscal year by the least of (i) 2,000,000, (ii) 4% of the number of outstanding shares of common stock on such date, or (iii) an amount determined by the Company’s board of directors. On January 1, 2022, the number of authorized shares increased by 2,000,000 to 2,201,855. On June 23, 2022, the Amended 2014 Plan was superseded by the 2022 Plan (as defined below), and no further awards will be granted under the Amended 2014 Plan. Awards outstanding under the Amended 2014 Plan will continue to remain outstanding pursuant to their terms and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Stock Incentive Plan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April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consultants, advisors, and directors.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number of shares of common stock authorized for issuance under the 2022 Plan is (a) 10,117,305; plus (b) up to 6,144,682 shares subject to awards granted under the Amended 2014 Plan or the 2007 Stock Incentive Plan that expire, terminate or are otherwise forfeited on or after June 23,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table below summarizes stock option activity under the Company's stock incentive plans and related information for the nine months ended September 30, 2022. The exercise price of all options granted during the nine months ended September 30, 2022 was equal to the market value of the Company’s common stock on the date of grant. As of September 30, 2022, unamortized stock-based compensation expense of approximately $4.7 million will be amortized over a weighted average period of 2.56 years. At September 30, 2022, 9,576,581 shares of common stock were available for future awards granted under the 2022 Plan.</w:t>
      </w:r>
    </w:p>
    <w:p>
      <w:pPr>
        <w:spacing w:after="0" w:line="39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20" w:type="dxa"/>
            <w:vAlign w:val="bottom"/>
          </w:tcPr>
          <w:p>
            <w:pPr>
              <w:jc w:val="right"/>
              <w:ind w:right="17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65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Exercise Price</w:t>
            </w: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4,717,602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2,346,692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0.96</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Canceled/forfeited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(321,418)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Outstanding at September 30, 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6,612,554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1.60</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Exercisable at September 30,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3,337,063</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3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condensed consolidated statements of operations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440" w:type="dxa"/>
            <w:vAlign w:val="bottom"/>
            <w:gridSpan w:val="5"/>
          </w:tcPr>
          <w:p>
            <w:pPr>
              <w:jc w:val="center"/>
              <w:ind w:right="1260"/>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10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5"/>
          </w:tcPr>
          <w:p>
            <w:pPr>
              <w:jc w:val="center"/>
              <w:ind w:right="1260"/>
              <w:spacing w:after="0"/>
              <w:rPr>
                <w:sz w:val="20"/>
                <w:szCs w:val="20"/>
                <w:color w:val="auto"/>
              </w:rPr>
            </w:pPr>
            <w:r>
              <w:rPr>
                <w:rFonts w:ascii="Arial" w:cs="Arial" w:eastAsia="Arial" w:hAnsi="Arial"/>
                <w:sz w:val="14"/>
                <w:szCs w:val="14"/>
                <w:b w:val="1"/>
                <w:bCs w:val="1"/>
                <w:color w:val="auto"/>
              </w:rPr>
              <w:t>September 30,</w:t>
            </w:r>
          </w:p>
        </w:tc>
      </w:tr>
      <w:tr>
        <w:trPr>
          <w:trHeight w:val="208"/>
        </w:trPr>
        <w:tc>
          <w:tcPr>
            <w:tcW w:w="1000" w:type="dxa"/>
            <w:vAlign w:val="bottom"/>
          </w:tcPr>
          <w:p>
            <w:pPr>
              <w:spacing w:after="0"/>
              <w:rPr>
                <w:sz w:val="18"/>
                <w:szCs w:val="18"/>
                <w:color w:val="auto"/>
              </w:rPr>
            </w:pPr>
          </w:p>
        </w:tc>
        <w:tc>
          <w:tcPr>
            <w:tcW w:w="38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8"/>
                <w:szCs w:val="18"/>
                <w:color w:val="auto"/>
              </w:rPr>
            </w:pPr>
          </w:p>
        </w:tc>
      </w:tr>
      <w:tr>
        <w:trPr>
          <w:trHeight w:val="256"/>
        </w:trPr>
        <w:tc>
          <w:tcPr>
            <w:tcW w:w="1000" w:type="dxa"/>
            <w:vAlign w:val="bottom"/>
          </w:tcPr>
          <w:p>
            <w:pPr>
              <w:spacing w:after="0"/>
              <w:rPr>
                <w:sz w:val="22"/>
                <w:szCs w:val="22"/>
                <w:color w:val="auto"/>
              </w:rPr>
            </w:pPr>
          </w:p>
        </w:tc>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rPr>
              <w:t>168,323</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144,876</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514,875</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389,913</w:t>
            </w:r>
          </w:p>
        </w:tc>
        <w:tc>
          <w:tcPr>
            <w:tcW w:w="1000" w:type="dxa"/>
            <w:vAlign w:val="bottom"/>
          </w:tcPr>
          <w:p>
            <w:pPr>
              <w:spacing w:after="0"/>
              <w:rPr>
                <w:sz w:val="22"/>
                <w:szCs w:val="22"/>
                <w:color w:val="auto"/>
              </w:rPr>
            </w:pPr>
          </w:p>
        </w:tc>
      </w:tr>
      <w:tr>
        <w:trPr>
          <w:trHeight w:val="270"/>
        </w:trPr>
        <w:tc>
          <w:tcPr>
            <w:tcW w:w="1000" w:type="dxa"/>
            <w:vAlign w:val="bottom"/>
          </w:tcPr>
          <w:p>
            <w:pPr>
              <w:spacing w:after="0"/>
              <w:rPr>
                <w:sz w:val="23"/>
                <w:szCs w:val="23"/>
                <w:color w:val="auto"/>
              </w:rPr>
            </w:pPr>
          </w:p>
        </w:tc>
        <w:tc>
          <w:tcPr>
            <w:tcW w:w="3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58"/>
              <w:spacing w:after="0"/>
              <w:rPr>
                <w:sz w:val="20"/>
                <w:szCs w:val="20"/>
                <w:color w:val="auto"/>
              </w:rPr>
            </w:pPr>
            <w:r>
              <w:rPr>
                <w:rFonts w:ascii="Arial" w:cs="Arial" w:eastAsia="Arial" w:hAnsi="Arial"/>
                <w:sz w:val="18"/>
                <w:szCs w:val="18"/>
                <w:color w:val="auto"/>
              </w:rPr>
              <w:t>388,125</w:t>
            </w: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294,621</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1,111,504</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820,973</w:t>
            </w:r>
          </w:p>
        </w:tc>
        <w:tc>
          <w:tcPr>
            <w:tcW w:w="1000" w:type="dxa"/>
            <w:vAlign w:val="bottom"/>
          </w:tcPr>
          <w:p>
            <w:pPr>
              <w:spacing w:after="0"/>
              <w:rPr>
                <w:sz w:val="23"/>
                <w:szCs w:val="23"/>
                <w:color w:val="auto"/>
              </w:rPr>
            </w:pPr>
          </w:p>
        </w:tc>
      </w:tr>
      <w:tr>
        <w:trPr>
          <w:trHeight w:val="248"/>
        </w:trPr>
        <w:tc>
          <w:tcPr>
            <w:tcW w:w="1000" w:type="dxa"/>
            <w:vAlign w:val="bottom"/>
          </w:tcPr>
          <w:p>
            <w:pPr>
              <w:spacing w:after="0"/>
              <w:rPr>
                <w:sz w:val="21"/>
                <w:szCs w:val="21"/>
                <w:color w:val="auto"/>
              </w:rPr>
            </w:pPr>
          </w:p>
        </w:tc>
        <w:tc>
          <w:tcPr>
            <w:tcW w:w="3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58"/>
              <w:spacing w:after="0"/>
              <w:rPr>
                <w:sz w:val="20"/>
                <w:szCs w:val="20"/>
                <w:color w:val="auto"/>
              </w:rPr>
            </w:pPr>
            <w:r>
              <w:rPr>
                <w:rFonts w:ascii="Arial" w:cs="Arial" w:eastAsia="Arial" w:hAnsi="Arial"/>
                <w:sz w:val="18"/>
                <w:szCs w:val="18"/>
                <w:color w:val="auto"/>
              </w:rPr>
              <w:t>556,448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439,497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1,626,379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1,210,886</w:t>
            </w:r>
          </w:p>
        </w:tc>
        <w:tc>
          <w:tcPr>
            <w:tcW w:w="1000" w:type="dxa"/>
            <w:vAlign w:val="bottom"/>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38"/>
        </w:trPr>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ind w:left="38"/>
              <w:spacing w:after="0"/>
              <w:rPr>
                <w:sz w:val="20"/>
                <w:szCs w:val="20"/>
                <w:color w:val="auto"/>
              </w:rPr>
            </w:pPr>
            <w:r>
              <w:rPr>
                <w:rFonts w:ascii="Arial" w:cs="Arial" w:eastAsia="Arial" w:hAnsi="Arial"/>
                <w:sz w:val="18"/>
                <w:szCs w:val="18"/>
                <w:color w:val="auto"/>
                <w:w w:val="99"/>
              </w:rPr>
              <w:t>19</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4" w:name="page25"/>
    <w:bookmarkEnd w:id="24"/>
    <w:p>
      <w:pPr>
        <w:spacing w:after="0"/>
        <w:tabs>
          <w:tab w:leader="none" w:pos="440" w:val="left"/>
        </w:tabs>
        <w:rPr>
          <w:sz w:val="20"/>
          <w:szCs w:val="20"/>
          <w:color w:val="auto"/>
        </w:rPr>
      </w:pPr>
      <w:r>
        <w:rPr>
          <w:rFonts w:ascii="Arial" w:cs="Arial" w:eastAsia="Arial" w:hAnsi="Arial"/>
          <w:sz w:val="18"/>
          <w:szCs w:val="18"/>
          <w:b w:val="1"/>
          <w:bCs w:val="1"/>
          <w:color w:val="auto"/>
        </w:rPr>
        <w:t>`6.</w:t>
        <w:tab/>
        <w:t>LEASED PROPERTIES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In February 2022, the Company entered into an amendment to extend the term of the lease for two years such that the term now expires on August 31, 2024.</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MBI, a wholly owned subsidiary the Company acquired in November 2019, leases general office space in Lexington, Massachusetts. The lease for that space commenced on July 1, 2013. In February 2022, the Company entered into an amendment to extend the term of the lease for three years to December 31, 2025, subject to the landlord's right to terminate the lease on December 31, 2023. The extension of the lease in February 2022 resulted in an increase in operating lease liabilities and ROU assets of approximately $1.0 million. In September 2022, the landlord exercised its option to terminate the lease, resulting in the new term ending on December 31, 2023. The termination of the lease resulted in a reduction of operating lease liabilities and ROU assets of approximately $504,000 and $458,000, respectively, and a $46,000 gain on the modification of the lease which is included as a reduction to research and development expense for the three and nine months ended September 30, 2022.</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MBI previously leased warehouse space in Billerica, Massachusetts, under a lease that commenced on October 1, 2016 and terminated on March 31, 2022.</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191C1F"/>
        </w:rPr>
        <w:t>the terms of each lease, the lessee pays base annual rent (subject to an annual fixed percentage increase), plus property</w:t>
      </w:r>
      <w:r>
        <w:rPr>
          <w:rFonts w:ascii="Arial" w:cs="Arial" w:eastAsia="Arial" w:hAnsi="Arial"/>
          <w:sz w:val="18"/>
          <w:szCs w:val="18"/>
          <w:color w:val="auto"/>
        </w:rPr>
        <w:t xml:space="preserve"> </w:t>
      </w:r>
      <w:r>
        <w:rPr>
          <w:rFonts w:ascii="Arial" w:cs="Arial" w:eastAsia="Arial" w:hAnsi="Arial"/>
          <w:sz w:val="18"/>
          <w:szCs w:val="18"/>
          <w:color w:val="191C1F"/>
        </w:rPr>
        <w:t xml:space="preserve">taxes, and other normal and necessary expenses, such as utilities, repairs, and maintenance. </w:t>
      </w:r>
      <w:r>
        <w:rPr>
          <w:rFonts w:ascii="Arial" w:cs="Arial" w:eastAsia="Arial" w:hAnsi="Arial"/>
          <w:sz w:val="18"/>
          <w:szCs w:val="18"/>
          <w:color w:val="000000"/>
        </w:rPr>
        <w:t>The Company evaluates renewal options at</w:t>
      </w:r>
      <w:r>
        <w:rPr>
          <w:rFonts w:ascii="Arial" w:cs="Arial" w:eastAsia="Arial" w:hAnsi="Arial"/>
          <w:sz w:val="18"/>
          <w:szCs w:val="18"/>
          <w:color w:val="191C1F"/>
        </w:rPr>
        <w:t xml:space="preserve"> </w:t>
      </w:r>
      <w:r>
        <w:rPr>
          <w:rFonts w:ascii="Arial" w:cs="Arial" w:eastAsia="Arial" w:hAnsi="Arial"/>
          <w:sz w:val="18"/>
          <w:szCs w:val="18"/>
          <w:color w:val="000000"/>
        </w:rPr>
        <w:t>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that commenced prior to January 2019 (and all of the Company's operating leases commenced prior to such date). The depreciable lives of operating leases and leasehold improvements are limited by the expected lease term.</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September 30, 2022, the Company reported operating lease ROU assets of approximately $546,000 in other non-current assets, and approximately $388,000 and $195,000, respectively, in current portion of lease liabilities and lease liabilities long-term on the condensed consolidated balance sheet.</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Total operating lease costs were approximately $116,000 and $134,000 for the three months ended September 30, 2022 and September 30, 2021, respectively, and $469,000 and $420,000 for the nine months ended September 30, 2022 and September 30, 2021, respectively. Operating lease costs consist of monthly lease payments expense, common area maintenance and other repair and maintenance costs and are included in general and administrative expenses in the condensed consolidated statements of operations.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$81,000 and $117,000 for the three months ended September 30, 2022 and September 30, 2021, respectively, and $231,000 and $343,000 for the nine months ended September 30, 2022 and September 30, 2021, respectively. These amounts are included in operating activities in the condensed consolidated statements of cash flows. At September 30, 2022, operating leases had a weighted average remaining lease term of 1.58 years.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future minimum lease payments under the Company's operating leases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20" w:type="dxa"/>
            <w:vAlign w:val="bottom"/>
          </w:tcPr>
          <w:p>
            <w:pPr>
              <w:spacing w:after="0"/>
              <w:rPr>
                <w:sz w:val="22"/>
                <w:szCs w:val="22"/>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2022</w:t>
            </w:r>
          </w:p>
        </w:tc>
        <w:tc>
          <w:tcPr>
            <w:tcW w:w="4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105,000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gridSpan w:val="2"/>
          </w:tcPr>
          <w:p>
            <w:pPr>
              <w:ind w:left="1240"/>
              <w:spacing w:after="0"/>
              <w:rPr>
                <w:sz w:val="20"/>
                <w:szCs w:val="20"/>
                <w:color w:val="auto"/>
              </w:rPr>
            </w:pPr>
            <w:r>
              <w:rPr>
                <w:rFonts w:ascii="Arial" w:cs="Arial" w:eastAsia="Arial" w:hAnsi="Arial"/>
                <w:sz w:val="18"/>
                <w:szCs w:val="18"/>
                <w:color w:val="auto"/>
              </w:rPr>
              <w:t>2023</w:t>
            </w:r>
          </w:p>
        </w:tc>
        <w:tc>
          <w:tcPr>
            <w:tcW w:w="3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422,000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38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93,000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Arial" w:cs="Arial" w:eastAsia="Arial" w:hAnsi="Arial"/>
                <w:sz w:val="18"/>
                <w:szCs w:val="18"/>
                <w:b w:val="1"/>
                <w:bCs w:val="1"/>
                <w:color w:val="auto"/>
              </w:rPr>
              <w:t>Total future minimum lease payments</w:t>
            </w:r>
          </w:p>
        </w:tc>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620,000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accreted interest</w:t>
            </w:r>
          </w:p>
        </w:tc>
        <w:tc>
          <w:tcPr>
            <w:tcW w:w="3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37,000</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b w:val="1"/>
                <w:bCs w:val="1"/>
                <w:color w:val="auto"/>
              </w:rPr>
              <w:t>Total operating lease liabilities</w:t>
            </w:r>
          </w:p>
        </w:tc>
        <w:tc>
          <w:tcPr>
            <w:tcW w:w="4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583,000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80" w:type="dxa"/>
            <w:vAlign w:val="bottom"/>
            <w:vMerge w:val="restart"/>
          </w:tcPr>
          <w:p>
            <w:pPr>
              <w:jc w:val="right"/>
              <w:ind w:right="3110"/>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10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5" w:name="page26"/>
    <w:bookmarkEnd w:id="25"/>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CRADA with NICHD for the Pivotal Phase 3 Study of Ovaprene</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NICHD's selected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to NICHD to be applied toward the costs of conducting the Ovaprene Phase 3. NICHD will be responsible for the other costs related to the conduct of the Ovaprene Phase 3. In accordance with the payment schedule under the CRADA, the Company has paid $5.0 million of the total amount payable to NICHD, $3.5 million of which was paid during the first quarter of 2022. At September 30, 2022, the remaining amount of the Company's payment obligation under the CRADA was $0.5 million, which is due in the second quarter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discussed in Note 3 above, in connection with the acquisition of MBI, the Company agreed to pay additional consideration of up to $46.5 million to the former stockholders of MBI contingent upon the achievement of specified funding, product development and regulatory milestones. In June 2021, $1.25 million of that additional consideration became payable upon the achievement of certain of the funding and product development milestone events, $1.0 million of which was previously recorded as contingent consideration on the Company's consolidated balance sheets upon the completion of the MBI acquisition and $250,000 of which was expensed in 2021.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to the stockholders’ representative in accordance with the terms of the merger agreement in satisfaction of the $1.25 million in milestone payments associated with milestones achieved in June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2020, due to the economic uncertainty resulting from the impact of the COVID-19 pandemic on the Company's operations and to support its ongoing operations and retain all employees, the Company applied for and received a loan of $367,285 under the Paycheck Protection Program, or the PPP, of the Coronavirus Aid, Relief, and Economic Security Act, or CARES Act, administered by the U.S. Small Business Administration, or the SBA. Under the terms of the PPP, the loan proceeds could be used for "qualifying expenses" and, subject to specified limitations in the CARES Act and under the terms of the PPP, certain amounts of the loan, including accrued interest, may be forgiven if used for qualifying expenses. In January 2021, the Company was notified that the principal balance of its PPP loan and all accrued interest, which together totaled $369,887, were fully forgiven by the SBA. The Company recorded a gain on extinguishment of note payable and debt forgiveness income with respect to such loan forgiveness in the first quarter of 2021.</w:t>
      </w:r>
    </w:p>
    <w:p>
      <w:pPr>
        <w:spacing w:after="0" w:line="291"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NICHD Non-Dilutive Grant Funding</w:t>
      </w:r>
    </w:p>
    <w:p>
      <w:pPr>
        <w:spacing w:after="0" w:line="2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received notices of awards and non-dilutive grant funding from NICHD to support the development of Ovaprene, DARE-PTB1, DARE-LARC1, and ADARE-204/214.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b w:val="1"/>
          <w:bCs w:val="1"/>
          <w:color w:val="auto"/>
        </w:rPr>
        <w:t>Ovaprene</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From 2018 through 2021, the Company received approximately $ 1.9 million of non-dilutive grant funding from NICHD for clinical development efforts supporting Ovaprene. All funds under the final notice of award had been disbursed as of December 31, 2021.</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DARE-PTB1</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2020, the Company received a notice of award of a grant from NICHD to support the development of DARE-PTB1. The award in the amount of $300,000 was for the "Phase I" segment of the project outlined in the Company's grant application, which is ongoing.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recorded credits to research and development expense for costs related to the NICHD award of approximately $500 and $20,000 during the three and nine months ended September 30, 2022, respectively.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DARE-LARC1</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September 2021, the Company received a notice of award of a grant from NICHD to support the development of DARE-LARC1. The award in the amount of approximately $300,000 is to be used to explore device insertion and removal in non-clinical studies, which is ongoing.</w:t>
      </w:r>
    </w:p>
    <w:p>
      <w:pPr>
        <w:spacing w:after="0" w:line="9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 Company recorded credits to research and development expense of approximately $3,000 and $196,000 for costs related to the NICHD award during the three and nine months ended September 30, 2022, respectively. At September 30, 2022, the Company recorded a receivable of approximately $2,000 for expenses incurred through such date that it believes are eligible for reimbursement under the grant.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ADARE-204 and ADARE-214</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May 2022, the Company received a notice of award of a grant from NICHD of approximately $249,000 to support end-user research to better understand women's preferences for a long-acting injectable contraceptive method. The findings from the research will inform the Company's target product profile and guide its development priorities for ADARE-204 and ADARE-214.</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recorded credits to research and development expense of approximately $ 65,000 for costs related to the NICHD award during both the three and nine months ended September 30, 2022. At September 30, 2022, the Company recorded a receivable of approximately $65,000 for expenses incurred through such date that it believes is eligible for reimbursement under the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DARE-LARC1 Non-Dilutive Grant Funding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MBI Grant Agreement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wholly-owned subsidiary, MBI, was awarded $5.4 million to support the development of DARE-LARC1 under a grant agreement with the Bill &amp; Melinda Gates Foundation, or the Foundation. The funding period under this agreement ended on June 30, 2021. Expenses eligible for funding were incurred, tracked and reported to the Foundation. MBI received aggregate payments under this agreement of approximately $5.4 million. At June 30, 2021, all payments under this agreement associated with research and development expenses for DARE-LARC1 had been incurred and reported to the Foundation.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color w:val="auto"/>
        </w:rPr>
        <w:t>2021 DARE-LARC1 Grant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2021, the Company entered into an agreement with the Foundation, or the 2021 DARE-LARC1 Grant Agreement, under which the Company was awarded up to $48.95 million to support the development of DARE-LARC1. The 2021 DARE-LARC1 Grant Agreement will support technology development and preclinical activities over the period of June 30, 2021 to November 1, 2026, to advance DARE-LARC1 in non-clinical proof of principle studies. Under the 2021 DARE-LARC1 Grant Agreement, the Company receives funding in advance and tracks and reports eligible expenses incurred to the Foundation. Any unspent funds are recorded as a deferred grant funding liability in the Company's condensed consolidated balance sheet.</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July 2022, the Company received approximately $8.0 million from the Foundation under the 2021 DARE-LARC1 Grant Agreement. As of September 30, 2022, the Company has received a cumulative total of approximately $19.4 million in non-dilutive funding under the 2021 DARE-LARC1 Grant Agreement and recorded approximately $14.8 million of deferred grant funding liability in the Company's condensed consolidated balance sheet. Additional payments under the 2021 DARE-LARC1 Grant Agreement are contingent upon the DARE-LARC1 program’s achievement of specified development and reporting milestones.</w:t>
      </w:r>
    </w:p>
    <w:p>
      <w:pPr>
        <w:spacing w:after="0" w:line="291"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3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Arial" w:cs="Arial" w:eastAsia="Arial" w:hAnsi="Arial"/>
          <w:sz w:val="19"/>
          <w:szCs w:val="19"/>
          <w:color w:val="auto"/>
        </w:rPr>
        <w:t>.</w:t>
      </w:r>
      <w:r>
        <w:rPr>
          <w:rFonts w:ascii="Arial" w:cs="Arial" w:eastAsia="Arial" w:hAnsi="Arial"/>
          <w:sz w:val="18"/>
          <w:szCs w:val="18"/>
          <w:color w:val="auto"/>
        </w:rPr>
        <w:t xml:space="preserve"> Dilutive securities are excluded from the diluted EPS calculation if their effect is anti-dilutive.</w:t>
      </w:r>
    </w:p>
    <w:p>
      <w:pPr>
        <w:spacing w:after="0" w:line="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potentially dilutive outstanding securities were excluded from diluted EPS for the period indicated because of their anti-dilutive effect:</w:t>
      </w:r>
    </w:p>
    <w:p>
      <w:pPr>
        <w:spacing w:after="0" w:line="20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Potentially dilutive securities</w:t>
            </w:r>
          </w:p>
        </w:tc>
        <w:tc>
          <w:tcPr>
            <w:tcW w:w="27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264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3800" w:type="dxa"/>
            <w:vAlign w:val="bottom"/>
            <w:gridSpan w:val="2"/>
            <w:vMerge w:val="continue"/>
          </w:tcPr>
          <w:p>
            <w:pPr>
              <w:spacing w:after="0"/>
              <w:rPr>
                <w:sz w:val="16"/>
                <w:szCs w:val="16"/>
                <w:color w:val="auto"/>
              </w:rPr>
            </w:pPr>
          </w:p>
        </w:tc>
        <w:tc>
          <w:tcPr>
            <w:tcW w:w="27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2640" w:type="dxa"/>
            <w:vAlign w:val="bottom"/>
            <w:gridSpan w:val="3"/>
          </w:tcPr>
          <w:p>
            <w:pPr>
              <w:jc w:val="right"/>
              <w:ind w:right="73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44"/>
        </w:trPr>
        <w:tc>
          <w:tcPr>
            <w:tcW w:w="3660" w:type="dxa"/>
            <w:vAlign w:val="bottom"/>
            <w:tcBorders>
              <w:top w:val="single" w:sz="8" w:color="auto"/>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6"/>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6,612,554</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4,802,666</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6,612,554</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4,802,666</w:t>
            </w:r>
          </w:p>
        </w:tc>
        <w:tc>
          <w:tcPr>
            <w:tcW w:w="0" w:type="dxa"/>
            <w:vAlign w:val="bottom"/>
          </w:tcPr>
          <w:p>
            <w:pPr>
              <w:spacing w:after="0"/>
              <w:rPr>
                <w:sz w:val="1"/>
                <w:szCs w:val="1"/>
                <w:color w:val="auto"/>
              </w:rPr>
            </w:pPr>
          </w:p>
        </w:tc>
      </w:tr>
      <w:tr>
        <w:trPr>
          <w:trHeight w:val="270"/>
        </w:trPr>
        <w:tc>
          <w:tcPr>
            <w:tcW w:w="3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Warrants</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1,381,015</w:t>
            </w:r>
          </w:p>
        </w:tc>
        <w:tc>
          <w:tcPr>
            <w:tcW w:w="120" w:type="dxa"/>
            <w:vAlign w:val="bottom"/>
            <w:tcBorders>
              <w:bottom w:val="single" w:sz="8" w:color="CFF0FC"/>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1,643,158</w:t>
            </w:r>
          </w:p>
        </w:tc>
        <w:tc>
          <w:tcPr>
            <w:tcW w:w="140" w:type="dxa"/>
            <w:vAlign w:val="bottom"/>
            <w:tcBorders>
              <w:bottom w:val="single" w:sz="8" w:color="CFF0FC"/>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1,381,015</w:t>
            </w:r>
          </w:p>
        </w:tc>
        <w:tc>
          <w:tcPr>
            <w:tcW w:w="120" w:type="dxa"/>
            <w:vAlign w:val="bottom"/>
            <w:tcBorders>
              <w:bottom w:val="single" w:sz="8" w:color="CFF0FC"/>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1,643,158</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7,993,569</w:t>
            </w:r>
          </w:p>
        </w:tc>
        <w:tc>
          <w:tcPr>
            <w:tcW w:w="1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6,445,824</w:t>
            </w:r>
          </w:p>
        </w:tc>
        <w:tc>
          <w:tcPr>
            <w:tcW w:w="1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7,993,569</w:t>
            </w:r>
          </w:p>
        </w:tc>
        <w:tc>
          <w:tcPr>
            <w:tcW w:w="1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6,445,824</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Ovaprene IDE Application Approval</w:t>
      </w:r>
    </w:p>
    <w:p>
      <w:pPr>
        <w:spacing w:after="0" w:line="18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On October 10, 2022, the FDA approved the Company's Investigational Device Exemption, or IDE, application for a single arm, open-label pivotal contraceptive efficacy study of Ovaprene and provided the Company with recommended additional study design considerations. Implementing such study design considerations will further position the study to collect safety and effectiveness data to enable the preparation of, and to support the submission of, a PMA application. The Company expects to make a $1.0 million milestone payment as a result.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Receipt of Australia Research and Development Cash Credit</w:t>
      </w:r>
    </w:p>
    <w:p>
      <w:pPr>
        <w:spacing w:after="0" w:line="1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On October 3, 2022, the Company received a research and development rebate from the government of Australia in the amount of approximately $786,000 for clinical work performed in Australia in 2021. The rebate is accounted for as an offset to research and development expense.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2021 included in our Annual Report on Form 10-K for the year ended December 31, 2021, or our 2021 10-K, filed with the Securities and Exchange Commission, or SEC, on March 31, 2022. Past operating results are not necessarily indicative of results that may occur in future periods.</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2021 10-K, and in our subsequent filings with the SEC, including any discussed in Part II, Item 1A of this report under the heading “Risk Factors,” which are incorporated herein by reference.</w:t>
      </w:r>
    </w:p>
    <w:p>
      <w:pPr>
        <w:spacing w:after="0" w:line="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and XACIATO™ is a trademark of Daré Bioscience, Inc. with registration pending.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fertility and vaginal and sexual health.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 owned subsidiaries operate in one business segment.</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first product, XACIATO [zah-she-AH-toe] (clindamycin phosphate) vaginal gel, 2%, was approved by the FDA in December 2021, as a single-dose prescription medication for the treatment of bacterial vaginosis in female patients 12 years of age and older. In March 2022, we entered into an exclusive global license agreement with an affiliate of Organon &amp; Co., Organon International GmbH, or Organon, to commercialize XACIATO. We anticipate the first commercial sale of XACIATO in the U.S. in the first half of 2023.</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product pipeline includes diverse programs that target unmet needs in women's health in the areas of contraception, fertility and vaginal and sexual health and aim to expand treatment options, enhance outcomes and improve ease of use for women. We are primarily focused on progressing the development of our existing product candidates. We are also exploring opportunities to expand our portfolio by leveraging assets to which we hold rights or obtaining rights to new assets, with continued focus solely on women's health. Our current portfolio includes two product candidates in advanced clinical development:</w:t>
      </w:r>
    </w:p>
    <w:p>
      <w:pPr>
        <w:spacing w:after="0" w:line="156"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intravaginal contraceptive; and</w:t>
      </w:r>
    </w:p>
    <w:p>
      <w:pPr>
        <w:spacing w:after="0" w:line="117" w:lineRule="exact"/>
        <w:rPr>
          <w:rFonts w:ascii="Arial" w:cs="Arial" w:eastAsia="Arial" w:hAnsi="Arial"/>
          <w:sz w:val="18"/>
          <w:szCs w:val="18"/>
          <w:b w:val="1"/>
          <w:bCs w:val="1"/>
          <w:color w:val="auto"/>
        </w:rPr>
      </w:pPr>
    </w:p>
    <w:p>
      <w:pPr>
        <w:ind w:left="1300" w:right="20" w:hanging="320"/>
        <w:spacing w:after="0" w:line="28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 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 or FSAD.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also includes four product candidates in Phase 1 clinical development or that we believe are Phase 1-ready:</w:t>
      </w:r>
    </w:p>
    <w:p>
      <w:pPr>
        <w:spacing w:after="0" w:line="163" w:lineRule="exact"/>
        <w:rPr>
          <w:sz w:val="20"/>
          <w:szCs w:val="20"/>
          <w:color w:val="auto"/>
        </w:rPr>
      </w:pPr>
    </w:p>
    <w:p>
      <w:pPr>
        <w:ind w:left="1300" w:right="20" w:hanging="320"/>
        <w:spacing w:after="0" w:line="287" w:lineRule="auto"/>
        <w:tabs>
          <w:tab w:leader="none" w:pos="129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 a combination bio-identical estradiol and progesterone intravaginal ring, or IVR,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menopausal symptoms, including vasomotor symptoms, as part of hormone therapy following menopause;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9" w:name="page30"/>
    <w:bookmarkEnd w:id="29"/>
    <w:p>
      <w:pPr>
        <w:ind w:left="1300" w:hanging="320"/>
        <w:spacing w:after="0" w:line="287" w:lineRule="auto"/>
        <w:tabs>
          <w:tab w:leader="none" w:pos="129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 a vaginally delivered formulation of tamoxifen to treat vulvar vaginal atrophy, or VVA, as an option for women</w:t>
      </w:r>
      <w:r>
        <w:rPr>
          <w:rFonts w:ascii="Arial" w:cs="Arial" w:eastAsia="Arial" w:hAnsi="Arial"/>
          <w:sz w:val="18"/>
          <w:szCs w:val="18"/>
          <w:b w:val="1"/>
          <w:bCs w:val="1"/>
          <w:color w:val="auto"/>
        </w:rPr>
        <w:t xml:space="preserve"> </w:t>
      </w:r>
      <w:r>
        <w:rPr>
          <w:rFonts w:ascii="Arial" w:cs="Arial" w:eastAsia="Arial" w:hAnsi="Arial"/>
          <w:sz w:val="18"/>
          <w:szCs w:val="18"/>
          <w:color w:val="auto"/>
        </w:rPr>
        <w:t>with hormone-receptor positive breast cancer;</w:t>
      </w:r>
    </w:p>
    <w:p>
      <w:pPr>
        <w:spacing w:after="0" w:line="125" w:lineRule="exact"/>
        <w:rPr>
          <w:rFonts w:ascii="Arial" w:cs="Arial" w:eastAsia="Arial" w:hAnsi="Arial"/>
          <w:sz w:val="18"/>
          <w:szCs w:val="18"/>
          <w:b w:val="1"/>
          <w:bCs w:val="1"/>
          <w:color w:val="auto"/>
        </w:rPr>
      </w:pPr>
    </w:p>
    <w:p>
      <w:pPr>
        <w:ind w:left="1300" w:right="20" w:hanging="320"/>
        <w:spacing w:after="0" w:line="287" w:lineRule="auto"/>
        <w:tabs>
          <w:tab w:leader="none" w:pos="129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 an intravaginal ring containing bio-identical progesterone for broader luteal phase support as part of an 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fertilization treatment plan; and</w:t>
      </w:r>
    </w:p>
    <w:p>
      <w:pPr>
        <w:spacing w:after="0" w:line="112"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DARE-PTB1</w:t>
      </w:r>
      <w:r>
        <w:rPr>
          <w:rFonts w:ascii="Arial" w:cs="Arial" w:eastAsia="Arial" w:hAnsi="Arial"/>
          <w:sz w:val="18"/>
          <w:szCs w:val="18"/>
          <w:color w:val="auto"/>
        </w:rPr>
        <w:t>, an intravaginal ring containing bio-identical progesterone for the prevention of preterm birth.</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portfolio includes these pre-clinical stage potential product candidates:</w:t>
      </w:r>
    </w:p>
    <w:p>
      <w:pPr>
        <w:spacing w:after="0" w:line="217" w:lineRule="exact"/>
        <w:rPr>
          <w:sz w:val="20"/>
          <w:szCs w:val="20"/>
          <w:color w:val="auto"/>
        </w:rPr>
      </w:pPr>
    </w:p>
    <w:p>
      <w:pPr>
        <w:ind w:left="1300" w:right="20" w:hanging="320"/>
        <w:spacing w:after="0" w:line="237" w:lineRule="auto"/>
        <w:tabs>
          <w:tab w:leader="none" w:pos="1295" w:val="left"/>
        </w:tabs>
        <w:numPr>
          <w:ilvl w:val="0"/>
          <w:numId w:val="19"/>
        </w:numPr>
        <w:rPr>
          <w:rFonts w:ascii="Arial" w:cs="Arial" w:eastAsia="Arial" w:hAnsi="Arial"/>
          <w:sz w:val="22"/>
          <w:szCs w:val="22"/>
          <w:b w:val="1"/>
          <w:bCs w:val="1"/>
          <w:i w:val="1"/>
          <w:iCs w:val="1"/>
          <w:color w:val="auto"/>
        </w:rPr>
      </w:pPr>
      <w:r>
        <w:rPr>
          <w:rFonts w:ascii="Arial" w:cs="Arial" w:eastAsia="Arial" w:hAnsi="Arial"/>
          <w:sz w:val="18"/>
          <w:szCs w:val="18"/>
          <w:b w:val="1"/>
          <w:bCs w:val="1"/>
          <w:color w:val="auto"/>
        </w:rPr>
        <w:t>ADARE-204 and ADARE-214</w:t>
      </w:r>
      <w:r>
        <w:rPr>
          <w:rFonts w:ascii="Arial" w:cs="Arial" w:eastAsia="Arial" w:hAnsi="Arial"/>
          <w:sz w:val="18"/>
          <w:szCs w:val="18"/>
          <w:color w:val="auto"/>
        </w:rPr>
        <w:t>, injectable formulations of etonogestrel designed to provide contraceptive protection over 6-month and 12-month periods, respectively</w:t>
      </w:r>
    </w:p>
    <w:p>
      <w:pPr>
        <w:spacing w:after="0" w:line="153" w:lineRule="exact"/>
        <w:rPr>
          <w:rFonts w:ascii="Arial" w:cs="Arial" w:eastAsia="Arial" w:hAnsi="Arial"/>
          <w:sz w:val="22"/>
          <w:szCs w:val="22"/>
          <w:b w:val="1"/>
          <w:bCs w:val="1"/>
          <w:i w:val="1"/>
          <w:iCs w:val="1"/>
          <w:color w:val="auto"/>
        </w:rPr>
      </w:pPr>
    </w:p>
    <w:p>
      <w:pPr>
        <w:ind w:left="1300" w:hanging="320"/>
        <w:spacing w:after="0" w:line="287" w:lineRule="auto"/>
        <w:tabs>
          <w:tab w:leader="none" w:pos="129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contraceptive implant delivering levonorgestrel with a woman-centered design that has the potential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long-acting, yet convenient and user-controlled contraceptive option;</w:t>
      </w:r>
    </w:p>
    <w:p>
      <w:pPr>
        <w:spacing w:after="0" w:line="112" w:lineRule="exact"/>
        <w:rPr>
          <w:rFonts w:ascii="Arial" w:cs="Arial" w:eastAsia="Arial" w:hAnsi="Arial"/>
          <w:sz w:val="18"/>
          <w:szCs w:val="18"/>
          <w:b w:val="1"/>
          <w:bCs w:val="1"/>
          <w:color w:val="auto"/>
        </w:rPr>
      </w:pPr>
    </w:p>
    <w:p>
      <w:pPr>
        <w:ind w:left="1300" w:right="20" w:hanging="320"/>
        <w:spacing w:after="0" w:line="287" w:lineRule="auto"/>
        <w:tabs>
          <w:tab w:leader="none" w:pos="129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DARE-GML</w:t>
      </w:r>
      <w:r>
        <w:rPr>
          <w:rFonts w:ascii="Arial" w:cs="Arial" w:eastAsia="Arial" w:hAnsi="Arial"/>
          <w:sz w:val="18"/>
          <w:szCs w:val="18"/>
          <w:color w:val="auto"/>
        </w:rPr>
        <w:t>, an intravaginally-delivered potential multi-target antimicrobial agent formulated with glycerol monolaurate</w:t>
      </w:r>
      <w:r>
        <w:rPr>
          <w:rFonts w:ascii="Arial" w:cs="Arial" w:eastAsia="Arial" w:hAnsi="Arial"/>
          <w:sz w:val="18"/>
          <w:szCs w:val="18"/>
          <w:b w:val="1"/>
          <w:bCs w:val="1"/>
          <w:color w:val="auto"/>
        </w:rPr>
        <w:t xml:space="preserve"> </w:t>
      </w:r>
      <w:r>
        <w:rPr>
          <w:rFonts w:ascii="Arial" w:cs="Arial" w:eastAsia="Arial" w:hAnsi="Arial"/>
          <w:sz w:val="18"/>
          <w:szCs w:val="18"/>
          <w:color w:val="auto"/>
        </w:rPr>
        <w:t>(GML), which has shown broad antimicrobial activity, killing bacteria and viruses; and</w:t>
      </w:r>
    </w:p>
    <w:p>
      <w:pPr>
        <w:spacing w:after="0" w:line="125" w:lineRule="exact"/>
        <w:rPr>
          <w:rFonts w:ascii="Arial" w:cs="Arial" w:eastAsia="Arial" w:hAnsi="Arial"/>
          <w:sz w:val="18"/>
          <w:szCs w:val="18"/>
          <w:b w:val="1"/>
          <w:bCs w:val="1"/>
          <w:i w:val="1"/>
          <w:iCs w:val="1"/>
          <w:color w:val="auto"/>
        </w:rPr>
      </w:pPr>
    </w:p>
    <w:p>
      <w:pPr>
        <w:ind w:left="1300" w:hanging="320"/>
        <w:spacing w:after="0" w:line="287" w:lineRule="auto"/>
        <w:tabs>
          <w:tab w:leader="none" w:pos="129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primary operations have consisted of research and development activities to advance our portfolio of product candidates through clinical development and regulatory approval. We expect our research and development expenses will continue to represent the majority of our operating expenses for at least the next twelve months. For the remainder of 2022, we expect to continue to focus our resources on advancement of Ovaprene and Sildenafil Cream, 3.6%, and our other product candidates that have reached the human clinical study development phase. In addition, we expect to incur significant research and development expenses for the DARE-LARC1 program for the next several years, but we also expect such expenses will be supported by non-dilutive funding provided under a grant agreement we entered into in June 2021.</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generated $10.0 million in revenue, all of which represents the upfront payment under our license agreement with Organon to commercialize XACIATO. We are subject to several risks common to biopharmaceutical companies, including dependence on key employees, dependence on third-party collaborators and service providers,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success of third parties in the marketing, sale and distribution of our products, competition from substitute products and larger companies, compliance with government regulations, protection of proprietary technology, and product liability.</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The COVID-19 pandemic remains an evolving and uncertain risk to our business, operating results, financial condition and stock price. To date, we believe the pandemic contributed to a slower than expected initial pace of enrollment in our Phase 2b clinical study of Sildenafil Cream, 3.6% and delays in commencement of clinical studies and nonclinical testing for more than one of our earlier stage clinical programs, but has not had a material adverse effect on our business as a whole. Continued uncertainty regarding the duration and impact of the pandemic on the U.S. and global economies, healthcare systems, workplace environments and capital markets, preclude any prediction as to the ultimate effect of the pandemic on our business. See the risk factor in Part I, Item 1A of our 2021 10-K titled, </w:t>
      </w:r>
      <w:r>
        <w:rPr>
          <w:rFonts w:ascii="Arial" w:cs="Arial" w:eastAsia="Arial" w:hAnsi="Arial"/>
          <w:sz w:val="18"/>
          <w:szCs w:val="18"/>
          <w:i w:val="1"/>
          <w:iCs w:val="1"/>
          <w:color w:val="auto"/>
        </w:rPr>
        <w:t>The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pandemic has negatively impacted our business and, in the future, may materially and adversely affect our business, financial condition and results and stock price, including by increasing the cost and timelines for our clinical development programs.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XACIATO</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2022, we entered into an exclusive license agreement with Organon to develop, manufacture and commercialize XACIATO. The agreement became effective on June 30, 2022 following the satisfaction of closing conditions, and in July 2022, we received the $10.0 million non-refundable and non-creditable payment from Organon. We are entitled to receive a $2.5 million milestone payment following the first commercial sale of a licensed product in the United States. XACIATO launch preparation activities, including validation of the manufacturing process, are ongoing and will continue into 2023, and the first commercial sale in the U.S. is expected in the first half of 2023. We will also be eligible to receive future potential milestone payments of up to $180.0 million and tiered double-digit royalties based on net sales.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agreement, we will be responsible for all regulatory interactions and for providing commercial product supply on an interim basis until Organon assumes such responsibilities. Until such time, Organon will purchase all of its product requirements of XACIATO from us at a transfer price equal to our manufacturing costs plus a single-digit percentage markup. We will fulfill our commercial supply obligations through the contract manufacturer that provided clinical supplies of XACIATO for our pivotal Phase 3 DARE-BVFREE clinical study of XACIATO. We will not be responsible for other costs of commercializing XACIATO.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Clinical-Stage Programs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Ovaprene</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October 2022, we announced that the FDA approved an Investigational Device Exemption, or IDE, application allowing us to conduct a single arm, open-label pivotal contraceptive efficacy study of Ovaprene. The multi-center, non-comparative pivotal Phase 3 clinical study will evaluate Ovaprene’s effectiveness as a contraceptive device along with its safety and usability over a 12-month (13 menstrual cycles) duration. If successful, the study is expected to support a premarket approval, or PMA, application to the FDA, as well as regulatory filings in Europe and other countries worldwide, to allow for marketing approvals of Ovaprene. Initiation of recruitment for the study is targeted for mid-2023.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predicate device for Ovaprene (i.e., there is no existing FDA-approved product that the FDA can use to compare with</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Ovaprene). As such, Ovaprene will be reviewed via a PMA and not a 510(k) premarket submission. While the regulatory process for such a novel product can require more interactions and research to support FDA approval, the benefit is a clearly differentiated product. In order for the planned study to serve as the primary clinical support for a future marketing approval or clearance, the FDA provided additional study design considerations with the IDE approval letter. Implementing such study design considerations will further position the study to collect safety and effectiveness data to enable the preparation of, and to support the submission of, a PMA application. We are working with our collaborators at the National Institutes of Health, or NIH, and at Bayer to review and implement the FDA's study design considerations.</w:t>
      </w:r>
    </w:p>
    <w:p>
      <w:pPr>
        <w:spacing w:after="0" w:line="1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Phase 3 study will be conducted under our Cooperative Research and Development Agreement, or CRADA, with the U.S. Department of Health and Human Services, as represented by the Eunice Kennedy Shriver National Institute of Child Health and Human Development, or the NICHD, part of the NIH, and within NICHD’s Contraceptive Clinical Trial Network.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to NICHD to be applied toward the costs of conducting the Phase 3 study, $5.0 million of which has been paid and the remaining amount is due in the second quarter of 2023. NICHD will be responsible for the other costs related to the conduct of the Phase 3 study and will manage the payment of expenses to the contract research organization for the study, the clinical sites, and other parties involved with the study.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Sildenafil Cream, 3.6%</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October 2022, subject screening for our exploratory Phase 2b RESPOND clinical study of Sildenafil Cream, 3.6% was completed, allowing for a topline data announcement target of the second quarter of 2023.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 Phase 2b RESPOND study is a multi-center, double-blind, placebo-controlled clinical study to evaluate the efficacy and safety of</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Sildenafil Cream, 3.6% in premenopausal patients with female sexual arousal disorder, or FSAD. The primary efficacy endpoint of the study is a composite endpoint that includes patient-reported improvement in genital sensations of arousal and reduction in distress associated with FSAD. The study is designed to evaluate Sildenafil Cream, 3.6% compared to placebo cream over 12 weeks of dosing following both a non-drug and placebo run-in period.</w:t>
      </w:r>
    </w:p>
    <w:p>
      <w:pPr>
        <w:spacing w:after="0" w:line="1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August 2022, we announced that, based on the results of an interim analysis to evaluate the relative magnitude of the treatment effect, we expected to complete enrollment in the Phase 2b RESPOND study with a revised projected number of subjects in the fourth quarter of 2022. The interim analysis was conducted by an independent third-party statistical resource and we, as well as our collaborator, Strategic Science &amp; Technologies, LLC, continue to remain blinded to results of the study by treatment group. While the study was originally expected to randomize a minimum of 400 subjects into the double-blind dosing period from 40 to 50 sites in the U.S. to achieve 150 subjects per arm completing the 12-week double-blind dosing period, based on the analysis of unblinded data by the independent third-party statistical resource to evaluate the relative magnitude of the treatment effect, approximately 160 to 170 subjects are expected to complete the 12-week double-blind dosing period (approximately 80 to 85 subjects per arm). The reduction in the number of subjects should not be viewed as indicative of the magnitude of the treatment effect. The relative magnitude of the treatment effect seen in the interim analysis should not be viewed as predictive that topline data will show Sildenafil Cream, 3.6% achieved the efficacy endpoints of the Phase 2b RESPOND study.</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DARE-HRT1</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October 2022, we announced topline results of our Phase 1/2 clinical study of DARE-HRT1 conducted by our wholly owned subsidiary in Australia. The randomized, open-label, two arm, parallel group study was designed to evaluate the pharmacokinetics (PK) of two versions of DARE-HRT1 (estradiol 80 µg/progesterone 4 mg IVR and estradiol 160 µg/progesterone 8 mg IVR) in approximately 20 healthy, post-menopausal women over approximately three consecutive months of use. The study also collected safety, usability, acceptability and symptom-relief data including the vasomotor symptoms (VMS) as well as the vaginal symptoms of menopause. The levels of estradiol released from both the lower and higher dose formulation of DARE-HRT1 evaluated in the study achieved statistically significant improvement in VMS as well as the genitourinary symptoms of menopause, and vaginal pH and maturation index. Menopausal symptoms,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including hot flashes and night sweats, were reduced compared with baseline in both DARE-HRT1 dose groups (p&lt;0.01). Participants also showed significant improvement from baseline in all measures surveyed on The Menopausal Quality of Life Survey (MENQOL), which surveys not only parameters of VMS, but also physical, psychosocial and sexual symptoms (p&lt;0.01 on all domains). With DARE-HRT1 use, vaginal pH significantly decreased compared to baseline (p&lt;0.01) and cytologic tests of the vaginal epithelium (vaginal maturation index) showed significant normalization (all p values &lt;0.01 for increases in superficial cells, increases in intermediate cells and decreases in</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parabasal cells from baseline) among all participants. The most common genitourinary symptom, vaginal dryness, which was reported by 70% of participants at baseline, showed significant improvement in both DARE-HRT1 groups (p&lt;0.01) and this subset also experienced significant decreases in vaginal pain with DARE-HRT1 use (p&lt;0.01).</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study treatment was well tolerated with the types of most common adverse events consistent with other vaginal products. There were only two early discontinuations due to an adverse event, and no serious adverse events were reported. DARE-HRT1 had a high level of acceptability in the study, with 100% of subjects reporting that the IVR was comfortable to wear, and there were no reports of the IVR being expelled from the vagina during use. Additionally, over 95% of subjects stated they would be either somewhat or very likely to use the IVR for a women’s health condition or unrelated disease if needed. We anticipate that the topline PK data from the Phase 1/2 study will be available and reported later in the fourth quarter of 2022.</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u w:val="single" w:color="auto"/>
          <w:color w:val="auto"/>
        </w:rPr>
        <w:t>DARE-VVA1</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September 2021, we announced initiation of our Phase 1/2 clinical study of DARE-VVA1. The randomized, multi-center, double-blind, parallel-arm, placebo-controlled, dose-ranging study will evaluate the safety, tolerability, PK, and pharmacodynamics (PD) of DARE-VVA1 in postmenopausal participants with moderate to severe VVA in 15 to 20 postmenopausal women, including a cohort of women with a history of hormone-receptor positive breast cancer, at three study sites. The study is being conducted by our wholly owned subsidiary in Australia. Eligible participants will be randomly allocated to one of five treatment groups (approximately five participants per group) that will evaluate four dose levels (1 mg, 5 mg, 10 mg, and 20 mg) and a placebo. Following a screening visit, DARE-VVA1 will be self-administered intravaginally once a day for the first two weeks, and then twice a week for the following six weeks for a total treatment period of 56 days. In each treatment group, participants will have serial blood sampling for PK analysis and undergo safety evaluations and preliminary assessments of effectiveness. Following the completion of the treatment period, participants will attend a safety follow-up visit. The primary endpoints of the study will evaluate the safety and tolerability of DARE-VVA1 by vaginal administration and determine the plasma PK of DARE-VVA1 after intravaginal application. Secondary endpoints will evaluate the preliminary efficacy and PD of DARE-VVA1 in terms of the most bothersome symptom and changes in vaginal cytology and pH. We anticipate reporting topline data from the Phase 1/2 clinical study later in the fourth quarter of 2022.</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DARE-FRT1 and DARE-PTB1</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are conducting development activities in preparation for Phase 1 clinical studies of DARE-FRT1 and DARE-PTB1. We do not expect to commence clinical development activities of these product candidates in 2022.</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ADARE-204 and ADARE-214</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conducting development activities in preparation for Phase 1 clinical studies of ADARE-204 and ADARE-214. We do not expect to commence clinical development activities of these product candidates in 2022. We anticipate a Phase 1 clinical study of ADARE-204 and ADARE-214 by our wholly owned subsidiary in Australia in 2023.</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Ovaprene IDE Application Approval for Phase 3 Clinical Study</w:t>
      </w:r>
    </w:p>
    <w:p>
      <w:pPr>
        <w:spacing w:after="0" w:line="22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As discussed above, in October 2022, the FDA approved our IDE application for a single arm, open-label pivotal contraceptive efficacy study of Ovaprene.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Positive Topline Data from DARE-HRT1 Phase 1/2 Clinical Study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discussed above, in October 2022, we announced topline data from our Phase 1/2 clinical study of DARE-HRT1.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Receipt of Australia Research and Development Cash Credit</w:t>
      </w:r>
    </w:p>
    <w:p>
      <w:pPr>
        <w:spacing w:after="0" w:line="22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October 2022, we received a research and development rebate from the government of Australia in the amount of approximately $786,000 for clinical work performed in Australia in 2021. The rebate is accounted for as an offset to research and development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Hennepin Life Sciences to Expand Product Candidate Pipeline</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August 2022, we entered into a license agreement with Hennepin Life Sciences LLC, or Hennepin, under which we acquired the exclusive global rights to develop and commercialize treatments delivering the novel antimicrobial glycerol monolaurate (GML) intravaginally for a variety of health conditions including bacterial, fungal, and viral infections. Under the agreement, we received an exclusive, worldwide, royalty-bearing license to research, develop and commercialize the licensed technology. We agreed to make potential future milestone payments through the term of the license based on clinical, regulatory, and commercial events, and to pay royalties based on commercial sales. We are entitled to sublicense the rights granted to us under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Receipt of Payment Under XACIATO License Agreement</w:t>
      </w:r>
    </w:p>
    <w:p>
      <w:pPr>
        <w:spacing w:after="0" w:line="24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As discussed above, in July 2022, we received the $10.0 million upfront payment from Organon under our XACIATO license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Receipt of Payment Under 2021 DARE-LARC1 Grant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2022, we received approximately $8.0 million from the Foundation under the 2021 DARE-LARC1 Grant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Authorized Shares of Common Stock</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July 2022, following the approval of our stockholders at our annual meeting of stockholders, we amended our restated certificate of incorporation to increase our authorized shares of common stock to 240,000,000.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 date we have generated $ 10.0 million in revenue, all of which represents the upfront payment under our license agreement with Organon to commercialize XACIATO, which is recognized as license fee revenue. In the future, we may generate revenue from royalties and commercial milestones based on the net sales of XACIATO, from product sales of other approved products, if any, and from license fees, milestone payments, research and development payments in connection with strategic collaborations. Our ability to generate such revenue, with respect to XACIATO, will depend on the extent to which its commercialization is successful, and with respect to our product candidates, will depend on their successful clinical development, the receipt of regulatory approvals to market such product candidates and the eventual successful commercialization of products. If the commercialization of XACIATO is not successful or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94" w:lineRule="exact"/>
        <w:rPr>
          <w:sz w:val="20"/>
          <w:szCs w:val="20"/>
          <w:color w:val="auto"/>
        </w:rPr>
      </w:pPr>
    </w:p>
    <w:p>
      <w:pPr>
        <w:ind w:left="980" w:hanging="405"/>
        <w:spacing w:after="0" w:line="261"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incurred under agreements with clinical trial sites and consultants that conduct research and development and regulatory affairs activities on our behalf;</w:t>
      </w:r>
    </w:p>
    <w:p>
      <w:pPr>
        <w:spacing w:after="0" w:line="35" w:lineRule="exact"/>
        <w:rPr>
          <w:rFonts w:ascii="Arial" w:cs="Arial" w:eastAsia="Arial" w:hAnsi="Arial"/>
          <w:sz w:val="18"/>
          <w:szCs w:val="18"/>
          <w:color w:val="auto"/>
        </w:rPr>
      </w:pPr>
    </w:p>
    <w:p>
      <w:pPr>
        <w:ind w:left="980" w:hanging="40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nonclinical studies and clinical trials;</w:t>
      </w:r>
    </w:p>
    <w:p>
      <w:pPr>
        <w:spacing w:after="0" w:line="63" w:lineRule="exact"/>
        <w:rPr>
          <w:rFonts w:ascii="Arial" w:cs="Arial" w:eastAsia="Arial" w:hAnsi="Arial"/>
          <w:sz w:val="18"/>
          <w:szCs w:val="18"/>
          <w:color w:val="auto"/>
        </w:rPr>
      </w:pPr>
    </w:p>
    <w:p>
      <w:pPr>
        <w:ind w:left="980" w:hanging="40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980" w:hanging="40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 costs related to acquisitions of companies, technologies and related intellectual property, and other assets;</w:t>
      </w:r>
    </w:p>
    <w:p>
      <w:pPr>
        <w:spacing w:after="0" w:line="63" w:lineRule="exact"/>
        <w:rPr>
          <w:rFonts w:ascii="Arial" w:cs="Arial" w:eastAsia="Arial" w:hAnsi="Arial"/>
          <w:sz w:val="18"/>
          <w:szCs w:val="18"/>
          <w:color w:val="auto"/>
        </w:rPr>
      </w:pPr>
    </w:p>
    <w:p>
      <w:pPr>
        <w:ind w:left="980" w:hanging="405"/>
        <w:spacing w:after="0" w:line="261"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milestone payments due to third parties under acquisition and in-licensing arrangements we incur, or the incurrence of which we deem probable; and</w:t>
      </w:r>
    </w:p>
    <w:p>
      <w:pPr>
        <w:spacing w:after="0" w:line="35" w:lineRule="exact"/>
        <w:rPr>
          <w:rFonts w:ascii="Arial" w:cs="Arial" w:eastAsia="Arial" w:hAnsi="Arial"/>
          <w:sz w:val="18"/>
          <w:szCs w:val="18"/>
          <w:color w:val="auto"/>
        </w:rPr>
      </w:pPr>
    </w:p>
    <w:p>
      <w:pPr>
        <w:ind w:left="980" w:hanging="405"/>
        <w:spacing w:after="0" w:line="261"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costs associated with activities performed by our research and development organization and generally benefit multiple programs.</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2021, our research and development expenses consisted primarily of costs associated with the continued development of XACIATO, Ovaprene and Sildenafil Cream, 3.6%, and during the first three quarters of 2022, our research and development expenses consisted primarily of costs associated with the continued development of Ovaprene and Sildenafil Cream 3.6%. We expect research and development expenses to increase in the future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Expense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 fee expense consists of up-front license fees and annual license fees due under our in-licensing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condensed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condensed consolidated interim financial statements, refer to Item 7 in Management’s Discussion and Analysis of Financial Condition and Results of Operations and Note 2 to our financial statements contained in our 2021 10-K, and Note 2 to our unaudited condensed consolidated financial statements contained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2022 and 2021 (Unaudited)</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terms of dollars and percentage:</w:t>
      </w:r>
    </w:p>
    <w:p>
      <w:pPr>
        <w:spacing w:after="0" w:line="293" w:lineRule="exact"/>
        <w:rPr>
          <w:sz w:val="20"/>
          <w:szCs w:val="20"/>
          <w:color w:val="auto"/>
        </w:rPr>
      </w:pPr>
    </w:p>
    <w:tbl>
      <w:tblPr>
        <w:tblLayout w:type="fixed"/>
        <w:tblInd w:w="124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160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7"/>
                <w:szCs w:val="17"/>
                <w:color w:val="auto"/>
              </w:rPr>
            </w:pPr>
          </w:p>
        </w:tc>
      </w:tr>
      <w:tr>
        <w:trPr>
          <w:trHeight w:val="196"/>
        </w:trPr>
        <w:tc>
          <w:tcPr>
            <w:tcW w:w="35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23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70"/>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License fee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0"/>
        </w:trPr>
        <w:tc>
          <w:tcPr>
            <w:tcW w:w="3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2,651,543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2,211,334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440,209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70"/>
        </w:trPr>
        <w:tc>
          <w:tcPr>
            <w:tcW w:w="35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4,462,250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10,432,603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(5,970,353)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License fee expense</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5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7,138,793</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12,668,937</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(5,530,144)</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(7,138,793)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(12,668,937)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5,530,144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118,950</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117,442</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7788 %</w:t>
            </w:r>
          </w:p>
        </w:tc>
      </w:tr>
      <w:tr>
        <w:trPr>
          <w:trHeight w:val="25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(7,019,843)</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(12,667,429)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5,647,586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35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0"/>
        </w:trPr>
        <w:tc>
          <w:tcPr>
            <w:tcW w:w="3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(230,748)</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(7,250,591)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(12,730,710)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5,480,119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increase of approximately $0.4 million in general and administrative expenses for the three months ended September 30, 2022 as compared to the three months ended September 30, 2021 was primarily attributable to an increase in professional services expense of approximately $339,000. Also contributing to the increases were increases in (i) general corporate overhead of approximately $129,000, (ii) stock-based compensation expense of approximately $94,000, and (iii) personnel costs of approximately $36,000. These increases were partially offset by decreases in (a) commercial-readiness expenses of approximately $140,000, and (b) rent and facilities expenses of $38,000.</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6" w:name="page37"/>
    <w:bookmarkEnd w:id="36"/>
    <w:p>
      <w:pPr>
        <w:jc w:val="both"/>
        <w:ind w:firstLine="648"/>
        <w:spacing w:after="0" w:line="252" w:lineRule="auto"/>
        <w:rPr>
          <w:sz w:val="20"/>
          <w:szCs w:val="20"/>
          <w:color w:val="auto"/>
        </w:rPr>
      </w:pPr>
      <w:r>
        <w:rPr>
          <w:rFonts w:ascii="Arial" w:cs="Arial" w:eastAsia="Arial" w:hAnsi="Arial"/>
          <w:sz w:val="18"/>
          <w:szCs w:val="18"/>
          <w:color w:val="auto"/>
        </w:rPr>
        <w:t>We expect an increase in general and administrative expenses of approximately 25% in 2022 compared to 2021 primarily due to increased personnel expenses and other general corporate overhead. Our general and administrative expenses in 2021 were approximately $8.4 million. Our 2022 general and administrative expenses will include costs related to commercial-readiness activities and obtaining commercial supplies of XACIATO from our contract manufacturer. Following commercial launch of XACIATO, we expect our general and administrative expenses will include payments by us under our in-license agreement for XACIATO, including a $500,000 milestone payment upon first commercial sale of XACIATO in the U.S., which is expected to occur in the first half of 2023, and royalty payments at rates in the high single-digit to low double-digits based on annual net sales of XACIATO.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decrease of approximately $ 6.0 million in research and development expenses for the three months ended September 30, 2022 as compared to the three months ended September 30, 2021 was attributable to decreases in (i) costs for two of our clinical-stage product candidates, Sildenafil Cream 3.6% and Ovaprene, of approximately $4.8 million related to the ongoing Sildenafil Cream, 3.6% Phase 2b RESPOND clinical trial and manufacturing and regulatory affairs activities for Ovaprene, (ii) costs related to development activities for XACIATO of approximately $823,000 as a result of the completion of the Phase 3 clinical trial for XACIATO in December 2020, (iii) costs related to development activities for our preclinical programs of approximately $388,000, (iv) costs related to development activities for our Phase 1 and Phase 1-ready programs of approximately $277,000, and (v) rent and facilities expenses of approximately $54,000. These decreases were partially offset by increases in (a) personnel costs of approximately $358,000, and (b) stock-based compensation expense of approximately $23,000.</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expect our research and development expenses to remain approximately flat in 2022 compared to 2021. Our research and development expenses in 2021 were approximately $30.6 million. We expect the pace and extent of our research and development activities and, therefore, our research and development spend, to vary across fiscal quarters, making them difficult to predict. We expect our research and development spend for 2022 to be less than previously anticipated due to changes in the pace and extent of research and development activities related to our clinical-stage and Phase 1-ready product candidates. Factors that impact the pace and extent of our research and development activities and spend include, without limitation, our cash resources, reprioritization of development programs and activities, the scope, timing of commencement, and rate of progress of our clinical trials and preclinical studies, the cost and timing of manufacture and receipt of clinical supplies, timing of regulatory approval of a clinical study or alignment on study design, the results of our clinical trials and preclinical studies, and the extent to which we establish strategic collaborations or other arrangements and the terms of such arrangements. In regard to Sildenafil Cream, 3.6%, we anticipate that the total cost of the Phase 2b RESPOND clinical trial will be approximately $20.0 million, approximately $9.5 million of which was recorded in prior fiscal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expense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each of the three months ended September 30, 2022 and September 30, 2021, we accrued $25,000 of the $100,000 annual license maintenance fee payable under our license agreement related to DARE-HRT1.</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further discussion of these license fees, see Note 3 to our unaudited condensed consolidated financial statements contained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increase of $117,442 in other income for the three months ended September 30, 2022 as compared to the three months ended September 30, 2021 was primarily due to an increase in interest earned on cash balances in the current period.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2022 and 2021 (Unaudited)</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terms of dollars and percentage: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7"/>
                <w:szCs w:val="17"/>
                <w:color w:val="auto"/>
              </w:rPr>
            </w:pPr>
          </w:p>
        </w:tc>
        <w:tc>
          <w:tcPr>
            <w:tcW w:w="1760" w:type="dxa"/>
            <w:vAlign w:val="bottom"/>
            <w:gridSpan w:val="3"/>
          </w:tcPr>
          <w:p>
            <w:pPr>
              <w:ind w:left="10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7"/>
                <w:szCs w:val="17"/>
                <w:color w:val="auto"/>
              </w:rPr>
            </w:pPr>
          </w:p>
        </w:tc>
      </w:tr>
      <w:tr>
        <w:trPr>
          <w:trHeight w:val="196"/>
        </w:trPr>
        <w:tc>
          <w:tcPr>
            <w:tcW w:w="46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w:t>
            </w: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License fee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4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8,014,424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2,065,125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17,065,497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23,501,098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(6,435,601)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License fee expense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6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25,154,921</w:t>
            </w:r>
          </w:p>
        </w:tc>
        <w:tc>
          <w:tcPr>
            <w:tcW w:w="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29,525,397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(4,370,476)</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(15,154,921)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(29,525,397)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14,370,476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150,406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148,720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8821 %</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note payable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(15,004,515)</w:t>
            </w:r>
          </w:p>
        </w:tc>
        <w:tc>
          <w:tcPr>
            <w:tcW w:w="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(29,153,824)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14,149,309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(375,767)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(296,765)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376 %</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(15,380,282)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(29,232,826)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13,852,544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License fee revenue relates to our license agreement with Organon to commercialize XACIATO. We earned $10.0 million in revenue during the nine months ended September 30, 2022, related to the transfer of the license and related know-how to Organon upon effectiveness of the agreement on June 30, 2022. We do not expect to receive additional revenue under this agreement in 2022. If the first commercial sale of XACIATO in the U.S. occurs in the first half of 2023 as expected, we should receive an additional $2.5 million under this agreement as a milestone payment following such first sale.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 for the nine months ended September 30,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 of approximately $ 2.1 million in general and administrative expenses for the nine months ended September 30, 2022 as compared to the nine months ended September 30, 2021 was primarily attributable to increases in (i) professional services expense of approximately $1.2 million, (ii) general corporate overhead expenses of $316,000, (iii) stock-based compensation expense of approximately $291,000, (iv) personnel costs of approximately $189,000, and (v) commercial-readiness expenses of approximately $73,000.</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decrease of approximately $6.4 million in research and development expenses for the nine months ended September 30, 2022 as compared to the nine months ended September 30, 2021 was attributable to decreases in (i) costs related to manufacturing and regulatory affairs activities for Ovaprene of approximately $ 3.1 million, (ii) costs related to development activities for XACIATO of approximately $2.5 million as a result of the completion of the Phase 3 clinical trial for XACIATO in December 2020, (iii) costs related to development activities for our Phase 1 and Phase 1-ready programs of approximately $1.1 million, and (iv) costs related to development activities for our preclinical programs of approximately $712,000. Such decreases were partially offset by increases in (a) personnel costs of approximately $689,000, (b) stock-based compensation expense of approximately $125,000, and (c) rent and facilities expenses of $107,000 attributable to the allocation of a portion of rent and facilities expense included in general and administrative in 2021 to research and development in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expense</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For each of the nine months ended September 30, 2022 and September 30, 2021, we accrued $75,000 of the $100,000 annual license maintenance fee payable under our license agreement related to DARE-HRT1.</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further discussion of these license fees, see Note 3 to our unaudited condensed consolidated financial statements contained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increase of $148,720 in other income for the nine months ended September 30, 2022 as compared to the nine months ended September 30, 2021 was primarily due to an increase in interest earned on cash balances in the current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note payable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$ 369,887 recorded as a gain on extinguishment of note payable and debt forgiveness income in 2021 represents the forgiveness of all the principal and accrued interest of the loan we obtained under the Paycheck Protection Program of the Coronavirus Aid, Relief, and Economic Security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prepared the accompanying condensed consolidated financial statements on a going concern basis, which assumes that we will realize our assets and satisfy our liabilities in the normal course of business. We have a history of losses from operations, we expect negative cash flows from our operations to continue for the foreseeable future, and we expect that our net losses will continue for at least the next several years as we develop and seek to bring to market our existing product candidates and as we seek to potentially acquire, license and develop additional product candidates. These circumstances raise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September 30, 2022, our accumulated deficit was approximately $125.1 million, our cash and cash equivalents were approximately $40.4 million, our deferred grant funding liability under our grant agreement related to DARE-LARC1 was $14.8 million (representing grant funds received that may be applied solely for the development of DARE-LARC1 and which are included in cash and cash equivalents), and our working capital was approximately $26.7 million. We incurred a loss from operations of approximately $15.0 million and had negative cash flow from operations of approximately $12.2 million during the nine months ended September 30, 2022.</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our primary uses of capital to be staff-related expenses, the cost of clinical trials and regulatory activities related to our product candidates, costs associated with contract manufacturing services and third-party clinical research and development services, payments to third-parties upon the occurrence of commercial milestones for XACIATO and development milestones for our product candidates pursuant to terms of the agreements under which we acquired or in-licensed rights to those programs,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9" w:name="page40"/>
    <w:bookmarkEnd w:id="39"/>
    <w:p>
      <w:pPr>
        <w:jc w:val="both"/>
        <w:ind w:firstLine="648"/>
        <w:spacing w:after="0" w:line="252" w:lineRule="auto"/>
        <w:rPr>
          <w:sz w:val="20"/>
          <w:szCs w:val="20"/>
          <w:color w:val="auto"/>
        </w:rPr>
      </w:pPr>
      <w:r>
        <w:rPr>
          <w:rFonts w:ascii="Arial" w:cs="Arial" w:eastAsia="Arial" w:hAnsi="Arial"/>
          <w:sz w:val="18"/>
          <w:szCs w:val="18"/>
          <w:color w:val="auto"/>
        </w:rPr>
        <w:t>We expect to incur significant losses from operations and negative cash flows from operations in 2022 and 2023, driven by our research and development expenses. We anticipate our expenses, and in particular our research and development expenses, to be significant in 2023 as they were in 2022 as we continue to develop our product candidates, with a focus on our candidates that have reached the human clinical study development phase. Under the terms of our license agreement with Organon, Organon will purchase all of its product requirements of XACIATO from us at a price equal to our manufacturing costs plus a single digit percentage markup. As a result, we do not anticipate our costs of providing XACIATO commercial supplies will have a material impact on our cash resources and requirements.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Based on our current operating plan estimates, we do not have sufficient cash to satisfy our working capital needs and other liquidity requirements over at least the next 12 months from the date of issuance of the accompanying condensed consolidated financial statements. Historically, the cash used to fund our operations has come from a variety of sources and predominantly from sales of shares of our common stock. During the nine months ended September 30, 2022, we received $10.0 million in license fee revenue under our license agreement for XACIATO, approximately $8.0 million under our grant agreement for pre-clinical development of DARE-LARC1, and we generated approximately $1.2 million in net proceeds from sales of our common stock. Subsequent to September 30, 2022, we received a research and development rebate from the government of Australia in the amount of approximately $786,000 for clinical work performed in Australia in 2021.</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business strategy. We will continue to seek to raise capital through the sale of shares of our common stock under our ATM sales agreements, however, when we effect such sales and the amount of shares we can sell depends on a variety of factors including, among others, market conditions, the trading price of our common stock, and our determination as to the appropriate sources of funding for our operations. For the foreseeable future, we will evaluate and may pursue a variety of capital raising options on an on-going basis, including equity and debt financings, government or other grant funding, collaborations, structured financings, and strategic alliances, or other similar types of arrangements, to cover our operating expenses, and the cost of any license or other acquisition of new product candidates or technologies. The amount and timing of our capital needs have been and will continue to depend highly on many factors, including the product development programs we choose to pursue, the pace and results of our clinical development efforts, and the nature and extent of expansion of our product candidate portfolio, if any. If we raise capital through collaborations, structured financings, strategic alliances or other similar types of arrangements, we may be required to relinquish some or all of our rights to potential revenue or to intellectual property rights for our product candidates on terms that are not favorable to us.</w:t>
      </w:r>
    </w:p>
    <w:p>
      <w:pPr>
        <w:spacing w:after="0" w:line="1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There can be no assurance that capital will be available when needed or that, if available, it will be obtained on terms favorable to us and our stockholders. In addition, equity or debt financings may have a dilutive effect on the holdings of our existing stockholders, and debt financings may subject us to restrictive covenants, operational restrictions and security interests in our assets.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the risk factor in Part I, Item 1A of our 2021 10-K titled </w:t>
      </w:r>
      <w:r>
        <w:rPr>
          <w:rFonts w:ascii="Arial" w:cs="Arial" w:eastAsia="Arial" w:hAnsi="Arial"/>
          <w:sz w:val="18"/>
          <w:szCs w:val="18"/>
          <w:i w:val="1"/>
          <w:iCs w:val="1"/>
          <w:color w:val="auto"/>
        </w:rPr>
        <w:t>We will</w:t>
      </w:r>
      <w:r>
        <w:rPr>
          <w:rFonts w:ascii="Arial" w:cs="Arial" w:eastAsia="Arial" w:hAnsi="Arial"/>
          <w:sz w:val="18"/>
          <w:szCs w:val="18"/>
          <w:color w:val="auto"/>
        </w:rPr>
        <w:t xml:space="preserve"> </w:t>
      </w:r>
      <w:r>
        <w:rPr>
          <w:rFonts w:ascii="Arial" w:cs="Arial" w:eastAsia="Arial" w:hAnsi="Arial"/>
          <w:sz w:val="18"/>
          <w:szCs w:val="18"/>
          <w:i w:val="1"/>
          <w:iCs w:val="1"/>
          <w:color w:val="auto"/>
        </w:rPr>
        <w:t>need to raise additional capital to continue our operations and execute our business strategy</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23495</wp:posOffset>
            </wp:positionV>
            <wp:extent cx="5949315"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49315" cy="162560"/>
                    </a:xfrm>
                    <a:prstGeom prst="rect">
                      <a:avLst/>
                    </a:prstGeom>
                    <a:noFill/>
                  </pic:spPr>
                </pic:pic>
              </a:graphicData>
            </a:graphic>
          </wp:anchor>
        </w:drawing>
      </w:r>
    </w:p>
    <w:p>
      <w:pPr>
        <w:spacing w:after="0" w:line="3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23495</wp:posOffset>
            </wp:positionV>
            <wp:extent cx="594931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49315" cy="163195"/>
                    </a:xfrm>
                    <a:prstGeom prst="rect">
                      <a:avLst/>
                    </a:prstGeom>
                    <a:noFill/>
                  </pic:spPr>
                </pic:pic>
              </a:graphicData>
            </a:graphic>
          </wp:anchor>
        </w:drawing>
      </w:r>
    </w:p>
    <w:p>
      <w:pPr>
        <w:spacing w:after="0" w:line="3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5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Net increase (decrease) in cash and cash equivalents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817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ind w:left="520"/>
        <w:spacing w:after="0"/>
        <w:tabs>
          <w:tab w:leader="none" w:pos="20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8173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61"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(12,191,757)  $  (18,848,138)</w:t>
      </w:r>
    </w:p>
    <w:p>
      <w:pPr>
        <w:spacing w:after="0" w:line="4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(60,372)(14,524)</w:t>
      </w:r>
    </w:p>
    <w:p>
      <w:pPr>
        <w:spacing w:after="0" w:line="50" w:lineRule="exact"/>
        <w:rPr>
          <w:sz w:val="20"/>
          <w:szCs w:val="20"/>
          <w:color w:val="auto"/>
        </w:rPr>
      </w:pPr>
    </w:p>
    <w:p>
      <w:pPr>
        <w:ind w:left="460"/>
        <w:spacing w:after="0"/>
        <w:tabs>
          <w:tab w:leader="none" w:pos="1840" w:val="left"/>
        </w:tabs>
        <w:rPr>
          <w:sz w:val="20"/>
          <w:szCs w:val="20"/>
          <w:color w:val="auto"/>
        </w:rPr>
      </w:pPr>
      <w:r>
        <w:rPr>
          <w:rFonts w:ascii="Arial" w:cs="Arial" w:eastAsia="Arial" w:hAnsi="Arial"/>
          <w:sz w:val="18"/>
          <w:szCs w:val="18"/>
          <w:color w:val="auto"/>
        </w:rPr>
        <w:t>1,343,355</w:t>
      </w:r>
      <w:r>
        <w:rPr>
          <w:sz w:val="20"/>
          <w:szCs w:val="20"/>
          <w:color w:val="auto"/>
        </w:rPr>
        <w:tab/>
      </w:r>
      <w:r>
        <w:rPr>
          <w:rFonts w:ascii="Arial" w:cs="Arial" w:eastAsia="Arial" w:hAnsi="Arial"/>
          <w:sz w:val="18"/>
          <w:szCs w:val="18"/>
          <w:color w:val="auto"/>
        </w:rPr>
        <w:t>59,842,978</w:t>
      </w:r>
    </w:p>
    <w:p>
      <w:pPr>
        <w:spacing w:after="0" w:line="50" w:lineRule="exact"/>
        <w:rPr>
          <w:sz w:val="20"/>
          <w:szCs w:val="20"/>
          <w:color w:val="auto"/>
        </w:rPr>
      </w:pPr>
    </w:p>
    <w:p>
      <w:pPr>
        <w:jc w:val="both"/>
        <w:ind w:left="540"/>
        <w:spacing w:after="0"/>
        <w:tabs>
          <w:tab w:leader="none" w:pos="2120" w:val="left"/>
        </w:tabs>
        <w:rPr>
          <w:sz w:val="20"/>
          <w:szCs w:val="20"/>
          <w:color w:val="auto"/>
        </w:rPr>
      </w:pPr>
      <w:r>
        <w:rPr>
          <w:rFonts w:ascii="Arial" w:cs="Arial" w:eastAsia="Arial" w:hAnsi="Arial"/>
          <w:sz w:val="18"/>
          <w:szCs w:val="18"/>
          <w:color w:val="auto"/>
        </w:rPr>
        <w:t>(375,767)</w:t>
      </w:r>
      <w:r>
        <w:rPr>
          <w:sz w:val="20"/>
          <w:szCs w:val="20"/>
          <w:color w:val="auto"/>
        </w:rPr>
        <w:tab/>
      </w:r>
      <w:r>
        <w:rPr>
          <w:rFonts w:ascii="Arial" w:cs="Arial" w:eastAsia="Arial" w:hAnsi="Arial"/>
          <w:sz w:val="18"/>
          <w:szCs w:val="18"/>
          <w:color w:val="auto"/>
        </w:rPr>
        <w:t>(79,002)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8173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jc w:val="center"/>
        <w:ind w:right="700"/>
        <w:spacing w:after="0"/>
        <w:tabs>
          <w:tab w:leader="none" w:pos="180" w:val="left"/>
          <w:tab w:leader="none" w:pos="160" w:val="left"/>
          <w:tab w:leader="none" w:pos="240" w:val="left"/>
        </w:tabs>
        <w:rPr>
          <w:sz w:val="20"/>
          <w:szCs w:val="20"/>
          <w:color w:val="auto"/>
        </w:rPr>
      </w:pPr>
      <w:r>
        <w:rPr>
          <w:rFonts w:ascii="Arial" w:cs="Arial" w:eastAsia="Arial" w:hAnsi="Arial"/>
          <w:sz w:val="18"/>
          <w:szCs w:val="18"/>
          <w:color w:val="auto"/>
        </w:rPr>
        <w:t>$</w:t>
        <w:tab/>
        <w:t>(11,284,541)</w:t>
        <w:tab/>
        <w:t>$</w:t>
      </w:r>
      <w:r>
        <w:rPr>
          <w:sz w:val="20"/>
          <w:szCs w:val="20"/>
          <w:color w:val="auto"/>
        </w:rPr>
        <w:tab/>
      </w:r>
      <w:r>
        <w:rPr>
          <w:rFonts w:ascii="Arial" w:cs="Arial" w:eastAsia="Arial" w:hAnsi="Arial"/>
          <w:sz w:val="17"/>
          <w:szCs w:val="17"/>
          <w:color w:val="auto"/>
        </w:rPr>
        <w:t>40,901,314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81737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17370" cy="34290"/>
                    </a:xfrm>
                    <a:prstGeom prst="rect">
                      <a:avLst/>
                    </a:prstGeom>
                    <a:noFill/>
                  </pic:spPr>
                </pic:pic>
              </a:graphicData>
            </a:graphic>
          </wp:anchor>
        </w:drawing>
      </w:r>
    </w:p>
    <w:p>
      <w:pPr>
        <w:spacing w:after="0" w:line="664" w:lineRule="exact"/>
        <w:rPr>
          <w:sz w:val="20"/>
          <w:szCs w:val="20"/>
          <w:color w:val="auto"/>
        </w:rPr>
      </w:pPr>
    </w:p>
    <w:p>
      <w:pPr>
        <w:sectPr>
          <w:pgSz w:w="11900" w:h="16838" w:orient="portrait"/>
          <w:cols w:equalWidth="0" w:num="2">
            <w:col w:w="7080" w:space="700"/>
            <w:col w:w="3460"/>
          </w:cols>
          <w:pgMar w:left="320" w:top="1143" w:right="339" w:bottom="1440" w:gutter="0" w:footer="0" w:header="0"/>
        </w:sectPr>
      </w:pPr>
    </w:p>
    <w:p>
      <w:pPr>
        <w:spacing w:after="0" w:line="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used in operating activities for the nine months ended September 30, 2022 included the net loss of $15.0 million, decreased by non-cash stock-based compensation expense of approximately $ 1.6 million. Components providing operating cash were an increase in deferred grant funding of approximately $4.3 million, an increase in accounts payable of approximately $1.4 million, and an increase in accrued expenses of approximately $1.0 million. Components reducing operating cash were an increase in prepaid expenses of approximately $4.4 million and an increase in other receivables of approximately $1.1 million.</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Cash used in operating activities for the nine months ended September 30, 2021 included the net loss of $29.2 million, decreased by non-cash stock-based compensation expense of approximately $1.2 million and increased by the non-cash gain on the extinguishment of the note payable and accrued interest of approximately $370,000. Components providing operating cash were an increase in deferred grant funding of approximately $ 9.6 million, an increase in accrued expenses of approximately $0.6 million, and a decrease in other receivables of approximately $0.3 million related to the receipt of the 2020 Australian cash research and development tax credit in April 2021. Components reducing operating cash were an increase in prepaid expenses of approximately $662,000 and a decrease in accounts payable of approximately $416,000.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Net cash used in investing activities for the nine months ended September 30, 2022 and September 30, 2021 was approximately $60,000 and $14,500,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provided by financing activities for the nine months ended September 30, 2022 and September 30, 2021 consisted of approximately $1.3 million and $59.8 million in the aggregate, respectively, primarily from sales of our common stock under our ATM sales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agreed to make royalty and milestone payments under the license and development agreements related to XACIATO, Ovaprene, and Sildenafil Cream, 3.6%, and under other agreements related to our other clinical and preclinical candidates. For further discussion of these potential payments, see Note 3 to our unaudited condensed consolidated financial statements contained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ectPr>
          <w:pgSz w:w="11900" w:h="16838" w:orient="portrait"/>
          <w:cols w:equalWidth="0" w:num="1">
            <w:col w:w="11240"/>
          </w:cols>
          <w:pgMar w:left="320" w:top="1143" w:right="3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an evaluation performed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September 30, 2022 at the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2021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2021 10-K other than as described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and legislative and regulatory proposals intended to contain health care costs may adversely affect our business.</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containment of health care costs has become a priority of federal and state governments and the prices of drug products have been a focus of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and prescription drugs.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w:t>
      </w:r>
    </w:p>
    <w:p>
      <w:pPr>
        <w:spacing w:after="0" w:line="1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Biden Administration has also indicated that lowering prescription drug prices is a priority, and the Department of Health and Human Services, or DHHS, released a drug pricing plan in September 2021 that indicates the Administration supports aggressive actions such as allowing DHHS to negotiate the cost of Medicare Part B and D drugs. Such significant changes will require either new legislation to be passed by Congress or time-consuming administrative actions. Most recently, on August 16,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drugs or biological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the Centers for Medicare and Medicaid Services, or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It is unclear how these forthcoming changes in the way that CMS does business with certain members of the biopharmaceutical industry may impact coverage or reimbursement decisions across the industry as a whole.</w:t>
      </w:r>
    </w:p>
    <w:p>
      <w:pPr>
        <w:spacing w:after="0" w:line="1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It is uncertain whether and how future legislation or regulatory changes could affect prospects for XACIATO or our product candidates or what actions third-party payors may take in response to any such health care reform proposals or legislation. Adoption of price controls and cost-containment measures, and adoption of more restrictive policies in jurisdictions with existing controls and measures reforms, may prevent or limit our ability, or the ability of a commercial collaborator, to commercialize XACIATO or any future products as well as our ability to generate revenue and attain profitability.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3" w:name="page44"/>
    <w:bookmarkEnd w:id="43"/>
    <w:p>
      <w:pPr>
        <w:jc w:val="both"/>
        <w:ind w:firstLine="648"/>
        <w:spacing w:after="0" w:line="256" w:lineRule="auto"/>
        <w:rPr>
          <w:sz w:val="20"/>
          <w:szCs w:val="20"/>
          <w:color w:val="auto"/>
        </w:rPr>
      </w:pPr>
      <w:r>
        <w:rPr>
          <w:rFonts w:ascii="Arial" w:cs="Arial" w:eastAsia="Arial" w:hAnsi="Arial"/>
          <w:sz w:val="18"/>
          <w:szCs w:val="18"/>
          <w:color w:val="auto"/>
        </w:rPr>
        <w:t>Failure by us or a commercial collaborator to obtain timely and adequate coverage and pricing for XACIATO and any future products, or obtaining such coverage and pricing at unfavorable levels, could materially adversely affect our business, financial condition, results of operations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0"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p>
    <w:p>
      <w:pPr>
        <w:spacing w:after="0" w:line="16" w:lineRule="exact"/>
        <w:rPr>
          <w:rFonts w:ascii="Arial" w:cs="Arial" w:eastAsia="Arial" w:hAnsi="Arial"/>
          <w:sz w:val="18"/>
          <w:szCs w:val="18"/>
          <w:color w:val="auto"/>
        </w:rPr>
      </w:pPr>
    </w:p>
    <w:p>
      <w:pPr>
        <w:ind w:left="1060" w:hanging="40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r>
        <w:rPr>
          <w:rFonts w:ascii="Arial" w:cs="Arial" w:eastAsia="Arial" w:hAnsi="Arial"/>
          <w:sz w:val="21"/>
          <w:szCs w:val="2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6" w:lineRule="exact"/>
        <w:rPr>
          <w:sz w:val="20"/>
          <w:szCs w:val="20"/>
          <w:color w:val="auto"/>
        </w:rPr>
      </w:pPr>
    </w:p>
    <w:p>
      <w:pPr>
        <w:ind w:left="1120" w:hanging="464"/>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120" w:hanging="464"/>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9"/>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Item 6. Exhibits</w:t>
            </w:r>
          </w:p>
        </w:tc>
        <w:tc>
          <w:tcPr>
            <w:tcW w:w="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0" w:type="dxa"/>
            <w:vAlign w:val="bottom"/>
            <w:gridSpan w:val="6"/>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4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00"/>
        </w:trPr>
        <w:tc>
          <w:tcPr>
            <w:tcW w:w="134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40" w:type="dxa"/>
            <w:vAlign w:val="bottom"/>
            <w:gridSpan w:val="3"/>
          </w:tcPr>
          <w:p>
            <w:pPr>
              <w:ind w:left="200"/>
              <w:spacing w:after="0"/>
              <w:rPr>
                <w:sz w:val="20"/>
                <w:szCs w:val="20"/>
                <w:color w:val="auto"/>
              </w:rPr>
            </w:pPr>
            <w:r>
              <w:rPr>
                <w:rFonts w:ascii="Arial" w:cs="Arial" w:eastAsia="Arial" w:hAnsi="Arial"/>
                <w:sz w:val="18"/>
                <w:szCs w:val="18"/>
                <w:b w:val="1"/>
                <w:bCs w:val="1"/>
                <w:color w:val="auto"/>
              </w:rPr>
              <w:t>Number</w:t>
            </w:r>
          </w:p>
        </w:tc>
        <w:tc>
          <w:tcPr>
            <w:tcW w:w="540" w:type="dxa"/>
            <w:vAlign w:val="bottom"/>
          </w:tcPr>
          <w:p>
            <w:pPr>
              <w:spacing w:after="0"/>
              <w:rPr>
                <w:sz w:val="20"/>
                <w:szCs w:val="20"/>
                <w:color w:val="auto"/>
              </w:rPr>
            </w:pPr>
          </w:p>
        </w:tc>
        <w:tc>
          <w:tcPr>
            <w:tcW w:w="3580" w:type="dxa"/>
            <w:vAlign w:val="bottom"/>
            <w:gridSpan w:val="10"/>
          </w:tcPr>
          <w:p>
            <w:pPr>
              <w:ind w:left="460"/>
              <w:spacing w:after="0"/>
              <w:rPr>
                <w:sz w:val="20"/>
                <w:szCs w:val="20"/>
                <w:color w:val="auto"/>
              </w:rPr>
            </w:pPr>
            <w:r>
              <w:rPr>
                <w:rFonts w:ascii="Arial" w:cs="Arial" w:eastAsia="Arial" w:hAnsi="Arial"/>
                <w:sz w:val="18"/>
                <w:szCs w:val="18"/>
                <w:b w:val="1"/>
                <w:bCs w:val="1"/>
                <w:color w:val="auto"/>
              </w:rPr>
              <w:t>Description of Exhibit</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Form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File No.</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Filing Date</w:t>
            </w:r>
          </w:p>
        </w:tc>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 No.   Herewith</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tcBorders>
              <w:bottom w:val="single" w:sz="8" w:color="0000FF"/>
            </w:tcBorders>
            <w:gridSpan w:val="9"/>
          </w:tcPr>
          <w:p>
            <w:pPr>
              <w:spacing w:after="0"/>
              <w:rPr>
                <w:rFonts w:ascii="Arial" w:cs="Arial" w:eastAsia="Arial" w:hAnsi="Arial"/>
                <w:sz w:val="18"/>
                <w:szCs w:val="18"/>
                <w:color w:val="0000FF"/>
                <w:w w:val="99"/>
              </w:rPr>
            </w:pPr>
            <w:hyperlink r:id="rId73">
              <w:r>
                <w:rPr>
                  <w:rFonts w:ascii="Arial" w:cs="Arial" w:eastAsia="Arial" w:hAnsi="Arial"/>
                  <w:sz w:val="18"/>
                  <w:szCs w:val="18"/>
                  <w:color w:val="0000FF"/>
                  <w:w w:val="99"/>
                </w:rPr>
                <w:t>Restated Certificate of Incorporation, as amended</w:t>
              </w:r>
            </w:hyperlink>
          </w:p>
        </w:tc>
        <w:tc>
          <w:tcPr>
            <w:tcW w:w="140" w:type="dxa"/>
            <w:vAlign w:val="bottom"/>
            <w:gridSpan w:val="2"/>
          </w:tcPr>
          <w:p>
            <w:pPr>
              <w:spacing w:after="0"/>
              <w:rPr>
                <w:sz w:val="20"/>
                <w:szCs w:val="20"/>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10-Q</w:t>
            </w:r>
          </w:p>
        </w:tc>
        <w:tc>
          <w:tcPr>
            <w:tcW w:w="1560" w:type="dxa"/>
            <w:vAlign w:val="bottom"/>
            <w:gridSpan w:val="3"/>
          </w:tcPr>
          <w:p>
            <w:pPr>
              <w:jc w:val="right"/>
              <w:ind w:right="150"/>
              <w:spacing w:after="0"/>
              <w:rPr>
                <w:sz w:val="20"/>
                <w:szCs w:val="20"/>
                <w:color w:val="auto"/>
              </w:rPr>
            </w:pPr>
            <w:r>
              <w:rPr>
                <w:rFonts w:ascii="Arial" w:cs="Arial" w:eastAsia="Arial" w:hAnsi="Arial"/>
                <w:sz w:val="18"/>
                <w:szCs w:val="18"/>
                <w:color w:val="auto"/>
              </w:rPr>
              <w:t>001-36395</w:t>
            </w:r>
          </w:p>
        </w:tc>
        <w:tc>
          <w:tcPr>
            <w:tcW w:w="12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8/9/22</w:t>
            </w:r>
          </w:p>
        </w:tc>
        <w:tc>
          <w:tcPr>
            <w:tcW w:w="10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11"/>
          </w:tcPr>
          <w:p>
            <w:pPr>
              <w:spacing w:after="0" w:line="182" w:lineRule="exact"/>
              <w:rPr>
                <w:rFonts w:ascii="Arial" w:cs="Arial" w:eastAsia="Arial" w:hAnsi="Arial"/>
                <w:sz w:val="18"/>
                <w:szCs w:val="18"/>
                <w:color w:val="0000FF"/>
              </w:rPr>
            </w:pPr>
            <w:hyperlink r:id="rId73">
              <w:r>
                <w:rPr>
                  <w:rFonts w:ascii="Arial" w:cs="Arial" w:eastAsia="Arial" w:hAnsi="Arial"/>
                  <w:sz w:val="18"/>
                  <w:szCs w:val="18"/>
                  <w:color w:val="0000FF"/>
                </w:rPr>
                <w:t>to date</w:t>
              </w:r>
            </w:hyperlink>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to Rule 13a-14(a)/15d-14(a) of the Securities</w:t>
            </w:r>
          </w:p>
        </w:tc>
        <w:tc>
          <w:tcPr>
            <w:tcW w:w="16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0000FF"/>
              </w:rPr>
              <w:t>Exchange Act of 1934, as amended</w:t>
            </w:r>
          </w:p>
        </w:tc>
        <w:tc>
          <w:tcPr>
            <w:tcW w:w="56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18"/>
                <w:szCs w:val="18"/>
                <w:color w:val="0000FF"/>
              </w:rPr>
              <w:t>to Rule 13a-14(a)/15d-14(a) of the Securities</w:t>
            </w:r>
          </w:p>
        </w:tc>
        <w:tc>
          <w:tcPr>
            <w:tcW w:w="26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0000FF"/>
              </w:rPr>
              <w:t>Exchange Act of 1934, as amended</w:t>
            </w:r>
          </w:p>
        </w:tc>
        <w:tc>
          <w:tcPr>
            <w:tcW w:w="56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3"/>
          </w:tcPr>
          <w:p>
            <w:pPr>
              <w:jc w:val="center"/>
              <w:ind w:left="10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to 18 U.S.C. §1350, as adopted pursuant to</w:t>
            </w:r>
          </w:p>
        </w:tc>
        <w:tc>
          <w:tcPr>
            <w:tcW w:w="16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9"/>
              </w:rPr>
              <w:t>Section 906 of the Sarbanes-Oxley Act of 2002</w:t>
            </w:r>
          </w:p>
        </w:tc>
        <w:tc>
          <w:tcPr>
            <w:tcW w:w="36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3"/>
          </w:tcPr>
          <w:p>
            <w:pPr>
              <w:jc w:val="center"/>
              <w:ind w:left="10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18"/>
                <w:szCs w:val="18"/>
                <w:color w:val="0000FF"/>
              </w:rPr>
              <w:t>to 18 U.S.C. §1350, as adopted pursuant to</w:t>
            </w:r>
          </w:p>
        </w:tc>
        <w:tc>
          <w:tcPr>
            <w:tcW w:w="26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11"/>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101.INS</w:t>
            </w:r>
          </w:p>
        </w:tc>
        <w:tc>
          <w:tcPr>
            <w:tcW w:w="37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38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101.SCH</w:t>
            </w:r>
          </w:p>
        </w:tc>
        <w:tc>
          <w:tcPr>
            <w:tcW w:w="41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101.CAL</w:t>
            </w:r>
          </w:p>
        </w:tc>
        <w:tc>
          <w:tcPr>
            <w:tcW w:w="41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101.DEF</w:t>
            </w:r>
          </w:p>
        </w:tc>
        <w:tc>
          <w:tcPr>
            <w:tcW w:w="41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101.LAB</w:t>
            </w:r>
          </w:p>
        </w:tc>
        <w:tc>
          <w:tcPr>
            <w:tcW w:w="412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101.PRE</w:t>
            </w:r>
          </w:p>
        </w:tc>
        <w:tc>
          <w:tcPr>
            <w:tcW w:w="41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340" w:right="140" w:hanging="842"/>
        <w:spacing w:after="0" w:line="219"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November 10, 2022</w:t>
            </w:r>
          </w:p>
        </w:tc>
        <w:tc>
          <w:tcPr>
            <w:tcW w:w="1860" w:type="dxa"/>
            <w:vAlign w:val="bottom"/>
          </w:tcPr>
          <w:p>
            <w:pPr>
              <w:ind w:left="160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23"/>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30"/>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November 10, 2022</w:t>
            </w:r>
          </w:p>
        </w:tc>
        <w:tc>
          <w:tcPr>
            <w:tcW w:w="1860" w:type="dxa"/>
            <w:vAlign w:val="bottom"/>
          </w:tcPr>
          <w:p>
            <w:pPr>
              <w:ind w:left="160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Walters-Hoffert</w:t>
            </w:r>
          </w:p>
        </w:tc>
      </w:tr>
      <w:tr>
        <w:trPr>
          <w:trHeight w:val="223"/>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Lisa Walters-Hoffert</w:t>
            </w:r>
          </w:p>
        </w:tc>
      </w:tr>
      <w:tr>
        <w:trPr>
          <w:trHeight w:val="230"/>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04"/>
        </w:trPr>
        <w:tc>
          <w:tcPr>
            <w:tcW w:w="3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700" w:type="dxa"/>
            <w:vAlign w:val="bottom"/>
            <w:gridSpan w:val="2"/>
          </w:tcPr>
          <w:p>
            <w:pPr>
              <w:jc w:val="right"/>
              <w:ind w:right="5410"/>
              <w:spacing w:after="0"/>
              <w:rPr>
                <w:sz w:val="20"/>
                <w:szCs w:val="20"/>
                <w:color w:val="auto"/>
              </w:rPr>
            </w:pPr>
            <w:r>
              <w:rPr>
                <w:rFonts w:ascii="Arial" w:cs="Arial" w:eastAsia="Arial" w:hAnsi="Arial"/>
                <w:sz w:val="18"/>
                <w:szCs w:val="18"/>
                <w:color w:val="auto"/>
                <w:w w:val="89"/>
              </w:rPr>
              <w:t>41</w:t>
            </w:r>
          </w:p>
        </w:tc>
      </w:tr>
    </w:tbl>
    <w:p>
      <w:pPr>
        <w:sectPr>
          <w:pgSz w:w="11900" w:h="16838" w:orient="portrait"/>
          <w:cols w:equalWidth="0" w:num="1">
            <w:col w:w="11220"/>
          </w:cols>
          <w:pgMar w:left="320" w:top="1102"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66" w:lineRule="exact"/>
        <w:rPr>
          <w:sz w:val="20"/>
          <w:szCs w:val="20"/>
          <w:color w:val="auto"/>
        </w:rPr>
      </w:pPr>
    </w:p>
    <w:p>
      <w:pPr>
        <w:ind w:left="900" w:hanging="442"/>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44" w:lineRule="exact"/>
        <w:rPr>
          <w:rFonts w:ascii="Arial" w:cs="Arial" w:eastAsia="Arial" w:hAnsi="Arial"/>
          <w:sz w:val="18"/>
          <w:szCs w:val="18"/>
          <w:color w:val="auto"/>
        </w:rPr>
      </w:pPr>
    </w:p>
    <w:p>
      <w:pPr>
        <w:jc w:val="both"/>
        <w:ind w:left="900" w:right="220" w:hanging="442"/>
        <w:spacing w:after="0" w:line="22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900" w:right="220" w:hanging="442"/>
        <w:spacing w:after="0" w:line="22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1440" w:right="280" w:hanging="550"/>
        <w:spacing w:after="0" w:line="219" w:lineRule="auto"/>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jc w:val="both"/>
        <w:ind w:left="1440" w:right="260" w:hanging="550"/>
        <w:spacing w:after="0" w:line="224" w:lineRule="auto"/>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1440" w:right="260" w:hanging="550"/>
        <w:spacing w:after="0" w:line="224" w:lineRule="auto"/>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440" w:right="280" w:hanging="550"/>
        <w:spacing w:after="0" w:line="227" w:lineRule="auto"/>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6350</wp:posOffset>
            </wp:positionV>
            <wp:extent cx="2785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44" w:lineRule="exact"/>
        <w:rPr>
          <w:sz w:val="20"/>
          <w:szCs w:val="20"/>
          <w:color w:val="auto"/>
        </w:rPr>
      </w:pPr>
    </w:p>
    <w:p>
      <w:pPr>
        <w:ind w:left="900" w:hanging="442"/>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right="220" w:hanging="442"/>
        <w:spacing w:after="0" w:line="22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900" w:right="220" w:hanging="442"/>
        <w:spacing w:after="0" w:line="22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1440" w:right="280" w:hanging="550"/>
        <w:spacing w:after="0" w:line="224" w:lineRule="auto"/>
        <w:tabs>
          <w:tab w:leader="none" w:pos="1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jc w:val="both"/>
        <w:ind w:left="900" w:right="220" w:hanging="442"/>
        <w:spacing w:after="0" w:line="22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440" w:right="280" w:hanging="550"/>
        <w:spacing w:after="0" w:line="235" w:lineRule="auto"/>
        <w:tabs>
          <w:tab w:leader="none" w:pos="1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6350</wp:posOffset>
            </wp:positionV>
            <wp:extent cx="2785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2022,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204"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2022,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202"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decimal"/>
      <w:start w:val="4"/>
    </w:lvl>
  </w:abstractNum>
  <w:abstractNum w:abstractNumId="11">
    <w:nsid w:val="62BBD95A"/>
    <w:multiLevelType w:val="hybridMultilevel"/>
    <w:lvl w:ilvl="0">
      <w:lvlJc w:val="left"/>
      <w:lvlText w:val="%1."/>
      <w:numFmt w:val="decimal"/>
      <w:start w:val="5"/>
    </w:lvl>
  </w:abstractNum>
  <w:abstractNum w:abstractNumId="12">
    <w:nsid w:val="436C6125"/>
    <w:multiLevelType w:val="hybridMultilevel"/>
    <w:lvl w:ilvl="0">
      <w:lvlJc w:val="left"/>
      <w:lvlText w:val="%1."/>
      <w:numFmt w:val="decimal"/>
      <w:start w:val="7"/>
    </w:lvl>
  </w:abstractNum>
  <w:abstractNum w:abstractNumId="13">
    <w:nsid w:val="628C895D"/>
    <w:multiLevelType w:val="hybridMultilevel"/>
    <w:lvl w:ilvl="0">
      <w:lvlJc w:val="left"/>
      <w:lvlText w:val="%1."/>
      <w:numFmt w:val="decimal"/>
      <w:start w:val="8"/>
    </w:lvl>
  </w:abstractNum>
  <w:abstractNum w:abstractNumId="14">
    <w:nsid w:val="333AB105"/>
    <w:multiLevelType w:val="hybridMultilevel"/>
    <w:lvl w:ilvl="0">
      <w:lvlJc w:val="left"/>
      <w:lvlText w:val="%1."/>
      <w:numFmt w:val="decimal"/>
      <w:start w:val="9"/>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3" Type="http://schemas.openxmlformats.org/officeDocument/2006/relationships/hyperlink" Target="https://www.sec.gov/Archives/edgar/data/1401914/000140191422000075/exhibit31_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2022-11-10T15:53:17Z</dcterms:created>
  <dcterms:modified xsi:type="dcterms:W3CDTF">2022-11-10T15:53:17Z</dcterms:modified>
</cp:coreProperties>
</file>