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Filed Pursuant to Rule 253(g)(2)</w: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File No. 024-12688</w: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OFFERING CIRCULAR SUPPLEMENT</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(to offering circular dated January 6, 2026 and prior supplement)</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DARÉ BIOSCIENCE, INC.</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Best Efforts Offering of up to 4,854,000 Investor Units, each Investor Unit Consisting of One Share of Series A Convertible Preferred Stock, which is Convertible into Two Shares of Common Stock, and Two Warrants, each to Purchase One Share of Common Stock</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Up to 9,708,000 Shares of Common Stock Issuable Upon Conversion of the Series A Preferred Stock and up to 9,708,000 Shares of Common Stock Issuable Upon Exercise of the Warrants, in each case, that are part of the Investor Units</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Agent Unit Warrants to Purchase up to 145,620 Agent Units, each Agent Unit Consisting of One Share of Series A Convertible Preferred Stock, which is Convertible into Two Shares of Common Stock, and Two Warrants, each to Purchase One Share of Common Stock</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Up to 145,620 Shares of Series A Convertible Preferred Stock Issuable Upon Exercise of the Agent Unit Warrants and up to 291,240 Shares of Common Stock Issuable Upon Conversion of such Shares of Series A Preferred Stock</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Up to 291,240 Warrants Issuable Upon Exercise of the Agent Unit Warrants and up to 291,240 Shares of Common Stock Issuable Upon Exercise of such Warrants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This offering circular supplement supplements, modifies and supersedes, to the extent indicated herein, the information in, or incorporated by reference into, the offering circular dated January 6, 2026, the offering circular supplement dated March 26, 2026, and the offering circular supplement dated May 14, 2026 (together, the “offering circular”), with the information in our Current Report on Form 8-K filed with the Securities and Exchange Commission on July 17, 2026 (the “July 2026 8-K”), a copy of which accompanies this offering circular supplement. The offering circular, as supplemented from time to time, forms a part of our Offering Statement on Form 1-A (File No. 024-12688).</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This offering circular supplement should be read in conjunction with the offering circular, and is qualified by reference to the offering circular, except to the extent that the information in this offering circular supplement, including the July 2026 8-K, supplements, modifies or supersedes the information in or incorporated by reference into the offering circular. If there is any inconsistency between the information in or incorporated by reference into the offering circular, on the one hand, and this offering circular supplement, on the other, you should rely on the information in or incorporated by reference into this offering circular supplement. Any information that is supplemented, modified or superseded in the offering circular by this offering circular supplement shall not be deemed to constitute a part of the offering circular, respectively, except as supplemented, modified or superseded by this offering circular supplement. This offering circular supplement is not complete without, and may only be delivered or used in connection with, the offering circular.</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common stock is listed on The Nasdaq Capital Market under the symbol “DARE”. On July 16, 2026, the closing price of our common stock as reported on The Nasdaq Capital Market was $1.94 per share. For information regarding the listing of our common stock on The Nasdaq Capital Market, see the July 2026 8-K and the risk factor titled, There is no assurance that we will continue satisfying the listing requirements of the Nasdaq Capital Market, in Item 1A of Part II of our Annual Report on Form 10-K for the year ended December 31, 2025, which is incorporated by reference into the offering circular.</w: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Investing in our securities involves a high degree of risk. You should review carefully the risks and uncertainties described under the heading “Risk Factors” and under similar headings in any information in or incorporated by reference into the offering circular.</w:t>
      </w:r>
    </w:p>
    <w:p>
      <w:pPr>
        <w:pStyle w:val="TextBody"/>
        <w:bidi w:val="0"/>
        <w:spacing w:before="0" w:after="0"/>
        <w:jc w:val="left"/>
        <w:rPr/>
      </w:pPr>
      <w:r>
        <w:rPr/>
      </w:r>
    </w:p>
    <w:p>
      <w:pPr>
        <w:pStyle w:val="TextBody"/>
        <w:bidi w:val="0"/>
        <w:spacing w:lineRule="auto" w:line="288"/>
        <w:jc w:val="both"/>
        <w:rPr>
          <w:rFonts w:ascii="Arial;sans-serif" w:hAnsi="Arial;sans-serif"/>
          <w:b/>
          <w:color w:val="000000"/>
          <w:sz w:val="20"/>
        </w:rPr>
      </w:pPr>
      <w:r>
        <w:rPr>
          <w:rFonts w:ascii="Arial;sans-serif" w:hAnsi="Arial;sans-serif"/>
          <w:b/>
          <w:color w:val="000000"/>
          <w:sz w:val="20"/>
        </w:rPr>
        <w:t xml:space="preserve">Neither the Securities and Exchange Commission nor any state securities commission has approved or disapproved of the securities offered by this offering circular supplement or the offering circular or </w:t>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determined if the offering circular or this offering circular supplement is truthful or complete. Any representation to the contrary is a criminal offense.</w:t>
      </w:r>
    </w:p>
    <w:p>
      <w:pPr>
        <w:pStyle w:val="TextBody"/>
        <w:bidi w:val="0"/>
        <w:spacing w:before="0" w:after="0"/>
        <w:jc w:val="left"/>
        <w:rPr/>
      </w:pPr>
      <w:r>
        <w:rPr/>
      </w:r>
    </w:p>
    <w:p>
      <w:pPr>
        <w:pStyle w:val="TextBody"/>
        <w:bidi w:val="0"/>
        <w:spacing w:lineRule="auto" w:line="288"/>
        <w:jc w:val="center"/>
        <w:rPr>
          <w:rFonts w:ascii="Arial;sans-serif" w:hAnsi="Arial;sans-serif"/>
          <w:b/>
          <w:color w:val="000000"/>
          <w:sz w:val="20"/>
        </w:rPr>
      </w:pPr>
      <w:r>
        <w:rPr>
          <w:rFonts w:ascii="Arial;sans-serif" w:hAnsi="Arial;sans-serif"/>
          <w:b/>
          <w:color w:val="000000"/>
          <w:sz w:val="20"/>
        </w:rPr>
        <w:t>The date of this offering circular supplement is July 17, 2026.</w:t>
      </w: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80" w:after="283"/>
        <w:jc w:val="center"/>
        <w:rPr>
          <w:rFonts w:ascii="Arial;sans-serif" w:hAnsi="Arial;sans-serif"/>
          <w:b/>
          <w:color w:val="000000"/>
          <w:sz w:val="24"/>
        </w:rPr>
      </w:pPr>
      <w:r>
        <w:rPr>
          <w:rFonts w:ascii="Arial;sans-serif" w:hAnsi="Arial;sans-serif"/>
          <w:b/>
          <w:color w:val="000000"/>
          <w:sz w:val="24"/>
        </w:rPr>
        <w:t>UNITED STATES</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lineRule="auto" w:line="288" w:before="0" w:after="40"/>
        <w:jc w:val="center"/>
        <w:rPr>
          <w:color w:val="000000"/>
        </w:rPr>
      </w:pPr>
      <w:r>
        <w:rPr>
          <w:color w:val="000000"/>
        </w:rPr>
        <w:t> </w:t>
      </w:r>
    </w:p>
    <w:p>
      <w:pPr>
        <w:pStyle w:val="TextBody"/>
        <w:bidi w:val="0"/>
        <w:spacing w:lineRule="auto" w:line="288" w:before="240" w:after="240"/>
        <w:jc w:val="center"/>
        <w:rPr>
          <w:rFonts w:ascii="Arial;sans-serif" w:hAnsi="Arial;sans-serif"/>
          <w:b/>
          <w:color w:val="000000"/>
          <w:sz w:val="36"/>
        </w:rPr>
      </w:pPr>
      <w:r>
        <w:rPr>
          <w:rFonts w:ascii="Arial;sans-serif" w:hAnsi="Arial;sans-serif"/>
          <w:b/>
          <w:color w:val="000000"/>
          <w:sz w:val="36"/>
        </w:rPr>
        <w:t>FORM 8-K</w:t>
      </w:r>
    </w:p>
    <w:p>
      <w:pPr>
        <w:pStyle w:val="TextBody"/>
        <w:bidi w:val="0"/>
        <w:spacing w:lineRule="auto" w:line="288" w:before="0" w:after="240"/>
        <w:jc w:val="center"/>
        <w:rPr>
          <w:rFonts w:ascii="Arial;sans-serif" w:hAnsi="Arial;sans-serif"/>
          <w:b/>
          <w:color w:val="000000"/>
          <w:sz w:val="24"/>
        </w:rPr>
      </w:pPr>
      <w:r>
        <w:rPr>
          <w:rFonts w:ascii="Arial;sans-serif" w:hAnsi="Arial;sans-serif"/>
          <w:b/>
          <w:color w:val="000000"/>
          <w:sz w:val="24"/>
        </w:rPr>
        <w:t>CURRENT REPORT</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Pursuant to Section 13 or 15(d)</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of the Securities Exchange Act of 1934</w:t>
      </w:r>
    </w:p>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Date of Report (Date of earliest event reported): July 13, 2026</w:t>
      </w:r>
    </w:p>
    <w:p>
      <w:pPr>
        <w:pStyle w:val="TextBody"/>
        <w:bidi w:val="0"/>
        <w:spacing w:lineRule="auto" w:line="288" w:before="240" w:after="283"/>
        <w:jc w:val="center"/>
        <w:rPr>
          <w:rFonts w:ascii="Arial;sans-serif" w:hAnsi="Arial;sans-serif"/>
          <w:b/>
          <w:color w:val="000000"/>
          <w:sz w:val="48"/>
        </w:rPr>
      </w:pPr>
      <w:r>
        <w:rPr>
          <w:rFonts w:ascii="Arial;sans-serif" w:hAnsi="Arial;sans-serif"/>
          <w:b/>
          <w:color w:val="000000"/>
          <w:sz w:val="48"/>
        </w:rPr>
        <w:t>DARÉ BIOSCIENCE, INC.</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p>
      <w:pPr>
        <w:pStyle w:val="TextBody"/>
        <w:bidi w:val="0"/>
        <w:spacing w:lineRule="auto" w:line="288" w:before="0" w:after="40"/>
        <w:jc w:val="center"/>
        <w:rPr>
          <w:color w:val="000000"/>
        </w:rPr>
      </w:pPr>
      <w:r>
        <w:rPr>
          <w:color w:val="000000"/>
        </w:rPr>
        <w:t> </w:t>
      </w:r>
    </w:p>
    <w:tbl>
      <w:tblPr>
        <w:tblW w:w="5109" w:type="dxa"/>
        <w:jc w:val="center"/>
        <w:tblInd w:w="0" w:type="dxa"/>
        <w:tblLayout w:type="fixed"/>
        <w:tblCellMar>
          <w:top w:w="28" w:type="dxa"/>
          <w:left w:w="28" w:type="dxa"/>
          <w:bottom w:w="28" w:type="dxa"/>
          <w:right w:w="28" w:type="dxa"/>
        </w:tblCellMar>
      </w:tblPr>
      <w:tblGrid>
        <w:gridCol w:w="717"/>
        <w:gridCol w:w="629"/>
        <w:gridCol w:w="633"/>
        <w:gridCol w:w="109"/>
        <w:gridCol w:w="109"/>
        <w:gridCol w:w="109"/>
        <w:gridCol w:w="354"/>
        <w:gridCol w:w="354"/>
        <w:gridCol w:w="358"/>
        <w:gridCol w:w="109"/>
        <w:gridCol w:w="109"/>
        <w:gridCol w:w="109"/>
        <w:gridCol w:w="412"/>
        <w:gridCol w:w="412"/>
        <w:gridCol w:w="586"/>
      </w:tblGrid>
      <w:tr>
        <w:trPr/>
        <w:tc>
          <w:tcPr>
            <w:tcW w:w="71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001-36395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20-4139823</w:t>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(I.R.S. Employer</w:t>
              <w:br/>
              <w:t>Identification No.)</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3655 Nobel Drive, Suite 260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San Diego, CA 92122</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(Address of Principal Executive Offices and Zip Code)</w:t>
      </w:r>
    </w:p>
    <w:p>
      <w:pPr>
        <w:pStyle w:val="TextBody"/>
        <w:bidi w:val="0"/>
        <w:spacing w:lineRule="auto" w:line="288" w:before="240" w:after="283"/>
        <w:jc w:val="center"/>
        <w:rPr/>
      </w:pPr>
      <w:r>
        <w:rPr>
          <w:rFonts w:ascii="Arial;sans-serif" w:hAnsi="Arial;sans-serif"/>
          <w:b w:val="false"/>
          <w:color w:val="000000"/>
          <w:sz w:val="20"/>
        </w:rPr>
        <w:t xml:space="preserve">Registrant’s telephone number, including area code: </w:t>
      </w:r>
      <w:r>
        <w:rPr>
          <w:rFonts w:ascii="Arial;sans-serif" w:hAnsi="Arial;sans-serif"/>
          <w:b/>
          <w:color w:val="000000"/>
          <w:sz w:val="20"/>
        </w:rPr>
        <w:t>(858) 926-7655</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 Applicable</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(Former name or former address, if changed since last report.)</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pPr>
      <w:r>
        <w:rPr>
          <w:rFonts w:ascii="Arial;sans-serif" w:hAnsi="Arial;sans-serif"/>
          <w:b w:val="false"/>
          <w:color w:val="000000"/>
          <w:sz w:val="20"/>
        </w:rPr>
        <w:t>Check the appropriate box below if the Form 8-K filing is intended to simultaneously satisfy the filing obligation of the registrant under any of the following provisions (</w:t>
      </w:r>
      <w:r>
        <w:rPr>
          <w:rFonts w:ascii="Arial;sans-serif" w:hAnsi="Arial;sans-serif"/>
          <w:b w:val="false"/>
          <w:i/>
          <w:color w:val="000000"/>
          <w:sz w:val="20"/>
        </w:rPr>
        <w:t>see</w:t>
      </w:r>
      <w:r>
        <w:rPr>
          <w:color w:val="000000"/>
        </w:rPr>
        <w:t xml:space="preserve"> </w:t>
      </w:r>
      <w:r>
        <w:rPr>
          <w:rFonts w:ascii="Arial;sans-serif" w:hAnsi="Arial;sans-serif"/>
          <w:b w:val="false"/>
          <w:color w:val="000000"/>
          <w:sz w:val="20"/>
        </w:rPr>
        <w:t>General Instruction A.2. below):</w:t>
      </w:r>
    </w:p>
    <w:tbl>
      <w:tblPr>
        <w:tblW w:w="10121" w:type="dxa"/>
        <w:jc w:val="left"/>
        <w:tblInd w:w="0" w:type="dxa"/>
        <w:tblLayout w:type="fixed"/>
        <w:tblCellMar>
          <w:top w:w="28" w:type="dxa"/>
          <w:left w:w="28" w:type="dxa"/>
          <w:bottom w:w="28" w:type="dxa"/>
          <w:right w:w="28" w:type="dxa"/>
        </w:tblCellMar>
      </w:tblPr>
      <w:tblGrid>
        <w:gridCol w:w="124"/>
        <w:gridCol w:w="109"/>
        <w:gridCol w:w="109"/>
        <w:gridCol w:w="2860"/>
        <w:gridCol w:w="2860"/>
        <w:gridCol w:w="40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40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6973" w:type="dxa"/>
        <w:jc w:val="center"/>
        <w:tblInd w:w="0" w:type="dxa"/>
        <w:tblLayout w:type="fixed"/>
        <w:tblCellMar>
          <w:top w:w="28" w:type="dxa"/>
          <w:left w:w="28" w:type="dxa"/>
          <w:bottom w:w="28" w:type="dxa"/>
          <w:right w:w="28" w:type="dxa"/>
        </w:tblCellMar>
      </w:tblPr>
      <w:tblGrid>
        <w:gridCol w:w="570"/>
        <w:gridCol w:w="501"/>
        <w:gridCol w:w="503"/>
        <w:gridCol w:w="534"/>
        <w:gridCol w:w="534"/>
        <w:gridCol w:w="536"/>
        <w:gridCol w:w="1108"/>
        <w:gridCol w:w="1108"/>
        <w:gridCol w:w="1579"/>
      </w:tblGrid>
      <w:tr>
        <w:trPr/>
        <w:tc>
          <w:tcPr>
            <w:tcW w:w="57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Title of each class</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Trading Symbol(s)</w:t>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Name of each exchange on which registered</w:t>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Common stock</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DARE</w:t>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Nasdaq Capital Market</w:t>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20" w:after="283"/>
        <w:jc w:val="left"/>
        <w:rPr/>
      </w:pPr>
      <w:r>
        <w:rPr>
          <w:rFonts w:ascii="Arial;sans-serif" w:hAnsi="Arial;sans-serif"/>
          <w:b w:val="false"/>
          <w:color w:val="000000"/>
          <w:sz w:val="20"/>
          <w:shd w:fill="FFFFFF" w:val="clear"/>
        </w:rPr>
        <w:t>Emerging growth company  </w:t>
      </w:r>
      <w:r>
        <w:rPr>
          <w:color w:val="000000"/>
          <w:shd w:fill="FFFFFF" w:val="clear"/>
        </w:rPr>
        <w:t>☐</w:t>
      </w:r>
    </w:p>
    <w:p>
      <w:pPr>
        <w:pStyle w:val="TextBody"/>
        <w:bidi w:val="0"/>
        <w:spacing w:lineRule="auto" w:line="288" w:before="220" w:after="283"/>
        <w:jc w:val="left"/>
        <w:rPr/>
      </w:pPr>
      <w:r>
        <w:rPr>
          <w:rFonts w:ascii="Arial;sans-serif" w:hAnsi="Arial;sans-serif"/>
          <w:b w:val="false"/>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shd w:fill="FFFFFF" w:val="clear"/>
        </w:rPr>
        <w:t>☐</w:t>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125" w:type="dxa"/>
        <w:jc w:val="left"/>
        <w:tblInd w:w="0" w:type="dxa"/>
        <w:tblLayout w:type="fixed"/>
        <w:tblCellMar>
          <w:top w:w="28" w:type="dxa"/>
          <w:left w:w="28" w:type="dxa"/>
          <w:bottom w:w="28" w:type="dxa"/>
          <w:right w:w="28" w:type="dxa"/>
        </w:tblCellMar>
      </w:tblPr>
      <w:tblGrid>
        <w:gridCol w:w="347"/>
        <w:gridCol w:w="305"/>
        <w:gridCol w:w="308"/>
        <w:gridCol w:w="2681"/>
        <w:gridCol w:w="2681"/>
        <w:gridCol w:w="3803"/>
      </w:tblGrid>
      <w:tr>
        <w:trPr/>
        <w:tc>
          <w:tcPr>
            <w:tcW w:w="34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681" w:type="dxa"/>
            <w:tcBorders/>
            <w:vAlign w:val="center"/>
          </w:tcPr>
          <w:p>
            <w:pPr>
              <w:pStyle w:val="TableContents"/>
              <w:bidi w:val="0"/>
              <w:spacing w:before="0" w:after="283"/>
              <w:jc w:val="left"/>
              <w:rPr>
                <w:sz w:val="4"/>
                <w:szCs w:val="4"/>
              </w:rPr>
            </w:pPr>
            <w:r>
              <w:rPr>
                <w:sz w:val="4"/>
                <w:szCs w:val="4"/>
              </w:rPr>
            </w:r>
          </w:p>
        </w:tc>
        <w:tc>
          <w:tcPr>
            <w:tcW w:w="2681" w:type="dxa"/>
            <w:tcBorders/>
            <w:vAlign w:val="center"/>
          </w:tcPr>
          <w:p>
            <w:pPr>
              <w:pStyle w:val="TableContents"/>
              <w:bidi w:val="0"/>
              <w:spacing w:before="0" w:after="283"/>
              <w:jc w:val="left"/>
              <w:rPr>
                <w:sz w:val="4"/>
                <w:szCs w:val="4"/>
              </w:rPr>
            </w:pPr>
            <w:r>
              <w:rPr>
                <w:sz w:val="4"/>
                <w:szCs w:val="4"/>
              </w:rPr>
            </w:r>
          </w:p>
        </w:tc>
        <w:tc>
          <w:tcPr>
            <w:tcW w:w="3803"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3.01</w:t>
            </w:r>
          </w:p>
        </w:tc>
        <w:tc>
          <w:tcPr>
            <w:tcW w:w="91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0000"/>
                <w:sz w:val="20"/>
              </w:rPr>
            </w:pPr>
            <w:r>
              <w:rPr>
                <w:rFonts w:ascii="Arial;sans-serif" w:hAnsi="Arial;sans-serif"/>
                <w:b/>
                <w:color w:val="000000"/>
                <w:sz w:val="20"/>
              </w:rPr>
              <w:t>Notice of Delisting or Failure to Satisfy a Continued Listing Rule or Standard; Transfer of Listing.</w:t>
            </w:r>
          </w:p>
        </w:tc>
      </w:tr>
    </w:tbl>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On July 13, 2026, Dare Biosciences, Inc. (the “Company”) was notified by the Listing Qualifications Staff (the “Staff”) of The Nasdaq Stock Market LLC (“Nasdaq”) that, because the Company’s Form 10-Q for the period ended March 31, 2026 reported stockholders’ equity of less than $2.5 million and, as of July 13, 2026, the Company did not meet the alternative requirements of $35 million in market value of listed securities or $500,000 in net income from continuing operations, the Company no longer complies with Nasdaq Listing Rule 5550(b) (the “Rule”) and, as such, the Company’s common stock is subject to delisting from Nasdaq unless the Company timely requests a hearing to address the deficiency before a Nasdaq Hearing Panel (the “Panel”).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intends to timely request a hearing before the Panel, which request will stay the suspension and delisting of the Company’s common stock at least pending the issuance of the Panel’s decision following the hearing and the expiration of any extension period that may be granted by the Panel.</w:t>
      </w:r>
    </w:p>
    <w:p>
      <w:pPr>
        <w:pStyle w:val="TextBody"/>
        <w:bidi w:val="0"/>
        <w:spacing w:before="0" w:after="0"/>
        <w:jc w:val="both"/>
        <w:rPr/>
      </w:pPr>
      <w:r>
        <w:rPr/>
      </w:r>
    </w:p>
    <w:p>
      <w:pPr>
        <w:pStyle w:val="TextBody"/>
        <w:bidi w:val="0"/>
        <w:spacing w:lineRule="auto" w:line="288"/>
        <w:jc w:val="both"/>
        <w:rPr>
          <w:rFonts w:ascii="Arial;sans-serif" w:hAnsi="Arial;sans-serif"/>
          <w:b w:val="false"/>
          <w:color w:val="000000"/>
          <w:sz w:val="20"/>
        </w:rPr>
      </w:pPr>
      <w:r>
        <w:rPr>
          <w:rFonts w:ascii="Arial;sans-serif" w:hAnsi="Arial;sans-serif"/>
          <w:b w:val="false"/>
          <w:color w:val="000000"/>
          <w:sz w:val="20"/>
        </w:rPr>
        <w:t>There can be no assurance that the Panel will grant the Company’s request for an extension to evidence compliance with the Rule, or if any such extension period is granted, that the Company will regain compliance with the Rule within such extension period, or that the Company will be successful in otherwise maintaining the listing of its common stock on Nasdaq.</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7581" w:type="dxa"/>
        <w:jc w:val="left"/>
        <w:tblInd w:w="0" w:type="dxa"/>
        <w:tblLayout w:type="fixed"/>
        <w:tblCellMar>
          <w:top w:w="28" w:type="dxa"/>
          <w:left w:w="28" w:type="dxa"/>
          <w:bottom w:w="28" w:type="dxa"/>
          <w:right w:w="28" w:type="dxa"/>
        </w:tblCellMar>
      </w:tblPr>
      <w:tblGrid>
        <w:gridCol w:w="695"/>
        <w:gridCol w:w="611"/>
        <w:gridCol w:w="614"/>
        <w:gridCol w:w="109"/>
        <w:gridCol w:w="109"/>
        <w:gridCol w:w="109"/>
        <w:gridCol w:w="109"/>
        <w:gridCol w:w="109"/>
        <w:gridCol w:w="109"/>
        <w:gridCol w:w="262"/>
        <w:gridCol w:w="262"/>
        <w:gridCol w:w="262"/>
        <w:gridCol w:w="262"/>
        <w:gridCol w:w="262"/>
        <w:gridCol w:w="262"/>
        <w:gridCol w:w="998"/>
        <w:gridCol w:w="998"/>
        <w:gridCol w:w="1439"/>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07" w:type="dxa"/>
            <w:gridSpan w:val="9"/>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color w:val="000000"/>
                <w:sz w:val="20"/>
              </w:rPr>
            </w:pPr>
            <w:r>
              <w:rPr>
                <w:rFonts w:ascii="Arial;sans-serif" w:hAnsi="Arial;sans-serif"/>
                <w:b/>
                <w:color w:val="000000"/>
                <w:sz w:val="20"/>
              </w:rPr>
              <w:t>DARÉ BIOSCIENCE, INC.</w:t>
            </w:r>
          </w:p>
          <w:p>
            <w:pPr>
              <w:pStyle w:val="TableContents"/>
              <w:bidi w:val="0"/>
              <w:spacing w:lineRule="auto" w:line="240" w:before="0" w:after="0"/>
              <w:jc w:val="left"/>
              <w:rPr>
                <w:color w:val="000000"/>
              </w:rPr>
            </w:pPr>
            <w:r>
              <w:rPr>
                <w:color w:val="000000"/>
              </w:rPr>
              <w:t> </w:t>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Dated: July 17,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By:</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/s/ Sabrina Martucci Johnson</w:t>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Name:</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Sabrina Martucci Johnson</w:t>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Title:</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President and Chief Executive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1293</Words>
  <Characters>6917</Characters>
  <CharactersWithSpaces>8163</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