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2015</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95" w:lineRule="exact"/>
        <w:rPr>
          <w:sz w:val="24"/>
          <w:szCs w:val="24"/>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-7620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840 Memorial Drive</w:t>
            </w:r>
          </w:p>
        </w:tc>
        <w:tc>
          <w:tcPr>
            <w:tcW w:w="3120" w:type="dxa"/>
            <w:vAlign w:val="bottom"/>
          </w:tcPr>
          <w:p>
            <w:pPr>
              <w:spacing w:after="0"/>
              <w:rPr>
                <w:sz w:val="24"/>
                <w:szCs w:val="24"/>
                <w:color w:val="auto"/>
              </w:rPr>
            </w:pPr>
          </w:p>
        </w:tc>
      </w:tr>
      <w:tr>
        <w:trPr>
          <w:trHeight w:val="227"/>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551-9600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5" w:lineRule="exact"/>
        <w:rPr>
          <w:sz w:val="24"/>
          <w:szCs w:val="24"/>
          <w:color w:val="auto"/>
        </w:rPr>
      </w:pPr>
    </w:p>
    <w:p>
      <w:pPr>
        <w:jc w:val="both"/>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8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432"/>
        </w:trPr>
        <w:tc>
          <w:tcPr>
            <w:tcW w:w="10580" w:type="dxa"/>
            <w:vAlign w:val="bottom"/>
            <w:gridSpan w:val="4"/>
          </w:tcPr>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0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Number of shares of the registrant’s Common Stock, $ 0.0001 par value, outstanding on July 31, 2015: 27,303,452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2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5" w:right="21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91"/>
        </w:trPr>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5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Statements</w:t>
              </w:r>
            </w:hyperlink>
          </w:p>
        </w:tc>
        <w:tc>
          <w:tcPr>
            <w:tcW w:w="796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2015 and December 31, 2014 (unaudited)</w:t>
              </w:r>
            </w:hyperlink>
          </w:p>
        </w:tc>
        <w:tc>
          <w:tcPr>
            <w:tcW w:w="2560" w:type="dxa"/>
            <w:vAlign w:val="bottom"/>
            <w:gridSpan w:val="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Six Months Ended June 30, 2015</w:t>
              </w:r>
            </w:hyperlink>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2014 (unaudited)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6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Six Months Ended June 30, 2015</w:t>
              </w:r>
            </w:hyperlink>
          </w:p>
        </w:tc>
        <w:tc>
          <w:tcPr>
            <w:tcW w:w="28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2014 (unaudited)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9"/>
              </w:rPr>
            </w:pPr>
            <w:hyperlink w:anchor="page12">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10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23">
              <w:r>
                <w:rPr>
                  <w:rFonts w:ascii="Times New Roman" w:cs="Times New Roman" w:eastAsia="Times New Roman" w:hAnsi="Times New Roman"/>
                  <w:sz w:val="18"/>
                  <w:szCs w:val="18"/>
                  <w:b w:val="1"/>
                  <w:bCs w:val="1"/>
                  <w:color w:val="0000EE"/>
                  <w:w w:val="99"/>
                </w:rPr>
                <w:t>PART II. OTHER INFORMATION</w:t>
              </w:r>
            </w:hyperlink>
          </w:p>
        </w:tc>
        <w:tc>
          <w:tcPr>
            <w:tcW w:w="78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23">
              <w:r>
                <w:rPr>
                  <w:rFonts w:ascii="Times New Roman" w:cs="Times New Roman" w:eastAsia="Times New Roman" w:hAnsi="Times New Roman"/>
                  <w:sz w:val="18"/>
                  <w:szCs w:val="18"/>
                  <w:b w:val="1"/>
                  <w:bCs w:val="1"/>
                  <w:color w:val="0000EE"/>
                  <w:w w:val="9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58">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000" w:type="dxa"/>
            <w:vAlign w:val="bottom"/>
            <w:gridSpan w:val="7"/>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56</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Exhibits</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56</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57</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17"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9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data and par value)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6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 payable — net of current portion</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Non-current accrued interest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6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120,000,000 shares authorized, 27,300,105 and 20,125,049 shares issued and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June 30, 2015 and December 31, 2014, respectively</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(140,116)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(121,781)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4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0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income — net</w:t>
            </w: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Borders>
              <w:bottom w:val="single" w:sz="8" w:color="CFF0FC"/>
            </w:tcBorders>
          </w:tcPr>
          <w:p>
            <w:pPr>
              <w:spacing w:after="0"/>
              <w:rPr>
                <w:sz w:val="22"/>
                <w:szCs w:val="22"/>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26,690,673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16,883,716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23,504,303</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8,835,351</w:t>
            </w:r>
          </w:p>
        </w:tc>
        <w:tc>
          <w:tcPr>
            <w:tcW w:w="12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(18,335)</w:t>
            </w: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rent expense</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8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loans payable</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public stock offering, net of issuance costs</w:t>
            </w: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85,476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Conversion of redeemable convertible preferred stock into common stock</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Conversion of convertible notes and accrued interest into common stock,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Reclassification of warrants to additional paid in capital</w:t>
            </w: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Nature of Business — Cerulean Pharma Inc. (the “Company”) was incorporated on November 28, 2005 as a Delaware corporation and is located in Cambridge, Massachusetts. The Company was formed to develop novel, nanotechnology-based therapeutics in the areas of oncology and other diseases.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Basis of Presentation — The consolidated financial statements include the accounts of the Company and its subsidiary, Cerulean Pharma Australia Pty Ltd, a wholly 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2014 and notes thereto, included in the Company’s Annual Report on Form 10-K, which was filed with the Securities and Exchange Commission on March 19, 2015 (the “2015 10-K”).</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the Company’s management, the accompanying unaudited interim consolidated financial statements contain all adjustments that are necessary to present fairly the Company’s financial position as of June 30, 2015, the results of its operations for the three and six months ended June 30, 2015 and 2014 and cash flows for the six months ended June 30, 2015 and 2014. Such adjustments are of a normal and recurring nature. The results for the three and six months ended June 30, 2015 are not indicative of the results for the year ending December 31, 2015, or for any future period.</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April 10, 2015, the Company completed the issuance and sale of 6,716,000 shares of common stock in an underwritten public offering at a price to the public of $6.00 per share. The sale of shares of common stock included 876,000 shares sold pursuant to the full exercise of the underwriters’ option to purchase additional shares of common stock. The net proceeds to the Company from this offering were $37.2 million after deducting underwriting discounts and commissions and offering expenses payable by the Company.</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On April 15, 2014, the Company completed the issuance and sale of 8,500,000 shares of its common stock in its initial public offering (the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the shares to the public resulted in net proceeds to the Company of $59.9 million after deducting underwriting discounts and commissions and offering expenses payable by the Company.</w:t>
      </w:r>
    </w:p>
    <w:p>
      <w:pPr>
        <w:spacing w:after="0" w:line="184"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increases in shares outstanding in April 2015 and April 2014 impacts the year-over-year comparability of the Company’s net loss per share calculations.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172"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2015 10-K.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ind w:right="8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April 2015, the Financial Accounting Standards Board (the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(“ASU”) 2015-03, “Interest – Imputation of Interest”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the Company’s consolidated financial statements.</w:t>
      </w:r>
    </w:p>
    <w:p>
      <w:pPr>
        <w:spacing w:after="0" w:line="180"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62"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162"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22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2,989,627</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1,755,786</w:t>
            </w:r>
          </w:p>
        </w:tc>
        <w:tc>
          <w:tcPr>
            <w:tcW w:w="120" w:type="dxa"/>
            <w:vAlign w:val="bottom"/>
            <w:shd w:val="clear" w:color="auto" w:fill="CFF0FC"/>
          </w:tcPr>
          <w:p>
            <w:pPr>
              <w:spacing w:after="0"/>
              <w:rPr>
                <w:sz w:val="19"/>
                <w:szCs w:val="19"/>
                <w:color w:val="auto"/>
              </w:rPr>
            </w:pP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20" w:type="dxa"/>
            <w:vAlign w:val="bottom"/>
          </w:tcPr>
          <w:p>
            <w:pPr>
              <w:spacing w:after="0"/>
              <w:rPr>
                <w:sz w:val="20"/>
                <w:szCs w:val="20"/>
                <w:color w:val="auto"/>
              </w:rPr>
            </w:pPr>
          </w:p>
        </w:tc>
      </w:tr>
    </w:tbl>
    <w:p>
      <w:pPr>
        <w:spacing w:after="0" w:line="189"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80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5"/>
                <w:szCs w:val="15"/>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229"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February and March 2014, the Company issued convertible promissory notes in the original principal amount of $6.0 million to existing investors and a convertible promissory note in the original principal amount of $2.5 million to a new investor. All of the notes had a stated interest rate of 7.0%. Outstanding principal and unpaid accrued interest due under the notes were automatically converted into shares of the Company’s common stock upon the closing of the IPO at a conversion price equal to 77.5% of the IPO price. The Company recorded a loss on the extinguishment of the notes of $2.5 million in April 2014, equal to the difference between the fair value of the shares into which the notes converted and the carrying amount of the notes upon the closing of the IPO.</w:t>
      </w:r>
    </w:p>
    <w:p>
      <w:pPr>
        <w:spacing w:after="0" w:line="184"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22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On January 8, 2015 (the “Closing Date”), the Company entered into a term loan facility of up to $26.0 million (the “Term Loan”) with Hercules Technology Growth Capital, Inc. (“Hercules”). The proceeds were used to repay the Company’s existing term loan facility with Lighthouse Capital Partners VI, L.P. (“Lighthouse Capital”) and for general corporate and working capital purposes.</w:t>
      </w:r>
    </w:p>
    <w:p>
      <w:pPr>
        <w:spacing w:after="0" w:line="176"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January 8, 2015, between the Company and Hercules (the “Hercules Loan Agreement”). The Hercules Loan Agreement provides for up to three separate borrowings, the first of which was funded in the amount of $15.0 million on the Closing Date. The second borrowing of up to $5.0 million may be drawn by the Company, subject to the satisfaction of customary funding conditions, on or prior to December 15, 2015, provided that the Company meets certain clinical milestones. The third borrowing of up to $6.0 million (the “Term C Loan Advance”) may be drawn, at no less than $3.0 million per draw and subject to the satisfaction of customary funding conditions, on or after September 30, 2015 but before December 15, 2015, provided that between the Closing Date and December 15, 2015, the Company has received net cash proceeds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at least $40.0 million from the issuance and sale by the Company of its equity securities and/or upfront cash payments from one or more strategic corporate partnerships.</w:t>
      </w:r>
    </w:p>
    <w:p>
      <w:pPr>
        <w:spacing w:after="0" w:line="162"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Term Loan will mature on July 1, 2018. Each advance under the Term Loan accrues interest at a floating per annum rate equal to the greater of (i) 7.30% or (ii) the sum of 7.30% plus the prime rate minus 5.75%. The Term Loan provides for interest-only payments on a monthly basis until December 31, 2015. The interest only period may be extended at the Company’s option for a three month period if the Company attains certain clinical milestones, and for an additional three month period if the Company attains certain clinical milestones and receives net cash proceeds of at least $30.0 million from the issuance and sale by the Company of its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The Company may prepay the Term Loan in whole or in part upon seven business days’ prior written notice to Hercules. Any such prepayment of the Term Loan is subject to a prepayment charge of (i) 3.0% if such prepayment occurs within twelve months of the Closing Date, (ii) 2.0% if such prepayment occurs after twelve months following the Closing Date but on or prior to twenty-four months following the Closing Date, and (iii) 1.0% thereafter. Amounts outstanding during an event of default are payable upon Hercules’ demand and shall accrue interest at an additional rate of 5.0% per annum of the past due amount outstanding. 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exercise price of $6.05 per share. The warrant is initially exercisable for 137,521 shares of common stock. On such date (if any) as a Term C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is made to the Company, the warrant shall automatically become exercisable for an additional 34,380 shares of common stock. The warrant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until January 8, 2020. The Company estimated the fair value of the warrant for shares exercisable on the issue date in January 2015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$659,000. The value of the warrant was recorded as a discount to the loan and will be amortized to interest expense using the effective interest method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loan. The fair value of the warrant was estimated on the date of issue for the exercisable shares at that date using the Black-Scholes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model. The following table shows the Black-Scholes assumptions used to value the warrant: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Borders>
              <w:bottom w:val="single" w:sz="8" w:color="CFF0FC"/>
            </w:tcBorders>
          </w:tcPr>
          <w:p>
            <w:pPr>
              <w:spacing w:after="0"/>
              <w:rPr>
                <w:sz w:val="15"/>
                <w:szCs w:val="15"/>
                <w:color w:val="auto"/>
              </w:rPr>
            </w:pPr>
          </w:p>
        </w:tc>
        <w:tc>
          <w:tcPr>
            <w:tcW w:w="26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January 8, 2015</w:t>
            </w:r>
          </w:p>
        </w:tc>
        <w:tc>
          <w:tcPr>
            <w:tcW w:w="180" w:type="dxa"/>
            <w:vAlign w:val="bottom"/>
            <w:tcBorders>
              <w:bottom w:val="single" w:sz="8" w:color="CFF0FC"/>
            </w:tcBorders>
          </w:tcPr>
          <w:p>
            <w:pPr>
              <w:spacing w:after="0"/>
              <w:rPr>
                <w:sz w:val="15"/>
                <w:szCs w:val="15"/>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The amount accrued as of December 31, 2014 was $574,000, and it was included in accrued expense in the Company’s consolidated balance sheet. In January 2015, the Company repaid in full the amount outstanding under the Lighthouse Capital loan, or $3.6 million, with the proceeds from the Hercules Loan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IPO.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84"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for employee, director and nonemployee awards under all stock option plans during the six months ended June 30, 2015 is presented below (Aggregate Intrinsic Value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January 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1,194,062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7.81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(323,555)</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4.55</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(7,056)</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5.36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June 30, 2015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2,989,627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June 30, 2015</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6.50</w:t>
            </w:r>
          </w:p>
        </w:tc>
        <w:tc>
          <w:tcPr>
            <w:tcW w:w="22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2,198,792</w:t>
            </w:r>
          </w:p>
        </w:tc>
        <w:tc>
          <w:tcPr>
            <w:tcW w:w="22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June 30, 2015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679,738</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5.22</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six months ended June 30, 2015 and 2014 was $7.81 and $3.82, respectively.</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the issuance of stock option awards to employees of $403,000 and $196,000, for the three months ended June 30, 2015 and 2014, respectively, and $823,000 and $343,000 for the six months ended June 30, 2015 and 2014, respectively. The assumptions used in the Black-Scholes option-pricing model for stock options granted to employees and to directors in respect of board services during the three and six months ended June 30, 2015 and 2014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92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52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3980" w:type="dxa"/>
            <w:vAlign w:val="bottom"/>
            <w:tcBorders>
              <w:bottom w:val="single" w:sz="8" w:color="CFF0FC"/>
            </w:tcBorders>
          </w:tcPr>
          <w:p>
            <w:pPr>
              <w:spacing w:after="0"/>
              <w:rPr>
                <w:sz w:val="13"/>
                <w:szCs w:val="13"/>
                <w:color w:val="auto"/>
              </w:rPr>
            </w:pPr>
          </w:p>
        </w:tc>
        <w:tc>
          <w:tcPr>
            <w:tcW w:w="1860" w:type="dxa"/>
            <w:vAlign w:val="bottom"/>
            <w:tcBorders>
              <w:top w:val="single" w:sz="8" w:color="auto"/>
              <w:bottom w:val="single" w:sz="8" w:color="auto"/>
            </w:tcBorders>
          </w:tcPr>
          <w:p>
            <w:pPr>
              <w:jc w:val="right"/>
              <w:ind w:right="79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8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5.4-6.1 years</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 years</w:t>
            </w:r>
          </w:p>
        </w:tc>
        <w:tc>
          <w:tcPr>
            <w:tcW w:w="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2015, the Company granted nonemployee stock options to purchase 180,000 shares of the Company’s common stock. The weighted-average exercise price and the weighted-average grant date fair value of nonemployee stock options granted for the six months ended June 30, 2015 was $5.30 per share and $3.07 per share, respectively. The fair value of the grants is being expensed over the vesting period of the options on a straight-line basis as the services are being provided. The Company did not grant any nonemployee stock option grants for the six months ended June 30, 2014.</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$53,000 and $12,000 for the three months ended June 30, 2015 and 2014, respectively, and $73,000 and $24,000 for the six months ended June 30, 2015 and 2014, respectively. The compensation expense related to nonemployee awards is included in the total stock-based compensation each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260"/>
        <w:spacing w:after="0" w:line="282" w:lineRule="auto"/>
        <w:rPr>
          <w:sz w:val="20"/>
          <w:szCs w:val="20"/>
          <w:color w:val="auto"/>
        </w:rPr>
      </w:pPr>
      <w:r>
        <w:rPr>
          <w:rFonts w:ascii="Times New Roman" w:cs="Times New Roman" w:eastAsia="Times New Roman" w:hAnsi="Times New Roman"/>
          <w:sz w:val="18"/>
          <w:szCs w:val="18"/>
          <w:color w:val="auto"/>
        </w:rPr>
        <w:t>and is subject to re-measurement until the options vest. The Black-Scholes assumptions used to estimate fair value for the three and six months ended June 30, 2015 and 2014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7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40" w:type="dxa"/>
            <w:vAlign w:val="bottom"/>
            <w:gridSpan w:val="3"/>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4040" w:type="dxa"/>
            <w:vAlign w:val="bottom"/>
            <w:tcBorders>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7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7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7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10 years</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7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 term nature of the debt and because the debt bears interest at the prevailing market rate for instruments with similar characteristics.</w:t>
      </w:r>
    </w:p>
    <w:p>
      <w:pPr>
        <w:spacing w:after="0" w:line="18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that are accessible at the market date for identical unrestricted assets or liabilities.</w:t>
      </w:r>
    </w:p>
    <w:p>
      <w:pPr>
        <w:spacing w:after="0" w:line="225" w:lineRule="exact"/>
        <w:rPr>
          <w:sz w:val="20"/>
          <w:szCs w:val="20"/>
          <w:color w:val="auto"/>
        </w:rPr>
      </w:pPr>
    </w:p>
    <w:p>
      <w:pPr>
        <w:jc w:val="both"/>
        <w:ind w:right="460" w:firstLine="51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June 30, 2015 and December 31, 2014,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94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100" w:type="dxa"/>
            <w:vAlign w:val="bottom"/>
          </w:tcPr>
          <w:p>
            <w:pPr>
              <w:jc w:val="center"/>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1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1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2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debt obligations are Level 2 measurements in the fair value hierarchy.</w:t>
      </w:r>
    </w:p>
    <w:p>
      <w:pPr>
        <w:spacing w:after="0" w:line="22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of the valuations provided by the third-party pricing services by reviewing actual trade data, broker/dealer quotes and other similar data, which are obtained from quoted market prices or other sources.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transfers between levels occurred during the periods presented.</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July 9, 2015, the Company entered into a lease agreement (the “Lease”) with AstraZeneca Pharmaceuticals Limited Partnership, a Delaware limited partnership (the “Landlord”), for approximately 22,992 square feet of laboratory and office space in Waltham, Massachusetts. The term of the Lease commences on December 28, 2015 and expires on February 28, 2021, subject to a three-year extension option.</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During each of the first two years of the term, the Company’s annual base rent will be $689,760. Thereafter, the annual base rent will increase annually for the remainder of the term. In addition to the base rent, the Company is also responsible for its share of the operating expenses, utility costs and real estate taxes, in accordance with the terms of the Lease. Pursuant to the terms of the Lease, the Company provided a security deposit in the form of a letter of credit in the amount of $229,920.</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1" w:name="page12"/>
    <w:bookmarkEnd w:id="1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This platform utilizes nanoparticle-drug conjugates, or NDCs, which consist of proprietary polymers that are covalently linked to anti-cancer therapeutics, or payloads. We believe these NDCs dynamically target tumors by exploiting the leakiness of new blood vessels in tumors as an entry portal into tumor tissue, followed by active uptake into tumor cells and the sustained release of the anti-cancer payload inside the tumor cells. We believe that our NDCs are differentiated from other nanoparticle technologies by our linker technology, which allows for preferential delivery of our anti-cancer payloads.</w:t>
      </w:r>
    </w:p>
    <w:p>
      <w:pPr>
        <w:spacing w:after="0" w:line="184"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2015, we were granted Orphan Drug designation by the U.S. Food and Drug Administration, or the FDA, to our lead NDC, CRLX101, for the treatment of ovarian cancer. We are exploring two combination treatments for relapsed ovarian cancer: a Phase 2 clinical trial of CRLX101 plus Avastin® (bevacizumab) which is currently enrolling patients, and a Phase 1b clinical trial of CRLX101 plus weekly paclitaxel in collaboration with the GOG Foundation Inc., or GOG Foundation, which was initiated during the quarter. The FDA’s Orphan Drug Designation Program provides orphan status to drugs and biologics intended to treat, diagnose or prevent rare diseases or disorders, which are defined as diseases or disorders that affect fewer than 200,000 people in the United States. This designation provides certain incentives, including federal grants, tax credits, a waiver of Prescription Drug User Fee Act, or PDUFA, filing fees and a seven-year marketing exclusivity period once the drug or biologic is approved.</w:t>
      </w:r>
    </w:p>
    <w:p>
      <w:pPr>
        <w:spacing w:after="0" w:line="18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FDA also granted Fast Track designation to CRLX101 in combination with Avastin for the treatment of metastatic renal cell carcinoma, or RCC, following progression through two or three prior lines of therapy. We are exploring CRLX101 in combination with Avastin in this patient population through our company-sponsored, randomized, controlled Phase 2 clinical trial, and have also supported a Phase 1b/2 single-arm investigator-sponsored trial, or IST, of CRLX101 in combination with Avastin in relapsed RCC. The FDA’s Fast Track Program is designed to facilitate the development and to expedite the review of drugs that are intended to treat serious conditions and to fulfill an unmet medical need.</w:t>
      </w:r>
    </w:p>
    <w:p>
      <w:pPr>
        <w:spacing w:after="0" w:line="18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second NDC, CRLX301, is in Phase 1 clinical development. On March 27, 2015, the investigational new drug application, or IND, for CRLX301 in the United States became effective, which enables us to conduct clinical trials for CRLX301 in the United States. In December 2014, we commenced the Phase 1 portion of a Phase 1/2a clinical trial for CRLX301 at two cancer centers in Australia, and we continue to enroll patients on this trial.</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completed an underwritten public offering, or the Secondary Offering, of 6,716,000 shares of common stock, including 876,000 shares sold pursuant to the full exercise of the underwriters’ option to purchase additional shares, at a public offering price of $6.00 per share. The net proceeds to us from the Secondary Offering were approximately $37.2 million, after deducting underwriting discounts and commissions and offering expenses payable by us.</w:t>
      </w:r>
    </w:p>
    <w:p>
      <w:pPr>
        <w:spacing w:after="0" w:line="180"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our drug discovery and development efforts, including conducting clinical trials of our product candidates, protecting our intellectual property and the general and administrative support of these operations. We have generated no revenue from product sales. We expect that it will be several years before we commercialize a product candidate, if ever. Through June 30, 2015,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sales of shares of our common stock in our Secondary Offering, $17.3 million in proceeds from our sale of convertible promissory notes, $10.0 million in proceeds from a loan and security agreement with Lighthouse Capital Partners VI, L.P., or Lighthouse Capital, and $15.0 million in proceeds from a loan and security agreement with Hercules Technology Growth Capital, Inc., or Hercules. We refer to our loan and security agreements with Lighthouse Capital and Hercules as the Lighthouse Loan Agreement and Hercules Loan Agreement, respectively.</w:t>
      </w:r>
    </w:p>
    <w:p>
      <w:pPr>
        <w:spacing w:after="0" w:line="189"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June 30, 2015, we had an accumulated deficit of $140.1 million. We incurred net losses of approximately $18.3 million and $10.3 million for the six months ended June 30, 2015 and 2014,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 w:name="page13"/>
    <w:bookmarkEnd w:id="12"/>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2011-2014 from four material transfer agreements and a research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Dynamic Tumor Targeting Platform and our NDCs. These expenses consist primarily of:</w:t>
      </w:r>
    </w:p>
    <w:p>
      <w:pPr>
        <w:ind w:left="900" w:hanging="374"/>
        <w:spacing w:after="0" w:line="207" w:lineRule="auto"/>
        <w:tabs>
          <w:tab w:leader="none" w:pos="9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10" w:lineRule="exact"/>
        <w:rPr>
          <w:rFonts w:ascii="Times New Roman" w:cs="Times New Roman" w:eastAsia="Times New Roman" w:hAnsi="Times New Roman"/>
          <w:sz w:val="29"/>
          <w:szCs w:val="29"/>
          <w:color w:val="auto"/>
          <w:vertAlign w:val="superscript"/>
        </w:rPr>
      </w:pPr>
    </w:p>
    <w:p>
      <w:pPr>
        <w:ind w:left="900" w:right="620" w:hanging="374"/>
        <w:spacing w:after="0" w:line="191" w:lineRule="auto"/>
        <w:tabs>
          <w:tab w:leader="none" w:pos="9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ind w:left="900" w:hanging="374"/>
        <w:spacing w:after="0" w:line="233" w:lineRule="auto"/>
        <w:tabs>
          <w:tab w:leader="none" w:pos="9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relating to scientific and medical consultants and advisors;</w:t>
      </w:r>
    </w:p>
    <w:p>
      <w:pPr>
        <w:spacing w:after="0" w:line="110" w:lineRule="exact"/>
        <w:rPr>
          <w:rFonts w:ascii="Times New Roman" w:cs="Times New Roman" w:eastAsia="Times New Roman" w:hAnsi="Times New Roman"/>
          <w:sz w:val="29"/>
          <w:szCs w:val="29"/>
          <w:color w:val="auto"/>
          <w:vertAlign w:val="superscript"/>
        </w:rPr>
      </w:pPr>
    </w:p>
    <w:p>
      <w:pPr>
        <w:ind w:left="900" w:hanging="374"/>
        <w:spacing w:after="0" w:line="186" w:lineRule="auto"/>
        <w:tabs>
          <w:tab w:leader="none" w:pos="9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acquiring and manufacturing clinical trial materials;</w:t>
      </w:r>
    </w:p>
    <w:p>
      <w:pPr>
        <w:spacing w:after="0" w:line="110" w:lineRule="exact"/>
        <w:rPr>
          <w:rFonts w:ascii="Times New Roman" w:cs="Times New Roman" w:eastAsia="Times New Roman" w:hAnsi="Times New Roman"/>
          <w:sz w:val="24"/>
          <w:szCs w:val="24"/>
          <w:color w:val="auto"/>
          <w:vertAlign w:val="superscript"/>
        </w:rPr>
      </w:pPr>
    </w:p>
    <w:p>
      <w:pPr>
        <w:ind w:left="900" w:right="60" w:hanging="374"/>
        <w:spacing w:after="0" w:line="191" w:lineRule="auto"/>
        <w:tabs>
          <w:tab w:leader="none" w:pos="9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ind w:left="900" w:hanging="374"/>
        <w:spacing w:after="0" w:line="233" w:lineRule="auto"/>
        <w:tabs>
          <w:tab w:leader="none" w:pos="90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and clinical activities;</w:t>
      </w:r>
    </w:p>
    <w:p>
      <w:pPr>
        <w:spacing w:after="0" w:line="110" w:lineRule="exact"/>
        <w:rPr>
          <w:rFonts w:ascii="Times New Roman" w:cs="Times New Roman" w:eastAsia="Times New Roman" w:hAnsi="Times New Roman"/>
          <w:sz w:val="29"/>
          <w:szCs w:val="29"/>
          <w:color w:val="auto"/>
          <w:vertAlign w:val="superscript"/>
        </w:rPr>
      </w:pPr>
    </w:p>
    <w:p>
      <w:pPr>
        <w:ind w:left="900" w:hanging="374"/>
        <w:spacing w:after="0" w:line="186" w:lineRule="auto"/>
        <w:tabs>
          <w:tab w:leader="none" w:pos="9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license fees related to in-licensed products and technology; and</w:t>
      </w:r>
    </w:p>
    <w:p>
      <w:pPr>
        <w:spacing w:after="0" w:line="110" w:lineRule="exact"/>
        <w:rPr>
          <w:rFonts w:ascii="Times New Roman" w:cs="Times New Roman" w:eastAsia="Times New Roman" w:hAnsi="Times New Roman"/>
          <w:sz w:val="24"/>
          <w:szCs w:val="24"/>
          <w:color w:val="auto"/>
          <w:vertAlign w:val="superscript"/>
        </w:rPr>
      </w:pPr>
    </w:p>
    <w:p>
      <w:pPr>
        <w:ind w:left="900" w:hanging="374"/>
        <w:spacing w:after="0" w:line="186" w:lineRule="auto"/>
        <w:tabs>
          <w:tab w:leader="none" w:pos="9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costs associated with non-clinical activities and regulatory approvals.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months ended June 30, 2015 and 2014 (in thousands):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3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10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10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227"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lead product candidate, CRLX101, is an NDC in Phase 2 clinical development. We are pursuing development of CRLX101 in combination with anti-cancer therapies in multiple ongoing clinical development programs that include company-sponsored trials and ISTs. These trials consist of:</w:t>
      </w:r>
    </w:p>
    <w:p>
      <w:pPr>
        <w:spacing w:after="0" w:line="52" w:lineRule="exact"/>
        <w:rPr>
          <w:sz w:val="20"/>
          <w:szCs w:val="20"/>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renal cell carcinoma:</w:t>
      </w:r>
    </w:p>
    <w:p>
      <w:pPr>
        <w:spacing w:after="0" w:line="227" w:lineRule="exact"/>
        <w:rPr>
          <w:rFonts w:ascii="Times New Roman" w:cs="Times New Roman" w:eastAsia="Times New Roman" w:hAnsi="Times New Roman"/>
          <w:sz w:val="18"/>
          <w:szCs w:val="18"/>
          <w:color w:val="auto"/>
        </w:rPr>
      </w:pPr>
    </w:p>
    <w:p>
      <w:pPr>
        <w:ind w:left="1260" w:right="160" w:hanging="354"/>
        <w:spacing w:after="0" w:line="257" w:lineRule="auto"/>
        <w:tabs>
          <w:tab w:leader="none" w:pos="126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randomized, controlled, company-sponsored trial is being conducted comparing CRLX101 administered in combination with Avastin to investigator’s choice of standard of care in patients with RCC who have received two or three prior lines of therapy. We refer to this clinical trial as the RCC Trial.</w:t>
      </w:r>
    </w:p>
    <w:p>
      <w:pPr>
        <w:spacing w:after="0" w:line="183" w:lineRule="exact"/>
        <w:rPr>
          <w:rFonts w:ascii="Courier New" w:cs="Courier New" w:eastAsia="Courier New" w:hAnsi="Courier New"/>
          <w:sz w:val="18"/>
          <w:szCs w:val="18"/>
          <w:color w:val="auto"/>
        </w:rPr>
      </w:pPr>
    </w:p>
    <w:p>
      <w:pPr>
        <w:ind w:left="1260" w:hanging="354"/>
        <w:spacing w:after="0"/>
        <w:tabs>
          <w:tab w:leader="none" w:pos="126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Avastin.</w:t>
      </w:r>
    </w:p>
    <w:p>
      <w:pPr>
        <w:spacing w:after="0" w:line="208" w:lineRule="exact"/>
        <w:rPr>
          <w:rFonts w:ascii="Courier New" w:cs="Courier New" w:eastAsia="Courier New" w:hAnsi="Courier New"/>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227" w:lineRule="exact"/>
        <w:rPr>
          <w:rFonts w:ascii="Times New Roman" w:cs="Times New Roman" w:eastAsia="Times New Roman" w:hAnsi="Times New Roman"/>
          <w:sz w:val="18"/>
          <w:szCs w:val="18"/>
          <w:color w:val="auto"/>
        </w:rPr>
      </w:pPr>
    </w:p>
    <w:p>
      <w:pPr>
        <w:ind w:left="1260" w:right="480" w:hanging="354"/>
        <w:spacing w:after="0" w:line="264" w:lineRule="auto"/>
        <w:tabs>
          <w:tab w:leader="none" w:pos="126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 single-arm, company-sponsored trial of CRLX101 in combination with weekly paclitaxel in patients with relapsed ovarian cancer being conducted in collaboration with the GOG Foundation.</w:t>
      </w:r>
    </w:p>
    <w:p>
      <w:pPr>
        <w:spacing w:after="0" w:line="176" w:lineRule="exact"/>
        <w:rPr>
          <w:rFonts w:ascii="Courier New" w:cs="Courier New" w:eastAsia="Courier New" w:hAnsi="Courier New"/>
          <w:sz w:val="18"/>
          <w:szCs w:val="18"/>
          <w:color w:val="auto"/>
        </w:rPr>
      </w:pPr>
    </w:p>
    <w:p>
      <w:pPr>
        <w:ind w:left="1260" w:right="420" w:hanging="354"/>
        <w:spacing w:after="0" w:line="264" w:lineRule="auto"/>
        <w:tabs>
          <w:tab w:leader="none" w:pos="126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IST of CRLX101 as monotherapy (in one arm) and in combination with Avastin (in a separate arm) in patients with relapsed ovarian cancer.</w:t>
      </w:r>
    </w:p>
    <w:p>
      <w:pPr>
        <w:spacing w:after="0" w:line="174" w:lineRule="exact"/>
        <w:rPr>
          <w:rFonts w:ascii="Courier New" w:cs="Courier New" w:eastAsia="Courier New" w:hAnsi="Courier New"/>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Neoadjuvant rectal cancer:</w:t>
      </w:r>
    </w:p>
    <w:p>
      <w:pPr>
        <w:spacing w:after="0" w:line="227" w:lineRule="exact"/>
        <w:rPr>
          <w:rFonts w:ascii="Times New Roman" w:cs="Times New Roman" w:eastAsia="Times New Roman" w:hAnsi="Times New Roman"/>
          <w:sz w:val="18"/>
          <w:szCs w:val="18"/>
          <w:color w:val="auto"/>
        </w:rPr>
      </w:pPr>
    </w:p>
    <w:p>
      <w:pPr>
        <w:ind w:left="1260" w:hanging="354"/>
        <w:spacing w:after="0"/>
        <w:tabs>
          <w:tab w:leader="none" w:pos="126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chemoradiotherapy in patients with non-metastatic rectal cancer.</w:t>
      </w:r>
    </w:p>
    <w:p>
      <w:pPr>
        <w:spacing w:after="0" w:line="318"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227"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CRLX301 is currently in early stage clinical development, with a Phase 1 trial ongoing. Assuming we are successful in establishing a safe maximum tolerated dose, or MTD, and/or a recommended Phase 2 dose in the Phase 1 trial, we plan to rapidly advance CRLX301 into Phase 2 development in selected solid tumors.</w:t>
      </w:r>
    </w:p>
    <w:p>
      <w:pPr>
        <w:spacing w:after="0" w:line="176"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 clinical trial of CRLX301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line="255" w:lineRule="auto"/>
        <w:rPr>
          <w:sz w:val="20"/>
          <w:szCs w:val="20"/>
          <w:color w:val="auto"/>
        </w:rPr>
      </w:pPr>
      <w:r>
        <w:rPr>
          <w:rFonts w:ascii="Times New Roman" w:cs="Times New Roman" w:eastAsia="Times New Roman" w:hAnsi="Times New Roman"/>
          <w:sz w:val="18"/>
          <w:szCs w:val="18"/>
          <w:color w:val="auto"/>
        </w:rPr>
        <w:t>December 2014. We are also required to make milestone payments in an aggregate amount of up to $18.0 million to Calando if we achieve certain development and sales events with respect to any cyclodextrin-based, or CDP-based, product. Further, under the Platform Agreement, if we, or one of our affiliates, sell CRLX301, or any CDP-based product,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Nanoparticle-Drug Conjugates or NDCs</w:t>
      </w:r>
    </w:p>
    <w:p>
      <w:pPr>
        <w:spacing w:after="0" w:line="227"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NDCs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any of our NDCs is highly uncertain. As such, at this time, we cannot reasonably predict with certainty the duration and costs of the current or future preclinical studies or clinical trials of any of our NDCs or if, when or to what extent we will generate revenues from any commercialization and sale of any of our NDCs that obtain marketing approval. We may never succeed in achieving regulatory approval for any of our NDCs. The duration, costs and timing of development of our NDCs will depend on a variety of factors, including:</w:t>
      </w:r>
    </w:p>
    <w:p>
      <w:pPr>
        <w:spacing w:after="0" w:line="72" w:lineRule="exact"/>
        <w:rPr>
          <w:sz w:val="20"/>
          <w:szCs w:val="20"/>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our ongoing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any product candidate once approved;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NDCs and conducting preclinical and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ongoing as well as any future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in the United States and abroad;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or approval of our NDCs in the United States and abroad;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suppliers of raw materials and third party manufacturers of finished drug product;</w:t>
      </w:r>
    </w:p>
    <w:p>
      <w:pPr>
        <w:spacing w:after="0" w:line="117" w:lineRule="exact"/>
        <w:rPr>
          <w:rFonts w:ascii="Times New Roman" w:cs="Times New Roman" w:eastAsia="Times New Roman" w:hAnsi="Times New Roman"/>
          <w:sz w:val="18"/>
          <w:szCs w:val="18"/>
          <w:color w:val="auto"/>
        </w:rPr>
      </w:pPr>
    </w:p>
    <w:p>
      <w:pPr>
        <w:ind w:left="900" w:right="80" w:hanging="374"/>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any of our NDCs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and maintaining, enforcing and defending intellectual property-related claims.</w:t>
      </w:r>
    </w:p>
    <w:p>
      <w:pPr>
        <w:spacing w:after="0" w:line="22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 NDC could mean a significant change in the cost and timing associated with the development of that NDC. For example, if the FDA, or a comparable non-U.S. regulatory authority were to require us to conduct clinical trials beyond those that we currently anticipate will be required for the marketing authorization of a NDC, or if we experience significant delays in enrollment in any of our clinical trials, we could be required to expend significant additional financial resources and time to obtain marketing authorization.</w:t>
      </w:r>
    </w:p>
    <w:p>
      <w:pPr>
        <w:spacing w:after="0" w:line="180"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NDCs. We anticipate that we will make determinations as to which additional programs to pursue and how much funding to direct to each program on an ongoing basis in response to the scientific and clinical data with respect to each NDC, as well as our ongoing assessment of the NDCs commercial potential. We will need to raise additional capital in the future in order to complete the development and commercialization of CRLX101 and CRLX301 and to fund the development of our other NDCs, if 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filing, patent prosecution, professional fees for legal, insurance, consulting, information technology, auditing and tax services and facility costs not otherwise included in research and development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900" w:right="10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NDCs;</w:t>
      </w:r>
    </w:p>
    <w:p>
      <w:pPr>
        <w:spacing w:after="0" w:line="53" w:lineRule="exact"/>
        <w:rPr>
          <w:rFonts w:ascii="Times New Roman" w:cs="Times New Roman" w:eastAsia="Times New Roman" w:hAnsi="Times New Roman"/>
          <w:sz w:val="18"/>
          <w:szCs w:val="18"/>
          <w:color w:val="auto"/>
        </w:rPr>
      </w:pPr>
    </w:p>
    <w:p>
      <w:pPr>
        <w:ind w:left="900" w:right="380" w:hanging="374"/>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68" w:lineRule="exact"/>
        <w:rPr>
          <w:rFonts w:ascii="Times New Roman" w:cs="Times New Roman" w:eastAsia="Times New Roman" w:hAnsi="Times New Roman"/>
          <w:sz w:val="18"/>
          <w:szCs w:val="18"/>
          <w:color w:val="auto"/>
        </w:rPr>
      </w:pPr>
    </w:p>
    <w:p>
      <w:pPr>
        <w:ind w:left="900" w:right="26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NDCs in anticipation of commercial launch before we receive regulatory approval of a NDC.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the Hercules Loan Agreement. Interest expense also includes the write off of debt discount and deferred financing costs associated with the repayment in 2015 of the debt incurred under the Lighthouse Loan Agreement. In 2014, interest expense consists primarily of interest, amortization of debt discount and amortization of deferred financing costs associated with the Lighthouse Loan Agreement and interest expense on our convertible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2015 and 2014 (Unaudited)</w:t>
      </w:r>
    </w:p>
    <w:p>
      <w:pPr>
        <w:spacing w:after="0" w:line="22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June 30, 2015 and 2014,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74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There was no revenue recorded for the three months ended June 30, 2015. For the three months ended June 30, 2014, revenue was $33,000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two material transfer agreements which concluded in 2014. Pursuant to the agreements, we recorded revenue from payments we received in exchange for providing research services utilizing our proprietary technology.</w:t>
      </w:r>
    </w:p>
    <w:p>
      <w:pPr>
        <w:spacing w:after="0" w:line="171" w:lineRule="exact"/>
        <w:rPr>
          <w:sz w:val="20"/>
          <w:szCs w:val="20"/>
          <w:color w:val="auto"/>
        </w:rPr>
      </w:pPr>
    </w:p>
    <w:p>
      <w:pPr>
        <w:ind w:right="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three months ended June 30, 2015, was $6.7 million compared to $2.6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June 30, 2014, an increase of $4.1 million, or 152%. The increase was primarily attributable to an increase in costs associated with the CRLX101 program. The following table summarizes our research and development expense by program for the three months ended June 30, 2015 and 2014, together with the change in spending by program in dollars and as a percentage (in thousands, except percentages):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1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5,030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6,678</w:t>
            </w:r>
          </w:p>
        </w:tc>
        <w:tc>
          <w:tcPr>
            <w:tcW w:w="22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2015, CRLX101 program expenses increased by $3.2 million, or 168%, to $5.0 million compared to $1.9 million for the three months ended June 30, 2014. The increase in CRLX101 program expenses was primarily attributable to costs associated with our ongoing RCC Trial, which was initiated in mid-2014, together with costs associated with ISTs. Clinical trial expenses increased $1.9 million reflecting an increase in CRO fees, investigator fees and costs associated with clinical sites and laboratories. Salary and benefits expenses increased $0.6 million reflecting increased headcount to support the CRLX101 program and the clinical trials. Chemistry, manufacturing, and controls, or CMC, costs increased $0.4 million reflecting increased activity to support current and future clinical development of CRLX101.</w:t>
      </w:r>
    </w:p>
    <w:p>
      <w:pPr>
        <w:spacing w:after="0" w:line="188"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2015, CRLX301 program expenses increased $0.4 million, or 130%, to $0.8 million compared to $0.4 million for the three months ended June 30, 2014. The increase in CRLX301 program expense was primarily due to costs associated with the Phase 1 clinical trial that we initiated in December 2014. CRLX301 clinical trial expenses increased by $0.2 million for the three months ended June 30, 2015, compared to the prior year primarily due to CRO and laboratory costs. Salary and benefits expenses increased $0.1 million compared to the prior year reflecting increased headcount to support the CRLX301 program and the clinical trials. CMC and development expenses increased $0.1 million reflecting increased activity to support current and future clinical development of CRLX301.</w:t>
      </w:r>
    </w:p>
    <w:p>
      <w:pPr>
        <w:spacing w:after="0" w:line="188"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were $0.5 million for the three months ended June 30, 2015, an increase of $0.3 million, or 108%, compared to $0.2 million for the three months ended June 30, 2014. The increase was primarily due to increased headcount in new discovery research.</w:t>
      </w:r>
    </w:p>
    <w:p>
      <w:pPr>
        <w:spacing w:after="0" w:line="17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three months ended June 30, 2015, was $2.7 million compared to $2.0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June 30, 2014, an increase of $0.7 million, or 34%. The increase in general and administrative costs was primarily due to the growth in our corporate infrastructure to support a larger public company. Salaries and benefits, including stock-based compensation, increased $0.4 million for the three months ended June 30, 2015, reflecting increases in finance and accounting, legal and corporate communications. Professional and consulting fees increased $0.1 million for the period compared to the prior year primarily due to board fees and other costs related to being a public company. Other general and administrative expenses including facility and office expenses, dues and subscriptions, conferences, and travel increased for the three months ended June 30, 2015, compared to the prior year due to our overall growth.</w:t>
      </w:r>
    </w:p>
    <w:p>
      <w:pPr>
        <w:spacing w:after="0" w:line="183"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June 30, 2015, was $0.5 million compared to $2.8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2014, a decrease of $2.3 million, or 81%. The decrease in other expense, net, was primarily due to a $2.5 million loss on the conversion of our 2014 convertible notes, which was recorded in April 2014. The decrease was partially offset by a $0.3 million increase in interest expense to $0.5 million for the three months ended June 30, 2015, compared to $0.2 million for the three months ended June 30, 2014 due to a higher average debt balance for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2015 and 2014 (Unaudited)</w:t>
      </w:r>
    </w:p>
    <w:p>
      <w:pPr>
        <w:spacing w:after="0" w:line="22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six months ended June 30, 2015 and 2014, together with the changes in those items in dollars and as a percentage (in thousands, except percentages):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740" w:type="dxa"/>
            <w:vAlign w:val="bottom"/>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right="2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There was no revenue recorded for the six months ended June 30, 2015. For the six months ended June 30, 2014, we recorded revenue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$80,000 from payments we received under two material transfer agreements. Pursuant to the agreements, we received payments in exchange for providing research services utilizing our proprietary technology. Work under the agreements terminated in 2014.</w:t>
      </w:r>
    </w:p>
    <w:p>
      <w:pPr>
        <w:spacing w:after="0" w:line="171" w:lineRule="exact"/>
        <w:rPr>
          <w:sz w:val="20"/>
          <w:szCs w:val="20"/>
          <w:color w:val="auto"/>
        </w:rPr>
      </w:pPr>
    </w:p>
    <w:p>
      <w:pPr>
        <w:ind w:right="14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six months ended June 30, 2015, was $11.7 million compared to $4.1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June 30, 2014, an increase of $7.6 million, or 182%. The increase was primarily attributable to an increase in costs associated with the CRLX101 program. The following table summarizes our research and development expense by program for the six months ended June 30, 2015 and 2014, together with the change in spending by program in dollars and as a percentage (in thousands, except percentages):</w:t>
      </w:r>
    </w:p>
    <w:tbl>
      <w:tblPr>
        <w:tblLayout w:type="fixed"/>
        <w:tblInd w:w="0" w:type="dxa"/>
        <w:tblCellMar>
          <w:top w:w="0" w:type="dxa"/>
          <w:left w:w="0" w:type="dxa"/>
          <w:bottom w:w="0" w:type="dxa"/>
          <w:right w:w="0" w:type="dxa"/>
        </w:tblCellMar>
      </w:tblPr>
      <w:tr>
        <w:trPr>
          <w:trHeight w:val="137"/>
        </w:trPr>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5"/>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1"/>
                <w:szCs w:val="11"/>
                <w:color w:val="auto"/>
              </w:rPr>
            </w:pPr>
          </w:p>
        </w:tc>
        <w:tc>
          <w:tcPr>
            <w:tcW w:w="11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2015, CRLX101 program expenses increased by $5.6 million, or 202%, to $8.4 million compared to $2.8 million for the six months ended June 30, 2014. The increase in CRLX101 program expense was primarily attributable to costs associated with our ongoing RCC Trial, which was initiated in mid-2014, together with costs associated with ISTs. Clinical trial expenses increased $3.4 million reflecting an increase in CRO fees, investigator fees and costs associated with clinical sites and laboratories. Salary and benefits expenses increased $1.1 million compared to the prior year to support the CRLX101 development program and the clinical trials. CMC costs increased $0.8 million compared to the prior year reflecting increased activity to support current and future clinical development of CRLX101.</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2015, CRLX301 program expenses increased $1.2 million, or 227%, to $1.7 million compared to $0.5 million for the six months ended June 30, 2014. The increase in CRLX301 program expenses was primarily due to costs associated with the Phase 1 clinical trial that we initiated in December 2014. CRLX301 clinical trial expenses increased by $0.4 million for the six months ended June 30, 2015 compared to the prior year primarily due to CRO fees, costs associated with clinical sites and laboratory costs. Salary and benefits expenses increased $0.4 million to support the CRLX301 development program and the clinical trials. CMC and development expenses increased $0.3 million reflecting increased activity to support current and future clinical development.</w:t>
      </w:r>
    </w:p>
    <w:p>
      <w:pPr>
        <w:spacing w:after="0" w:line="18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were $0.9 million for the six months ended June 30, 2015, an increase of $0.4 million, or 82%, compared to $0.5 million for the six months ended June 30, 2014. The increase is primarily due to increased headcount in new discovery research.</w:t>
      </w:r>
    </w:p>
    <w:p>
      <w:pPr>
        <w:spacing w:after="0" w:line="172"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six months ended June 30, 2015, was $5.4 million compared to $3.5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June 30, 2014, an increase of $1.9 million, or 53%. The increase in general and administrative costs was attributable to the growth in our corporate infrastructure to support a larger public company. Salaries and benefits, including stock-based compensation, increased $0.9 million for the six months ended June 30, 2015, compared to the prior year, reflecting increases in finance and accounting, legal and corporate communications. Professional and consulting fees increased by $0.5 million and insurance increased by $0.2 million for the period compared to the prior year primarily due to costs related to being a public company including board of director fees and insurance for directors and officers. Other general and administrative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8" w:name="page19"/>
    <w:bookmarkEnd w:id="18"/>
    <w:p>
      <w:pPr>
        <w:ind w:right="400"/>
        <w:spacing w:after="0" w:line="282" w:lineRule="auto"/>
        <w:rPr>
          <w:sz w:val="20"/>
          <w:szCs w:val="20"/>
          <w:color w:val="auto"/>
        </w:rPr>
      </w:pPr>
      <w:r>
        <w:rPr>
          <w:rFonts w:ascii="Times New Roman" w:cs="Times New Roman" w:eastAsia="Times New Roman" w:hAnsi="Times New Roman"/>
          <w:sz w:val="18"/>
          <w:szCs w:val="18"/>
          <w:color w:val="auto"/>
        </w:rPr>
        <w:t>expenses including facility and office expenses, dues and subscriptions, conferences, and travel increased $0.2 million for the six months ended June 30, 2015, compared to the prior year due to our overall growth.</w:t>
      </w:r>
    </w:p>
    <w:p>
      <w:pPr>
        <w:spacing w:after="0" w:line="15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six months ended June 30, 2015, was $1.2 million compared to $2.7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2014, a decrease of $1.5 million, or 54%. The decrease in other expense, net, was primarily due to a $2.5 million loss on the conversion of our 2014 convertible notes, which was recorded in April 2014. Interest expense was $1.2 million and $0.7 million for the six months ended June 30, 2015 and 2014, respectively, an increase of $0.5 million, or 70%. For the six months ended June 30, 2015, interest expense included $1.0 million associated with the Hercules Loan Agreement, including $0.2 million for the amortization of debt discount and deferred financing costs, and $0.2 million for the write off of debt discount and deferred financing costs associated with the repayment of the Lighthouse Loan Agreement. Interest expense for the six months ended June 30, 2014 included $0.2 million of interest on our convertible notes and $0.3 million of interest and $0.2 million for the amortization of debt discount and deferred financing costs associated with the Lighthouse Loan Agreement. Other expense, net, for the six months ended June 30, 2014 included a $0.5 million adjustment to the fair value of our outstanding preferred stock warrant liability which was recorded as other income.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From our incorporation through June 30, 2015, we raised an aggregate of $224.6 million to fund our operations, of which $84.2 million was from the sale of preferred stock, $59.9 million was from the IPO, $37.2 million was from the Secondary Offering, $17.3 million was from the sale of convertible promissory notes, $25.0 million was from borrowings under loan and security agreements and $1.0 million was from the private placement of our common stock to Hercules. As of June 30, 2015, we had cash and cash equivalents of approximately $85.5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Hercules Loan Agreement provides for up to three separate tranches of borrowings, the first of which was funded in the amount of $15.0 million on January 8, 2015. We may draw the second tranche of up to $5.0 million, subject to the satisfaction of customary funding conditions, on or prior to December 15, 2015, provided that we meet certain clinical milestones specified in the Hercules Loan Agreement. We may draw the third tranche of up to $6.0 million at no less than $3.0 million per draw and subject to the satisfaction of customary funding conditions, on or after September 30, 2015 but before December 15, 2015, provided that between January 8, 2015, and December 15, 2015, we have received net cash proceeds of at least $40.0 million from our issuance and sale of equity securities and/or upfront cash payments from one or more strategic corporate partnerships.</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provides for interest-only payments on a monthly basis until December 31, 2015. The interest only period may be extended at our option for a three month period if we attain certain clinical milestones specified in the Hercules Loan Agreement, and for an additional three month period if we attain certain clinical milestones and receive net cash proceeds of at least $30.0 million from the issuance and sale of our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(i) 3.0% if such prepayment occurs on or before January 8, 2016, (ii) 2.0% if such prepayment occurs after January 8, 2016, but on or before January 8, 2017, and (iii)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18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is secured by substantially all of our assets other than our intellectual property. We have also granted Hercules a negative pledge with respect to our intellectual property, which, among other things, prohibits us from selling, transferring, assigning, mortgaging, pledging, leasing, granting a security interest in or otherwise encumbering our intellectual property. The Hercules Loan Agreement includes restrictive covenants that may restrict our ability to obtain further debt or equity financing.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Lighthouse Loan Agreement. </w:t>
      </w:r>
      <w:r>
        <w:rPr>
          <w:rFonts w:ascii="Times New Roman" w:cs="Times New Roman" w:eastAsia="Times New Roman" w:hAnsi="Times New Roman"/>
          <w:sz w:val="18"/>
          <w:szCs w:val="18"/>
          <w:color w:val="auto"/>
        </w:rPr>
        <w:t>In 2011, we entered into the Lighthouse Loan Agreement which permitted us to borrow up to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$10.0 million. We borrowed $5.0 million in March 2012 and an additional $5.0 million in August 2012. Interest accrued under the Lighthouse Loan Agreement at an annual rate of 8.25%. As of December 31, 2014, there was $3.3 million in aggregate principal amount outstanding under the Lighthouse Loan Agreement. We repaid in full our outstanding indebtedness under the Lighthouse Loan Agreement and terminated the agreement on January 8, 2015. There were no prepayment charges associated with the early repayment of the loan.</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In 2014, we issued and sold convertible promissory notes in an aggregate principal amount of $8.5 million, to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and one additional purchaser. The 2014 convertible notes accrued interest at an annual rate of 7%. In connection with the completion of our IPO, all principal and accrued interest under our 2014 convertible notes converted into an aggregate of 1,582,931 shares of our common stock, at 77.5% of the IPO price, or $5.43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22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w:t>
      </w:r>
    </w:p>
    <w:p>
      <w:pPr>
        <w:spacing w:after="0" w:line="17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2015,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spacing w:after="0" w:line="68" w:lineRule="exact"/>
        <w:rPr>
          <w:sz w:val="20"/>
          <w:szCs w:val="20"/>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NDCs we pursue;</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NDCs, and conducting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NDCs;</w:t>
      </w:r>
    </w:p>
    <w:p>
      <w:pPr>
        <w:spacing w:after="0" w:line="117" w:lineRule="exact"/>
        <w:rPr>
          <w:rFonts w:ascii="Times New Roman" w:cs="Times New Roman" w:eastAsia="Times New Roman" w:hAnsi="Times New Roman"/>
          <w:sz w:val="18"/>
          <w:szCs w:val="18"/>
          <w:color w:val="auto"/>
        </w:rPr>
      </w:pPr>
    </w:p>
    <w:p>
      <w:pPr>
        <w:ind w:left="900" w:right="420" w:hanging="374"/>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NDCs for which we receive marketing approval;</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NDCs for which we receive marketing approval;</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and timing of the manufacture, supply and distribution of our drug candidates for preclinical and clinical trials;</w:t>
      </w:r>
    </w:p>
    <w:p>
      <w:pPr>
        <w:spacing w:after="0" w:line="117" w:lineRule="exact"/>
        <w:rPr>
          <w:rFonts w:ascii="Times New Roman" w:cs="Times New Roman" w:eastAsia="Times New Roman" w:hAnsi="Times New Roman"/>
          <w:sz w:val="18"/>
          <w:szCs w:val="18"/>
          <w:color w:val="auto"/>
        </w:rPr>
      </w:pPr>
    </w:p>
    <w:p>
      <w:pPr>
        <w:ind w:left="900" w:right="560" w:hanging="374"/>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3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580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(15,738)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50,377</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66,676</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18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use of cash in each period resulted primarily from our net losses adjusted for non-cash charges and changes in components of working capital.</w:t>
      </w:r>
    </w:p>
    <w:p>
      <w:pPr>
        <w:spacing w:after="0" w:line="22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$15.7 million for the six months ended June 30, 2015, compared with $7.9 million for the six months ended June 30, 2014, an increase of $7.8 million, or 99%. The increase in net cash used in operating activities resulted primarily from an increase in operating expenses of $9.4 million partially offset by an increase in stock compensation expense of $0.6 million and a change in components of working capital of $0.9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$0.3 million for the six months ended June 30, 2015, compared to net cash provided by investing activities of $2,000 for the six months ended June 30, 2014. For the six months ended June 30, 2015, cash used in investing activities included a $0.2 million increase in restricted cash to collateralize a stand-by letter of credit issued as a security deposit on a new facility lease. Cash used in investing activities for the purchase of lab equipment and employee computers increased $69,000 to $0.1 million for the six months ended June 30, 2015, compared to $38,000 for the six months ended June 30, 2014. Cash provided by investing activities for the six months ended June 30, 2014, included proceeds for the sale of property and equipment of $40,000.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$50.4 million for the six months ended June 30, 2015, compared with $66.7 million for the six months ended June 30, 2014. Net cash provided by financing activities for the six months ended June 30, 2015, was primarily due to net proceeds of $37.2 million from our Secondary Offering, proceeds of $15.0 million from our initial borrowing under the Hercules Loan Agreement, proceeds of $1.0 million from the sale of our common stock in a private placement to Hercules and proceeds of $1.5 million from the exercise of stock options. Net cash provided by financing activities for the six months ended June 30, 2015, was reduced by $3.9 million paid to repay in full the Lighthouse Loan Agreement and cash paid for debt issuance costs of $0.4 million. For the six months ended June 30, 2014, net cash provided by financing activities was primarily due to net proceeds of $59.9 million from our IPO and proceeds of $8.5 million from the sale of convertible promissory notes. Net cash provided by financing activities for the six months ended June 30, 2014, was reduced by payments of $1.6 million under the Lighthouse Loan Agreement and cash paid for debt issuance costs of $0.1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2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On July 9, 2015, we entered into a lease agreement with AstraZeneca Pharmaceuticals Limited Partnership for approximately 22,992 square feet of laboratory and office space in Waltham, Massachusetts. The lease commences on December 28, 2015, and expires on February 28, 2021, subject to our three-year extension option. During each of the first two years of the term, our annual base rent will be $689,760. Thereafter, the annual base rent will increase annually for the remainder of the term. In addition to the base rent, we are also responsible for our share of the operating expenses, utility costs and real estate taxes. The base rent for the extension term, if any, will be the greater of the fair market rent or the base rent for the lease year immediately preceding the commencement of the extension year.</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 January 8, 2015, we borrowed $15.0 million under the Hercules Loan Agreement and used a portion of those proceeds to repay our total outstanding indebtedness of $3.6 million under the Lighthouse Loan Agreement, which has been terminated. Borrowings under the Hercules Loan Agreement bear interest at 7.3%. The Hercules Loan Agreement provides for interest only payments until December 31, 2015, subject to a potential extension of the interest only period in accordance with the terms of the Hercules Loan Agreement. Thereafter, amortization payments will be payable in equal monthly installments of principal and interest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1" w:name="page22"/>
    <w:bookmarkEnd w:id="21"/>
    <w:p>
      <w:pPr>
        <w:ind w:right="300"/>
        <w:spacing w:after="0" w:line="282" w:lineRule="auto"/>
        <w:rPr>
          <w:sz w:val="20"/>
          <w:szCs w:val="20"/>
          <w:color w:val="auto"/>
        </w:rPr>
      </w:pPr>
      <w:r>
        <w:rPr>
          <w:rFonts w:ascii="Times New Roman" w:cs="Times New Roman" w:eastAsia="Times New Roman" w:hAnsi="Times New Roman"/>
          <w:sz w:val="18"/>
          <w:szCs w:val="18"/>
          <w:color w:val="auto"/>
        </w:rPr>
        <w:t>to fully amortize the outstanding principal over the remaining term of the loan. At the end of the loan term (whether at maturity, by prepayment in full or otherwise), we will pay a final end of term charge to Hercules in the amount of 6.7% of the aggregate original principal amount advanced by Hercules.</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of June 30, 2015, there were no material changes, outside of the ordinary course of business, in our outstanding contractual obligations from those disclosed in our Annual Report on Form 10-K for the fiscal year ended December 31, 2014, other than as described in the preceding paragraphs.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April 2015, the Financial Accounting Standards Board issued Accounting Standards Update, or ASU, 2015-03, “Interest – Imputation of Interest”, or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our consolidated financial statements.</w:t>
      </w:r>
    </w:p>
    <w:p>
      <w:pPr>
        <w:spacing w:after="0" w:line="16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June 30, 2015, we had cash and cash equivalents of approximately $85.5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 As of June 30, 2015, we were also subject to interest rate risk from our indebtedness under the Hercules Loan Agreement that accrues interest at a floating per annum rate equal to the greater of (i) 7.30% or (ii) the sum of 7.30% plus the prime rate minus 5.75%. A 10% increase in interest rates at June 30, 2015, would not have a material effect on our annual interest expense.</w:t>
      </w:r>
    </w:p>
    <w:p>
      <w:pPr>
        <w:spacing w:after="0" w:line="29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7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June 30,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six months ended June 30,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Although the Hercules Loan Agreement provides for two additional tranches in an aggregate amount of up to $11.0 million that we may borrow if we meet certain clinical and financing milestones, we may fail to meet these conditions and be unable to obtain this funding.</w:t>
      </w:r>
    </w:p>
    <w:p>
      <w:pPr>
        <w:spacing w:after="0" w:line="18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June 30, 2015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spacing w:after="0" w:line="68" w:lineRule="exact"/>
        <w:rPr>
          <w:sz w:val="20"/>
          <w:szCs w:val="20"/>
          <w:color w:val="auto"/>
        </w:rPr>
      </w:pPr>
    </w:p>
    <w:p>
      <w:pPr>
        <w:ind w:left="5620" w:right="4820" w:hanging="5094"/>
        <w:spacing w:after="0" w:line="636" w:lineRule="auto"/>
        <w:tabs>
          <w:tab w:leader="none" w:pos="819"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product candidates we pursue;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ind w:left="820" w:hanging="294"/>
        <w:spacing w:after="0"/>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costs, timing and outcome of regulatory review of our product candidates;</w:t>
      </w:r>
    </w:p>
    <w:p>
      <w:pPr>
        <w:spacing w:after="0" w:line="143" w:lineRule="exact"/>
        <w:rPr>
          <w:rFonts w:ascii="Times New Roman" w:cs="Times New Roman" w:eastAsia="Times New Roman" w:hAnsi="Times New Roman"/>
          <w:sz w:val="26"/>
          <w:szCs w:val="26"/>
          <w:color w:val="auto"/>
          <w:vertAlign w:val="superscript"/>
        </w:rPr>
      </w:pPr>
    </w:p>
    <w:p>
      <w:pPr>
        <w:ind w:left="820" w:right="20" w:hanging="294"/>
        <w:spacing w:after="0" w:line="194" w:lineRule="auto"/>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establish and maintain strategic partnerships, licensing or other arrangements and the financial terms of such agreements;</w:t>
      </w:r>
    </w:p>
    <w:p>
      <w:pPr>
        <w:spacing w:after="0" w:line="143" w:lineRule="exact"/>
        <w:rPr>
          <w:rFonts w:ascii="Times New Roman" w:cs="Times New Roman" w:eastAsia="Times New Roman" w:hAnsi="Times New Roman"/>
          <w:sz w:val="25"/>
          <w:szCs w:val="25"/>
          <w:color w:val="auto"/>
          <w:vertAlign w:val="superscript"/>
        </w:rPr>
      </w:pPr>
    </w:p>
    <w:p>
      <w:pPr>
        <w:ind w:left="820" w:right="20" w:hanging="294"/>
        <w:spacing w:after="0" w:line="194" w:lineRule="auto"/>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headcount growth and associated costs;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costs of operating as a public company.</w:t>
      </w:r>
    </w:p>
    <w:p>
      <w:pPr>
        <w:spacing w:after="0" w:line="19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and/or license and development agreements with collaboration partners.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 VI, L.P. As of June 30, 2015, we had approximately $16.1 million in outstanding indebtedness under the Hercules Loan Agreement.</w:t>
      </w:r>
    </w:p>
    <w:p>
      <w:pPr>
        <w:spacing w:after="0" w:line="17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54" w:lineRule="exact"/>
        <w:rPr>
          <w:sz w:val="20"/>
          <w:szCs w:val="20"/>
          <w:color w:val="auto"/>
        </w:rPr>
      </w:pPr>
    </w:p>
    <w:p>
      <w:pPr>
        <w:ind w:left="820" w:right="20" w:hanging="294"/>
        <w:spacing w:after="0" w:line="200" w:lineRule="auto"/>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24" w:name="page25"/>
    <w:bookmarkEnd w:id="24"/>
    <w:p>
      <w:pPr>
        <w:ind w:left="820" w:hanging="294"/>
        <w:spacing w:after="0"/>
        <w:tabs>
          <w:tab w:leader="none" w:pos="82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limiting our flexibility in planning for, or reacting to, changes in our business and the industry in which we compete; and</w:t>
      </w:r>
    </w:p>
    <w:p>
      <w:pPr>
        <w:spacing w:after="0" w:line="143" w:lineRule="exact"/>
        <w:rPr>
          <w:rFonts w:ascii="Times New Roman" w:cs="Times New Roman" w:eastAsia="Times New Roman" w:hAnsi="Times New Roman"/>
          <w:sz w:val="26"/>
          <w:szCs w:val="26"/>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placing us at a competitive disadvantage compared to our competitors that have less debt or better debt servicing options.</w:t>
      </w:r>
    </w:p>
    <w:p>
      <w:pPr>
        <w:spacing w:after="0" w:line="19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June 30, 2015, we had an accumulated deficit of $140.1 million. We do not know whether or when we will become profitable. We have not generated any revenues to date from product sales and have financed our operations primarily through the public offering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81" w:lineRule="exact"/>
        <w:rPr>
          <w:sz w:val="20"/>
          <w:szCs w:val="20"/>
          <w:color w:val="auto"/>
        </w:rPr>
      </w:pPr>
    </w:p>
    <w:p>
      <w:pPr>
        <w:ind w:left="820" w:hanging="294"/>
        <w:spacing w:after="0" w:line="200" w:lineRule="auto"/>
        <w:tabs>
          <w:tab w:leader="none" w:pos="82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controlled trials, alone or in combination with other agents;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continue our Phase 1 clinical trial of CRLX301, our second most advanced product candidate, as well as subsequent studies of CRLX301;</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elect to expand, amend or redesign any current trial of CRLX101 or CRLX301;</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continue our research and preclinical development of additional product candidates utilizing our Dynamic Tumor Targeting Platform;</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 the future, establish a sales, marketing and distribution infrastructure in the United States;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scale up external manufacturing capabilities to commercialize any products for which we may obtain regulatory approval;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maintain, expand and protect our intellectual property portfolio;</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 equipment and physical infrastructure to support our research and development;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hire additional personnel.</w:t>
      </w:r>
    </w:p>
    <w:p>
      <w:pPr>
        <w:spacing w:after="0" w:line="19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72"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84"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18" w:lineRule="exact"/>
        <w:rPr>
          <w:sz w:val="20"/>
          <w:szCs w:val="20"/>
          <w:color w:val="auto"/>
        </w:rPr>
      </w:pPr>
    </w:p>
    <w:p>
      <w:pPr>
        <w:ind w:left="820" w:hanging="294"/>
        <w:spacing w:after="0"/>
        <w:tabs>
          <w:tab w:leader="none" w:pos="8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performance of our future collaborators for CRLX101, if any;</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extent of any required post-marketing approval commitments to applicable regulatory authorities;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establishment and management of supply arrangements with third party raw materials suppliers and manufacturers;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establishment and management of supply arrangements for the delivery of our product candidates in the United States and internationally;</w:t>
      </w:r>
    </w:p>
    <w:p>
      <w:pPr>
        <w:spacing w:after="0" w:line="143" w:lineRule="exact"/>
        <w:rPr>
          <w:rFonts w:ascii="Times New Roman" w:cs="Times New Roman" w:eastAsia="Times New Roman" w:hAnsi="Times New Roman"/>
          <w:sz w:val="25"/>
          <w:szCs w:val="25"/>
          <w:color w:val="auto"/>
          <w:vertAlign w:val="superscript"/>
        </w:rPr>
      </w:pPr>
    </w:p>
    <w:p>
      <w:pPr>
        <w:ind w:left="820" w:right="20" w:hanging="294"/>
        <w:spacing w:after="0" w:line="194" w:lineRule="auto"/>
        <w:tabs>
          <w:tab w:leader="none" w:pos="8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establishment and coordination of supply arrangements for the delivery of combination agents and/or standard of care drugs internationally, depending on the jurisdiction;</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protection of our rights in our intellectual property portfolio;</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launch of commercial sales if and when approved;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 continued acceptable safety profile of CRLX101 following any marketing approval;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commercial acceptance, if and when approved, by patients, the medical community and third party payors;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establishment of arrangements with third party manufacturers to obtain finished drug products that are appropriately packaged for sale;</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establishing and maintaining pricing sufficient to realize a meaningful return on our investment;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competition with other therapies.</w:t>
      </w:r>
    </w:p>
    <w:p>
      <w:pPr>
        <w:spacing w:after="0" w:line="19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820" w:hanging="294"/>
        <w:spacing w:after="0" w:line="217"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size and nature of the patient population;</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severity of the disease under investigation;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unexpected or serious adverse events that occur in the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proximity of patients to sites;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eligibility criteria for the trial;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design of the trial;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efforts to facilitate timely enrollment;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investigators’ engagement with, or enthusiasm about, the trial;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complexity of initiating or expanding trials with sites outside of the United States;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left="820" w:hanging="294"/>
        <w:spacing w:after="0"/>
        <w:tabs>
          <w:tab w:leader="none" w:pos="82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competing trials; and</w:t>
      </w:r>
    </w:p>
    <w:p>
      <w:pPr>
        <w:spacing w:after="0" w:line="131" w:lineRule="exact"/>
        <w:rPr>
          <w:rFonts w:ascii="Times New Roman" w:cs="Times New Roman" w:eastAsia="Times New Roman" w:hAnsi="Times New Roman"/>
          <w:sz w:val="29"/>
          <w:szCs w:val="29"/>
          <w:color w:val="auto"/>
          <w:vertAlign w:val="superscript"/>
        </w:rPr>
      </w:pPr>
    </w:p>
    <w:p>
      <w:pPr>
        <w:ind w:left="820" w:right="20" w:hanging="294"/>
        <w:spacing w:after="0" w:line="199" w:lineRule="auto"/>
        <w:tabs>
          <w:tab w:leader="none" w:pos="82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9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For example, with respect to our company-sponsored trial of CRLX101 in combination with Avastin (bevacizumab) in patients with 3rd and 4th line relapsed renal cell carcinoma, or the RCC Trial, which we initiated in August 2014, site accrual was slower than expected, so we added additional sites with the goal of completing enrollment according to plan; however, we may not be able to achieve this goal.</w:t>
      </w:r>
    </w:p>
    <w:p>
      <w:pPr>
        <w:spacing w:after="0" w:line="17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84" w:lineRule="exact"/>
        <w:rPr>
          <w:sz w:val="20"/>
          <w:szCs w:val="20"/>
          <w:color w:val="auto"/>
        </w:rPr>
      </w:pPr>
    </w:p>
    <w:p>
      <w:pPr>
        <w:jc w:val="both"/>
        <w:ind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pursuing the clinical development of CRLX101 in combinations with Avastin in relapsed renal cell carcinoma and relapsed ovarian cancer and with capecitabine and radiotherapy in neoadjuvant rectal cancer and may focus on additional combinations in the future. If the FDA revokes its approval of, or if safety, efficacy, manufacturing or supply issues arise with, Avastin, capecitabine, or any other therapeutic that we use in combination with CRLX101 in the future, we may be unable to market CRLX101 or may experience significant regulatory delays or supply shortages, and our business could be materially harmed.</w:t>
      </w:r>
    </w:p>
    <w:p>
      <w:pPr>
        <w:spacing w:after="0" w:line="184"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There are ongoing ISTs evaluating CRLX101 (1) in combination with Avastin in patients with renal cell carcinoma, or RCC, that has relapsed, (2) in combination with Avastin in patients with relapsed ovarian cancer and (3) in combination with capecitabine and radiotherapy in patients with neoadjuvant rectal cancer. We have also commenced the RCC Trial, which is a company-sponsored trial, and we expect to commence additional company-sponsored trials of CRLX101 in the future. Avastin is currently approved to treat various cancers, and the combination of capecitabine and radiotherapy is currently the standard of care in neoadjuvant rectal cancer in the United States. However, we did not develop or obtain regulatory approval for, and we do not manufacture or sell, Avastin or capecitabine. We may also seek to develop our product candidates in combination with other therapeutics in the future.</w:t>
      </w:r>
    </w:p>
    <w:p>
      <w:pPr>
        <w:spacing w:after="0" w:line="188"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If the FDA revokes its approval of either Avastin or capecitabine, we will not be able to market CRLX101 in combination with such revoked therapeutic. If safety or efficacy issues arise with Avastin or capecitabine or any other therapeutics that we seek to combine with our product candidates in the future, we may experience significant regulatory delays, and the FDA may require us to redesign or terminate the applicable clinical trials. Moreover, if Avastin or capecitabine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or capecitabine, as applicable. If capecitabine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capecitabine or any other combination therapeutics, we may not be able to complete clinical development of CRLX101 on our current timeline or at all.</w:t>
      </w:r>
    </w:p>
    <w:p>
      <w:pPr>
        <w:spacing w:after="0" w:line="18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Avastin or capecitabine or another therapeutic, we would continue to be subject to the risk that the FDA could revoke its approval of Avastin or capecitabine, that safety, efficacy, manufacturing, cost or supply issues could arise with one of these therapeutic agents, or that capecitabine and radiotherapy may be replaced as the standard of care in patients with neoadjuvant rectal cancer. This could result in CRLX101 being removed from the market or being less successful commercially.</w:t>
      </w:r>
    </w:p>
    <w:p>
      <w:pPr>
        <w:spacing w:after="0" w:line="180"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On November 19, 2014, the FDA approved Genentech, Inc.’s supplemental Biologics License Application for Avastin plus chemotherapy for the treatment of women with recurrent platinum-resistant ovarian cancer. This approval may alter the regulatory and commercial landscape of ovarian cancer drug development. We initiated a Company-sponsored Phase 1b trial with the GOG Foundation, Inc. in which we will evaluate the combination of CRLX101 with weekly paclitaxel in patients with relapsed ovarian cancer. Based on the data generated by that trial, we will further evaluate the regulatory requirements and the commercial opportunity for CRLX101 in relapsed ovarian cancer. It is possible that we will determine that the threshold for regulatory approval is too high or that the commercial opportunity is too narrow and, for either reason, we might abandon our efforts to develop CRLX101 in relapsed ovarian cancer.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28" w:name="page29"/>
    <w:bookmarkEnd w:id="28"/>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hypoxia inducible factor, or HIF, in cancer cells proves incorrect, it may adversely affect our ability to commercialize and market CRLX101.</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We have shown preclinically that CRLX101 inhibits both HIF-1α and HIF-2α. While HIF-1α has become a target of increasing interest in cancer research and recent research suggests that HIF-1α is a master regulator for many cancer cell survival pathways, the science underlying HIF-1α is based on recent discoveries and not fully understood. Moreover, the exact role of HIF-2α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200" w:lineRule="exact"/>
        <w:rPr>
          <w:sz w:val="20"/>
          <w:szCs w:val="20"/>
          <w:color w:val="auto"/>
        </w:rPr>
      </w:pPr>
    </w:p>
    <w:p>
      <w:pPr>
        <w:spacing w:after="0" w:line="20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RCC; a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9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a significant increase in pathologic complete response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8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72"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54" w:lineRule="exact"/>
        <w:rPr>
          <w:sz w:val="20"/>
          <w:szCs w:val="20"/>
          <w:color w:val="auto"/>
        </w:rPr>
      </w:pPr>
    </w:p>
    <w:p>
      <w:pPr>
        <w:ind w:left="820" w:right="2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clinical trials of our product candidates may produce unfavorable or inconclusive results, such as with our Phase 2 clinical trial of CRLX101 as monotherapy for patients with advanced NSCLC who had progressed through one or two prior regimens of chemotherapy;</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130"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94"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130" w:lineRule="exact"/>
        <w:rPr>
          <w:rFonts w:ascii="Times New Roman" w:cs="Times New Roman" w:eastAsia="Times New Roman" w:hAnsi="Times New Roman"/>
          <w:sz w:val="29"/>
          <w:szCs w:val="29"/>
          <w:color w:val="auto"/>
          <w:vertAlign w:val="superscript"/>
        </w:rPr>
      </w:pPr>
    </w:p>
    <w:p>
      <w:pPr>
        <w:jc w:val="both"/>
        <w:ind w:left="820" w:right="20" w:hanging="294"/>
        <w:spacing w:after="0" w:line="214"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needed enrollment size for the clinical trial or extend the clinical trial’s duration;</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41" w:lineRule="exact"/>
        <w:rPr>
          <w:rFonts w:ascii="Times New Roman" w:cs="Times New Roman" w:eastAsia="Times New Roman" w:hAnsi="Times New Roman"/>
          <w:sz w:val="29"/>
          <w:szCs w:val="29"/>
          <w:color w:val="auto"/>
          <w:vertAlign w:val="superscript"/>
        </w:rPr>
      </w:pPr>
    </w:p>
    <w:p>
      <w:pPr>
        <w:jc w:val="both"/>
        <w:ind w:left="820" w:right="20" w:hanging="294"/>
        <w:spacing w:after="0" w:line="21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have to suspend or terminate one or more clinical trials of our product candidates for various reasons, including a determination that the path to commercialization is too difficult or uncertain, changes in the competitive or regulatory landscape, a finding that the participants are being exposed to unacceptable health risks, unexpected or serious adverse events or other unexpected characteristics of a product candidate;</w:t>
      </w:r>
    </w:p>
    <w:p>
      <w:pPr>
        <w:spacing w:after="0" w:line="131" w:lineRule="exact"/>
        <w:rPr>
          <w:rFonts w:ascii="Times New Roman" w:cs="Times New Roman" w:eastAsia="Times New Roman" w:hAnsi="Times New Roman"/>
          <w:sz w:val="29"/>
          <w:szCs w:val="29"/>
          <w:color w:val="auto"/>
          <w:vertAlign w:val="superscript"/>
        </w:rPr>
      </w:pPr>
    </w:p>
    <w:p>
      <w:pPr>
        <w:jc w:val="both"/>
        <w:ind w:left="820" w:right="20" w:hanging="294"/>
        <w:spacing w:after="0" w:line="221"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34"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w:t>
      </w:r>
    </w:p>
    <w:p>
      <w:pPr>
        <w:spacing w:after="0" w:line="2" w:lineRule="exact"/>
        <w:rPr>
          <w:sz w:val="20"/>
          <w:szCs w:val="20"/>
          <w:color w:val="auto"/>
        </w:rPr>
      </w:pPr>
    </w:p>
    <w:p>
      <w:pPr>
        <w:ind w:left="820" w:right="20"/>
        <w:spacing w:after="0" w:line="259" w:lineRule="auto"/>
        <w:rPr>
          <w:sz w:val="20"/>
          <w:szCs w:val="20"/>
          <w:color w:val="auto"/>
        </w:rPr>
      </w:pPr>
      <w:r>
        <w:rPr>
          <w:rFonts w:ascii="Times New Roman" w:cs="Times New Roman" w:eastAsia="Times New Roman" w:hAnsi="Times New Roman"/>
          <w:sz w:val="18"/>
          <w:szCs w:val="18"/>
          <w:color w:val="auto"/>
        </w:rPr>
        <w:t>studies and clinical trials, or may change the requirements for approval even after it has reviewed and commented on the design of our clinical trials;</w:t>
      </w:r>
    </w:p>
    <w:p>
      <w:pPr>
        <w:spacing w:after="0" w:line="114" w:lineRule="exact"/>
        <w:rPr>
          <w:sz w:val="20"/>
          <w:szCs w:val="20"/>
          <w:color w:val="auto"/>
        </w:rPr>
      </w:pPr>
    </w:p>
    <w:p>
      <w:pPr>
        <w:ind w:left="820" w:right="20" w:hanging="294"/>
        <w:spacing w:after="0" w:line="200" w:lineRule="auto"/>
        <w:tabs>
          <w:tab w:leader="none" w:pos="8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130" w:lineRule="exact"/>
        <w:rPr>
          <w:rFonts w:ascii="Times New Roman" w:cs="Times New Roman" w:eastAsia="Times New Roman" w:hAnsi="Times New Roman"/>
          <w:sz w:val="29"/>
          <w:szCs w:val="29"/>
          <w:color w:val="auto"/>
          <w:vertAlign w:val="superscript"/>
        </w:rPr>
      </w:pPr>
    </w:p>
    <w:p>
      <w:pPr>
        <w:jc w:val="both"/>
        <w:ind w:left="820" w:right="20" w:hanging="294"/>
        <w:spacing w:after="0" w:line="214" w:lineRule="auto"/>
        <w:tabs>
          <w:tab w:leader="none" w:pos="8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left="820" w:right="20" w:hanging="294"/>
        <w:spacing w:after="0" w:line="200" w:lineRule="auto"/>
        <w:tabs>
          <w:tab w:leader="none" w:pos="82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98"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7"/>
          <w:szCs w:val="17"/>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70"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have conducted, currently are conducting and intend in the future to conduct, clinical trials outside the United States. Opening trial sites outside of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we expanded the RCC Trial to South Korea where we recently completed the opening of five additional clinical sites.</w:t>
      </w:r>
    </w:p>
    <w:p>
      <w:pPr>
        <w:spacing w:after="0" w:line="184"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On March 27, 2015 the IND in the United States for CRLX301 became effective which enables us to conduct clinical trials for CRLX301 in the United States. Nonetheless, there can be no assurance that the FDA will accept data from trials conducted outside of the United States.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91"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ind w:left="820" w:hanging="294"/>
        <w:spacing w:after="0" w:line="207" w:lineRule="auto"/>
        <w:tabs>
          <w:tab w:leader="none" w:pos="82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10" w:lineRule="exact"/>
        <w:rPr>
          <w:rFonts w:ascii="Times New Roman" w:cs="Times New Roman" w:eastAsia="Times New Roman" w:hAnsi="Times New Roman"/>
          <w:sz w:val="29"/>
          <w:szCs w:val="29"/>
          <w:color w:val="auto"/>
          <w:vertAlign w:val="superscript"/>
        </w:rPr>
      </w:pPr>
    </w:p>
    <w:p>
      <w:pPr>
        <w:ind w:left="820" w:right="20" w:hanging="294"/>
        <w:spacing w:after="0" w:line="191" w:lineRule="auto"/>
        <w:tabs>
          <w:tab w:leader="none" w:pos="82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foreign exchange fluctuations;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more burdensome manufacturing, customs, shipment and storage requirements;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cultural differences in medical practice and clinical research;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diminished protection of intellectual property in some countries.</w:t>
      </w:r>
    </w:p>
    <w:p>
      <w:pPr>
        <w:spacing w:after="0" w:line="195"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or (4) there are unacceptable safety concerns associated with our product candidates, we, in addition to incurring additional costs, may:</w:t>
      </w:r>
    </w:p>
    <w:p>
      <w:pPr>
        <w:spacing w:after="0" w:line="17" w:lineRule="exact"/>
        <w:rPr>
          <w:sz w:val="20"/>
          <w:szCs w:val="20"/>
          <w:color w:val="auto"/>
        </w:rPr>
      </w:pPr>
    </w:p>
    <w:p>
      <w:pPr>
        <w:ind w:left="820" w:hanging="294"/>
        <w:spacing w:after="0"/>
        <w:tabs>
          <w:tab w:leader="none" w:pos="82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 delayed in obtaining marketing approval for our product candidates;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not obtain marketing approval at all;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obtain approval for indications or patient populations that are not as broad as we intended or desired;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obtain approval with labeling that includes significant use or distribution restrictions or significant safety warnings, including boxed warnings;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be subject to additional post-marketing testing or other requirements; or</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be required to remove the product from the market after obtaining marketing approval.</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On April 27, 2015 we were notified that we received fast track designation for CRLX101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184"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PDUFA filing fees.</w:t>
      </w:r>
    </w:p>
    <w:p>
      <w:pPr>
        <w:spacing w:after="0" w:line="15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designated orphan drug receives marketing exclusivity for use of that drug for the stated condition or disease for a period of seven years.</w:t>
      </w:r>
    </w:p>
    <w:p>
      <w:pPr>
        <w:spacing w:after="0" w:line="22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On May 26, 2015 the FDA granted orphan drug designation to CRLX101 for the treatment of ovarian cancer.</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for one or more of our product candidates at the time of the submission of the NDA to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7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A ten 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 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timeline assumes CRLX101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87"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of our product candidates and indications.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Traditional Approval. If such post-approval studies fail to confirm the drug’s clinical profile or risks and benefits, the FDA may withdraw its approval of the drug.</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would result in a longer time period to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ind w:left="820" w:hanging="294"/>
        <w:spacing w:after="0" w:line="220" w:lineRule="auto"/>
        <w:tabs>
          <w:tab w:leader="none" w:pos="82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42"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20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7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spacing w:after="0" w:line="13" w:lineRule="exact"/>
        <w:rPr>
          <w:sz w:val="20"/>
          <w:szCs w:val="20"/>
          <w:color w:val="auto"/>
        </w:rPr>
      </w:pPr>
    </w:p>
    <w:p>
      <w:pPr>
        <w:ind w:left="820" w:hanging="294"/>
        <w:spacing w:after="0"/>
        <w:tabs>
          <w:tab w:leader="none" w:pos="82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efficacy and safety of the product;</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potential advantages of the product compared to alternative treatments;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prevalence and severity of any side effects;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clinical indications for which the product is approved;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whether the product is designated under physician treatment guidelines as a first-line therapy or as a second- or third-line therapy;</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limitations or warnings, including distribution or use restrictions, contained in the product’s approved labeling;</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offer the product for sale at competitive prices;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establish and maintain pricing sufficient to realize a meaningful return on our investment;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product’s convenience and ease of administration compared to alternative treatments;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willingness of the target patient population to try, and of physicians to prescribe, the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strength of sales, marketing and distribution support;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availability of alternative treatments already approved or approval of other new products for the same indications;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changes in the standard of care for the targeted indications for the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timing of market introduction of our approved products as well as competitive products and other therapies;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availability and amount of reimbursement from government payors, managed care plans and other third party payors;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strength and efficacy of our marketing and distribution efforts;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adverse publicity about the product or favorable publicity about competitive products;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potential product liability claims.</w:t>
      </w:r>
    </w:p>
    <w:p>
      <w:pPr>
        <w:spacing w:after="0" w:line="19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13" w:lineRule="exact"/>
        <w:rPr>
          <w:sz w:val="20"/>
          <w:szCs w:val="20"/>
          <w:color w:val="auto"/>
        </w:rPr>
      </w:pPr>
    </w:p>
    <w:p>
      <w:pPr>
        <w:ind w:left="820" w:hanging="294"/>
        <w:spacing w:after="0"/>
        <w:tabs>
          <w:tab w:leader="none" w:pos="82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required to recall the drug or change the way the drug is administered;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additional restrictions may be imposed on the marketing of, or the manufacturing processes for, the particular drug;</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subject to fines, injunctions or the imposition of civil or criminal penalties;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regulatory authorities may require the addition of labeling statements, such as a “black box” warning or a contraindication;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required to create a Medication Guide outlining the risks of the previously unidentified side effects for distribution to patients;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could be sued and held liable for harm caused to patients;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drug may become less competitive;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reputation may suffer.</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jc w:val="both"/>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75"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Several companies are marketing and developing oncology products. Companies with marketed nanoparticle oncology products include Celgene Corporation (Abraxane indicated for breast cancer, NSCLC and pancreatic cancer), Janssen (Doxil® for ovarian cancer and, in combination with botezomib, for multiple myeloma) and Spectrum Pharmaceuticals (Marqibo ® (vincristine sulfate liposome injection) indicated for relapsed Philadelphia chromosome-negative acute lymphoblastic leukemia). Companies with nanoparticle oncology product candidates in clinical development include BIND Therapeutics, Inc. (BIND 014 for NSCLC and metastatic castration-resistant prostate cancer), Nippon Kayku Seizo Co., Ltd. (NK105 in breast cancer), Celator Pharmaceuticals, Inc. (CPX-351 for acute myeloid leukemia), Celsion Corporation (ThermoDox ® (lyso-thermosensitive liposomal doxorubicin) for 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8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78"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Renal Cell Carcinoma</w:t>
      </w:r>
      <w:r>
        <w:rPr>
          <w:rFonts w:ascii="Times New Roman" w:cs="Times New Roman" w:eastAsia="Times New Roman" w:hAnsi="Times New Roman"/>
          <w:sz w:val="18"/>
          <w:szCs w:val="18"/>
          <w:color w:val="auto"/>
        </w:rPr>
        <w:t>. In advanced RCC, several drugs in development have the potential to obtain FDA marketing approval and change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care. If this occurs, currently available treatments could be replaced or altered and our commercial opportunity could be reduced. For example, Exelixis, Inc. is developing cabozantinib in advanced RCC and the data from its ongoing phase 3 trial are anticipated in 2015. Acceleron Pharma Inc. is developing dalantercept in combination with axitinib, and TRACON Pharmaceuticals, Inc. is developing TRC105, also in combination with axitinib. Furthermore, data from a randomized Phase 2 clinical trial in relapsed RCC showed that the combination of the TKI levatinib and the mTOR inhibitor everolimus is an active combination in the second line setting.</w:t>
      </w:r>
    </w:p>
    <w:p>
      <w:pPr>
        <w:spacing w:after="0" w:line="18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to these tyrosine kinase inhibitor and tyrosine kinase inhibitor combination programs in advanced RCC, immune checkpoint inhibitors, including nivolumab and pembrolizumab, are also being developed in RCC. Although these product candidates are being tested for earlier lines of therapy, they also have the potential to change the standard of care in advanced RCC, which, among other things, could result in existing first line therapies being prescribed instead for later lines of therapy. If this occurs, it would potentially reduce the commercial opportunity for CRLX101 in relapsed RCC.</w:t>
      </w:r>
    </w:p>
    <w:p>
      <w:pPr>
        <w:spacing w:after="0" w:line="178" w:lineRule="exact"/>
        <w:rPr>
          <w:sz w:val="20"/>
          <w:szCs w:val="20"/>
          <w:color w:val="auto"/>
        </w:rPr>
      </w:pPr>
    </w:p>
    <w:p>
      <w:pPr>
        <w:jc w:val="both"/>
        <w:ind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Relapsed Ovarian Cancer</w:t>
      </w:r>
      <w:r>
        <w:rPr>
          <w:rFonts w:ascii="Times New Roman" w:cs="Times New Roman" w:eastAsia="Times New Roman" w:hAnsi="Times New Roman"/>
          <w:sz w:val="18"/>
          <w:szCs w:val="18"/>
          <w:color w:val="auto"/>
        </w:rPr>
        <w:t>. In relapsed ovarian cancer, the recent FDA approvals of Avastin with chemotherapy and Lynparza® in BRCA mutated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has changed the standard of care, which could reduce the commercial opportunity for CRLX101 in this indication.</w:t>
      </w:r>
    </w:p>
    <w:p>
      <w:pPr>
        <w:spacing w:after="0" w:line="158"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Neoadjuvant Rectal Cancer</w:t>
      </w:r>
      <w:r>
        <w:rPr>
          <w:rFonts w:ascii="Times New Roman" w:cs="Times New Roman" w:eastAsia="Times New Roman" w:hAnsi="Times New Roman"/>
          <w:sz w:val="18"/>
          <w:szCs w:val="18"/>
          <w:color w:val="auto"/>
        </w:rPr>
        <w:t>. In neoadjuvant rectal cancer, Isofol Medical AB is developing a molecule that is currently labeled [6R] 5,10-methylenetetrahydrofolate; Karyopharm Therapeutics Inc. is developing Selinexor in combination with chemoradiotherapy; Merck KGaA is developing tecemotide with chemoradiotherapy; Genentech, Inc. is testing Avastin in combination with capecitabine; Kadmon Corporation, LLC is developing KD018 in combination with capecitabine and radiation and AbbVie Inc. has completed an early stage clinical trial of the PARP inhibitor veliparib in combination with chemotherapy and radiation. If any of these product candidates receives marketing approval, our commercial opportunity in neoadjuvant rectal cancer could be reduced.</w:t>
      </w:r>
    </w:p>
    <w:p>
      <w:pPr>
        <w:spacing w:after="0" w:line="18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5"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8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18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23" w:lineRule="exact"/>
        <w:rPr>
          <w:sz w:val="20"/>
          <w:szCs w:val="20"/>
          <w:color w:val="auto"/>
        </w:rPr>
      </w:pPr>
    </w:p>
    <w:p>
      <w:pPr>
        <w:ind w:left="820" w:hanging="294"/>
        <w:spacing w:after="0"/>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decreased demand for our product candidates or products that we may develop;</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injury to our reputation and significant negative media attention;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withdrawal of clinical trial participants;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significant costs to defend resulting litigation;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substantial monetary awards to trial participants or patients;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loss of revenue;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820" w:hanging="294"/>
        <w:spacing w:after="0"/>
        <w:tabs>
          <w:tab w:leader="none" w:pos="82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reduced resources of our management to pursue our business strategy; and</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inability to commercialize any products that we may develop.</w:t>
      </w:r>
    </w:p>
    <w:p>
      <w:pPr>
        <w:spacing w:after="0" w:line="19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Although we maintain general liability insurance of $2.0 million in the aggregate, umbrella insurance in the amount of $3.0 million in the aggregate and clinical trial liability insurance of $7.5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176"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in, or the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8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8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 w:right="2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8" w:lineRule="exact"/>
        <w:rPr>
          <w:sz w:val="20"/>
          <w:szCs w:val="20"/>
          <w:color w:val="auto"/>
        </w:rPr>
      </w:pPr>
    </w:p>
    <w:p>
      <w:pPr>
        <w:ind w:left="820" w:hanging="294"/>
        <w:spacing w:after="0"/>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41" w:lineRule="exact"/>
        <w:rPr>
          <w:rFonts w:ascii="Times New Roman" w:cs="Times New Roman" w:eastAsia="Times New Roman" w:hAnsi="Times New Roman"/>
          <w:sz w:val="29"/>
          <w:szCs w:val="29"/>
          <w:color w:val="auto"/>
          <w:vertAlign w:val="superscript"/>
        </w:rPr>
      </w:pPr>
    </w:p>
    <w:p>
      <w:pPr>
        <w:jc w:val="both"/>
        <w:ind w:left="820" w:hanging="294"/>
        <w:spacing w:after="0" w:line="210"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200"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0" w:lineRule="exact"/>
        <w:rPr>
          <w:rFonts w:ascii="Times New Roman" w:cs="Times New Roman" w:eastAsia="Times New Roman" w:hAnsi="Times New Roman"/>
          <w:sz w:val="29"/>
          <w:szCs w:val="29"/>
          <w:color w:val="auto"/>
          <w:vertAlign w:val="superscript"/>
        </w:rPr>
      </w:pPr>
    </w:p>
    <w:p>
      <w:pPr>
        <w:jc w:val="both"/>
        <w:ind w:left="820" w:right="20" w:hanging="294"/>
        <w:spacing w:after="0" w:line="214"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0"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130"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3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9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w:t>
      </w:r>
    </w:p>
    <w:p>
      <w:pPr>
        <w:spacing w:after="0" w:line="22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4"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jc w:val="both"/>
        <w:ind w:firstLine="518"/>
        <w:spacing w:after="0" w:line="252"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In 2013, we experienced a batch contamination issue with the manufacture of a batch of CRLX301 drug substance, and the process of obtaining a new batch required several months to complete. Any additional performance failures on the part of our existing or future manufacturers could delay clinical development or marketing approval of our product candidates or result in our inability to generate sufficient supplies to meet commercial demands.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ind w:firstLine="518"/>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ind w:left="820" w:hanging="294"/>
        <w:spacing w:after="0" w:line="207" w:lineRule="auto"/>
        <w:tabs>
          <w:tab w:leader="none" w:pos="82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reliance on the third party for regulatory compliance and quality assurance;</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ability of manufacturers to consistently produce intermediates, drug substance or drug product that meet required quality specifications;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possible breach of the manufacturing agreement by the third party;</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misappropriation of our proprietary information, including our trade secrets and know-how; and</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possible termination or nonrenewal of the agreement by the third party at a time that is costly or inconvenient for us.</w:t>
      </w:r>
    </w:p>
    <w:p>
      <w:pPr>
        <w:spacing w:after="0" w:line="19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27, 2015, the bankruptcy court granted Calando’s bankruptcy trustee’s application to retain a broker to help sell Calando’s rights in certain assets including its rights in the license agreements with Cerulean. We reserved our rights with respect to any such sale.</w:t>
      </w:r>
    </w:p>
    <w:p>
      <w:pPr>
        <w:spacing w:after="0" w:line="189"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7"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5" w:name="page46"/>
    <w:bookmarkEnd w:id="45"/>
    <w:p>
      <w:pPr>
        <w:jc w:val="both"/>
        <w:ind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jc w:val="both"/>
        <w:ind w:firstLine="8"/>
        <w:spacing w:after="0" w:line="251" w:lineRule="auto"/>
        <w:tabs>
          <w:tab w:leader="none" w:pos="2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6" w:name="page47"/>
    <w:bookmarkEnd w:id="46"/>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an existing therapy or have relapsed. If any of our product candidates receives marketing approval, the accompanying label may limit the approved use of our drug in this way, which could limit sales of the product.</w:t>
      </w:r>
    </w:p>
    <w:p>
      <w:pPr>
        <w:spacing w:after="0" w:line="162"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81"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9" w:lineRule="exact"/>
        <w:rPr>
          <w:sz w:val="20"/>
          <w:szCs w:val="20"/>
          <w:color w:val="auto"/>
        </w:rPr>
      </w:pPr>
    </w:p>
    <w:p>
      <w:pPr>
        <w:jc w:val="both"/>
        <w:ind w:firstLine="518"/>
        <w:spacing w:after="0" w:line="274"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7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820" w:hanging="294"/>
        <w:spacing w:after="0" w:line="207"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litigation involving patients taking our products;</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such products, manufacturers or manufacturing processes;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the labeling or marketing of a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product distribution or use;</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requirements to conduct post-marketing studies or clinical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warning or untitled letters;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withdrawal of the products from the market;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suspension of any ongoing clinical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recall of products;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fines, restitution or disgorgement of profits or revenues;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suspension or withdrawal of marketing approvals;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damage to relationships with any potential collaborators;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unfavorable press coverage and damage to our reputation;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refusal to permit the import or export of our products;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product seizure; or</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injunctions or the imposition of civil or criminal penalties.</w:t>
      </w:r>
    </w:p>
    <w:p>
      <w:pPr>
        <w:spacing w:after="0" w:line="19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9" w:name="page50"/>
    <w:bookmarkEnd w:id="49"/>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6" w:lineRule="exact"/>
        <w:rPr>
          <w:sz w:val="20"/>
          <w:szCs w:val="20"/>
          <w:color w:val="auto"/>
        </w:rPr>
      </w:pPr>
    </w:p>
    <w:p>
      <w:pPr>
        <w:jc w:val="both"/>
        <w:ind w:left="820" w:right="20" w:hanging="294"/>
        <w:spacing w:after="0" w:line="221"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34" w:lineRule="exact"/>
        <w:rPr>
          <w:rFonts w:ascii="Times New Roman" w:cs="Times New Roman" w:eastAsia="Times New Roman" w:hAnsi="Times New Roman"/>
          <w:sz w:val="29"/>
          <w:szCs w:val="29"/>
          <w:color w:val="auto"/>
          <w:vertAlign w:val="superscript"/>
        </w:rPr>
      </w:pPr>
    </w:p>
    <w:p>
      <w:pPr>
        <w:jc w:val="both"/>
        <w:ind w:left="820" w:right="20" w:hanging="294"/>
        <w:spacing w:after="0" w:line="221"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34" w:lineRule="exact"/>
        <w:rPr>
          <w:rFonts w:ascii="Times New Roman" w:cs="Times New Roman" w:eastAsia="Times New Roman" w:hAnsi="Times New Roman"/>
          <w:sz w:val="29"/>
          <w:szCs w:val="29"/>
          <w:color w:val="auto"/>
          <w:vertAlign w:val="superscript"/>
        </w:rPr>
      </w:pPr>
    </w:p>
    <w:p>
      <w:pPr>
        <w:jc w:val="both"/>
        <w:ind w:left="820" w:right="20" w:hanging="294"/>
        <w:spacing w:after="0" w:line="221"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34" w:lineRule="exact"/>
        <w:rPr>
          <w:rFonts w:ascii="Times New Roman" w:cs="Times New Roman" w:eastAsia="Times New Roman" w:hAnsi="Times New Roman"/>
          <w:sz w:val="29"/>
          <w:szCs w:val="29"/>
          <w:color w:val="auto"/>
          <w:vertAlign w:val="superscript"/>
        </w:rPr>
      </w:pPr>
    </w:p>
    <w:p>
      <w:pPr>
        <w:jc w:val="both"/>
        <w:ind w:left="820" w:right="20" w:hanging="294"/>
        <w:spacing w:after="0" w:line="214"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30" w:lineRule="exact"/>
        <w:rPr>
          <w:rFonts w:ascii="Times New Roman" w:cs="Times New Roman" w:eastAsia="Times New Roman" w:hAnsi="Times New Roman"/>
          <w:sz w:val="29"/>
          <w:szCs w:val="29"/>
          <w:color w:val="auto"/>
          <w:vertAlign w:val="superscript"/>
        </w:rPr>
      </w:pPr>
    </w:p>
    <w:p>
      <w:pPr>
        <w:ind w:left="820" w:hanging="294"/>
        <w:spacing w:after="0" w:line="200"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0"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federal law requires applicable manufacturers of covered drugs to report payments and other transfers of value to physicians and teaching hospitals;</w:t>
      </w:r>
    </w:p>
    <w:p>
      <w:pPr>
        <w:spacing w:after="0" w:line="130" w:lineRule="exact"/>
        <w:rPr>
          <w:rFonts w:ascii="Times New Roman" w:cs="Times New Roman" w:eastAsia="Times New Roman" w:hAnsi="Times New Roman"/>
          <w:sz w:val="29"/>
          <w:szCs w:val="29"/>
          <w:color w:val="auto"/>
          <w:vertAlign w:val="superscript"/>
        </w:rPr>
      </w:pPr>
    </w:p>
    <w:p>
      <w:pPr>
        <w:jc w:val="both"/>
        <w:ind w:left="820" w:right="20" w:hanging="294"/>
        <w:spacing w:after="0" w:line="221"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34" w:lineRule="exact"/>
        <w:rPr>
          <w:rFonts w:ascii="Times New Roman" w:cs="Times New Roman" w:eastAsia="Times New Roman" w:hAnsi="Times New Roman"/>
          <w:sz w:val="29"/>
          <w:szCs w:val="29"/>
          <w:color w:val="auto"/>
          <w:vertAlign w:val="superscript"/>
        </w:rPr>
      </w:pPr>
    </w:p>
    <w:p>
      <w:pPr>
        <w:jc w:val="both"/>
        <w:ind w:left="820" w:hanging="294"/>
        <w:spacing w:after="0" w:line="227"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9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provisions of the PPACA of importance to our potential product candidates are the following:</w:t>
      </w:r>
    </w:p>
    <w:p>
      <w:pPr>
        <w:spacing w:after="0" w:line="18" w:lineRule="exact"/>
        <w:rPr>
          <w:sz w:val="20"/>
          <w:szCs w:val="20"/>
          <w:color w:val="auto"/>
        </w:rPr>
      </w:pPr>
    </w:p>
    <w:p>
      <w:pPr>
        <w:ind w:left="820" w:hanging="294"/>
        <w:spacing w:after="0"/>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extension of manufacturers’ Medicaid rebate liability;</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expansion of eligibility criteria for Medicaid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expansion of the entities eligible for discounts under the Public Health Service pharmaceutical pricing program;</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new requirements to report financial arrangements with physicians and teaching hospitals;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new requirement to annually report drug samples that manufacturers and distributors provide to physicians; and</w:t>
      </w:r>
    </w:p>
    <w:p>
      <w:pPr>
        <w:spacing w:after="0" w:line="142" w:lineRule="exact"/>
        <w:rPr>
          <w:rFonts w:ascii="Times New Roman" w:cs="Times New Roman" w:eastAsia="Times New Roman" w:hAnsi="Times New Roman"/>
          <w:sz w:val="24"/>
          <w:szCs w:val="24"/>
          <w:color w:val="auto"/>
          <w:vertAlign w:val="superscript"/>
        </w:rPr>
      </w:pPr>
    </w:p>
    <w:p>
      <w:pPr>
        <w:ind w:left="820" w:right="20" w:hanging="294"/>
        <w:spacing w:after="0" w:line="194"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providers and increased the statute of limitations period for the government to recover overpayments to providers from three to five years. These new laws may result in additional reductions in Medicare and other healthcare funding.</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w:t>
      </w:r>
    </w:p>
    <w:p>
      <w:pPr>
        <w:spacing w:after="0" w:line="207"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in a period of transition following the appointment of our new president and chief executive officer.</w:t>
      </w:r>
    </w:p>
    <w:p>
      <w:pPr>
        <w:spacing w:after="0" w:line="22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On March 20, 2015, our board of directors appointed Christopher D.T. Guiffre as our President and Chief Executive Officer and elected him as a director, effective immediately. We anticipate that we will experience a transitional period as Mr. Guiffre becomes fully integrated into his new role.</w:t>
      </w:r>
    </w:p>
    <w:p>
      <w:pPr>
        <w:spacing w:after="0" w:line="162"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Paul A. Friedman, M.D., a member of our board of directors, was appointed Executive Chairman of our board effective October 29, 2014 and we anticipate that he will continue in that role for a temporary period.</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If Mr. Guiffre unexpectedly ceases to fulfill his responsibilities, our business, financial condition, and results of operations could be materially and adversely affected. Moreover, we cannot provide any assurance that this transitional period will not result in a disruption that adversely impacts our business and employee morale.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highly dependent on the scientific, business development and clinical expertise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including finance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2"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entered into a new lease dated as of July 9, 2015 and are relocating our operations to Waltham, Massachusetts. The process of relocating our facilities could disrupt our operations, adversely affect our business and damage employee morale. In addition, the new location may adversely affect employee retention and recruiting.</w:t>
      </w:r>
    </w:p>
    <w:p>
      <w:pPr>
        <w:spacing w:after="0" w:line="175"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entered into a new lease dated as of July 9, 2015 with AstraZeneca Pharmaceuticals Limited Partnership for approximately 22,992 square feet at the BioHub at 35 Gatehouse Drive in Waltham, Massachusetts. The term of the new lease commences on December 28, 2015 and expires on February 28, 2021. The lease for our laboratory and office space in Cambridge, Massachusetts expires on February 29, 2016. We expect to complete our relocation to Waltham by January 2016. The relocation process is underway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and it could disrupt our operations, adversely affect our business and damage employee morale. In addition, our new location in Waltham may adversely affect employee retention or recruitment.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June 30, 2015, the sale price of our common stock as reported by the NASDAQ Global Market ranged from a high of $10.87 per share to a low of $3.35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jc w:val="both"/>
        <w:ind w:left="820" w:right="20" w:hanging="294"/>
        <w:spacing w:after="0" w:line="21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Phase 1 clinical trial of CRLX301, as well as results of regulatory reviews relating to the approval of our product candidates;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failure or discontinuation of any of our development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commencement or termination of any collaboration or licensing arrangement;</w:t>
      </w:r>
    </w:p>
    <w:p>
      <w:pPr>
        <w:spacing w:after="0" w:line="143" w:lineRule="exact"/>
        <w:rPr>
          <w:rFonts w:ascii="Times New Roman" w:cs="Times New Roman" w:eastAsia="Times New Roman" w:hAnsi="Times New Roman"/>
          <w:sz w:val="25"/>
          <w:szCs w:val="25"/>
          <w:color w:val="auto"/>
          <w:vertAlign w:val="superscript"/>
        </w:rPr>
      </w:pPr>
    </w:p>
    <w:p>
      <w:pPr>
        <w:ind w:left="820" w:right="20" w:hanging="294"/>
        <w:spacing w:after="0" w:line="19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additions or departures of key scientific or management personnel;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9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results of clinical trials of product candidates of our competitors;</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or legal developments in the United States and other countries;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changes in the structure of healthcare payment systems;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conditions or trends in the biotechnology and biopharmaceutical industries;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actual or anticipated changes in earnings estimates, development timelines or recommendations by securities analysts;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announcement or expectation of additional financing efforts;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sales of common stock by us or our stockholders in the future, as well as the overall trading volume of our common stock; and</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other factors described in this “Risk Factors” section.</w:t>
      </w:r>
    </w:p>
    <w:p>
      <w:pPr>
        <w:spacing w:after="0" w:line="19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as of June 15, 2015, our executive officers and directors and their affiliates will beneficially own 27.4%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could:</w:t>
      </w:r>
    </w:p>
    <w:p>
      <w:pPr>
        <w:spacing w:after="0" w:line="18" w:lineRule="exact"/>
        <w:rPr>
          <w:sz w:val="20"/>
          <w:szCs w:val="20"/>
          <w:color w:val="auto"/>
        </w:rPr>
      </w:pPr>
    </w:p>
    <w:p>
      <w:pPr>
        <w:ind w:left="820" w:hanging="294"/>
        <w:spacing w:after="0"/>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delay, defer or prevent a change in control;</w:t>
      </w:r>
    </w:p>
    <w:p>
      <w:pPr>
        <w:spacing w:after="0" w:line="109"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entrench our management or board of directors; or</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impede a merger, consolidation, takeover or other business combination involving us that other stockholders may desire.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80"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As of June 15, 2015, there were 2,660,426 shares subject to outstanding options. In August 2014, we registered all of these shares under the Securities Act of 1933, as amended,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June 15, 2015, there were 300,564 shares subject to outstanding warrants to purchase common stock. These shares will become eligible for sale in the public market, to the extent such warrants are exercised, as permitted by Rule 144 under the Securities Act. Moreover, holders of approximately 6.9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68" w:lineRule="exact"/>
        <w:rPr>
          <w:sz w:val="20"/>
          <w:szCs w:val="20"/>
          <w:color w:val="auto"/>
        </w:rPr>
      </w:pPr>
    </w:p>
    <w:p>
      <w:pPr>
        <w:ind w:left="820" w:right="20" w:hanging="294"/>
        <w:spacing w:after="0" w:line="200" w:lineRule="auto"/>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94" w:lineRule="auto"/>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reduced disclosure obligations regarding executive compensation; and</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76"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5" w:lineRule="exact"/>
        <w:rPr>
          <w:sz w:val="20"/>
          <w:szCs w:val="20"/>
          <w:color w:val="auto"/>
        </w:rPr>
      </w:pPr>
    </w:p>
    <w:p>
      <w:pPr>
        <w:jc w:val="both"/>
        <w:ind w:firstLine="518"/>
        <w:spacing w:after="0" w:line="271" w:lineRule="auto"/>
        <w:rPr>
          <w:sz w:val="20"/>
          <w:szCs w:val="20"/>
          <w:color w:val="auto"/>
        </w:rPr>
      </w:pPr>
      <w:r>
        <w:rPr>
          <w:rFonts w:ascii="Times New Roman" w:cs="Times New Roman" w:eastAsia="Times New Roman" w:hAnsi="Times New Roman"/>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6" w:name="page57"/>
    <w:bookmarkEnd w:id="56"/>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820" w:hanging="294"/>
        <w:spacing w:after="0" w:line="226" w:lineRule="auto"/>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allow the authorized number of our directors to be changed only by resolution of our board of directors;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limit the manner in which stockholders can remove directors from the board;</w:t>
      </w:r>
    </w:p>
    <w:p>
      <w:pPr>
        <w:spacing w:after="0" w:line="143" w:lineRule="exact"/>
        <w:rPr>
          <w:rFonts w:ascii="Times New Roman" w:cs="Times New Roman" w:eastAsia="Times New Roman" w:hAnsi="Times New Roman"/>
          <w:sz w:val="25"/>
          <w:szCs w:val="25"/>
          <w:color w:val="auto"/>
          <w:vertAlign w:val="superscript"/>
        </w:rPr>
      </w:pPr>
    </w:p>
    <w:p>
      <w:pPr>
        <w:ind w:left="820" w:right="20" w:hanging="294"/>
        <w:spacing w:after="0" w:line="194" w:lineRule="auto"/>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333" w:right="239" w:bottom="1440" w:gutter="0" w:footer="0" w:header="0"/>
        </w:sectPr>
      </w:pP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by written</w:t>
      </w:r>
    </w:p>
    <w:p>
      <w:pPr>
        <w:spacing w:after="0" w:line="280" w:lineRule="exact"/>
        <w:rPr>
          <w:sz w:val="20"/>
          <w:szCs w:val="20"/>
          <w:color w:val="auto"/>
        </w:rPr>
      </w:pPr>
    </w:p>
    <w:p>
      <w:pPr>
        <w:sectPr>
          <w:pgSz w:w="11900" w:h="16838" w:orient="portrait"/>
          <w:cols w:equalWidth="0" w:num="3">
            <w:col w:w="560" w:space="260"/>
            <w:col w:w="8620" w:space="220"/>
            <w:col w:w="1760"/>
          </w:cols>
          <w:pgMar w:left="240" w:top="333" w:right="239" w:bottom="1440" w:gutter="0" w:footer="0" w:header="0"/>
          <w:type w:val="continuous"/>
        </w:sectPr>
      </w:pPr>
    </w:p>
    <w:p>
      <w:pPr>
        <w:ind w:left="820" w:hanging="294"/>
        <w:spacing w:after="0" w:line="236" w:lineRule="auto"/>
        <w:tabs>
          <w:tab w:leader="none" w:pos="8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limit who may call a special meeting of stockholders;</w:t>
      </w:r>
    </w:p>
    <w:p>
      <w:pPr>
        <w:spacing w:after="0" w:line="142" w:lineRule="exact"/>
        <w:rPr>
          <w:rFonts w:ascii="Times New Roman" w:cs="Times New Roman" w:eastAsia="Times New Roman" w:hAnsi="Times New Roman"/>
          <w:sz w:val="29"/>
          <w:szCs w:val="29"/>
          <w:color w:val="auto"/>
          <w:vertAlign w:val="superscript"/>
        </w:rPr>
      </w:pPr>
    </w:p>
    <w:p>
      <w:pPr>
        <w:ind w:left="820" w:right="20" w:hanging="294"/>
        <w:spacing w:after="0" w:line="194" w:lineRule="auto"/>
        <w:tabs>
          <w:tab w:leader="none" w:pos="8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98"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We completed the initial public offering of our common stock pursuant to a Registration Statement on Form S-1 (File No. 333-194442), which was declared effective by the SEC on April 10, 2014. The net offering proceeds to us, after deducting underwriting discounts and commissions and offering expenses, were approximately $59.9 million.</w:t>
      </w:r>
    </w:p>
    <w:p>
      <w:pPr>
        <w:spacing w:after="0" w:line="17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As of June 30, 2015, we have used approximately $25.2 million of the net proceeds from our IPO, primarily to fund the clinical development of CRLX101, to fund research and development of CRLX301 and for working capital and other general corporate purposes. We have invested the balance of the net proceeds from the offering in a variety of capital preservation investments, including short-term, investment grade, interest bearing instruments and U.S. government securities in accordance with our investment policy. There has been no material change in our planned use of the net proceeds from our IPO as described in our final prospectus filed with the SEC pursuant to Rule 424(b)(4) under the Securities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5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CERULEAN PHARMA INC.</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2015</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Christopher D.T. Guiffre</w:t>
            </w:r>
          </w:p>
        </w:tc>
      </w:tr>
      <w:tr>
        <w:trPr>
          <w:trHeight w:val="117"/>
        </w:trPr>
        <w:tc>
          <w:tcPr>
            <w:tcW w:w="38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Christopher D.T. Guiffre</w:t>
            </w:r>
          </w:p>
        </w:tc>
      </w:tr>
      <w:tr>
        <w:trPr>
          <w:trHeight w:val="149"/>
        </w:trPr>
        <w:tc>
          <w:tcPr>
            <w:tcW w:w="3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190"/>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2015</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4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Gregg Beloff</w:t>
            </w:r>
          </w:p>
        </w:tc>
      </w:tr>
      <w:tr>
        <w:trPr>
          <w:trHeight w:val="117"/>
        </w:trPr>
        <w:tc>
          <w:tcPr>
            <w:tcW w:w="38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4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Gregg Beloff</w:t>
            </w:r>
          </w:p>
        </w:tc>
      </w:tr>
      <w:tr>
        <w:trPr>
          <w:trHeight w:val="149"/>
        </w:trPr>
        <w:tc>
          <w:tcPr>
            <w:tcW w:w="3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Interim Chief Financial Officer</w:t>
            </w:r>
          </w:p>
        </w:tc>
      </w:tr>
      <w:tr>
        <w:trPr>
          <w:trHeight w:val="190"/>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5"/>
                <w:szCs w:val="15"/>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4"/>
        </w:trPr>
        <w:tc>
          <w:tcPr>
            <w:tcW w:w="1220" w:type="dxa"/>
            <w:vAlign w:val="bottom"/>
            <w:gridSpan w:val="2"/>
            <w:vMerge w:val="continue"/>
          </w:tcPr>
          <w:p>
            <w:pPr>
              <w:spacing w:after="0"/>
              <w:rPr>
                <w:sz w:val="9"/>
                <w:szCs w:val="9"/>
                <w:color w:val="auto"/>
              </w:rPr>
            </w:pPr>
          </w:p>
        </w:tc>
        <w:tc>
          <w:tcPr>
            <w:tcW w:w="444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vMerge w:val="restart"/>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vMerge w:val="restart"/>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120" w:type="dxa"/>
            <w:vAlign w:val="bottom"/>
            <w:vMerge w:val="restart"/>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0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10.1</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dated July 9, 2015, between the Registrant and</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AstraZeneca Pharmaceuticals Limited Partnership</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Consulting Agreement, dated May 27, 2015, between the</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Registrant and Danforth Advisors LLC</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Transition and Separation Agreement, dated May 26, 2015,</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between the Registrant and Karen L. Roberts</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31.1</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r>
      <w:tr>
        <w:trPr>
          <w:trHeight w:val="216"/>
        </w:trPr>
        <w:tc>
          <w:tcPr>
            <w:tcW w:w="9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 14(a)/15d 14(a) of the Securities Exchange Act of</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31.2</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r>
      <w:tr>
        <w:trPr>
          <w:trHeight w:val="216"/>
        </w:trPr>
        <w:tc>
          <w:tcPr>
            <w:tcW w:w="9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Rule 13a-14(a)/15d-14(a) of the Securities Exchange Act of</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1934, as amended</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32.1</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r>
      <w:tr>
        <w:trPr>
          <w:trHeight w:val="216"/>
        </w:trPr>
        <w:tc>
          <w:tcPr>
            <w:tcW w:w="9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32.2</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r>
      <w:tr>
        <w:trPr>
          <w:trHeight w:val="216"/>
        </w:trPr>
        <w:tc>
          <w:tcPr>
            <w:tcW w:w="9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4"/>
        </w:trPr>
        <w:tc>
          <w:tcPr>
            <w:tcW w:w="92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03" w:lineRule="exact"/>
        <w:rPr>
          <w:sz w:val="20"/>
          <w:szCs w:val="20"/>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10580" w:space="720"/>
            <w:col w:w="120"/>
          </w:cols>
          <w:pgMar w:left="240" w:top="117" w:right="2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LEASE</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OF PREMISES AT 35 GATEHOUSE DRIVE,</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WALTHAM, MASSACHUSETTS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FROM</w:t>
      </w:r>
    </w:p>
    <w:p>
      <w:pPr>
        <w:spacing w:after="0" w:line="20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ASTRAZENECA PHARMACEUTICALS LIMITED PARTNERSHIP</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CERULEAN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412750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3040" w:type="dxa"/>
            <w:vAlign w:val="bottom"/>
            <w:gridSpan w:val="2"/>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9920" w:type="dxa"/>
            <w:vAlign w:val="bottom"/>
            <w:gridSpan w:val="36"/>
          </w:tcPr>
          <w:p>
            <w:pPr>
              <w:spacing w:after="0"/>
              <w:rPr>
                <w:rFonts w:ascii="Times New Roman" w:cs="Times New Roman" w:eastAsia="Times New Roman" w:hAnsi="Times New Roman"/>
                <w:sz w:val="18"/>
                <w:szCs w:val="18"/>
                <w:b w:val="1"/>
                <w:bCs w:val="1"/>
                <w:color w:val="0000EE"/>
              </w:rPr>
            </w:pPr>
            <w:hyperlink w:anchor="page69">
              <w:r>
                <w:rPr>
                  <w:rFonts w:ascii="Times New Roman" w:cs="Times New Roman" w:eastAsia="Times New Roman" w:hAnsi="Times New Roman"/>
                  <w:sz w:val="18"/>
                  <w:szCs w:val="18"/>
                  <w:b w:val="1"/>
                  <w:bCs w:val="1"/>
                  <w:color w:val="0000EE"/>
                </w:rPr>
                <w:t>Article I. CERTAIN DEFINITIONS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7"/>
        </w:trPr>
        <w:tc>
          <w:tcPr>
            <w:tcW w:w="278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75">
              <w:r>
                <w:rPr>
                  <w:rFonts w:ascii="Times New Roman" w:cs="Times New Roman" w:eastAsia="Times New Roman" w:hAnsi="Times New Roman"/>
                  <w:sz w:val="18"/>
                  <w:szCs w:val="18"/>
                  <w:b w:val="1"/>
                  <w:bCs w:val="1"/>
                  <w:color w:val="0000EE"/>
                </w:rPr>
                <w:t>Article II. LEASE OF PREMISES</w:t>
              </w:r>
            </w:hyperlink>
          </w:p>
        </w:tc>
        <w:tc>
          <w:tcPr>
            <w:tcW w:w="7140" w:type="dxa"/>
            <w:vAlign w:val="bottom"/>
            <w:gridSpan w:val="30"/>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2.1</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Lease of the Premises</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2.2</w:t>
            </w:r>
          </w:p>
        </w:tc>
        <w:tc>
          <w:tcPr>
            <w:tcW w:w="12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Common Rights</w:t>
              </w:r>
            </w:hyperlink>
          </w:p>
        </w:tc>
        <w:tc>
          <w:tcPr>
            <w:tcW w:w="380" w:type="dxa"/>
            <w:vAlign w:val="bottom"/>
            <w:tcBorders>
              <w:top w:val="single" w:sz="8" w:color="0000EE"/>
            </w:tcBorders>
            <w:gridSpan w:val="8"/>
          </w:tcPr>
          <w:p>
            <w:pPr>
              <w:spacing w:after="0"/>
              <w:rPr>
                <w:sz w:val="20"/>
                <w:szCs w:val="20"/>
                <w:color w:val="auto"/>
              </w:rPr>
            </w:pPr>
          </w:p>
        </w:tc>
        <w:tc>
          <w:tcPr>
            <w:tcW w:w="6140" w:type="dxa"/>
            <w:vAlign w:val="bottom"/>
            <w:gridSpan w:val="16"/>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2.3</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Parking</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2.4</w:t>
            </w: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76">
              <w:r>
                <w:rPr>
                  <w:rFonts w:ascii="Times New Roman" w:cs="Times New Roman" w:eastAsia="Times New Roman" w:hAnsi="Times New Roman"/>
                  <w:sz w:val="18"/>
                  <w:szCs w:val="18"/>
                  <w:color w:val="0000EE"/>
                  <w:w w:val="98"/>
                </w:rPr>
                <w:t>Lease Term</w:t>
              </w:r>
            </w:hyperlink>
          </w:p>
        </w:tc>
        <w:tc>
          <w:tcPr>
            <w:tcW w:w="6860" w:type="dxa"/>
            <w:vAlign w:val="bottom"/>
            <w:gridSpan w:val="27"/>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2.5</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Lease Amendment</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2.6</w:t>
            </w: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16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Landlord’s Equipment</w:t>
            </w:r>
          </w:p>
        </w:tc>
        <w:tc>
          <w:tcPr>
            <w:tcW w:w="6080" w:type="dxa"/>
            <w:vAlign w:val="bottom"/>
            <w:gridSpan w:val="14"/>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2.7</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Back-up Generator</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2.8</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Flammables Storage Room</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2.9</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Right of First Offer; Building K Notice</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line="20" w:lineRule="exact"/>
              <w:rPr>
                <w:sz w:val="1"/>
                <w:szCs w:val="1"/>
                <w:color w:val="auto"/>
              </w:rPr>
            </w:pPr>
          </w:p>
        </w:tc>
      </w:tr>
      <w:tr>
        <w:trPr>
          <w:trHeight w:val="237"/>
        </w:trPr>
        <w:tc>
          <w:tcPr>
            <w:tcW w:w="9920" w:type="dxa"/>
            <w:vAlign w:val="bottom"/>
            <w:gridSpan w:val="36"/>
          </w:tcPr>
          <w:p>
            <w:pPr>
              <w:spacing w:after="0"/>
              <w:rPr>
                <w:rFonts w:ascii="Times New Roman" w:cs="Times New Roman" w:eastAsia="Times New Roman" w:hAnsi="Times New Roman"/>
                <w:sz w:val="18"/>
                <w:szCs w:val="18"/>
                <w:b w:val="1"/>
                <w:bCs w:val="1"/>
                <w:color w:val="0000EE"/>
              </w:rPr>
            </w:pPr>
            <w:hyperlink w:anchor="page78">
              <w:r>
                <w:rPr>
                  <w:rFonts w:ascii="Times New Roman" w:cs="Times New Roman" w:eastAsia="Times New Roman" w:hAnsi="Times New Roman"/>
                  <w:sz w:val="18"/>
                  <w:szCs w:val="18"/>
                  <w:b w:val="1"/>
                  <w:bCs w:val="1"/>
                  <w:color w:val="0000EE"/>
                </w:rPr>
                <w:t>Article III. CONDITION OF PREMISES; CONSTRUCTION OF INITIAL IMPROVEMENTS; ALLOWANCE</w:t>
              </w:r>
            </w:hyperlink>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Borders>
              <w:top w:val="single" w:sz="8" w:color="0000EE"/>
            </w:tcBorders>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3.1</w:t>
            </w:r>
          </w:p>
        </w:tc>
        <w:tc>
          <w:tcPr>
            <w:tcW w:w="162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Condition of Premises</w:t>
              </w:r>
            </w:hyperlink>
          </w:p>
        </w:tc>
        <w:tc>
          <w:tcPr>
            <w:tcW w:w="4840" w:type="dxa"/>
            <w:vAlign w:val="bottom"/>
            <w:tcBorders>
              <w:top w:val="single" w:sz="8" w:color="0000EE"/>
            </w:tcBorders>
            <w:gridSpan w:val="14"/>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3.2</w:t>
            </w:r>
          </w:p>
        </w:tc>
        <w:tc>
          <w:tcPr>
            <w:tcW w:w="77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Tenant’s Work; Landlord’s Contribution.  NOT APPLICABLE</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3.3</w:t>
            </w:r>
          </w:p>
        </w:tc>
        <w:tc>
          <w:tcPr>
            <w:tcW w:w="4580" w:type="dxa"/>
            <w:vAlign w:val="bottom"/>
            <w:tcBorders>
              <w:top w:val="single" w:sz="8" w:color="0000EE"/>
            </w:tcBorders>
            <w:gridSpan w:val="32"/>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Plans and Specifications</w:t>
              </w:r>
            </w:hyperlink>
          </w:p>
        </w:tc>
        <w:tc>
          <w:tcPr>
            <w:tcW w:w="3140" w:type="dxa"/>
            <w:vAlign w:val="bottom"/>
            <w:gridSpan w:val="3"/>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3.4</w:t>
            </w:r>
          </w:p>
        </w:tc>
        <w:tc>
          <w:tcPr>
            <w:tcW w:w="176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Signs</w:t>
              </w:r>
            </w:hyperlink>
          </w:p>
        </w:tc>
        <w:tc>
          <w:tcPr>
            <w:tcW w:w="5960" w:type="dxa"/>
            <w:vAlign w:val="bottom"/>
            <w:gridSpan w:val="10"/>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line="20" w:lineRule="exact"/>
              <w:rPr>
                <w:sz w:val="1"/>
                <w:szCs w:val="1"/>
                <w:color w:val="auto"/>
              </w:rPr>
            </w:pPr>
          </w:p>
        </w:tc>
      </w:tr>
      <w:tr>
        <w:trPr>
          <w:trHeight w:val="237"/>
        </w:trPr>
        <w:tc>
          <w:tcPr>
            <w:tcW w:w="3680" w:type="dxa"/>
            <w:vAlign w:val="bottom"/>
            <w:tcBorders>
              <w:bottom w:val="single" w:sz="8" w:color="0000EE"/>
            </w:tcBorders>
            <w:gridSpan w:val="18"/>
          </w:tcPr>
          <w:p>
            <w:pPr>
              <w:spacing w:after="0"/>
              <w:rPr>
                <w:rFonts w:ascii="Times New Roman" w:cs="Times New Roman" w:eastAsia="Times New Roman" w:hAnsi="Times New Roman"/>
                <w:sz w:val="18"/>
                <w:szCs w:val="18"/>
                <w:b w:val="1"/>
                <w:bCs w:val="1"/>
                <w:color w:val="0000EE"/>
                <w:w w:val="98"/>
              </w:rPr>
            </w:pPr>
            <w:hyperlink w:anchor="page79">
              <w:r>
                <w:rPr>
                  <w:rFonts w:ascii="Times New Roman" w:cs="Times New Roman" w:eastAsia="Times New Roman" w:hAnsi="Times New Roman"/>
                  <w:sz w:val="18"/>
                  <w:szCs w:val="18"/>
                  <w:b w:val="1"/>
                  <w:bCs w:val="1"/>
                  <w:color w:val="0000EE"/>
                  <w:w w:val="98"/>
                </w:rPr>
                <w:t>Article IV. BASE RENT; ADDITIONAL RENT</w:t>
              </w:r>
            </w:hyperlink>
          </w:p>
        </w:tc>
        <w:tc>
          <w:tcPr>
            <w:tcW w:w="6240" w:type="dxa"/>
            <w:vAlign w:val="bottom"/>
            <w:gridSpan w:val="18"/>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4.1</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Base Rent</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4.2</w:t>
            </w: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1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Certain Additional Rent</w:t>
              </w:r>
            </w:hyperlink>
          </w:p>
        </w:tc>
        <w:tc>
          <w:tcPr>
            <w:tcW w:w="5980" w:type="dxa"/>
            <w:vAlign w:val="bottom"/>
            <w:gridSpan w:val="11"/>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4.3</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Taxes</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4.4</w:t>
            </w: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1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Operating Costs</w:t>
              </w:r>
            </w:hyperlink>
          </w:p>
        </w:tc>
        <w:tc>
          <w:tcPr>
            <w:tcW w:w="6540" w:type="dxa"/>
            <w:vAlign w:val="bottom"/>
            <w:gridSpan w:val="25"/>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4.5</w:t>
            </w:r>
          </w:p>
        </w:tc>
        <w:tc>
          <w:tcPr>
            <w:tcW w:w="17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Payment for Electricity</w:t>
              </w:r>
            </w:hyperlink>
          </w:p>
        </w:tc>
        <w:tc>
          <w:tcPr>
            <w:tcW w:w="6020" w:type="dxa"/>
            <w:vAlign w:val="bottom"/>
            <w:gridSpan w:val="12"/>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4.6</w:t>
            </w:r>
          </w:p>
        </w:tc>
        <w:tc>
          <w:tcPr>
            <w:tcW w:w="77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Tenant’s Audit Rights</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4.7</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Determination of Fair Market Rent</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line="20" w:lineRule="exact"/>
              <w:rPr>
                <w:sz w:val="1"/>
                <w:szCs w:val="1"/>
                <w:color w:val="auto"/>
              </w:rPr>
            </w:pPr>
          </w:p>
        </w:tc>
      </w:tr>
      <w:tr>
        <w:trPr>
          <w:trHeight w:val="237"/>
        </w:trPr>
        <w:tc>
          <w:tcPr>
            <w:tcW w:w="9920" w:type="dxa"/>
            <w:vAlign w:val="bottom"/>
            <w:gridSpan w:val="36"/>
          </w:tcPr>
          <w:p>
            <w:pPr>
              <w:spacing w:after="0"/>
              <w:rPr>
                <w:rFonts w:ascii="Times New Roman" w:cs="Times New Roman" w:eastAsia="Times New Roman" w:hAnsi="Times New Roman"/>
                <w:sz w:val="18"/>
                <w:szCs w:val="18"/>
                <w:b w:val="1"/>
                <w:bCs w:val="1"/>
                <w:color w:val="0000EE"/>
              </w:rPr>
            </w:pPr>
            <w:hyperlink w:anchor="page83">
              <w:r>
                <w:rPr>
                  <w:rFonts w:ascii="Times New Roman" w:cs="Times New Roman" w:eastAsia="Times New Roman" w:hAnsi="Times New Roman"/>
                  <w:sz w:val="18"/>
                  <w:szCs w:val="18"/>
                  <w:b w:val="1"/>
                  <w:bCs w:val="1"/>
                  <w:color w:val="0000EE"/>
                </w:rPr>
                <w:t>Article V. USE OF PREMISES</w:t>
              </w:r>
            </w:hyperlink>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5.1</w:t>
            </w:r>
          </w:p>
        </w:tc>
        <w:tc>
          <w:tcPr>
            <w:tcW w:w="1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Permitted Use</w:t>
              </w:r>
            </w:hyperlink>
          </w:p>
        </w:tc>
        <w:tc>
          <w:tcPr>
            <w:tcW w:w="6680" w:type="dxa"/>
            <w:vAlign w:val="bottom"/>
            <w:gridSpan w:val="26"/>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5.2</w:t>
            </w:r>
          </w:p>
        </w:tc>
        <w:tc>
          <w:tcPr>
            <w:tcW w:w="1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Restrictions on Use</w:t>
              </w:r>
            </w:hyperlink>
          </w:p>
        </w:tc>
        <w:tc>
          <w:tcPr>
            <w:tcW w:w="6300" w:type="dxa"/>
            <w:vAlign w:val="bottom"/>
            <w:gridSpan w:val="21"/>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5.3</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Hazardous Materials</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5.4</w:t>
            </w:r>
          </w:p>
        </w:tc>
        <w:tc>
          <w:tcPr>
            <w:tcW w:w="7720" w:type="dxa"/>
            <w:vAlign w:val="bottom"/>
            <w:gridSpan w:val="35"/>
          </w:tcPr>
          <w:p>
            <w:pPr>
              <w:spacing w:after="0" w:line="237"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Biohazard Removal and Animal Care</w:t>
              </w:r>
            </w:hyperlink>
            <w:r>
              <w:rPr>
                <w:rFonts w:ascii="Times New Roman" w:cs="Times New Roman" w:eastAsia="Times New Roman" w:hAnsi="Times New Roman"/>
                <w:sz w:val="21"/>
                <w:szCs w:val="21"/>
                <w:color w:val="000000"/>
              </w:rPr>
              <w:t>.</w:t>
            </w: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line="20" w:lineRule="exact"/>
              <w:rPr>
                <w:sz w:val="1"/>
                <w:szCs w:val="1"/>
                <w:color w:val="auto"/>
              </w:rPr>
            </w:pPr>
          </w:p>
        </w:tc>
      </w:tr>
      <w:tr>
        <w:trPr>
          <w:trHeight w:val="237"/>
        </w:trPr>
        <w:tc>
          <w:tcPr>
            <w:tcW w:w="992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Article VI. LANDLORD’S SERVICES</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6.1</w:t>
            </w:r>
          </w:p>
        </w:tc>
        <w:tc>
          <w:tcPr>
            <w:tcW w:w="1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Landlord’s Services</w:t>
            </w:r>
          </w:p>
        </w:tc>
        <w:tc>
          <w:tcPr>
            <w:tcW w:w="6260" w:type="dxa"/>
            <w:vAlign w:val="bottom"/>
            <w:gridSpan w:val="19"/>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6.2</w:t>
            </w:r>
          </w:p>
        </w:tc>
        <w:tc>
          <w:tcPr>
            <w:tcW w:w="1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Extraordinary Use</w:t>
              </w:r>
            </w:hyperlink>
          </w:p>
        </w:tc>
        <w:tc>
          <w:tcPr>
            <w:tcW w:w="6360" w:type="dxa"/>
            <w:vAlign w:val="bottom"/>
            <w:gridSpan w:val="23"/>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6.3</w:t>
            </w:r>
          </w:p>
        </w:tc>
        <w:tc>
          <w:tcPr>
            <w:tcW w:w="14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Interruption; Delay</w:t>
              </w:r>
            </w:hyperlink>
          </w:p>
        </w:tc>
        <w:tc>
          <w:tcPr>
            <w:tcW w:w="6320" w:type="dxa"/>
            <w:vAlign w:val="bottom"/>
            <w:gridSpan w:val="22"/>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6.4</w:t>
            </w:r>
          </w:p>
        </w:tc>
        <w:tc>
          <w:tcPr>
            <w:tcW w:w="1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Additional Services</w:t>
              </w:r>
            </w:hyperlink>
          </w:p>
        </w:tc>
        <w:tc>
          <w:tcPr>
            <w:tcW w:w="6280" w:type="dxa"/>
            <w:vAlign w:val="bottom"/>
            <w:gridSpan w:val="20"/>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6.5</w:t>
            </w:r>
          </w:p>
        </w:tc>
        <w:tc>
          <w:tcPr>
            <w:tcW w:w="1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Landlord Indemnity</w:t>
              </w:r>
            </w:hyperlink>
          </w:p>
        </w:tc>
        <w:tc>
          <w:tcPr>
            <w:tcW w:w="6260" w:type="dxa"/>
            <w:vAlign w:val="bottom"/>
            <w:gridSpan w:val="19"/>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6.6</w:t>
            </w:r>
          </w:p>
        </w:tc>
        <w:tc>
          <w:tcPr>
            <w:tcW w:w="1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Compliance with Laws</w:t>
              </w:r>
            </w:hyperlink>
          </w:p>
        </w:tc>
        <w:tc>
          <w:tcPr>
            <w:tcW w:w="6040" w:type="dxa"/>
            <w:vAlign w:val="bottom"/>
            <w:gridSpan w:val="13"/>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0000EE"/>
            </w:tcBorders>
            <w:gridSpan w:val="27"/>
          </w:tcPr>
          <w:p>
            <w:pPr>
              <w:spacing w:after="0"/>
              <w:rPr>
                <w:rFonts w:ascii="Times New Roman" w:cs="Times New Roman" w:eastAsia="Times New Roman" w:hAnsi="Times New Roman"/>
                <w:sz w:val="18"/>
                <w:szCs w:val="18"/>
                <w:b w:val="1"/>
                <w:bCs w:val="1"/>
                <w:color w:val="0000EE"/>
                <w:w w:val="99"/>
              </w:rPr>
            </w:pPr>
            <w:hyperlink w:anchor="page88">
              <w:r>
                <w:rPr>
                  <w:rFonts w:ascii="Times New Roman" w:cs="Times New Roman" w:eastAsia="Times New Roman" w:hAnsi="Times New Roman"/>
                  <w:sz w:val="18"/>
                  <w:szCs w:val="18"/>
                  <w:b w:val="1"/>
                  <w:bCs w:val="1"/>
                  <w:color w:val="0000EE"/>
                  <w:w w:val="99"/>
                </w:rPr>
                <w:t>Article VII. CERTAIN OBLIGATIONS OF TENANT</w:t>
              </w:r>
            </w:hyperlink>
          </w:p>
        </w:tc>
        <w:tc>
          <w:tcPr>
            <w:tcW w:w="5740" w:type="dxa"/>
            <w:vAlign w:val="bottom"/>
            <w:gridSpan w:val="9"/>
          </w:tcPr>
          <w:p>
            <w:pPr>
              <w:spacing w:after="0"/>
              <w:rPr>
                <w:sz w:val="20"/>
                <w:szCs w:val="20"/>
                <w:color w:val="auto"/>
              </w:rPr>
            </w:pPr>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37"/>
        </w:trPr>
        <w:tc>
          <w:tcPr>
            <w:tcW w:w="2200" w:type="dxa"/>
            <w:vAlign w:val="bottom"/>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7.1</w:t>
            </w: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Rent</w:t>
              </w:r>
            </w:hyperlink>
          </w:p>
        </w:tc>
        <w:tc>
          <w:tcPr>
            <w:tcW w:w="14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7.2</w:t>
            </w: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Utilities</w:t>
              </w:r>
            </w:hyperlink>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7.3</w:t>
            </w:r>
          </w:p>
        </w:tc>
        <w:tc>
          <w:tcPr>
            <w:tcW w:w="58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7720" w:type="dxa"/>
            <w:vAlign w:val="bottom"/>
            <w:gridSpan w:val="35"/>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 Waste</w:t>
              </w:r>
            </w:hyperlink>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7.4</w:t>
            </w:r>
          </w:p>
        </w:tc>
        <w:tc>
          <w:tcPr>
            <w:tcW w:w="700" w:type="dxa"/>
            <w:vAlign w:val="bottom"/>
            <w:gridSpan w:val="6"/>
            <w:shd w:val="clear" w:color="auto" w:fill="0000EE"/>
          </w:tcPr>
          <w:p>
            <w:pPr>
              <w:spacing w:after="0" w:line="20" w:lineRule="exact"/>
              <w:rPr>
                <w:sz w:val="1"/>
                <w:szCs w:val="1"/>
                <w:color w:val="auto"/>
              </w:rPr>
            </w:pPr>
          </w:p>
        </w:tc>
        <w:tc>
          <w:tcPr>
            <w:tcW w:w="1940" w:type="dxa"/>
            <w:vAlign w:val="bottom"/>
            <w:gridSpan w:val="2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26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Maintenance; Repairs; and Yield Up</w:t>
              </w:r>
            </w:hyperlink>
          </w:p>
        </w:tc>
        <w:tc>
          <w:tcPr>
            <w:tcW w:w="5080" w:type="dxa"/>
            <w:vAlign w:val="bottom"/>
            <w:gridSpan w:val="6"/>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9"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3"/>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7.5</w:t>
            </w:r>
          </w:p>
        </w:tc>
        <w:tc>
          <w:tcPr>
            <w:tcW w:w="1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Alterations by Tenant</w:t>
              </w:r>
            </w:hyperlink>
          </w:p>
        </w:tc>
        <w:tc>
          <w:tcPr>
            <w:tcW w:w="5700" w:type="dxa"/>
            <w:vAlign w:val="bottom"/>
            <w:gridSpan w:val="23"/>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7.6</w:t>
            </w:r>
          </w:p>
        </w:tc>
        <w:tc>
          <w:tcPr>
            <w:tcW w:w="22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Trade Fixtures and Equipment</w:t>
              </w:r>
            </w:hyperlink>
          </w:p>
        </w:tc>
        <w:tc>
          <w:tcPr>
            <w:tcW w:w="5060" w:type="dxa"/>
            <w:vAlign w:val="bottom"/>
            <w:gridSpan w:val="14"/>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7.7</w:t>
            </w:r>
          </w:p>
        </w:tc>
        <w:tc>
          <w:tcPr>
            <w:tcW w:w="1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Compliance with Laws</w:t>
              </w:r>
            </w:hyperlink>
          </w:p>
        </w:tc>
        <w:tc>
          <w:tcPr>
            <w:tcW w:w="5580" w:type="dxa"/>
            <w:vAlign w:val="bottom"/>
            <w:gridSpan w:val="20"/>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7.8</w:t>
            </w:r>
          </w:p>
        </w:tc>
        <w:tc>
          <w:tcPr>
            <w:tcW w:w="18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Contents at Tenant’s Risk</w:t>
            </w:r>
          </w:p>
        </w:tc>
        <w:tc>
          <w:tcPr>
            <w:tcW w:w="5420" w:type="dxa"/>
            <w:vAlign w:val="bottom"/>
            <w:gridSpan w:val="18"/>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7.9</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Exoneration; Indemnification and Insurance</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7.10</w:t>
            </w:r>
          </w:p>
        </w:tc>
        <w:tc>
          <w:tcPr>
            <w:tcW w:w="318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Landlord’s Access</w:t>
            </w:r>
          </w:p>
        </w:tc>
        <w:tc>
          <w:tcPr>
            <w:tcW w:w="4100" w:type="dxa"/>
            <w:vAlign w:val="bottom"/>
            <w:gridSpan w:val="8"/>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7.11</w:t>
            </w:r>
          </w:p>
        </w:tc>
        <w:tc>
          <w:tcPr>
            <w:tcW w:w="6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No Liens</w:t>
              </w:r>
            </w:hyperlink>
          </w:p>
        </w:tc>
        <w:tc>
          <w:tcPr>
            <w:tcW w:w="660" w:type="dxa"/>
            <w:vAlign w:val="bottom"/>
            <w:tcBorders>
              <w:top w:val="single" w:sz="8" w:color="0000EE"/>
            </w:tcBorders>
            <w:gridSpan w:val="6"/>
          </w:tcPr>
          <w:p>
            <w:pPr>
              <w:spacing w:after="0"/>
              <w:rPr>
                <w:sz w:val="20"/>
                <w:szCs w:val="20"/>
                <w:color w:val="auto"/>
              </w:rPr>
            </w:pPr>
          </w:p>
        </w:tc>
        <w:tc>
          <w:tcPr>
            <w:tcW w:w="5940" w:type="dxa"/>
            <w:vAlign w:val="bottom"/>
            <w:gridSpan w:val="29"/>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7.12</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Compliance with Rules and Regulations</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line="20" w:lineRule="exact"/>
              <w:rPr>
                <w:sz w:val="1"/>
                <w:szCs w:val="1"/>
                <w:color w:val="auto"/>
              </w:rPr>
            </w:pPr>
          </w:p>
        </w:tc>
      </w:tr>
      <w:tr>
        <w:trPr>
          <w:trHeight w:val="237"/>
        </w:trPr>
        <w:tc>
          <w:tcPr>
            <w:tcW w:w="3880" w:type="dxa"/>
            <w:vAlign w:val="bottom"/>
            <w:tcBorders>
              <w:bottom w:val="single" w:sz="8" w:color="0000EE"/>
            </w:tcBorders>
            <w:gridSpan w:val="20"/>
          </w:tcPr>
          <w:p>
            <w:pPr>
              <w:spacing w:after="0"/>
              <w:rPr>
                <w:rFonts w:ascii="Times New Roman" w:cs="Times New Roman" w:eastAsia="Times New Roman" w:hAnsi="Times New Roman"/>
                <w:sz w:val="18"/>
                <w:szCs w:val="18"/>
                <w:b w:val="1"/>
                <w:bCs w:val="1"/>
                <w:color w:val="0000EE"/>
                <w:w w:val="99"/>
              </w:rPr>
            </w:pPr>
            <w:hyperlink w:anchor="page94">
              <w:r>
                <w:rPr>
                  <w:rFonts w:ascii="Times New Roman" w:cs="Times New Roman" w:eastAsia="Times New Roman" w:hAnsi="Times New Roman"/>
                  <w:sz w:val="18"/>
                  <w:szCs w:val="18"/>
                  <w:b w:val="1"/>
                  <w:bCs w:val="1"/>
                  <w:color w:val="0000EE"/>
                  <w:w w:val="99"/>
                </w:rPr>
                <w:t>Article VIII. SUBLETTING AND ASSIGNMENT</w:t>
              </w:r>
            </w:hyperlink>
          </w:p>
        </w:tc>
        <w:tc>
          <w:tcPr>
            <w:tcW w:w="5600" w:type="dxa"/>
            <w:vAlign w:val="bottom"/>
            <w:gridSpan w:val="21"/>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8.1</w:t>
            </w:r>
          </w:p>
        </w:tc>
        <w:tc>
          <w:tcPr>
            <w:tcW w:w="1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Subletting and Assignment</w:t>
              </w:r>
            </w:hyperlink>
          </w:p>
        </w:tc>
        <w:tc>
          <w:tcPr>
            <w:tcW w:w="5320" w:type="dxa"/>
            <w:vAlign w:val="bottom"/>
            <w:gridSpan w:val="17"/>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37"/>
        </w:trPr>
        <w:tc>
          <w:tcPr>
            <w:tcW w:w="9480" w:type="dxa"/>
            <w:vAlign w:val="bottom"/>
            <w:gridSpan w:val="41"/>
          </w:tcPr>
          <w:p>
            <w:pPr>
              <w:spacing w:after="0"/>
              <w:rPr>
                <w:rFonts w:ascii="Times New Roman" w:cs="Times New Roman" w:eastAsia="Times New Roman" w:hAnsi="Times New Roman"/>
                <w:sz w:val="18"/>
                <w:szCs w:val="18"/>
                <w:b w:val="1"/>
                <w:bCs w:val="1"/>
                <w:color w:val="0000EE"/>
              </w:rPr>
            </w:pPr>
            <w:hyperlink w:anchor="page96">
              <w:r>
                <w:rPr>
                  <w:rFonts w:ascii="Times New Roman" w:cs="Times New Roman" w:eastAsia="Times New Roman" w:hAnsi="Times New Roman"/>
                  <w:sz w:val="18"/>
                  <w:szCs w:val="18"/>
                  <w:b w:val="1"/>
                  <w:bCs w:val="1"/>
                  <w:color w:val="0000EE"/>
                </w:rPr>
                <w:t>Article IX. RIGHTS OF MORTGAGEES AND GROUND LESSORS; ESTOPPEL CERTIFICATES</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37"/>
        </w:trPr>
        <w:tc>
          <w:tcPr>
            <w:tcW w:w="2200" w:type="dxa"/>
            <w:vAlign w:val="bottom"/>
            <w:tcBorders>
              <w:top w:val="single" w:sz="8" w:color="0000EE"/>
            </w:tcBorders>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9.1</w:t>
            </w:r>
          </w:p>
        </w:tc>
        <w:tc>
          <w:tcPr>
            <w:tcW w:w="5560" w:type="dxa"/>
            <w:vAlign w:val="bottom"/>
            <w:tcBorders>
              <w:top w:val="single" w:sz="8" w:color="0000EE"/>
            </w:tcBorders>
            <w:gridSpan w:val="38"/>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Subordination to Mortgages and Ground Leases</w:t>
              </w:r>
            </w:hyperlink>
          </w:p>
        </w:tc>
        <w:tc>
          <w:tcPr>
            <w:tcW w:w="1720" w:type="dxa"/>
            <w:vAlign w:val="bottom"/>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9.2</w:t>
            </w: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430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Lease Superior at Mortgagee’s or Ground Lessor’s Election</w:t>
              </w:r>
            </w:hyperlink>
          </w:p>
        </w:tc>
        <w:tc>
          <w:tcPr>
            <w:tcW w:w="2980" w:type="dxa"/>
            <w:vAlign w:val="bottom"/>
            <w:gridSpan w:val="4"/>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9.3</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Notice to Mortgagee and Ground Lessor</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9.4</w:t>
            </w: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5420" w:type="dxa"/>
            <w:vAlign w:val="bottom"/>
            <w:tcBorders>
              <w:bottom w:val="single" w:sz="8" w:color="0000EE"/>
            </w:tcBorders>
            <w:gridSpan w:val="37"/>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Limitations on Obligations of Mortgagees, Ground Lessors and Successors</w:t>
              </w:r>
            </w:hyperlink>
          </w:p>
        </w:tc>
        <w:tc>
          <w:tcPr>
            <w:tcW w:w="1860" w:type="dxa"/>
            <w:vAlign w:val="bottom"/>
            <w:gridSpan w:val="2"/>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9.5</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Estoppel Certificates</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8"/>
              </w:rPr>
            </w:pPr>
            <w:hyperlink w:anchor="page97">
              <w:r>
                <w:rPr>
                  <w:rFonts w:ascii="Times New Roman" w:cs="Times New Roman" w:eastAsia="Times New Roman" w:hAnsi="Times New Roman"/>
                  <w:sz w:val="18"/>
                  <w:szCs w:val="18"/>
                  <w:b w:val="1"/>
                  <w:bCs w:val="1"/>
                  <w:color w:val="0000EE"/>
                  <w:w w:val="98"/>
                </w:rPr>
                <w:t>Article X. CASUALTY</w:t>
              </w:r>
            </w:hyperlink>
          </w:p>
        </w:tc>
        <w:tc>
          <w:tcPr>
            <w:tcW w:w="42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10.1</w:t>
            </w:r>
          </w:p>
        </w:tc>
        <w:tc>
          <w:tcPr>
            <w:tcW w:w="17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Damage From Casualty</w:t>
              </w:r>
            </w:hyperlink>
          </w:p>
        </w:tc>
        <w:tc>
          <w:tcPr>
            <w:tcW w:w="5560" w:type="dxa"/>
            <w:vAlign w:val="bottom"/>
            <w:gridSpan w:val="19"/>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10.2</w:t>
            </w:r>
          </w:p>
        </w:tc>
        <w:tc>
          <w:tcPr>
            <w:tcW w:w="1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Abatement of Rent</w:t>
              </w:r>
            </w:hyperlink>
          </w:p>
        </w:tc>
        <w:tc>
          <w:tcPr>
            <w:tcW w:w="5880" w:type="dxa"/>
            <w:vAlign w:val="bottom"/>
            <w:gridSpan w:val="27"/>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10.3</w:t>
            </w:r>
          </w:p>
        </w:tc>
        <w:tc>
          <w:tcPr>
            <w:tcW w:w="22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Landlord’s Right to Terminate</w:t>
            </w:r>
          </w:p>
        </w:tc>
        <w:tc>
          <w:tcPr>
            <w:tcW w:w="5080" w:type="dxa"/>
            <w:vAlign w:val="bottom"/>
            <w:gridSpan w:val="15"/>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37"/>
        </w:trPr>
        <w:tc>
          <w:tcPr>
            <w:tcW w:w="9480" w:type="dxa"/>
            <w:vAlign w:val="bottom"/>
            <w:gridSpan w:val="41"/>
          </w:tcPr>
          <w:p>
            <w:pPr>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Article XI. EMINENT DOMAIN</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11.1</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Eminent Domain; Right to Terminate and Abatement in Rent</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33</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11.2</w:t>
            </w:r>
          </w:p>
        </w:tc>
        <w:tc>
          <w:tcPr>
            <w:tcW w:w="8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99">
              <w:r>
                <w:rPr>
                  <w:rFonts w:ascii="Times New Roman" w:cs="Times New Roman" w:eastAsia="Times New Roman" w:hAnsi="Times New Roman"/>
                  <w:sz w:val="18"/>
                  <w:szCs w:val="18"/>
                  <w:color w:val="0000EE"/>
                  <w:w w:val="98"/>
                </w:rPr>
                <w:t>Restoration</w:t>
              </w:r>
            </w:hyperlink>
          </w:p>
        </w:tc>
        <w:tc>
          <w:tcPr>
            <w:tcW w:w="3560" w:type="dxa"/>
            <w:vAlign w:val="bottom"/>
            <w:tcBorders>
              <w:top w:val="single" w:sz="8" w:color="0000EE"/>
            </w:tcBorders>
            <w:gridSpan w:val="31"/>
          </w:tcPr>
          <w:p>
            <w:pPr>
              <w:spacing w:after="0"/>
              <w:rPr>
                <w:sz w:val="20"/>
                <w:szCs w:val="20"/>
                <w:color w:val="auto"/>
              </w:rPr>
            </w:pPr>
          </w:p>
        </w:tc>
        <w:tc>
          <w:tcPr>
            <w:tcW w:w="2880" w:type="dxa"/>
            <w:vAlign w:val="bottom"/>
            <w:gridSpan w:val="3"/>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11.3</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Landlord to Control Eminent Domain Action</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99">
              <w:r>
                <w:rPr>
                  <w:rFonts w:ascii="Times New Roman" w:cs="Times New Roman" w:eastAsia="Times New Roman" w:hAnsi="Times New Roman"/>
                  <w:sz w:val="18"/>
                  <w:szCs w:val="18"/>
                  <w:b w:val="1"/>
                  <w:bCs w:val="1"/>
                  <w:color w:val="0000EE"/>
                  <w:w w:val="98"/>
                </w:rPr>
                <w:t>Article XII. DEFAULT AND REMEDIES</w:t>
              </w:r>
            </w:hyperlink>
          </w:p>
        </w:tc>
        <w:tc>
          <w:tcPr>
            <w:tcW w:w="6260" w:type="dxa"/>
            <w:vAlign w:val="bottom"/>
            <w:gridSpan w:val="33"/>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12.1</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Event of Default</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12.2</w:t>
            </w: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728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Landlord’s Remedies</w:t>
            </w: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12.3</w:t>
            </w: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Reimbursement of Landlord</w:t>
              </w:r>
            </w:hyperlink>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12.4</w:t>
            </w: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352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Landlord’s Right to Perform Tenant’s Covenants</w:t>
            </w:r>
          </w:p>
        </w:tc>
        <w:tc>
          <w:tcPr>
            <w:tcW w:w="3760" w:type="dxa"/>
            <w:vAlign w:val="bottom"/>
            <w:gridSpan w:val="5"/>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12.5</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Cumulative Remedies</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Section 12.6</w:t>
            </w: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line="20" w:lineRule="exact"/>
              <w:rPr>
                <w:sz w:val="1"/>
                <w:szCs w:val="1"/>
                <w:color w:val="auto"/>
              </w:rPr>
            </w:pPr>
          </w:p>
        </w:tc>
      </w:tr>
      <w:tr>
        <w:trPr>
          <w:trHeight w:val="237"/>
        </w:trPr>
        <w:tc>
          <w:tcPr>
            <w:tcW w:w="2200" w:type="dxa"/>
            <w:vAlign w:val="bottom"/>
            <w:gridSpan w:val="2"/>
            <w:vMerge w:val="continue"/>
          </w:tcPr>
          <w:p>
            <w:pPr>
              <w:spacing w:after="0"/>
              <w:rPr>
                <w:sz w:val="20"/>
                <w:szCs w:val="20"/>
                <w:color w:val="auto"/>
              </w:rPr>
            </w:pPr>
          </w:p>
        </w:tc>
        <w:tc>
          <w:tcPr>
            <w:tcW w:w="1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Expenses of Enforcement</w:t>
              </w:r>
            </w:hyperlink>
          </w:p>
        </w:tc>
        <w:tc>
          <w:tcPr>
            <w:tcW w:w="5420" w:type="dxa"/>
            <w:vAlign w:val="bottom"/>
            <w:gridSpan w:val="18"/>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12.7</w:t>
            </w:r>
          </w:p>
        </w:tc>
        <w:tc>
          <w:tcPr>
            <w:tcW w:w="1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Landlord’s Default</w:t>
            </w:r>
          </w:p>
        </w:tc>
        <w:tc>
          <w:tcPr>
            <w:tcW w:w="5900" w:type="dxa"/>
            <w:vAlign w:val="bottom"/>
            <w:gridSpan w:val="28"/>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12.8</w:t>
            </w:r>
          </w:p>
        </w:tc>
        <w:tc>
          <w:tcPr>
            <w:tcW w:w="2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Limitation of Landlord’s Liability</w:t>
            </w:r>
          </w:p>
        </w:tc>
        <w:tc>
          <w:tcPr>
            <w:tcW w:w="4820" w:type="dxa"/>
            <w:vAlign w:val="bottom"/>
            <w:gridSpan w:val="12"/>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12.9</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Late Payment and Administrative Expense</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12.10</w:t>
            </w:r>
          </w:p>
        </w:tc>
        <w:tc>
          <w:tcPr>
            <w:tcW w:w="3080" w:type="dxa"/>
            <w:vAlign w:val="bottom"/>
            <w:tcBorders>
              <w:top w:val="single" w:sz="8" w:color="0000EE"/>
            </w:tcBorders>
            <w:gridSpan w:val="30"/>
          </w:tcPr>
          <w:p>
            <w:pPr>
              <w:spacing w:after="0" w:line="237" w:lineRule="exact"/>
              <w:rPr>
                <w:sz w:val="20"/>
                <w:szCs w:val="20"/>
                <w:color w:val="auto"/>
              </w:rPr>
            </w:pPr>
            <w:r>
              <w:rPr>
                <w:rFonts w:ascii="Times New Roman" w:cs="Times New Roman" w:eastAsia="Times New Roman" w:hAnsi="Times New Roman"/>
                <w:sz w:val="18"/>
                <w:szCs w:val="18"/>
                <w:color w:val="0000EE"/>
              </w:rPr>
              <w:t>Limitation of Tenant’s Liability</w:t>
            </w:r>
            <w:r>
              <w:rPr>
                <w:rFonts w:ascii="Times New Roman" w:cs="Times New Roman" w:eastAsia="Times New Roman" w:hAnsi="Times New Roman"/>
                <w:sz w:val="21"/>
                <w:szCs w:val="21"/>
                <w:color w:val="000000"/>
              </w:rPr>
              <w:t>. .</w:t>
            </w:r>
          </w:p>
        </w:tc>
        <w:tc>
          <w:tcPr>
            <w:tcW w:w="4200" w:type="dxa"/>
            <w:vAlign w:val="bottom"/>
            <w:gridSpan w:val="9"/>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9"/>
            <w:shd w:val="clear" w:color="auto" w:fill="0000EE"/>
          </w:tcPr>
          <w:p>
            <w:pPr>
              <w:spacing w:after="0" w:line="20" w:lineRule="exact"/>
              <w:rPr>
                <w:sz w:val="1"/>
                <w:szCs w:val="1"/>
                <w:color w:val="auto"/>
              </w:rPr>
            </w:pPr>
          </w:p>
        </w:tc>
        <w:tc>
          <w:tcPr>
            <w:tcW w:w="5000" w:type="dxa"/>
            <w:vAlign w:val="bottom"/>
            <w:gridSpan w:val="13"/>
          </w:tcPr>
          <w:p>
            <w:pPr>
              <w:spacing w:after="0" w:line="20" w:lineRule="exact"/>
              <w:rPr>
                <w:sz w:val="1"/>
                <w:szCs w:val="1"/>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0000EE"/>
            </w:tcBorders>
            <w:gridSpan w:val="17"/>
          </w:tcPr>
          <w:p>
            <w:pPr>
              <w:spacing w:after="0"/>
              <w:rPr>
                <w:rFonts w:ascii="Times New Roman" w:cs="Times New Roman" w:eastAsia="Times New Roman" w:hAnsi="Times New Roman"/>
                <w:sz w:val="18"/>
                <w:szCs w:val="18"/>
                <w:b w:val="1"/>
                <w:bCs w:val="1"/>
                <w:color w:val="0000EE"/>
                <w:w w:val="99"/>
              </w:rPr>
            </w:pPr>
            <w:hyperlink w:anchor="page102">
              <w:r>
                <w:rPr>
                  <w:rFonts w:ascii="Times New Roman" w:cs="Times New Roman" w:eastAsia="Times New Roman" w:hAnsi="Times New Roman"/>
                  <w:sz w:val="18"/>
                  <w:szCs w:val="18"/>
                  <w:b w:val="1"/>
                  <w:bCs w:val="1"/>
                  <w:color w:val="0000EE"/>
                  <w:w w:val="99"/>
                </w:rPr>
                <w:t>Article XIII. MISCELLANEOUS PROVISIONS</w:t>
              </w:r>
            </w:hyperlink>
          </w:p>
        </w:tc>
        <w:tc>
          <w:tcPr>
            <w:tcW w:w="5720" w:type="dxa"/>
            <w:vAlign w:val="bottom"/>
            <w:gridSpan w:val="24"/>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13.1</w:t>
            </w:r>
          </w:p>
        </w:tc>
        <w:tc>
          <w:tcPr>
            <w:tcW w:w="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102">
              <w:r>
                <w:rPr>
                  <w:rFonts w:ascii="Times New Roman" w:cs="Times New Roman" w:eastAsia="Times New Roman" w:hAnsi="Times New Roman"/>
                  <w:sz w:val="18"/>
                  <w:szCs w:val="18"/>
                  <w:color w:val="0000EE"/>
                  <w:w w:val="98"/>
                </w:rPr>
                <w:t>Brokers</w:t>
              </w:r>
            </w:hyperlink>
          </w:p>
        </w:tc>
        <w:tc>
          <w:tcPr>
            <w:tcW w:w="6700" w:type="dxa"/>
            <w:vAlign w:val="bottom"/>
            <w:gridSpan w:val="36"/>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13.2</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Quiet Enjoyment</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13.3</w:t>
            </w:r>
          </w:p>
        </w:tc>
        <w:tc>
          <w:tcPr>
            <w:tcW w:w="12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Security Deposit</w:t>
              </w:r>
            </w:hyperlink>
          </w:p>
        </w:tc>
        <w:tc>
          <w:tcPr>
            <w:tcW w:w="20" w:type="dxa"/>
            <w:vAlign w:val="bottom"/>
            <w:tcBorders>
              <w:top w:val="single" w:sz="8" w:color="0000EE"/>
            </w:tcBorders>
          </w:tcPr>
          <w:p>
            <w:pPr>
              <w:spacing w:after="0"/>
              <w:rPr>
                <w:sz w:val="20"/>
                <w:szCs w:val="20"/>
                <w:color w:val="auto"/>
              </w:rPr>
            </w:pPr>
          </w:p>
        </w:tc>
        <w:tc>
          <w:tcPr>
            <w:tcW w:w="6040" w:type="dxa"/>
            <w:vAlign w:val="bottom"/>
            <w:gridSpan w:val="30"/>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13.4</w:t>
            </w:r>
          </w:p>
        </w:tc>
        <w:tc>
          <w:tcPr>
            <w:tcW w:w="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04">
              <w:r>
                <w:rPr>
                  <w:rFonts w:ascii="Times New Roman" w:cs="Times New Roman" w:eastAsia="Times New Roman" w:hAnsi="Times New Roman"/>
                  <w:sz w:val="18"/>
                  <w:szCs w:val="18"/>
                  <w:color w:val="0000EE"/>
                  <w:w w:val="98"/>
                </w:rPr>
                <w:t>Notices</w:t>
              </w:r>
            </w:hyperlink>
          </w:p>
        </w:tc>
        <w:tc>
          <w:tcPr>
            <w:tcW w:w="6720" w:type="dxa"/>
            <w:vAlign w:val="bottom"/>
            <w:gridSpan w:val="37"/>
          </w:tcPr>
          <w:p>
            <w:pPr>
              <w:spacing w:after="0"/>
              <w:rPr>
                <w:sz w:val="20"/>
                <w:szCs w:val="20"/>
                <w:color w:val="auto"/>
              </w:rPr>
            </w:pPr>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37"/>
        </w:trPr>
        <w:tc>
          <w:tcPr>
            <w:tcW w:w="2200" w:type="dxa"/>
            <w:vAlign w:val="bottom"/>
            <w:gridSpan w:val="2"/>
          </w:tcPr>
          <w:p>
            <w:pPr>
              <w:ind w:left="340"/>
              <w:spacing w:after="0" w:line="237" w:lineRule="exact"/>
              <w:rPr>
                <w:sz w:val="20"/>
                <w:szCs w:val="20"/>
                <w:color w:val="auto"/>
              </w:rPr>
            </w:pPr>
            <w:r>
              <w:rPr>
                <w:rFonts w:ascii="Times New Roman" w:cs="Times New Roman" w:eastAsia="Times New Roman" w:hAnsi="Times New Roman"/>
                <w:sz w:val="22"/>
                <w:szCs w:val="22"/>
                <w:color w:val="auto"/>
              </w:rPr>
              <w:t>Section 13.5</w:t>
            </w:r>
          </w:p>
        </w:tc>
        <w:tc>
          <w:tcPr>
            <w:tcW w:w="7280" w:type="dxa"/>
            <w:vAlign w:val="bottom"/>
            <w:gridSpan w:val="39"/>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Waiver of Subrogation</w:t>
              </w:r>
            </w:hyperlink>
          </w:p>
        </w:tc>
        <w:tc>
          <w:tcPr>
            <w:tcW w:w="19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3"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Section 13.6</w:t>
            </w:r>
          </w:p>
        </w:tc>
        <w:tc>
          <w:tcPr>
            <w:tcW w:w="7660" w:type="dxa"/>
            <w:vAlign w:val="bottom"/>
            <w:gridSpan w:val="11"/>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Entire Agreement; Execution; Time of the Essence and Headings and Table of Contents</w:t>
              </w:r>
            </w:hyperlink>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13.7</w:t>
            </w:r>
          </w:p>
        </w:tc>
        <w:tc>
          <w:tcPr>
            <w:tcW w:w="63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Partial Invalidity</w:t>
              </w:r>
            </w:hyperlink>
          </w:p>
        </w:tc>
        <w:tc>
          <w:tcPr>
            <w:tcW w:w="1340" w:type="dxa"/>
            <w:vAlign w:val="bottom"/>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13.8</w:t>
            </w:r>
          </w:p>
        </w:tc>
        <w:tc>
          <w:tcPr>
            <w:tcW w:w="12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No Waiver</w:t>
              </w:r>
            </w:hyperlink>
          </w:p>
        </w:tc>
        <w:tc>
          <w:tcPr>
            <w:tcW w:w="6440" w:type="dxa"/>
            <w:vAlign w:val="bottom"/>
            <w:gridSpan w:val="6"/>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13.9</w:t>
            </w:r>
          </w:p>
        </w:tc>
        <w:tc>
          <w:tcPr>
            <w:tcW w:w="7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Holdover</w:t>
              </w:r>
            </w:hyperlink>
          </w:p>
        </w:tc>
        <w:tc>
          <w:tcPr>
            <w:tcW w:w="6880" w:type="dxa"/>
            <w:vAlign w:val="bottom"/>
            <w:gridSpan w:val="8"/>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13.10</w:t>
            </w: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line="20" w:lineRule="exact"/>
              <w:rPr>
                <w:sz w:val="1"/>
                <w:szCs w:val="1"/>
                <w:color w:val="auto"/>
              </w:rPr>
            </w:pPr>
          </w:p>
        </w:tc>
      </w:tr>
      <w:tr>
        <w:trPr>
          <w:trHeight w:val="237"/>
        </w:trPr>
        <w:tc>
          <w:tcPr>
            <w:tcW w:w="1860" w:type="dxa"/>
            <w:vAlign w:val="bottom"/>
            <w:vMerge w:val="continue"/>
          </w:tcPr>
          <w:p>
            <w:pPr>
              <w:spacing w:after="0"/>
              <w:rPr>
                <w:sz w:val="20"/>
                <w:szCs w:val="20"/>
                <w:color w:val="auto"/>
              </w:rPr>
            </w:pPr>
          </w:p>
        </w:tc>
        <w:tc>
          <w:tcPr>
            <w:tcW w:w="2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When Lease Becomes Binding</w:t>
              </w:r>
            </w:hyperlink>
          </w:p>
        </w:tc>
        <w:tc>
          <w:tcPr>
            <w:tcW w:w="5420" w:type="dxa"/>
            <w:vAlign w:val="bottom"/>
            <w:gridSpan w:val="3"/>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13.11</w:t>
            </w:r>
          </w:p>
        </w:tc>
        <w:tc>
          <w:tcPr>
            <w:tcW w:w="11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No Recordation</w:t>
              </w:r>
            </w:hyperlink>
          </w:p>
        </w:tc>
        <w:tc>
          <w:tcPr>
            <w:tcW w:w="6500" w:type="dxa"/>
            <w:vAlign w:val="bottom"/>
            <w:gridSpan w:val="7"/>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13.12</w:t>
            </w:r>
          </w:p>
        </w:tc>
        <w:tc>
          <w:tcPr>
            <w:tcW w:w="7660" w:type="dxa"/>
            <w:vAlign w:val="bottom"/>
            <w:gridSpan w:val="11"/>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As Is</w:t>
              </w:r>
            </w:hyperlink>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13.13</w:t>
            </w:r>
          </w:p>
        </w:tc>
        <w:tc>
          <w:tcPr>
            <w:tcW w:w="38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line="20" w:lineRule="exact"/>
              <w:rPr>
                <w:sz w:val="1"/>
                <w:szCs w:val="1"/>
                <w:color w:val="auto"/>
              </w:rPr>
            </w:pPr>
          </w:p>
        </w:tc>
      </w:tr>
      <w:tr>
        <w:trPr>
          <w:trHeight w:val="237"/>
        </w:trPr>
        <w:tc>
          <w:tcPr>
            <w:tcW w:w="1860" w:type="dxa"/>
            <w:vAlign w:val="bottom"/>
            <w:vMerge w:val="continue"/>
          </w:tcPr>
          <w:p>
            <w:pPr>
              <w:spacing w:after="0"/>
              <w:rPr>
                <w:sz w:val="20"/>
                <w:szCs w:val="20"/>
                <w:color w:val="auto"/>
              </w:rPr>
            </w:pPr>
          </w:p>
        </w:tc>
        <w:tc>
          <w:tcPr>
            <w:tcW w:w="7660" w:type="dxa"/>
            <w:vAlign w:val="bottom"/>
            <w:gridSpan w:val="11"/>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Financial Statements; Certain Representations and Warranties of Tenant</w:t>
              </w:r>
            </w:hyperlink>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13.14</w:t>
            </w:r>
          </w:p>
        </w:tc>
        <w:tc>
          <w:tcPr>
            <w:tcW w:w="5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(a) Real Estate Confidentiality</w:t>
              </w:r>
            </w:hyperlink>
          </w:p>
        </w:tc>
        <w:tc>
          <w:tcPr>
            <w:tcW w:w="2480" w:type="dxa"/>
            <w:vAlign w:val="bottom"/>
            <w:gridSpan w:val="2"/>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13.15</w:t>
            </w:r>
          </w:p>
        </w:tc>
        <w:tc>
          <w:tcPr>
            <w:tcW w:w="22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Summary of Basic Terms</w:t>
              </w:r>
            </w:hyperlink>
          </w:p>
        </w:tc>
        <w:tc>
          <w:tcPr>
            <w:tcW w:w="5420" w:type="dxa"/>
            <w:vAlign w:val="bottom"/>
            <w:gridSpan w:val="3"/>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37"/>
        </w:trPr>
        <w:tc>
          <w:tcPr>
            <w:tcW w:w="18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13.16</w:t>
            </w:r>
          </w:p>
        </w:tc>
        <w:tc>
          <w:tcPr>
            <w:tcW w:w="18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Jurisdiction and Venue</w:t>
              </w:r>
            </w:hyperlink>
          </w:p>
        </w:tc>
        <w:tc>
          <w:tcPr>
            <w:tcW w:w="5820" w:type="dxa"/>
            <w:vAlign w:val="bottom"/>
            <w:gridSpan w:val="4"/>
          </w:tcPr>
          <w:p>
            <w:pPr>
              <w:spacing w:after="0"/>
              <w:rPr>
                <w:sz w:val="20"/>
                <w:szCs w:val="20"/>
                <w:color w:val="auto"/>
              </w:rPr>
            </w:pPr>
          </w:p>
        </w:tc>
        <w:tc>
          <w:tcPr>
            <w:tcW w:w="154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62230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580" w:top="103" w:right="2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SUMMARY OF BASIC TERMS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 LEASE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PREMISES AT 35 GATEHOUSE DRIVE,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WALTHAM, MASSACHUSETTS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CERULEAN PHARMA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DATED AS OF JULY 9, 2015</w:t>
      </w:r>
    </w:p>
    <w:p>
      <w:pPr>
        <w:spacing w:after="0" w:line="21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w:t>
      </w:r>
    </w:p>
    <w:p>
      <w:pPr>
        <w:spacing w:after="0" w:line="206" w:lineRule="exact"/>
        <w:rPr>
          <w:sz w:val="20"/>
          <w:szCs w:val="20"/>
          <w:color w:val="auto"/>
        </w:rPr>
      </w:pPr>
    </w:p>
    <w:p>
      <w:pPr>
        <w:ind w:right="20" w:firstLine="877"/>
        <w:spacing w:after="0" w:line="239" w:lineRule="auto"/>
        <w:rPr>
          <w:sz w:val="20"/>
          <w:szCs w:val="20"/>
          <w:color w:val="auto"/>
        </w:rPr>
      </w:pPr>
      <w:r>
        <w:rPr>
          <w:rFonts w:ascii="Times New Roman" w:cs="Times New Roman" w:eastAsia="Times New Roman" w:hAnsi="Times New Roman"/>
          <w:sz w:val="22"/>
          <w:szCs w:val="22"/>
          <w:color w:val="auto"/>
        </w:rPr>
        <w:t>The following is a summary of certain basic terms of this Lease which is intended for the convenience and reference of the parties. Capitalized terms used, but not defined, in this Summary of Basic Terms, have their defined meanings in this Lease. In addition, some of the following items or terms are incorporated into this Lease by reference to the item or term or to this “Summary of Basic Terms”.</w:t>
      </w:r>
    </w:p>
    <w:p>
      <w:pPr>
        <w:spacing w:after="0" w:line="177" w:lineRule="exact"/>
        <w:rPr>
          <w:sz w:val="20"/>
          <w:szCs w:val="20"/>
          <w:color w:val="auto"/>
        </w:rPr>
      </w:pPr>
    </w:p>
    <w:p>
      <w:pPr>
        <w:ind w:left="880" w:hanging="872"/>
        <w:spacing w:after="0"/>
        <w:tabs>
          <w:tab w:leader="none" w:pos="8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ASTRAZENECA PHARMACEUTICALS LIMITED PARTNERSHIP</w:t>
      </w:r>
    </w:p>
    <w:p>
      <w:pPr>
        <w:spacing w:after="0" w:line="206" w:lineRule="exact"/>
        <w:rPr>
          <w:rFonts w:ascii="Times New Roman" w:cs="Times New Roman" w:eastAsia="Times New Roman" w:hAnsi="Times New Roman"/>
          <w:sz w:val="22"/>
          <w:szCs w:val="22"/>
          <w:color w:val="auto"/>
        </w:rPr>
      </w:pPr>
    </w:p>
    <w:p>
      <w:pPr>
        <w:ind w:left="880" w:hanging="872"/>
        <w:spacing w:after="0"/>
        <w:tabs>
          <w:tab w:leader="none" w:pos="8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CERULEAN PHARMA INC.</w:t>
      </w:r>
    </w:p>
    <w:p>
      <w:pPr>
        <w:spacing w:after="0" w:line="2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3A.</w:t>
      </w:r>
      <w:r>
        <w:rPr>
          <w:sz w:val="20"/>
          <w:szCs w:val="20"/>
          <w:color w:val="auto"/>
        </w:rPr>
        <w:tab/>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Approximately 22,992 square feet of rentable space located in Landlord’s Property as follows:</w:t>
      </w:r>
    </w:p>
    <w:p>
      <w:pPr>
        <w:spacing w:after="0" w:line="98" w:lineRule="exact"/>
        <w:rPr>
          <w:sz w:val="20"/>
          <w:szCs w:val="20"/>
          <w:color w:val="auto"/>
        </w:rPr>
      </w:pPr>
    </w:p>
    <w:p>
      <w:pPr>
        <w:ind w:left="1300" w:hanging="415"/>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12,147 square feet of rentable office space located in Building D on Level 2 (“D2”)</w:t>
      </w:r>
    </w:p>
    <w:p>
      <w:pPr>
        <w:spacing w:after="0" w:line="98" w:lineRule="exact"/>
        <w:rPr>
          <w:rFonts w:ascii="Times New Roman" w:cs="Times New Roman" w:eastAsia="Times New Roman" w:hAnsi="Times New Roman"/>
          <w:sz w:val="22"/>
          <w:szCs w:val="22"/>
          <w:color w:val="auto"/>
        </w:rPr>
      </w:pPr>
    </w:p>
    <w:p>
      <w:pPr>
        <w:ind w:left="1300" w:hanging="415"/>
        <w:spacing w:after="0"/>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9,092 square feet of rentable laboratory space located in Building C on Level 3 (“C3”); and</w:t>
      </w:r>
    </w:p>
    <w:p>
      <w:pPr>
        <w:spacing w:after="0" w:line="98" w:lineRule="exact"/>
        <w:rPr>
          <w:rFonts w:ascii="Times New Roman" w:cs="Times New Roman" w:eastAsia="Times New Roman" w:hAnsi="Times New Roman"/>
          <w:sz w:val="22"/>
          <w:szCs w:val="22"/>
          <w:color w:val="auto"/>
        </w:rPr>
      </w:pPr>
    </w:p>
    <w:p>
      <w:pPr>
        <w:ind w:left="1300" w:right="180" w:hanging="415"/>
        <w:spacing w:after="0" w:line="258" w:lineRule="auto"/>
        <w:tabs>
          <w:tab w:leader="none" w:pos="13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1,753 square feet of rentable space located in the vivarium and associated vivarium support space in Building C on Level 2 (“C2”),</w:t>
      </w:r>
    </w:p>
    <w:p>
      <w:pPr>
        <w:spacing w:after="0" w:line="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all as depicted on the floor plans attached hereto as Exhibit C.</w:t>
      </w:r>
    </w:p>
    <w:p>
      <w:pPr>
        <w:spacing w:after="0" w:line="206" w:lineRule="exact"/>
        <w:rPr>
          <w:sz w:val="20"/>
          <w:szCs w:val="20"/>
          <w:color w:val="auto"/>
        </w:rPr>
      </w:pPr>
    </w:p>
    <w:p>
      <w:pPr>
        <w:ind w:left="880" w:hanging="879"/>
        <w:spacing w:after="0" w:line="282" w:lineRule="auto"/>
        <w:tabs>
          <w:tab w:leader="none" w:pos="860" w:val="left"/>
        </w:tabs>
        <w:rPr>
          <w:sz w:val="20"/>
          <w:szCs w:val="20"/>
          <w:color w:val="auto"/>
        </w:rPr>
      </w:pPr>
      <w:r>
        <w:rPr>
          <w:rFonts w:ascii="Times New Roman" w:cs="Times New Roman" w:eastAsia="Times New Roman" w:hAnsi="Times New Roman"/>
          <w:sz w:val="21"/>
          <w:szCs w:val="21"/>
          <w:color w:val="auto"/>
        </w:rPr>
        <w:t>3B.</w:t>
      </w:r>
      <w:r>
        <w:rPr>
          <w:sz w:val="20"/>
          <w:szCs w:val="20"/>
          <w:color w:val="auto"/>
        </w:rPr>
        <w:tab/>
      </w:r>
      <w:r>
        <w:rPr>
          <w:rFonts w:ascii="Times New Roman" w:cs="Times New Roman" w:eastAsia="Times New Roman" w:hAnsi="Times New Roman"/>
          <w:sz w:val="21"/>
          <w:szCs w:val="21"/>
          <w:u w:val="single" w:color="auto"/>
          <w:color w:val="auto"/>
        </w:rPr>
        <w:t>Landlord’s Property</w:t>
      </w:r>
      <w:r>
        <w:rPr>
          <w:rFonts w:ascii="Times New Roman" w:cs="Times New Roman" w:eastAsia="Times New Roman" w:hAnsi="Times New Roman"/>
          <w:sz w:val="21"/>
          <w:szCs w:val="21"/>
          <w:color w:val="auto"/>
        </w:rPr>
        <w:t>: The real property with the Building and any other improvements now or hereafter thereon, commonly known as 35 Gatehouse Drive, Waltham, Massachusetts, as described on Exhibit A and depicted on Exhibit B.</w:t>
      </w:r>
    </w:p>
    <w:p>
      <w:pPr>
        <w:spacing w:after="0" w:line="135" w:lineRule="exact"/>
        <w:rPr>
          <w:sz w:val="20"/>
          <w:szCs w:val="20"/>
          <w:color w:val="auto"/>
        </w:rPr>
      </w:pPr>
    </w:p>
    <w:p>
      <w:pPr>
        <w:ind w:left="880" w:right="480" w:hanging="879"/>
        <w:spacing w:after="0" w:line="238" w:lineRule="auto"/>
        <w:tabs>
          <w:tab w:leader="none" w:pos="860" w:val="left"/>
        </w:tabs>
        <w:rPr>
          <w:sz w:val="20"/>
          <w:szCs w:val="20"/>
          <w:color w:val="auto"/>
        </w:rPr>
      </w:pPr>
      <w:r>
        <w:rPr>
          <w:rFonts w:ascii="Times New Roman" w:cs="Times New Roman" w:eastAsia="Times New Roman" w:hAnsi="Times New Roman"/>
          <w:sz w:val="22"/>
          <w:szCs w:val="22"/>
          <w:color w:val="auto"/>
        </w:rPr>
        <w:t>3C.</w:t>
      </w:r>
      <w:r>
        <w:rPr>
          <w:sz w:val="20"/>
          <w:szCs w:val="20"/>
          <w:color w:val="auto"/>
        </w:rPr>
        <w:tab/>
      </w:r>
      <w:r>
        <w:rPr>
          <w:rFonts w:ascii="Times New Roman" w:cs="Times New Roman" w:eastAsia="Times New Roman" w:hAnsi="Times New Roman"/>
          <w:sz w:val="22"/>
          <w:szCs w:val="22"/>
          <w:u w:val="single" w:color="auto"/>
          <w:color w:val="auto"/>
        </w:rPr>
        <w:t>Leasable Square Footage of the Premises</w:t>
      </w:r>
      <w:r>
        <w:rPr>
          <w:rFonts w:ascii="Times New Roman" w:cs="Times New Roman" w:eastAsia="Times New Roman" w:hAnsi="Times New Roman"/>
          <w:sz w:val="22"/>
          <w:szCs w:val="22"/>
          <w:color w:val="auto"/>
        </w:rPr>
        <w:t>: (which includes a proportionate share of the Common Areas of the Building): 22,992 rentable square feet. Additionally, Tenant shall have the right to use during the term hereof the Landlord’s work stations and furniture (e.g. desks, chairs and bookcases) presently located in the Premises without warranty or representation as to their usage, fitness or condition. The Landlord shall have no obligation to maintain, replace or repair said furniture. The aforesaid furniture shall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5" w:name="page66"/>
    <w:bookmarkEnd w:id="65"/>
    <w:p>
      <w:pPr>
        <w:ind w:left="872" w:right="560"/>
        <w:spacing w:after="0" w:line="259" w:lineRule="auto"/>
        <w:rPr>
          <w:sz w:val="20"/>
          <w:szCs w:val="20"/>
          <w:color w:val="auto"/>
        </w:rPr>
      </w:pPr>
      <w:r>
        <w:rPr>
          <w:rFonts w:ascii="Times New Roman" w:cs="Times New Roman" w:eastAsia="Times New Roman" w:hAnsi="Times New Roman"/>
          <w:sz w:val="22"/>
          <w:szCs w:val="22"/>
          <w:color w:val="auto"/>
        </w:rPr>
        <w:t>remain the property of the Landlord and returned at the end of the Lease term in the same condition as delivered to Tenant, reasonable wear and tear and casualty excepted.</w:t>
      </w:r>
    </w:p>
    <w:p>
      <w:pPr>
        <w:spacing w:after="0" w:line="157" w:lineRule="exact"/>
        <w:rPr>
          <w:sz w:val="20"/>
          <w:szCs w:val="20"/>
          <w:color w:val="auto"/>
        </w:rPr>
      </w:pPr>
    </w:p>
    <w:p>
      <w:pPr>
        <w:ind w:left="872" w:right="160" w:hanging="879"/>
        <w:spacing w:after="0" w:line="258" w:lineRule="auto"/>
        <w:tabs>
          <w:tab w:leader="none" w:pos="852" w:val="left"/>
        </w:tabs>
        <w:rPr>
          <w:sz w:val="20"/>
          <w:szCs w:val="20"/>
          <w:color w:val="auto"/>
        </w:rPr>
      </w:pPr>
      <w:r>
        <w:rPr>
          <w:rFonts w:ascii="Times New Roman" w:cs="Times New Roman" w:eastAsia="Times New Roman" w:hAnsi="Times New Roman"/>
          <w:sz w:val="22"/>
          <w:szCs w:val="22"/>
          <w:color w:val="auto"/>
        </w:rPr>
        <w:t>3D.</w:t>
      </w:r>
      <w:r>
        <w:rPr>
          <w:sz w:val="20"/>
          <w:szCs w:val="20"/>
          <w:color w:val="auto"/>
        </w:rPr>
        <w:tab/>
      </w:r>
      <w:r>
        <w:rPr>
          <w:rFonts w:ascii="Times New Roman" w:cs="Times New Roman" w:eastAsia="Times New Roman" w:hAnsi="Times New Roman"/>
          <w:sz w:val="22"/>
          <w:szCs w:val="22"/>
          <w:u w:val="single" w:color="auto"/>
          <w:color w:val="auto"/>
        </w:rPr>
        <w:t>Leasable Square Footage of the Building</w:t>
      </w:r>
      <w:r>
        <w:rPr>
          <w:rFonts w:ascii="Times New Roman" w:cs="Times New Roman" w:eastAsia="Times New Roman" w:hAnsi="Times New Roman"/>
          <w:sz w:val="22"/>
          <w:szCs w:val="22"/>
          <w:color w:val="auto"/>
        </w:rPr>
        <w:t>: An agreed upon 297,576 rentable square feet, subject to future adjustment in the event that the Common Areas of the Building are expanded or reconfigured.</w:t>
      </w:r>
    </w:p>
    <w:p>
      <w:pPr>
        <w:spacing w:after="0" w:line="158" w:lineRule="exact"/>
        <w:rPr>
          <w:sz w:val="20"/>
          <w:szCs w:val="20"/>
          <w:color w:val="auto"/>
        </w:rPr>
      </w:pPr>
    </w:p>
    <w:p>
      <w:pPr>
        <w:ind w:left="872" w:right="200" w:hanging="879"/>
        <w:spacing w:after="0" w:line="239" w:lineRule="auto"/>
        <w:tabs>
          <w:tab w:leader="none" w:pos="852" w:val="left"/>
        </w:tabs>
        <w:rPr>
          <w:sz w:val="20"/>
          <w:szCs w:val="20"/>
          <w:color w:val="auto"/>
        </w:rPr>
      </w:pPr>
      <w:r>
        <w:rPr>
          <w:rFonts w:ascii="Times New Roman" w:cs="Times New Roman" w:eastAsia="Times New Roman" w:hAnsi="Times New Roman"/>
          <w:sz w:val="22"/>
          <w:szCs w:val="22"/>
          <w:color w:val="auto"/>
        </w:rPr>
        <w:t>3E.</w:t>
      </w:r>
      <w:r>
        <w:rPr>
          <w:sz w:val="20"/>
          <w:szCs w:val="20"/>
          <w:color w:val="auto"/>
        </w:rPr>
        <w:tab/>
      </w:r>
      <w:r>
        <w:rPr>
          <w:rFonts w:ascii="Times New Roman" w:cs="Times New Roman" w:eastAsia="Times New Roman" w:hAnsi="Times New Roman"/>
          <w:sz w:val="22"/>
          <w:szCs w:val="22"/>
          <w:u w:val="single" w:color="auto"/>
          <w:color w:val="auto"/>
        </w:rPr>
        <w:t>Landlord’s Equipment</w:t>
      </w:r>
      <w:r>
        <w:rPr>
          <w:rFonts w:ascii="Times New Roman" w:cs="Times New Roman" w:eastAsia="Times New Roman" w:hAnsi="Times New Roman"/>
          <w:sz w:val="22"/>
          <w:szCs w:val="22"/>
          <w:color w:val="auto"/>
        </w:rPr>
        <w:t xml:space="preserve">: The equipment owned by Landlord and located in the Premises on the date of Landlord’s delivery of the Premises to Tenant. A complete itemization of Landlord’s Equipment will be agreed upon and listed on an exhibit to this Lease within thirty (30) days after the Term Commencement Date, provided in all events that Landlord’s Equipment shall include the equipment noted in </w:t>
      </w:r>
      <w:r>
        <w:rPr>
          <w:rFonts w:ascii="Times New Roman" w:cs="Times New Roman" w:eastAsia="Times New Roman" w:hAnsi="Times New Roman"/>
          <w:sz w:val="22"/>
          <w:szCs w:val="22"/>
          <w:u w:val="single" w:color="auto"/>
          <w:color w:val="auto"/>
        </w:rPr>
        <w:t>Schedule 3E</w:t>
      </w:r>
      <w:r>
        <w:rPr>
          <w:rFonts w:ascii="Times New Roman" w:cs="Times New Roman" w:eastAsia="Times New Roman" w:hAnsi="Times New Roman"/>
          <w:sz w:val="22"/>
          <w:szCs w:val="22"/>
          <w:color w:val="auto"/>
        </w:rPr>
        <w:t xml:space="preserve"> attached hereto.</w:t>
      </w:r>
    </w:p>
    <w:p>
      <w:pPr>
        <w:spacing w:after="0" w:line="181" w:lineRule="exact"/>
        <w:rPr>
          <w:sz w:val="20"/>
          <w:szCs w:val="20"/>
          <w:color w:val="auto"/>
        </w:rPr>
      </w:pPr>
    </w:p>
    <w:p>
      <w:pPr>
        <w:ind w:left="872" w:right="60" w:hanging="872"/>
        <w:spacing w:after="0" w:line="239" w:lineRule="auto"/>
        <w:tabs>
          <w:tab w:leader="none" w:pos="87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Improvement Allowance</w:t>
      </w:r>
      <w:r>
        <w:rPr>
          <w:rFonts w:ascii="Times New Roman" w:cs="Times New Roman" w:eastAsia="Times New Roman" w:hAnsi="Times New Roman"/>
          <w:sz w:val="22"/>
          <w:szCs w:val="22"/>
          <w:color w:val="auto"/>
        </w:rPr>
        <w:t>: None. Tenant shall be responsible for and pay for its own Tenant improvements including, without limitation, for all telephone, data wiring and equipment installation throughout the Premises and for connection to the main demarcation room from local exchange carriers, domestic water distribution within the Premises, hot water requirements, safety equipment, laboratory waste removal and office cleaning.</w:t>
      </w:r>
    </w:p>
    <w:p>
      <w:pPr>
        <w:spacing w:after="0" w:line="181" w:lineRule="exact"/>
        <w:rPr>
          <w:sz w:val="20"/>
          <w:szCs w:val="20"/>
          <w:color w:val="auto"/>
        </w:rPr>
      </w:pPr>
    </w:p>
    <w:p>
      <w:pPr>
        <w:ind w:left="872" w:right="160" w:hanging="879"/>
        <w:spacing w:after="0" w:line="258" w:lineRule="auto"/>
        <w:tabs>
          <w:tab w:leader="none" w:pos="852" w:val="left"/>
        </w:tabs>
        <w:rPr>
          <w:sz w:val="20"/>
          <w:szCs w:val="20"/>
          <w:color w:val="auto"/>
        </w:rPr>
      </w:pPr>
      <w:r>
        <w:rPr>
          <w:rFonts w:ascii="Times New Roman" w:cs="Times New Roman" w:eastAsia="Times New Roman" w:hAnsi="Times New Roman"/>
          <w:sz w:val="22"/>
          <w:szCs w:val="22"/>
          <w:color w:val="auto"/>
        </w:rPr>
        <w:t>5A.</w:t>
      </w:r>
      <w:r>
        <w:rPr>
          <w:sz w:val="20"/>
          <w:szCs w:val="20"/>
          <w:color w:val="auto"/>
        </w:rPr>
        <w:tab/>
      </w:r>
      <w:r>
        <w:rPr>
          <w:rFonts w:ascii="Times New Roman" w:cs="Times New Roman" w:eastAsia="Times New Roman" w:hAnsi="Times New Roman"/>
          <w:sz w:val="22"/>
          <w:szCs w:val="22"/>
          <w:u w:val="single" w:color="auto"/>
          <w:color w:val="auto"/>
        </w:rPr>
        <w:t>Lease Term</w:t>
      </w:r>
      <w:r>
        <w:rPr>
          <w:rFonts w:ascii="Times New Roman" w:cs="Times New Roman" w:eastAsia="Times New Roman" w:hAnsi="Times New Roman"/>
          <w:sz w:val="22"/>
          <w:szCs w:val="22"/>
          <w:color w:val="auto"/>
        </w:rPr>
        <w:t>: An approximately five (5) year and two (2) month period commencing on the Term Commencement Date and ending on February 28, 2021.</w:t>
      </w:r>
    </w:p>
    <w:p>
      <w:pPr>
        <w:spacing w:after="0" w:line="158" w:lineRule="exact"/>
        <w:rPr>
          <w:sz w:val="20"/>
          <w:szCs w:val="20"/>
          <w:color w:val="auto"/>
        </w:rPr>
      </w:pPr>
    </w:p>
    <w:p>
      <w:pPr>
        <w:ind w:left="872" w:right="260" w:hanging="879"/>
        <w:spacing w:after="0" w:line="258" w:lineRule="auto"/>
        <w:tabs>
          <w:tab w:leader="none" w:pos="852" w:val="left"/>
        </w:tabs>
        <w:rPr>
          <w:sz w:val="20"/>
          <w:szCs w:val="20"/>
          <w:color w:val="auto"/>
        </w:rPr>
      </w:pPr>
      <w:r>
        <w:rPr>
          <w:rFonts w:ascii="Times New Roman" w:cs="Times New Roman" w:eastAsia="Times New Roman" w:hAnsi="Times New Roman"/>
          <w:sz w:val="22"/>
          <w:szCs w:val="22"/>
          <w:color w:val="auto"/>
        </w:rPr>
        <w:t>5B.</w:t>
      </w:r>
      <w:r>
        <w:rPr>
          <w:sz w:val="20"/>
          <w:szCs w:val="20"/>
          <w:color w:val="auto"/>
        </w:rPr>
        <w:tab/>
      </w:r>
      <w:r>
        <w:rPr>
          <w:rFonts w:ascii="Times New Roman" w:cs="Times New Roman" w:eastAsia="Times New Roman" w:hAnsi="Times New Roman"/>
          <w:sz w:val="22"/>
          <w:szCs w:val="22"/>
          <w:u w:val="single" w:color="auto"/>
          <w:color w:val="auto"/>
        </w:rPr>
        <w:t>Right of Extension</w:t>
      </w:r>
      <w:r>
        <w:rPr>
          <w:rFonts w:ascii="Times New Roman" w:cs="Times New Roman" w:eastAsia="Times New Roman" w:hAnsi="Times New Roman"/>
          <w:sz w:val="22"/>
          <w:szCs w:val="22"/>
          <w:color w:val="auto"/>
        </w:rPr>
        <w:t>: Tenant shall have the right to extend the Lease Term for one (1) three (3) year term in accordance with Section 2.4(b).</w:t>
      </w:r>
    </w:p>
    <w:p>
      <w:pPr>
        <w:spacing w:after="0" w:line="158" w:lineRule="exact"/>
        <w:rPr>
          <w:sz w:val="20"/>
          <w:szCs w:val="20"/>
          <w:color w:val="auto"/>
        </w:rPr>
      </w:pPr>
    </w:p>
    <w:p>
      <w:pPr>
        <w:ind w:left="872" w:right="80" w:hanging="872"/>
        <w:spacing w:after="0" w:line="258" w:lineRule="auto"/>
        <w:tabs>
          <w:tab w:leader="none" w:pos="8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General business offices, scientific research and development laboratory, vivarium and uses customarily accessory thereto.</w:t>
      </w:r>
    </w:p>
    <w:p>
      <w:pPr>
        <w:spacing w:after="0" w:line="158" w:lineRule="exact"/>
        <w:rPr>
          <w:rFonts w:ascii="Times New Roman" w:cs="Times New Roman" w:eastAsia="Times New Roman" w:hAnsi="Times New Roman"/>
          <w:sz w:val="22"/>
          <w:szCs w:val="22"/>
          <w:color w:val="auto"/>
        </w:rPr>
      </w:pPr>
    </w:p>
    <w:p>
      <w:pPr>
        <w:ind w:left="872" w:right="60" w:hanging="872"/>
        <w:spacing w:after="0" w:line="258" w:lineRule="auto"/>
        <w:tabs>
          <w:tab w:leader="none" w:pos="8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Parking Allocation</w:t>
      </w:r>
      <w:r>
        <w:rPr>
          <w:rFonts w:ascii="Times New Roman" w:cs="Times New Roman" w:eastAsia="Times New Roman" w:hAnsi="Times New Roman"/>
          <w:sz w:val="22"/>
          <w:szCs w:val="22"/>
          <w:color w:val="auto"/>
        </w:rPr>
        <w:t>: fifty-eight (58) unassigned parking spaces (2.5 spaces per 1,000 leasable square feet of the Premises), subject to the provisions of Section 2.3.</w:t>
      </w:r>
    </w:p>
    <w:p>
      <w:pPr>
        <w:spacing w:after="0" w:line="158" w:lineRule="exact"/>
        <w:rPr>
          <w:rFonts w:ascii="Times New Roman" w:cs="Times New Roman" w:eastAsia="Times New Roman" w:hAnsi="Times New Roman"/>
          <w:sz w:val="22"/>
          <w:szCs w:val="22"/>
          <w:color w:val="auto"/>
        </w:rPr>
      </w:pPr>
    </w:p>
    <w:p>
      <w:pPr>
        <w:ind w:left="872" w:hanging="872"/>
        <w:spacing w:after="0"/>
        <w:tabs>
          <w:tab w:leader="none" w:pos="8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The Base Rent for the Initial Term shall be as set forth in the chart below:</w:t>
      </w:r>
    </w:p>
    <w:p>
      <w:pPr>
        <w:spacing w:after="0" w:line="183" w:lineRule="exact"/>
        <w:rPr>
          <w:sz w:val="20"/>
          <w:szCs w:val="20"/>
          <w:color w:val="auto"/>
        </w:rPr>
      </w:pPr>
    </w:p>
    <w:tbl>
      <w:tblPr>
        <w:tblLayout w:type="fixed"/>
        <w:tblInd w:w="1012" w:type="dxa"/>
        <w:tblCellMar>
          <w:top w:w="0" w:type="dxa"/>
          <w:left w:w="0" w:type="dxa"/>
          <w:bottom w:w="0" w:type="dxa"/>
          <w:right w:w="0" w:type="dxa"/>
        </w:tblCellMar>
      </w:tblPr>
      <w:tr>
        <w:trPr>
          <w:trHeight w:val="25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Period</w:t>
            </w:r>
          </w:p>
        </w:tc>
        <w:tc>
          <w:tcPr>
            <w:tcW w:w="2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Base Rent per rsf</w:t>
            </w:r>
          </w:p>
        </w:tc>
        <w:tc>
          <w:tcPr>
            <w:tcW w:w="2520" w:type="dxa"/>
            <w:vAlign w:val="bottom"/>
            <w:gridSpan w:val="2"/>
          </w:tcPr>
          <w:p>
            <w:pPr>
              <w:jc w:val="center"/>
              <w:ind w:right="960"/>
              <w:spacing w:after="0"/>
              <w:rPr>
                <w:sz w:val="20"/>
                <w:szCs w:val="20"/>
                <w:color w:val="auto"/>
              </w:rPr>
            </w:pPr>
            <w:r>
              <w:rPr>
                <w:rFonts w:ascii="Times New Roman" w:cs="Times New Roman" w:eastAsia="Times New Roman" w:hAnsi="Times New Roman"/>
                <w:sz w:val="22"/>
                <w:szCs w:val="22"/>
                <w:color w:val="auto"/>
                <w:w w:val="97"/>
              </w:rPr>
              <w:t>Annual Base Rent</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Monthly Base Rent</w:t>
            </w:r>
          </w:p>
        </w:tc>
      </w:tr>
      <w:tr>
        <w:trPr>
          <w:trHeight w:val="20"/>
        </w:trPr>
        <w:tc>
          <w:tcPr>
            <w:tcW w:w="5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9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 Years 1 and 2</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30.00</w:t>
            </w: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$ 689,760.00</w:t>
            </w:r>
          </w:p>
        </w:tc>
        <w:tc>
          <w:tcPr>
            <w:tcW w:w="9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$ 57,480.00</w:t>
            </w:r>
          </w:p>
        </w:tc>
      </w:tr>
      <w:tr>
        <w:trPr>
          <w:trHeight w:val="27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 Year 3</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32.50</w:t>
            </w:r>
          </w:p>
        </w:tc>
        <w:tc>
          <w:tcPr>
            <w:tcW w:w="9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$ 747,240.00</w:t>
            </w:r>
          </w:p>
        </w:tc>
        <w:tc>
          <w:tcPr>
            <w:tcW w:w="96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$ 62,270.00</w:t>
            </w:r>
          </w:p>
        </w:tc>
      </w:tr>
      <w:tr>
        <w:trPr>
          <w:trHeight w:val="270"/>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 Year 4</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34.50</w:t>
            </w:r>
          </w:p>
        </w:tc>
        <w:tc>
          <w:tcPr>
            <w:tcW w:w="9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$ 793,224.00</w:t>
            </w:r>
          </w:p>
        </w:tc>
        <w:tc>
          <w:tcPr>
            <w:tcW w:w="96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$ 66,102.00</w:t>
            </w:r>
          </w:p>
        </w:tc>
      </w:tr>
      <w:tr>
        <w:trPr>
          <w:trHeight w:val="283"/>
        </w:trPr>
        <w:tc>
          <w:tcPr>
            <w:tcW w:w="3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Lease Year 5</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36.50</w:t>
            </w:r>
          </w:p>
        </w:tc>
        <w:tc>
          <w:tcPr>
            <w:tcW w:w="9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$ 839,208.00</w:t>
            </w:r>
          </w:p>
        </w:tc>
        <w:tc>
          <w:tcPr>
            <w:tcW w:w="9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$ 69,934.00</w:t>
            </w:r>
          </w:p>
        </w:tc>
      </w:tr>
    </w:tbl>
    <w:p>
      <w:pPr>
        <w:ind w:left="872" w:right="580"/>
        <w:spacing w:after="0" w:line="246" w:lineRule="auto"/>
        <w:rPr>
          <w:sz w:val="20"/>
          <w:szCs w:val="20"/>
          <w:color w:val="auto"/>
        </w:rPr>
      </w:pPr>
      <w:r>
        <w:rPr>
          <w:rFonts w:ascii="Times New Roman" w:cs="Times New Roman" w:eastAsia="Times New Roman" w:hAnsi="Times New Roman"/>
          <w:sz w:val="22"/>
          <w:szCs w:val="22"/>
          <w:color w:val="auto"/>
        </w:rPr>
        <w:t>As used above, a “Lease Year” shall mean a twelve (12) calendar month period, where each successive Lease Year following Lease Year 1 shall commence on each anniversary of the Rent Commencement Date.</w:t>
      </w:r>
    </w:p>
    <w:p>
      <w:pPr>
        <w:spacing w:after="0" w:line="171" w:lineRule="exact"/>
        <w:rPr>
          <w:sz w:val="20"/>
          <w:szCs w:val="20"/>
          <w:color w:val="auto"/>
        </w:rPr>
      </w:pPr>
    </w:p>
    <w:p>
      <w:pPr>
        <w:ind w:left="872"/>
        <w:spacing w:after="0" w:line="258" w:lineRule="auto"/>
        <w:rPr>
          <w:sz w:val="20"/>
          <w:szCs w:val="20"/>
          <w:color w:val="auto"/>
        </w:rPr>
      </w:pPr>
      <w:r>
        <w:rPr>
          <w:rFonts w:ascii="Times New Roman" w:cs="Times New Roman" w:eastAsia="Times New Roman" w:hAnsi="Times New Roman"/>
          <w:sz w:val="22"/>
          <w:szCs w:val="22"/>
          <w:color w:val="auto"/>
        </w:rPr>
        <w:t>The Base Rent for the Extension Term, if any, will be Fair Market Rent (as defined in Section 4.7 below), but in no event less than the Base Rent for the Lease Year immediately prior to such Extension Term.</w:t>
      </w:r>
    </w:p>
    <w:p>
      <w:pPr>
        <w:spacing w:after="0" w:line="16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112" w:right="299" w:bottom="1440" w:gutter="0" w:footer="0" w:header="0"/>
        </w:sectPr>
      </w:pPr>
    </w:p>
    <w:bookmarkStart w:id="66" w:name="page67"/>
    <w:bookmarkEnd w:id="66"/>
    <w:p>
      <w:pPr>
        <w:ind w:left="880" w:right="100" w:hanging="879"/>
        <w:spacing w:after="0" w:line="259" w:lineRule="auto"/>
        <w:tabs>
          <w:tab w:leader="none" w:pos="860" w:val="left"/>
        </w:tabs>
        <w:rPr>
          <w:sz w:val="20"/>
          <w:szCs w:val="20"/>
          <w:color w:val="auto"/>
        </w:rPr>
      </w:pPr>
      <w:r>
        <w:rPr>
          <w:rFonts w:ascii="Times New Roman" w:cs="Times New Roman" w:eastAsia="Times New Roman" w:hAnsi="Times New Roman"/>
          <w:sz w:val="22"/>
          <w:szCs w:val="22"/>
          <w:color w:val="auto"/>
        </w:rPr>
        <w:t>9A.</w:t>
      </w:r>
      <w:r>
        <w:rPr>
          <w:sz w:val="20"/>
          <w:szCs w:val="20"/>
          <w:color w:val="auto"/>
        </w:rPr>
        <w:tab/>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Tenant’s Tax Escalation, Tenant’s Operating Cost Escalation and/or Tenant’s Electricity Costs and all other sums (other than Base Rent) payable by Tenant to Landlord under this Lease.</w:t>
      </w:r>
    </w:p>
    <w:p>
      <w:pPr>
        <w:spacing w:after="0" w:line="157" w:lineRule="exact"/>
        <w:rPr>
          <w:sz w:val="20"/>
          <w:szCs w:val="20"/>
          <w:color w:val="auto"/>
        </w:rPr>
      </w:pPr>
    </w:p>
    <w:p>
      <w:pPr>
        <w:ind w:left="880" w:hanging="879"/>
        <w:spacing w:after="0" w:line="244" w:lineRule="auto"/>
        <w:tabs>
          <w:tab w:leader="none" w:pos="860" w:val="left"/>
        </w:tabs>
        <w:rPr>
          <w:sz w:val="20"/>
          <w:szCs w:val="20"/>
          <w:color w:val="auto"/>
        </w:rPr>
      </w:pPr>
      <w:r>
        <w:rPr>
          <w:rFonts w:ascii="Times New Roman" w:cs="Times New Roman" w:eastAsia="Times New Roman" w:hAnsi="Times New Roman"/>
          <w:sz w:val="22"/>
          <w:szCs w:val="22"/>
          <w:color w:val="auto"/>
        </w:rPr>
        <w:t>9B.</w:t>
      </w:r>
      <w:r>
        <w:rPr>
          <w:sz w:val="20"/>
          <w:szCs w:val="20"/>
          <w:color w:val="auto"/>
        </w:rPr>
        <w:tab/>
      </w:r>
      <w:r>
        <w:rPr>
          <w:rFonts w:ascii="Times New Roman" w:cs="Times New Roman" w:eastAsia="Times New Roman" w:hAnsi="Times New Roman"/>
          <w:sz w:val="22"/>
          <w:szCs w:val="22"/>
          <w:u w:val="single" w:color="auto"/>
          <w:color w:val="auto"/>
        </w:rPr>
        <w:t>Tenant’s Tax Escalation</w:t>
      </w:r>
      <w:r>
        <w:rPr>
          <w:rFonts w:ascii="Times New Roman" w:cs="Times New Roman" w:eastAsia="Times New Roman" w:hAnsi="Times New Roman"/>
          <w:sz w:val="22"/>
          <w:szCs w:val="22"/>
          <w:color w:val="auto"/>
        </w:rPr>
        <w:t>: Tenant’s Share of Taxes for any Tax Fiscal Year occurring in whole or in part during the Lease Term; payable monthly in equal installments. Tenant’s Tax Escalation for fiscal year 2015 is estimated to be approximately $8.09 per rentable square foot</w:t>
      </w:r>
    </w:p>
    <w:p>
      <w:pPr>
        <w:spacing w:after="0" w:line="174" w:lineRule="exact"/>
        <w:rPr>
          <w:sz w:val="20"/>
          <w:szCs w:val="20"/>
          <w:color w:val="auto"/>
        </w:rPr>
      </w:pPr>
    </w:p>
    <w:p>
      <w:pPr>
        <w:jc w:val="both"/>
        <w:ind w:left="880" w:right="80" w:hanging="879"/>
        <w:spacing w:after="0" w:line="244" w:lineRule="auto"/>
        <w:tabs>
          <w:tab w:leader="none" w:pos="860" w:val="left"/>
        </w:tabs>
        <w:rPr>
          <w:sz w:val="20"/>
          <w:szCs w:val="20"/>
          <w:color w:val="auto"/>
        </w:rPr>
      </w:pPr>
      <w:r>
        <w:rPr>
          <w:rFonts w:ascii="Times New Roman" w:cs="Times New Roman" w:eastAsia="Times New Roman" w:hAnsi="Times New Roman"/>
          <w:sz w:val="22"/>
          <w:szCs w:val="22"/>
          <w:color w:val="auto"/>
        </w:rPr>
        <w:t>9C.</w:t>
      </w:r>
      <w:r>
        <w:rPr>
          <w:sz w:val="20"/>
          <w:szCs w:val="20"/>
          <w:color w:val="auto"/>
        </w:rPr>
        <w:tab/>
      </w:r>
      <w:r>
        <w:rPr>
          <w:rFonts w:ascii="Times New Roman" w:cs="Times New Roman" w:eastAsia="Times New Roman" w:hAnsi="Times New Roman"/>
          <w:sz w:val="22"/>
          <w:szCs w:val="22"/>
          <w:u w:val="single" w:color="auto"/>
          <w:color w:val="auto"/>
        </w:rPr>
        <w:t>Tenant’s Operating Cost Escalation</w:t>
      </w:r>
      <w:r>
        <w:rPr>
          <w:rFonts w:ascii="Times New Roman" w:cs="Times New Roman" w:eastAsia="Times New Roman" w:hAnsi="Times New Roman"/>
          <w:sz w:val="22"/>
          <w:szCs w:val="22"/>
          <w:color w:val="auto"/>
        </w:rPr>
        <w:t>: Tenant’s Share of the Operating Costs for any calendar year occurring whole or in part during the Lease Term; payable monthly in equal installments. Tenant’s Operating Cost Escalation for fiscal year 2015 is estimated to be approximately $9.63 per rentable square foot.</w:t>
      </w:r>
    </w:p>
    <w:p>
      <w:pPr>
        <w:spacing w:after="0" w:line="174" w:lineRule="exact"/>
        <w:rPr>
          <w:sz w:val="20"/>
          <w:szCs w:val="20"/>
          <w:color w:val="auto"/>
        </w:rPr>
      </w:pPr>
    </w:p>
    <w:p>
      <w:pPr>
        <w:ind w:left="880" w:right="100" w:hanging="879"/>
        <w:spacing w:after="0" w:line="239" w:lineRule="auto"/>
        <w:tabs>
          <w:tab w:leader="none" w:pos="860" w:val="left"/>
        </w:tabs>
        <w:rPr>
          <w:sz w:val="20"/>
          <w:szCs w:val="20"/>
          <w:color w:val="auto"/>
        </w:rPr>
      </w:pPr>
      <w:r>
        <w:rPr>
          <w:rFonts w:ascii="Times New Roman" w:cs="Times New Roman" w:eastAsia="Times New Roman" w:hAnsi="Times New Roman"/>
          <w:sz w:val="22"/>
          <w:szCs w:val="22"/>
          <w:color w:val="auto"/>
        </w:rPr>
        <w:t>9D.</w:t>
      </w:r>
      <w:r>
        <w:rPr>
          <w:sz w:val="20"/>
          <w:szCs w:val="20"/>
          <w:color w:val="auto"/>
        </w:rPr>
        <w:tab/>
      </w:r>
      <w:r>
        <w:rPr>
          <w:rFonts w:ascii="Times New Roman" w:cs="Times New Roman" w:eastAsia="Times New Roman" w:hAnsi="Times New Roman"/>
          <w:sz w:val="22"/>
          <w:szCs w:val="22"/>
          <w:u w:val="single" w:color="auto"/>
          <w:color w:val="auto"/>
        </w:rPr>
        <w:t>Tenant’s Electricity Costs</w:t>
      </w:r>
      <w:r>
        <w:rPr>
          <w:rFonts w:ascii="Times New Roman" w:cs="Times New Roman" w:eastAsia="Times New Roman" w:hAnsi="Times New Roman"/>
          <w:sz w:val="22"/>
          <w:szCs w:val="22"/>
          <w:color w:val="auto"/>
        </w:rPr>
        <w:t>: Tenant shall pay the costs for electricity for lights and plugs and HVAC service provided to the Premises in accordance with Sections 4.5 and 7.2 (“Tenant’s Electricity Costs”). If not separately metered or sub-metered, Tenant will pay its pro-rata costs monthly as reasonably allocated by the Landlord pursuant to an articulated standard uniformly applied to all the tenants in the Building.</w:t>
      </w:r>
    </w:p>
    <w:p>
      <w:pPr>
        <w:spacing w:after="0" w:line="181" w:lineRule="exact"/>
        <w:rPr>
          <w:sz w:val="20"/>
          <w:szCs w:val="20"/>
          <w:color w:val="auto"/>
        </w:rPr>
      </w:pPr>
    </w:p>
    <w:p>
      <w:pPr>
        <w:ind w:left="880" w:right="60" w:hanging="872"/>
        <w:spacing w:after="0" w:line="244" w:lineRule="auto"/>
        <w:tabs>
          <w:tab w:leader="none" w:pos="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Heat and Utilities</w:t>
      </w:r>
      <w:r>
        <w:rPr>
          <w:rFonts w:ascii="Times New Roman" w:cs="Times New Roman" w:eastAsia="Times New Roman" w:hAnsi="Times New Roman"/>
          <w:sz w:val="22"/>
          <w:szCs w:val="22"/>
          <w:color w:val="auto"/>
        </w:rPr>
        <w:t>: Tenant shall be responsible for contracting directly with the utility providers for all utility service to the Premises, including, without limitation, all utilities necessary to provide HVAC service to the Premises. If not separately metered, Tenant will pay its pro-rata costs monthly as allocated by the Landlord.</w:t>
      </w:r>
    </w:p>
    <w:p>
      <w:pPr>
        <w:spacing w:after="0" w:line="173" w:lineRule="exact"/>
        <w:rPr>
          <w:rFonts w:ascii="Times New Roman" w:cs="Times New Roman" w:eastAsia="Times New Roman" w:hAnsi="Times New Roman"/>
          <w:sz w:val="22"/>
          <w:szCs w:val="22"/>
          <w:color w:val="auto"/>
        </w:rPr>
      </w:pPr>
    </w:p>
    <w:p>
      <w:pPr>
        <w:ind w:left="880" w:hanging="872"/>
        <w:spacing w:after="0"/>
        <w:tabs>
          <w:tab w:leader="none" w:pos="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Transwestern RBJ.</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12A.</w:t>
      </w:r>
      <w:r>
        <w:rPr>
          <w:sz w:val="20"/>
          <w:szCs w:val="20"/>
          <w:color w:val="auto"/>
        </w:rPr>
        <w:tab/>
      </w:r>
      <w:r>
        <w:rPr>
          <w:rFonts w:ascii="Times New Roman" w:cs="Times New Roman" w:eastAsia="Times New Roman" w:hAnsi="Times New Roman"/>
          <w:sz w:val="22"/>
          <w:szCs w:val="22"/>
          <w:u w:val="single" w:color="auto"/>
          <w:color w:val="auto"/>
        </w:rPr>
        <w:t>Tenant’s Address For Notices, Telephone Number, Fax Number and Taxpayer Identification No</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i w:val="1"/>
          <w:iCs w:val="1"/>
          <w:color w:val="auto"/>
        </w:rPr>
        <w:t>Until the Term Commencement Date:</w:t>
      </w:r>
    </w:p>
    <w:p>
      <w:pPr>
        <w:spacing w:after="0" w:line="8" w:lineRule="exact"/>
        <w:rPr>
          <w:sz w:val="20"/>
          <w:szCs w:val="20"/>
          <w:color w:val="auto"/>
        </w:rPr>
      </w:pPr>
    </w:p>
    <w:p>
      <w:pPr>
        <w:ind w:left="880"/>
        <w:spacing w:after="0"/>
        <w:tabs>
          <w:tab w:leader="none" w:pos="12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1"/>
          <w:szCs w:val="21"/>
          <w:color w:val="auto"/>
        </w:rPr>
        <w:t>Cerulean Pharma Inc.</w:t>
      </w:r>
    </w:p>
    <w:p>
      <w:pPr>
        <w:ind w:left="1300"/>
        <w:spacing w:after="0" w:line="230" w:lineRule="auto"/>
        <w:rPr>
          <w:sz w:val="20"/>
          <w:szCs w:val="20"/>
          <w:color w:val="auto"/>
        </w:rPr>
      </w:pPr>
      <w:r>
        <w:rPr>
          <w:rFonts w:ascii="Times New Roman" w:cs="Times New Roman" w:eastAsia="Times New Roman" w:hAnsi="Times New Roman"/>
          <w:sz w:val="22"/>
          <w:szCs w:val="22"/>
          <w:color w:val="auto"/>
        </w:rPr>
        <w:t>840 Memorial Drive, 5th Floor</w:t>
      </w:r>
    </w:p>
    <w:p>
      <w:pPr>
        <w:ind w:left="1300"/>
        <w:spacing w:after="0" w:line="231" w:lineRule="auto"/>
        <w:rPr>
          <w:sz w:val="20"/>
          <w:szCs w:val="20"/>
          <w:color w:val="auto"/>
        </w:rPr>
      </w:pPr>
      <w:r>
        <w:rPr>
          <w:rFonts w:ascii="Times New Roman" w:cs="Times New Roman" w:eastAsia="Times New Roman" w:hAnsi="Times New Roman"/>
          <w:sz w:val="22"/>
          <w:szCs w:val="22"/>
          <w:color w:val="auto"/>
        </w:rPr>
        <w:t>Cambridge, MA 02139</w:t>
      </w:r>
    </w:p>
    <w:p>
      <w:pPr>
        <w:ind w:left="1300"/>
        <w:spacing w:after="0" w:line="230" w:lineRule="auto"/>
        <w:rPr>
          <w:sz w:val="20"/>
          <w:szCs w:val="20"/>
          <w:color w:val="auto"/>
        </w:rPr>
      </w:pPr>
      <w:r>
        <w:rPr>
          <w:rFonts w:ascii="Times New Roman" w:cs="Times New Roman" w:eastAsia="Times New Roman" w:hAnsi="Times New Roman"/>
          <w:sz w:val="22"/>
          <w:szCs w:val="22"/>
          <w:color w:val="auto"/>
        </w:rPr>
        <w:t>Attn: Senior Vice President, Finance and Administration</w:t>
      </w:r>
    </w:p>
    <w:p>
      <w:pPr>
        <w:ind w:left="880"/>
        <w:spacing w:after="0" w:line="231" w:lineRule="auto"/>
        <w:rPr>
          <w:sz w:val="20"/>
          <w:szCs w:val="20"/>
          <w:color w:val="auto"/>
        </w:rPr>
      </w:pPr>
      <w:r>
        <w:rPr>
          <w:rFonts w:ascii="Times New Roman" w:cs="Times New Roman" w:eastAsia="Times New Roman" w:hAnsi="Times New Roman"/>
          <w:sz w:val="22"/>
          <w:szCs w:val="22"/>
          <w:i w:val="1"/>
          <w:iCs w:val="1"/>
          <w:color w:val="auto"/>
        </w:rPr>
        <w:t>And thereafter at the Premises to the attention of the same officer</w:t>
      </w:r>
    </w:p>
    <w:p>
      <w:pPr>
        <w:ind w:left="1300" w:hanging="415"/>
        <w:spacing w:after="0" w:line="231"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 the same address as above to the attention of the General Counsel, and</w:t>
      </w:r>
    </w:p>
    <w:p>
      <w:pPr>
        <w:ind w:left="1300" w:right="7740" w:hanging="415"/>
        <w:spacing w:after="0" w:line="230" w:lineRule="auto"/>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 Paul C. Bauer, Esq. Bowditch &amp; Dewey, LLP</w:t>
      </w:r>
    </w:p>
    <w:p>
      <w:pPr>
        <w:spacing w:after="0" w:line="1" w:lineRule="exact"/>
        <w:rPr>
          <w:rFonts w:ascii="Times New Roman" w:cs="Times New Roman" w:eastAsia="Times New Roman" w:hAnsi="Times New Roman"/>
          <w:sz w:val="22"/>
          <w:szCs w:val="22"/>
          <w:color w:val="auto"/>
        </w:rPr>
      </w:pPr>
    </w:p>
    <w:p>
      <w:pPr>
        <w:ind w:left="1300" w:right="68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Crossing Boulevard, Suite 500, Framingham, MA 0170</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Tenant F.I.D. #20-4139823</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12" w:right="399" w:bottom="1440" w:gutter="0" w:footer="0" w:header="0"/>
        </w:sectPr>
      </w:pPr>
    </w:p>
    <w:bookmarkStart w:id="67" w:name="page68"/>
    <w:bookmarkEnd w:id="67"/>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12B.</w:t>
      </w:r>
      <w:r>
        <w:rPr>
          <w:sz w:val="20"/>
          <w:szCs w:val="20"/>
          <w:color w:val="auto"/>
        </w:rPr>
        <w:tab/>
      </w:r>
      <w:r>
        <w:rPr>
          <w:rFonts w:ascii="Times New Roman" w:cs="Times New Roman" w:eastAsia="Times New Roman" w:hAnsi="Times New Roman"/>
          <w:sz w:val="22"/>
          <w:szCs w:val="22"/>
          <w:u w:val="single" w:color="auto"/>
          <w:color w:val="auto"/>
        </w:rPr>
        <w:t>Landlord’s Address for Notices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AstraZeneca Pharmaceuticals LP</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 MedImmune, LLC</w:t>
      </w:r>
    </w:p>
    <w:p>
      <w:pPr>
        <w:ind w:left="880"/>
        <w:spacing w:after="0" w:line="230" w:lineRule="auto"/>
        <w:rPr>
          <w:sz w:val="20"/>
          <w:szCs w:val="20"/>
          <w:color w:val="auto"/>
        </w:rPr>
      </w:pPr>
      <w:r>
        <w:rPr>
          <w:rFonts w:ascii="Times New Roman" w:cs="Times New Roman" w:eastAsia="Times New Roman" w:hAnsi="Times New Roman"/>
          <w:sz w:val="22"/>
          <w:szCs w:val="22"/>
          <w:color w:val="auto"/>
        </w:rPr>
        <w:t>One MedImmune Way</w:t>
      </w:r>
    </w:p>
    <w:p>
      <w:pPr>
        <w:ind w:left="880"/>
        <w:spacing w:after="0" w:line="231" w:lineRule="auto"/>
        <w:rPr>
          <w:sz w:val="20"/>
          <w:szCs w:val="20"/>
          <w:color w:val="auto"/>
        </w:rPr>
      </w:pPr>
      <w:r>
        <w:rPr>
          <w:rFonts w:ascii="Times New Roman" w:cs="Times New Roman" w:eastAsia="Times New Roman" w:hAnsi="Times New Roman"/>
          <w:sz w:val="22"/>
          <w:szCs w:val="22"/>
          <w:color w:val="auto"/>
        </w:rPr>
        <w:t>Gaithersburg, MD 20878</w:t>
      </w:r>
    </w:p>
    <w:p>
      <w:pPr>
        <w:ind w:left="880"/>
        <w:spacing w:after="0"/>
        <w:rPr>
          <w:sz w:val="20"/>
          <w:szCs w:val="20"/>
          <w:color w:val="auto"/>
        </w:rPr>
      </w:pPr>
      <w:r>
        <w:rPr>
          <w:rFonts w:ascii="Times New Roman" w:cs="Times New Roman" w:eastAsia="Times New Roman" w:hAnsi="Times New Roman"/>
          <w:sz w:val="22"/>
          <w:szCs w:val="22"/>
          <w:color w:val="auto"/>
        </w:rPr>
        <w:t>Attn: Cory Matthews / Global Real Estate</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AstraZeneca Pharmaceuticals LP</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1800 Concord Pike</w:t>
      </w:r>
    </w:p>
    <w:p>
      <w:pPr>
        <w:ind w:left="880"/>
        <w:spacing w:after="0" w:line="230" w:lineRule="auto"/>
        <w:rPr>
          <w:sz w:val="20"/>
          <w:szCs w:val="20"/>
          <w:color w:val="auto"/>
        </w:rPr>
      </w:pPr>
      <w:r>
        <w:rPr>
          <w:rFonts w:ascii="Times New Roman" w:cs="Times New Roman" w:eastAsia="Times New Roman" w:hAnsi="Times New Roman"/>
          <w:sz w:val="22"/>
          <w:szCs w:val="22"/>
          <w:color w:val="auto"/>
        </w:rPr>
        <w:t>Wilmington, DE 19803</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Burton Winnick, Esquire</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McCarter &amp; English, LLP</w:t>
      </w:r>
    </w:p>
    <w:p>
      <w:pPr>
        <w:ind w:left="880"/>
        <w:spacing w:after="0" w:line="230" w:lineRule="auto"/>
        <w:rPr>
          <w:sz w:val="20"/>
          <w:szCs w:val="20"/>
          <w:color w:val="auto"/>
        </w:rPr>
      </w:pPr>
      <w:r>
        <w:rPr>
          <w:rFonts w:ascii="Times New Roman" w:cs="Times New Roman" w:eastAsia="Times New Roman" w:hAnsi="Times New Roman"/>
          <w:sz w:val="22"/>
          <w:szCs w:val="22"/>
          <w:color w:val="auto"/>
        </w:rPr>
        <w:t>265 Franklin Street</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Boston, MA 02110</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12C.</w:t>
      </w:r>
      <w:r>
        <w:rPr>
          <w:sz w:val="20"/>
          <w:szCs w:val="20"/>
          <w:color w:val="auto"/>
        </w:rPr>
        <w:tab/>
      </w:r>
      <w:r>
        <w:rPr>
          <w:rFonts w:ascii="Times New Roman" w:cs="Times New Roman" w:eastAsia="Times New Roman" w:hAnsi="Times New Roman"/>
          <w:sz w:val="22"/>
          <w:szCs w:val="22"/>
          <w:u w:val="single" w:color="auto"/>
          <w:color w:val="auto"/>
        </w:rPr>
        <w:t>Landlord’s Address for Payment of 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AstraZeneca LP</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 Transwestern</w:t>
      </w:r>
    </w:p>
    <w:p>
      <w:pPr>
        <w:ind w:left="880"/>
        <w:spacing w:after="0" w:line="230" w:lineRule="auto"/>
        <w:rPr>
          <w:sz w:val="20"/>
          <w:szCs w:val="20"/>
          <w:color w:val="auto"/>
        </w:rPr>
      </w:pPr>
      <w:r>
        <w:rPr>
          <w:rFonts w:ascii="Times New Roman" w:cs="Times New Roman" w:eastAsia="Times New Roman" w:hAnsi="Times New Roman"/>
          <w:sz w:val="22"/>
          <w:szCs w:val="22"/>
          <w:color w:val="auto"/>
        </w:rPr>
        <w:t>PO Box 343030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Bethesda, MD 20827-3030</w:t>
      </w:r>
    </w:p>
    <w:p>
      <w:pPr>
        <w:spacing w:after="0" w:line="398" w:lineRule="exact"/>
        <w:rPr>
          <w:sz w:val="20"/>
          <w:szCs w:val="20"/>
          <w:color w:val="auto"/>
        </w:rPr>
      </w:pPr>
    </w:p>
    <w:p>
      <w:pPr>
        <w:ind w:left="880" w:hanging="872"/>
        <w:spacing w:after="0"/>
        <w:tabs>
          <w:tab w:leader="none" w:pos="8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 Deposit</w:t>
      </w:r>
      <w:r>
        <w:rPr>
          <w:rFonts w:ascii="Times New Roman" w:cs="Times New Roman" w:eastAsia="Times New Roman" w:hAnsi="Times New Roman"/>
          <w:sz w:val="21"/>
          <w:szCs w:val="21"/>
          <w:color w:val="auto"/>
        </w:rPr>
        <w:t>: $229,920.00 (Two Hundred Twenty-Nine Thousand Nine Hundred and Twenty and no/100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12" w:right="47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07" w:lineRule="exact"/>
        <w:rPr>
          <w:sz w:val="20"/>
          <w:szCs w:val="20"/>
          <w:color w:val="auto"/>
        </w:rPr>
      </w:pPr>
    </w:p>
    <w:p>
      <w:pPr>
        <w:ind w:right="180" w:firstLine="761"/>
        <w:spacing w:after="0" w:line="246" w:lineRule="auto"/>
        <w:rPr>
          <w:sz w:val="20"/>
          <w:szCs w:val="20"/>
          <w:color w:val="auto"/>
        </w:rPr>
      </w:pPr>
      <w:r>
        <w:rPr>
          <w:rFonts w:ascii="Times New Roman" w:cs="Times New Roman" w:eastAsia="Times New Roman" w:hAnsi="Times New Roman"/>
          <w:sz w:val="22"/>
          <w:szCs w:val="22"/>
          <w:color w:val="auto"/>
        </w:rPr>
        <w:t>THIS LEASE (this “Lease”), made as of the 9</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July, 2015, by </w:t>
      </w:r>
      <w:r>
        <w:rPr>
          <w:rFonts w:ascii="Times New Roman" w:cs="Times New Roman" w:eastAsia="Times New Roman" w:hAnsi="Times New Roman"/>
          <w:sz w:val="22"/>
          <w:szCs w:val="22"/>
          <w:b w:val="1"/>
          <w:bCs w:val="1"/>
          <w:color w:val="auto"/>
        </w:rPr>
        <w:t>ASTRAZENECA PHARMACEUTICALS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LIMITED PARTNERSHIP</w:t>
      </w:r>
      <w:r>
        <w:rPr>
          <w:rFonts w:ascii="Times New Roman" w:cs="Times New Roman" w:eastAsia="Times New Roman" w:hAnsi="Times New Roman"/>
          <w:sz w:val="22"/>
          <w:szCs w:val="22"/>
          <w:color w:val="auto"/>
        </w:rPr>
        <w:t>, a Delaware limited partnership, and</w:t>
      </w:r>
      <w:r>
        <w:rPr>
          <w:rFonts w:ascii="Times New Roman" w:cs="Times New Roman" w:eastAsia="Times New Roman" w:hAnsi="Times New Roman"/>
          <w:sz w:val="22"/>
          <w:szCs w:val="22"/>
          <w:b w:val="1"/>
          <w:bCs w:val="1"/>
          <w:color w:val="auto"/>
        </w:rPr>
        <w:t xml:space="preserve"> CERULEAN PHARMA INC. </w:t>
      </w:r>
      <w:r>
        <w:rPr>
          <w:rFonts w:ascii="Times New Roman" w:cs="Times New Roman" w:eastAsia="Times New Roman" w:hAnsi="Times New Roman"/>
          <w:sz w:val="22"/>
          <w:szCs w:val="22"/>
          <w:color w:val="auto"/>
        </w:rPr>
        <w:t>, a Delaware corporation, is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CERTAIN DEFINITIONS</w:t>
      </w:r>
    </w:p>
    <w:p>
      <w:pPr>
        <w:spacing w:after="0" w:line="182" w:lineRule="exact"/>
        <w:rPr>
          <w:sz w:val="20"/>
          <w:szCs w:val="20"/>
          <w:color w:val="auto"/>
        </w:rPr>
      </w:pPr>
    </w:p>
    <w:p>
      <w:pPr>
        <w:ind w:right="80" w:firstLine="761"/>
        <w:spacing w:after="0" w:line="258" w:lineRule="auto"/>
        <w:rPr>
          <w:sz w:val="20"/>
          <w:szCs w:val="20"/>
          <w:color w:val="auto"/>
        </w:rPr>
      </w:pPr>
      <w:r>
        <w:rPr>
          <w:rFonts w:ascii="Times New Roman" w:cs="Times New Roman" w:eastAsia="Times New Roman" w:hAnsi="Times New Roman"/>
          <w:sz w:val="22"/>
          <w:szCs w:val="22"/>
          <w:color w:val="auto"/>
        </w:rPr>
        <w:t>In addition to the words and terms defined elsewhere in this Lease, the following words and terms shall have in this Lease the meanings set forth in this Article (whether or not underscored):</w:t>
      </w:r>
    </w:p>
    <w:p>
      <w:pPr>
        <w:spacing w:after="0" w:line="158" w:lineRule="exact"/>
        <w:rPr>
          <w:sz w:val="20"/>
          <w:szCs w:val="20"/>
          <w:color w:val="auto"/>
        </w:rPr>
      </w:pPr>
    </w:p>
    <w:p>
      <w:pPr>
        <w:ind w:right="18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means (a) Tenant’s Tax Escalation, (b) Tenant’s Operating Cost Escalation and (c) Tenant’s Electricity Costs and (d) all other sums (other than Base Rent) payable by Tenant to Landlord hereunder.</w:t>
      </w:r>
    </w:p>
    <w:p>
      <w:pPr>
        <w:spacing w:after="0" w:line="158" w:lineRule="exact"/>
        <w:rPr>
          <w:sz w:val="20"/>
          <w:szCs w:val="20"/>
          <w:color w:val="auto"/>
        </w:rPr>
      </w:pPr>
    </w:p>
    <w:p>
      <w:pPr>
        <w:ind w:right="20" w:firstLine="76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any existing or future bankruptcy, insolvency, reorganization, dissolution, liquidation or arrangement or readjustment of debt law or any similar existing or future law of any applicable jurisdiction, or any laws amendatory thereof or supplemental thereto, including, without limitation, the United States Bankruptcy Code of 1978, as amended (11 U.S.C. Section 101 et seq.), as any or all of the foregoing may be amended or supplemented from time to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Rent</w:t>
      </w:r>
      <w:r>
        <w:rPr>
          <w:rFonts w:ascii="Times New Roman" w:cs="Times New Roman" w:eastAsia="Times New Roman" w:hAnsi="Times New Roman"/>
          <w:sz w:val="22"/>
          <w:szCs w:val="22"/>
          <w:color w:val="auto"/>
        </w:rPr>
        <w:t>” has the meaning set forth in Item 8 of the Summary of Basic Terms.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has the meaning set forth in Item 11 of the Summary of Basic Terms.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means the office and laboratory building located on Landlord’s Property and shown on the Site Plan.</w:t>
      </w:r>
    </w:p>
    <w:p>
      <w:pPr>
        <w:spacing w:after="0" w:line="206" w:lineRule="exact"/>
        <w:rPr>
          <w:sz w:val="20"/>
          <w:szCs w:val="20"/>
          <w:color w:val="auto"/>
        </w:rPr>
      </w:pPr>
    </w:p>
    <w:p>
      <w:pPr>
        <w:ind w:firstLine="76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Hours</w:t>
      </w:r>
      <w:r>
        <w:rPr>
          <w:rFonts w:ascii="Times New Roman" w:cs="Times New Roman" w:eastAsia="Times New Roman" w:hAnsi="Times New Roman"/>
          <w:sz w:val="22"/>
          <w:szCs w:val="22"/>
          <w:color w:val="auto"/>
        </w:rPr>
        <w:t>” means Monday through Friday, 8:00 a.m. to 6:00 p.m. and Saturdays 8:00 a.m. to 1:00 a.m., except holidays. The term “holiday” means the federal day of celebration of the following holidays: New Year’s Day, Martin Luther King Day, President’s Day, Memorial Day, Independence Day, Labor Day, Columbus Day, Veterans Day, Thanksgiving, Christmas and any other weekday on which banks in the City of Boston, Massachusetts, are closed or required to be closed.</w:t>
      </w:r>
    </w:p>
    <w:p>
      <w:pPr>
        <w:spacing w:after="0" w:line="181" w:lineRule="exact"/>
        <w:rPr>
          <w:sz w:val="20"/>
          <w:szCs w:val="20"/>
          <w:color w:val="auto"/>
        </w:rPr>
      </w:pPr>
    </w:p>
    <w:p>
      <w:pPr>
        <w:ind w:right="100" w:firstLine="76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Areas</w:t>
      </w:r>
      <w:r>
        <w:rPr>
          <w:rFonts w:ascii="Times New Roman" w:cs="Times New Roman" w:eastAsia="Times New Roman" w:hAnsi="Times New Roman"/>
          <w:sz w:val="22"/>
          <w:szCs w:val="22"/>
          <w:color w:val="auto"/>
        </w:rPr>
        <w:t>” means all areas of Landlord’s Property, as designated by Landlord from time to time, located inside or outside of the Building, which are not intended for the use of a single tenant and which are intended for (i) the non-exclusive common use of Landlord, Tenant and other tenants of portions of Landlord’s Property and their respective employees, agents, licensees and invitees and/or (ii) to serve the Building and/or Landlord’s Property. Common Areas include, without limitation, the lobby of the Building, common restroom facilities and stairwells of the Building, sidewalks, unreserved Parking Areas, access drives, landscaped areas, utility rooms, storage rooms, and utility lines and systems and the Common Facilities.</w:t>
      </w:r>
    </w:p>
    <w:p>
      <w:pPr>
        <w:spacing w:after="0" w:line="182" w:lineRule="exact"/>
        <w:rPr>
          <w:sz w:val="20"/>
          <w:szCs w:val="20"/>
          <w:color w:val="auto"/>
        </w:rPr>
      </w:pPr>
    </w:p>
    <w:p>
      <w:pPr>
        <w:ind w:right="180" w:firstLine="76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Facilities</w:t>
      </w:r>
      <w:r>
        <w:rPr>
          <w:rFonts w:ascii="Times New Roman" w:cs="Times New Roman" w:eastAsia="Times New Roman" w:hAnsi="Times New Roman"/>
          <w:sz w:val="22"/>
          <w:szCs w:val="22"/>
          <w:color w:val="auto"/>
        </w:rPr>
        <w:t>” means those facilities located on Landlord’s Property which Landlord designates from time to time as “common facilities”, including, but not limited to, building systems, passenger elevators, materials dumb-waiters, pipes, ducts, wires, conduits, meters, HVAC equipment and systems, electrical systems and equipment and plumbing lines and facilities, showers, conference rooms, auditorium and video/telephone conferencing meeting facilities.</w:t>
      </w:r>
    </w:p>
    <w:p>
      <w:pPr>
        <w:spacing w:after="0" w:line="181" w:lineRule="exact"/>
        <w:rPr>
          <w:sz w:val="20"/>
          <w:szCs w:val="20"/>
          <w:color w:val="auto"/>
        </w:rPr>
      </w:pPr>
    </w:p>
    <w:p>
      <w:pPr>
        <w:ind w:right="122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the Comprehensive Environmental Response, Compensation, and Liability Act (“CERCLA”), 42 U.S.C. §9601 et seq., the Resource Conservation and Recovery Act, 42 U.S.C. §6901 et</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69" w:name="page70"/>
    <w:bookmarkEnd w:id="69"/>
    <w:p>
      <w:pPr>
        <w:ind w:right="20"/>
        <w:spacing w:after="0" w:line="248" w:lineRule="auto"/>
        <w:rPr>
          <w:sz w:val="20"/>
          <w:szCs w:val="20"/>
          <w:color w:val="auto"/>
        </w:rPr>
      </w:pPr>
      <w:r>
        <w:rPr>
          <w:rFonts w:ascii="Times New Roman" w:cs="Times New Roman" w:eastAsia="Times New Roman" w:hAnsi="Times New Roman"/>
          <w:sz w:val="21"/>
          <w:szCs w:val="21"/>
          <w:color w:val="auto"/>
        </w:rPr>
        <w:t>seq., the Hazardous Materials Transportation Act, 49 U.S.C. §1802 et seq., the Toxic Substances Control Act, 15 U.S.C. §2601 et seq., the Federal Water Pollution Control Act, 33 U.S.C. §1251 et seq., the Clean Water Act, 33 U.S.C. §1321 et seq., the Clean Air Act, 42 U.S.C. §7401 et seq., the Massachusetts Oil and Hazardous Material Release Prevention and Response Act, Chapter 21E of the Massachusetts General Laws, all regulations promulgated thereunder, and any other federal, state, county, municipal, local or other statute, law, ordinance or regulation (including any state or local board of health rules, regulation, or code), or any common law (including common law that may impose strict liability or liability based on negligence), which may relate to or deal with human health, the environment, natural resources, or Hazardous Materials, all as may be from time to time amended or modified.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given in Section 12.1.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Term</w:t>
      </w:r>
      <w:r>
        <w:rPr>
          <w:rFonts w:ascii="Times New Roman" w:cs="Times New Roman" w:eastAsia="Times New Roman" w:hAnsi="Times New Roman"/>
          <w:sz w:val="22"/>
          <w:szCs w:val="22"/>
          <w:color w:val="auto"/>
        </w:rPr>
        <w:t>” has the meaning given in Section 2.4(b).</w:t>
      </w:r>
    </w:p>
    <w:p>
      <w:pPr>
        <w:spacing w:after="0" w:line="206" w:lineRule="exact"/>
        <w:rPr>
          <w:sz w:val="20"/>
          <w:szCs w:val="20"/>
          <w:color w:val="auto"/>
        </w:rPr>
      </w:pPr>
    </w:p>
    <w:p>
      <w:pPr>
        <w:ind w:right="140" w:firstLine="76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Generic Drug</w:t>
      </w:r>
      <w:r>
        <w:rPr>
          <w:rFonts w:ascii="Times New Roman" w:cs="Times New Roman" w:eastAsia="Times New Roman" w:hAnsi="Times New Roman"/>
          <w:sz w:val="22"/>
          <w:szCs w:val="22"/>
          <w:color w:val="auto"/>
        </w:rPr>
        <w:t>” means (i) a drug product that is comparable to brand/reference listed drug product in dosage form, strength, route of administration, quality and performance characteristics, and intended use, (ii) any drug manufactured, marketed or sold under its chemical name without advertising and/or (iii) any drug manufactured, marketed or sold under an Adopted Name assigned by the United States Adopted Names Council.</w:t>
      </w:r>
    </w:p>
    <w:p>
      <w:pPr>
        <w:spacing w:after="0" w:line="181" w:lineRule="exact"/>
        <w:rPr>
          <w:sz w:val="20"/>
          <w:szCs w:val="20"/>
          <w:color w:val="auto"/>
        </w:rPr>
      </w:pPr>
    </w:p>
    <w:p>
      <w:pPr>
        <w:ind w:right="40" w:firstLine="76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or “Hazardous Substances” means, at any time, (a) any “hazardous substance” as defined in §101(14) of CERCLA (42 U.S.C. §9601(14)) or regulations promulgated thereunder; (b) any “solid waste,” “hazardous waste,” or “infectious waste,” as such terms are defined in any Environmental Law at such time; (c) asbestos, urea-formaldehyde, polychlorinated biphenyls (“PCBs”), bio-medical materials or waste, nuclear fuel or material, chemical waste, radioactive material, explosives, known carcinogens, petroleum products and by-products and other dangerous, toxic or hazardous pollutants, contaminants, chemicals, materials or substances which may be hazardous to human or animal health or the environment or which are listed or identified in, or regulated by, any Environmental Law; and (d) any additional substances or materials which at such time are classified or considered to be hazardous or toxic under any Environmental Law.</w:t>
      </w:r>
    </w:p>
    <w:p>
      <w:pPr>
        <w:spacing w:after="0" w:line="179" w:lineRule="exact"/>
        <w:rPr>
          <w:sz w:val="20"/>
          <w:szCs w:val="20"/>
          <w:color w:val="auto"/>
        </w:rPr>
      </w:pPr>
    </w:p>
    <w:p>
      <w:pPr>
        <w:ind w:right="30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means the period beginning at 12:01 a.m. on the Term Commencement Date and ending at 11:59 p.m. on February 28, 2021.</w:t>
      </w:r>
    </w:p>
    <w:p>
      <w:pPr>
        <w:spacing w:after="0" w:line="158" w:lineRule="exact"/>
        <w:rPr>
          <w:sz w:val="20"/>
          <w:szCs w:val="20"/>
          <w:color w:val="auto"/>
        </w:rPr>
      </w:pPr>
    </w:p>
    <w:p>
      <w:pPr>
        <w:ind w:firstLine="76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Costs</w:t>
      </w:r>
      <w:r>
        <w:rPr>
          <w:rFonts w:ascii="Times New Roman" w:cs="Times New Roman" w:eastAsia="Times New Roman" w:hAnsi="Times New Roman"/>
          <w:sz w:val="22"/>
          <w:szCs w:val="22"/>
          <w:color w:val="auto"/>
        </w:rPr>
        <w:t>” includes the cost of insuring the entire Landlord’s Property, including without limitation the buildings and improvements now or hereafter situated thereon, and all operations conducted in connection therewith, with such policies, coverages and companies and in such limits as may be reasonably selected by Landlord in light of the practices of similarly situated commercial landlords of comparable properties in the City of Waltham, Massachusetts (and/or which may be required by Landlord’s lenders), including, but not limited to, fire insurance with extended or with all-risk coverage, comprehensive general liability (including products liability) insurance covering personal injury, deaths and property damage with a personal injury endorsement covering false arrest, detention or imprisonment, malicious prosecution, libel and slander, and wrongful entry or eviction, rent loss or business interruption insurance earthquake insurance, Ordinance and Law insurance, terrorism insurance, worker’s compensation insurance, plate glass insurance, contractual liability insurance, boiler insurance, and fidelity bonds.</w:t>
      </w:r>
    </w:p>
    <w:p>
      <w:pPr>
        <w:spacing w:after="0" w:line="184" w:lineRule="exact"/>
        <w:rPr>
          <w:sz w:val="20"/>
          <w:szCs w:val="20"/>
          <w:color w:val="auto"/>
        </w:rPr>
      </w:pPr>
    </w:p>
    <w:p>
      <w:pPr>
        <w:ind w:right="8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Invitees</w:t>
      </w:r>
      <w:r>
        <w:rPr>
          <w:rFonts w:ascii="Times New Roman" w:cs="Times New Roman" w:eastAsia="Times New Roman" w:hAnsi="Times New Roman"/>
          <w:sz w:val="22"/>
          <w:szCs w:val="22"/>
          <w:color w:val="auto"/>
        </w:rPr>
        <w:t>” means employees, workers, visitors, guests, customers, suppliers, agents, contractors, representatives, licensees and other invitees.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Laboratory Premises</w:t>
      </w:r>
      <w:r>
        <w:rPr>
          <w:rFonts w:ascii="Times New Roman" w:cs="Times New Roman" w:eastAsia="Times New Roman" w:hAnsi="Times New Roman"/>
          <w:sz w:val="22"/>
          <w:szCs w:val="22"/>
          <w:color w:val="auto"/>
        </w:rPr>
        <w:t>” means all parts of the Premises other than such portions located in D2.</w:t>
      </w:r>
    </w:p>
    <w:p>
      <w:pPr>
        <w:spacing w:after="0" w:line="206" w:lineRule="exact"/>
        <w:rPr>
          <w:sz w:val="20"/>
          <w:szCs w:val="20"/>
          <w:color w:val="auto"/>
        </w:rPr>
      </w:pPr>
    </w:p>
    <w:p>
      <w:pPr>
        <w:ind w:right="18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w:t>
      </w:r>
      <w:r>
        <w:rPr>
          <w:rFonts w:ascii="Times New Roman" w:cs="Times New Roman" w:eastAsia="Times New Roman" w:hAnsi="Times New Roman"/>
          <w:sz w:val="22"/>
          <w:szCs w:val="22"/>
          <w:color w:val="auto"/>
        </w:rPr>
        <w:t>” means the land located at 35 Gatehouse Drive, Waltham, Massachusetts more particularly described in Exhibit A and which is depicted on the Site Plan.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70" w:name="page71"/>
    <w:bookmarkEnd w:id="7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means AstraZeneca Pharmaceuticals Limited Partnership, its successors and assigns.</w:t>
      </w:r>
    </w:p>
    <w:p>
      <w:pPr>
        <w:spacing w:after="0" w:line="207" w:lineRule="exact"/>
        <w:rPr>
          <w:sz w:val="20"/>
          <w:szCs w:val="20"/>
          <w:color w:val="auto"/>
        </w:rPr>
      </w:pPr>
    </w:p>
    <w:p>
      <w:pPr>
        <w:ind w:right="24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Property</w:t>
      </w:r>
      <w:r>
        <w:rPr>
          <w:rFonts w:ascii="Times New Roman" w:cs="Times New Roman" w:eastAsia="Times New Roman" w:hAnsi="Times New Roman"/>
          <w:sz w:val="22"/>
          <w:szCs w:val="22"/>
          <w:color w:val="auto"/>
        </w:rPr>
        <w:t>” means the Land, the Building and all present or future appurtenances and/or improvements to the Land and/or the Building.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Leasable Square Footage of the Building</w:t>
      </w:r>
      <w:r>
        <w:rPr>
          <w:rFonts w:ascii="Times New Roman" w:cs="Times New Roman" w:eastAsia="Times New Roman" w:hAnsi="Times New Roman"/>
          <w:sz w:val="22"/>
          <w:szCs w:val="22"/>
          <w:color w:val="auto"/>
        </w:rPr>
        <w:t>” has the meaning set forth in Item 3D of the Summary of Basic Terms.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Leasable Square Footage of the Premises</w:t>
      </w:r>
      <w:r>
        <w:rPr>
          <w:rFonts w:ascii="Times New Roman" w:cs="Times New Roman" w:eastAsia="Times New Roman" w:hAnsi="Times New Roman"/>
          <w:sz w:val="22"/>
          <w:szCs w:val="22"/>
          <w:color w:val="auto"/>
        </w:rPr>
        <w:t>” has the meaning set forth in Item 3C of the Summary of Basic Terms.</w:t>
      </w:r>
    </w:p>
    <w:p>
      <w:pPr>
        <w:spacing w:after="0" w:line="206" w:lineRule="exact"/>
        <w:rPr>
          <w:sz w:val="20"/>
          <w:szCs w:val="20"/>
          <w:color w:val="auto"/>
        </w:rPr>
      </w:pPr>
    </w:p>
    <w:p>
      <w:pPr>
        <w:ind w:right="26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Term</w:t>
      </w:r>
      <w:r>
        <w:rPr>
          <w:rFonts w:ascii="Times New Roman" w:cs="Times New Roman" w:eastAsia="Times New Roman" w:hAnsi="Times New Roman"/>
          <w:sz w:val="22"/>
          <w:szCs w:val="22"/>
          <w:color w:val="auto"/>
        </w:rPr>
        <w:t>” means the Initial Term and, if Tenant timely and properly exercises its right to extend pursuant to Section 2.4(b), the Extension Term(s).</w:t>
      </w:r>
    </w:p>
    <w:p>
      <w:pPr>
        <w:spacing w:after="0" w:line="158" w:lineRule="exact"/>
        <w:rPr>
          <w:sz w:val="20"/>
          <w:szCs w:val="20"/>
          <w:color w:val="auto"/>
        </w:rPr>
      </w:pPr>
    </w:p>
    <w:p>
      <w:pPr>
        <w:ind w:firstLine="76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means all applicable laws, statutes, rules, regulations and requirements of governmental authorities, including, but not limited to, zoning laws, building codes and the Americans with Disabilities Act of 1990 and any amendments thereto, regulations and ordinances in connection therewith (“ADA”).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 Premises</w:t>
      </w:r>
      <w:r>
        <w:rPr>
          <w:rFonts w:ascii="Times New Roman" w:cs="Times New Roman" w:eastAsia="Times New Roman" w:hAnsi="Times New Roman"/>
          <w:sz w:val="22"/>
          <w:szCs w:val="22"/>
          <w:color w:val="auto"/>
        </w:rPr>
        <w:t>” means the portion of the Premises located in D2.</w:t>
      </w:r>
    </w:p>
    <w:p>
      <w:pPr>
        <w:spacing w:after="0" w:line="206" w:lineRule="exact"/>
        <w:rPr>
          <w:sz w:val="20"/>
          <w:szCs w:val="20"/>
          <w:color w:val="auto"/>
        </w:rPr>
      </w:pPr>
    </w:p>
    <w:p>
      <w:pPr>
        <w:ind w:firstLine="761"/>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Costs</w:t>
      </w:r>
      <w:r>
        <w:rPr>
          <w:rFonts w:ascii="Times New Roman" w:cs="Times New Roman" w:eastAsia="Times New Roman" w:hAnsi="Times New Roman"/>
          <w:sz w:val="22"/>
          <w:szCs w:val="22"/>
          <w:color w:val="auto"/>
        </w:rPr>
        <w:t>” means all costs, expenses and disbursements of every kind and nature (except Taxes) which Landlord shall pay or become obligated to pay in connection with owning, operating, managing, insuring, maintaining, repairing or replacing Landlord’s Property, all as reasonably and in good faith determined by Landlord. For purposes of determining the Operating Costs, for any calendar year for which the Building is less than 95% occupied, the Operating Costs for such calendar year shall be equitably adjusted to reflect the amount they would have been if the Building had been 95% occupied for such calendar year. In no event shall the provisions of this section entitle Landlord to collect from Tenant more than Tenant’s Share of 100% of Operating Costs actually incurred. Operating Costs shall include, by way of illustration, but not be limited to: all Insurance Costs; all charges payable by Landlord in connection with the performance of Landlord’s maintenance and repair obligations with respect to Landlord’s Property; all charges payable by Landlord to provide janitorial service to Landlord’s Property; all charges payable by Landlord to provide heating, ventilating and air conditioning services to the Building; all charges payable by Landlord to provide utility services to Landlord’s Property (except Tenant’s Electricity Costs or other similar electricity charges payable by other tenants); all costs related to trash, debris and refuse removal; all costs related to removal of snow and ice; all costs of pest and vermin control for the Common Areas; all costs of providing, maintaining, repairing and replacing of paving, curbs, walkways, landscaping, planters, roofs, walls, drainage, utility lines, security systems and other equipment; all costs of painting the exterior and Common Areas of the Building; all costs of repaving, resurfacing and restriping Parking Areas and drives; all costs of lighting, cleaning, waterproofing, repairing and maintaining Common Areas, Common Facilities and other portions of Landlord’s Property; the net cost to Landlord of providing food service as provided in Section 6.1(h); all costs of licenses, permits and inspection fees; all legal, accounting, inspection and consulting fees related to Landlord’s Property that are not specifically excluded herein; all costs of capital repairs and replacements to the Building or Common Areas, amortized over their expected useful life based upon and including a market rate of interest not to exceed eight percent (8%) per annum (subject to the limitation described below); all costs of wages, salaries and benefits of operating personnel, including welfare, retirement, vacations and other compensation and fringe benefits and payroll taxes for employees at or below the level of Building manager (provided that if any employee performs services in connection with the Building and other buildings, costs associated with such employee shall be proportionately included in Operating Costs based on the percentage of time such employee spends in connection with the operation, maintenance and management of the Building); management fees equal to 3% of gross rental revenues derived from Landlord’s Property (which management fees may be payable to an affiliate of Landlord); and all materials and supplies, including charges for telephone, overnight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71" w:name="page72"/>
    <w:bookmarkEnd w:id="71"/>
    <w:p>
      <w:pPr>
        <w:spacing w:after="0" w:line="244" w:lineRule="auto"/>
        <w:rPr>
          <w:sz w:val="20"/>
          <w:szCs w:val="20"/>
          <w:color w:val="auto"/>
        </w:rPr>
      </w:pPr>
      <w:r>
        <w:rPr>
          <w:rFonts w:ascii="Times New Roman" w:cs="Times New Roman" w:eastAsia="Times New Roman" w:hAnsi="Times New Roman"/>
          <w:sz w:val="21"/>
          <w:szCs w:val="21"/>
          <w:color w:val="auto"/>
        </w:rPr>
        <w:t>courier, postage, stationery, supplies and other materials and expenses required for the routine operation of the management office. However, notwithstanding the above, the following specific items shall not be included: (a) the cost of alterations to space in the Building leased to others; (b) debt service and ground rent payments, including ground lease payments and points, commissions and legal fees associated with financing; (c) any cost or expenditure for which Landlord is entitled to reimbursement by insurance proceeds or eminent domain proceeds, whether or not Landlord is actually reimbursed; (d) costs for which Landlord is entitled to reimbursement under warranties provided to Landlord by contractors who have warranty obligations, whether or not Landlord is actually reimbursed; (e) costs in connection with leasing space in Landlord’s Property, including brokerage commissions, lease concessions, rental abatements and construction allowances granted to specific tenants, attorneys’ fees and collection costs related to negotiation and enforcement of tenant leases; (f) the cost of providing electrical service (lights and plugs) to space leased to tenants; (g) expenses which are billed directly, or reasonably allocable exclusively, to any tenant of the Building;</w:t>
      </w:r>
    </w:p>
    <w:p>
      <w:pPr>
        <w:ind w:firstLine="8"/>
        <w:spacing w:after="0" w:line="242" w:lineRule="auto"/>
        <w:tabs>
          <w:tab w:leader="none" w:pos="30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salaries and bonuses other than as expressly included in Operating Costs as set forth above; (i) the cost of any work or service performed on an extra-cost basis for any tenant of the Building; (j) capital expenditures, except for the amortization of capital expenditures (over their expected useful life based upon and including a market rate of interest not to exceed eight percent (8%) per annum) which (1) are required by laws which first become effective or applicable to Landlord’s Property after the Term Commencement Date, (2) are reasonably projected to achieve a savings in total Operating Costs over the Lease Term; or (3) are for repair or replacement of existing elements of Landlord’s Property; (k) the cost of any additions or improvements to the Building or Landlord’s Property; (l) depreciation, other than the amortization of capital improvements hereafter made as provided above; (m) costs incurred in connection with the actual or contemplated sale, financing or refinancing of Landlord’s Property; syndicating selling or changing ownership interest of the Building, including brokerage commissions, attorneys’ and accountants’ fees, closing costs, title insurance premiums, transfer taxes and interest charges incurred in such transaction; (n) fines, costs, interest and/or penalties incurred due to the late payment of Taxes or Operating Costs, or any failure of Landlord to timely pay any obligation; (o) organizational expenses associated with the creation and operation of the entity that constitutes Landlord (as distinguished from the costs of Building operations) including, but not limited to, Landlord’s or Landlord’s property manager’s general corporate overhead or general administrative expenses; (p) advertising and promotional costs including tenant relation programs and events; (q) Landlord’s gross receipts taxes, personal and corporate income taxes, inheritance and estate taxes, other business taxes and assessments, franchise, gift and transfer taxes; (r) any costs, fees, dues, contributions or similar expenses for political, charitable, industry association or similar organizations; (s) costs incurred in connection with the original design and construction of the Building or Landlord’s Property, and the repair of damage to the Building or Landlord’s Property in connection with any type of casualty, event of damage or destruction or condemnation (other than the amount of any deductible payable by Landlord under any property insurance policy on Landlord’s Property, which amount shall be included in Operating Costs); (t) costs incurred in connection with upgrading the Building or Landlord’s Property to comply with insurance requirements, or life safety codes, ordinances, statutes, and any other requirements of any governmental authority or other laws in effect and applicable to Landlord’s Property prior to the Term Commencement Date, including without limitation the ADA, including penalties or damages incurred as a result of non-compliance; (u) reserves of any kind; (v) any penalties or damages that Landlord pays to Tenant under this Lease or to other tenants of Landlord’s Property under their respective leases; (w) any costs, fines, or penalties incurred due to violations by Landlord of any governmental rule or authority; (x) legal fees, accountant fees and other expenses incurred in disputes with other former, current or future tenants or occupants of Landlord’s Property, or associated with the enforcement of any other leases of space in the Landlord’s Property, or the defense of Landlord’s title to or interest in the Building, Landlord’s Property or any part thereof; (y) services or installations available to any tenant in Landlord’s Property that are not also furnished to Tenant; (z) the cost of any service provided to Tenant or other occupants of Landlord’s Property for which Landlord is entitled to reimbursement (other than by a general reimbursement of operating expenses), whether or not Landlord is actually reimbursed; (aa) any cost or expense that is expressly excluded from Operating Costs, or expressly provided to be incurred by Landlord at its sole cost and expense, pursuant to any provision of this Lease; (bb) any Operating Cost charged to another tenant of Landlord’s Property that such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72" w:name="page73"/>
    <w:bookmarkEnd w:id="72"/>
    <w:p>
      <w:pPr>
        <w:ind w:right="40"/>
        <w:spacing w:after="0" w:line="232" w:lineRule="auto"/>
        <w:rPr>
          <w:sz w:val="20"/>
          <w:szCs w:val="20"/>
          <w:color w:val="auto"/>
        </w:rPr>
      </w:pPr>
      <w:r>
        <w:rPr>
          <w:rFonts w:ascii="Times New Roman" w:cs="Times New Roman" w:eastAsia="Times New Roman" w:hAnsi="Times New Roman"/>
          <w:sz w:val="22"/>
          <w:szCs w:val="22"/>
          <w:color w:val="auto"/>
        </w:rPr>
        <w:t>tenant fails to pay; (cc) insurance premiums, or increases in insurance premiums, for any insurance required by any other tenant or occupant of Landlord’s Property that is not the same as or substantially equivalent to the insurance required of Landlord under this Lease; (dd) legal, mediation, arbitration, accounting and other fees and expenses incurred in disputes with the holder of any mortgage, deed of trust or other security instrument now or hereafter encumbering all or any part of Landlord’s Property; (ee) any cost or expense payable to any of Landlord’s affiliates or divisions, to the extent that such cost or expense is in excess of that which would be charged by an unaffiliated person or firm for the same service in Waltham, Massachusetts; (ff) costs incurred by Landlord in connection with correction of defects in design and construction of the Building or Landlord’s Property; (gg) any cost or expense related to removal, cleaning, abatement or remediation of Hazardous Material in or about the Landlord’s Property, including without limitation, Hazardous Substances in the ground water or soil that are not the responsibility of Tenant under this Lease; (hh) any cost or expense occasioned by or resulting from any violation of law by any other tenant or occupant of Landlord’s Property or their respective Invitees, or by any person or entity other than Tenant or Tenant’s Invitees; (ii) any bad debt loss, rent loss, or reserves (including, without limitation, any reserves for bad debts or rent loss); (jj) contributions to reserves for Operating Costs, including reserves for capital improvements (whether or not otherwise allocable under this Lease); (kk) contributions to political or charitable organizations; (ll) costs of repairs, restoration, replacements or other work occasioned by the adjudicated negligence or adjudicated intentional tort of Landlord, or any employee or agent of Landlord; (mm) the cost of any “tap fees” or one-time lump sum sewer or water connection fees for the Building payable in connection with the initial construction of the Building; (nn) Landlord’s general overhead and administrative expenses not related to the Building; (oo) legal fees, accountants’ fees and other expenses incurred in connection with disputes with Tenant or other tenants or occupants of the Building or associated with the enforcement of any lease or defense of Landlord’s title to or interest in the Building or any part thereof; (pp) costs incurred due to violation by Landlord or any other tenant in the Building of the terms and conditions of any lease; and (qq) moving expense costs of tenants of the Building.</w:t>
      </w:r>
    </w:p>
    <w:p>
      <w:pPr>
        <w:spacing w:after="0" w:line="186" w:lineRule="exact"/>
        <w:rPr>
          <w:sz w:val="20"/>
          <w:szCs w:val="20"/>
          <w:color w:val="auto"/>
        </w:rPr>
      </w:pPr>
    </w:p>
    <w:p>
      <w:pPr>
        <w:ind w:right="100" w:firstLine="76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Parking Areas</w:t>
      </w:r>
      <w:r>
        <w:rPr>
          <w:rFonts w:ascii="Times New Roman" w:cs="Times New Roman" w:eastAsia="Times New Roman" w:hAnsi="Times New Roman"/>
          <w:sz w:val="22"/>
          <w:szCs w:val="22"/>
          <w:color w:val="auto"/>
        </w:rPr>
        <w:t>” means those portions of Landlord’s Property which may be used for parking as depicted on the Site Plan, as such areas may be changed by Landlord from time to time. The Parking Areas presently consist of the Parking Garage and the surface parking areas as depicted on the Site Plan. The Parking Areas will not be changed to materially and adversely impact Tenant’s ingress and egress, parking rights or availability or to materially increase the distance from the Parking Areas to the Premises.</w:t>
      </w:r>
    </w:p>
    <w:p>
      <w:pPr>
        <w:spacing w:after="0" w:line="177" w:lineRule="exact"/>
        <w:rPr>
          <w:sz w:val="20"/>
          <w:szCs w:val="20"/>
          <w:color w:val="auto"/>
        </w:rPr>
      </w:pPr>
    </w:p>
    <w:p>
      <w:pPr>
        <w:ind w:firstLine="76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means (a) an entity controlling, controlled by or under common control with Tenant (a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(b) an entity which succeeds to Tenant’s business by merger, consolidation or other form of corporate reorganization, (c) an entity which acquires all or substantially all of Tenant’s assets or stock or (d) a public offering or transfer of shares of Tenant on a stock exchange or equivalent trading system; provided that an entity may not become a Permitted Transferee through or as a part of a bankruptcy or other similar insolvency proceeding. Provided, however, the Tenant may not transfer, sublet or assign this Lease or the Premises to any individual, entity or company engaged in the Generic Drug business of any nature or description including, without limitation, the manufacture, development, sales, distribution or marketing of such products.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has the meaning set forth in Item 6 of the Summary of Basic Terms.</w:t>
      </w:r>
    </w:p>
    <w:p>
      <w:pPr>
        <w:spacing w:after="0" w:line="206" w:lineRule="exact"/>
        <w:rPr>
          <w:sz w:val="20"/>
          <w:szCs w:val="20"/>
          <w:color w:val="auto"/>
        </w:rPr>
      </w:pPr>
    </w:p>
    <w:p>
      <w:pPr>
        <w:ind w:right="62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joint venture, trust, limited liability company, business trust, joint stock company, unincorporated association, corporation, institution or entity, including any governmental authority.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has the meaning set forth in Item 3A of the Summary of Basic Terms.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 Commencement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March 1, 2016</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ind w:right="160" w:firstLine="76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 means the rules and regulations promulgated by Landlord with respect to Landlord’s Property, a copy of which is attached hereto as Exhibit D, as the same may be reasonably and in good faith modified by Landlord in a non-discriminatory manner from time to time upon notice to Tenant.</w:t>
      </w:r>
    </w:p>
    <w:p>
      <w:pPr>
        <w:spacing w:after="0" w:line="174" w:lineRule="exact"/>
        <w:rPr>
          <w:sz w:val="20"/>
          <w:szCs w:val="20"/>
          <w:color w:val="auto"/>
        </w:rPr>
      </w:pPr>
    </w:p>
    <w:p>
      <w:pPr>
        <w:ind w:right="2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 Plan</w:t>
      </w:r>
      <w:r>
        <w:rPr>
          <w:rFonts w:ascii="Times New Roman" w:cs="Times New Roman" w:eastAsia="Times New Roman" w:hAnsi="Times New Roman"/>
          <w:sz w:val="22"/>
          <w:szCs w:val="22"/>
          <w:color w:val="auto"/>
        </w:rPr>
        <w:t>” means the site plan of Landlord’s Property attached hereto as Exhibit B which depicts the approximate size and layout of the Land, the Building and the Parking Areas.</w:t>
      </w:r>
    </w:p>
    <w:p>
      <w:pPr>
        <w:spacing w:after="0" w:line="158" w:lineRule="exact"/>
        <w:rPr>
          <w:sz w:val="20"/>
          <w:szCs w:val="20"/>
          <w:color w:val="auto"/>
        </w:rPr>
      </w:pPr>
    </w:p>
    <w:p>
      <w:pPr>
        <w:ind w:right="80" w:firstLine="76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Number</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fifty-eight (58)</w:t>
      </w:r>
      <w:r>
        <w:rPr>
          <w:rFonts w:ascii="Times New Roman" w:cs="Times New Roman" w:eastAsia="Times New Roman" w:hAnsi="Times New Roman"/>
          <w:sz w:val="22"/>
          <w:szCs w:val="22"/>
          <w:color w:val="auto"/>
        </w:rPr>
        <w:t>, subject to the provisions of Section 2.3, based on a parking ratio of 2.5 spaces per 1,000 leasable square feet of the Premises (Landlord and Tenant acknowledging that (i) the Specified Number shall increase and decrease by such ratio if and to the extent the leasable square footage increases or decreases and (ii) subject to Landlord’s right to temporarily close portions of the parking areas for maintenance, repairs and construction-related matters, in no event shall the ratio of 2.5 spaces per 1,000 leasable square feet of the Premises be reduced by Landlord with respect to Tenant’s parking rights under this Lease).</w:t>
      </w:r>
    </w:p>
    <w:p>
      <w:pPr>
        <w:spacing w:after="0" w:line="182" w:lineRule="exact"/>
        <w:rPr>
          <w:sz w:val="20"/>
          <w:szCs w:val="20"/>
          <w:color w:val="auto"/>
        </w:rPr>
      </w:pPr>
    </w:p>
    <w:p>
      <w:pPr>
        <w:ind w:right="12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Summary of Basic Terms</w:t>
      </w:r>
      <w:r>
        <w:rPr>
          <w:rFonts w:ascii="Times New Roman" w:cs="Times New Roman" w:eastAsia="Times New Roman" w:hAnsi="Times New Roman"/>
          <w:sz w:val="22"/>
          <w:szCs w:val="22"/>
          <w:color w:val="auto"/>
        </w:rPr>
        <w:t>” means the Summary of Basic Terms which is affixed to this Lease immediately after the table of contents of this Lease.</w:t>
      </w:r>
    </w:p>
    <w:p>
      <w:pPr>
        <w:spacing w:after="0" w:line="158" w:lineRule="exact"/>
        <w:rPr>
          <w:sz w:val="20"/>
          <w:szCs w:val="20"/>
          <w:color w:val="auto"/>
        </w:rPr>
      </w:pPr>
    </w:p>
    <w:p>
      <w:pPr>
        <w:ind w:right="140" w:firstLine="76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Fiscal Year</w:t>
      </w:r>
      <w:r>
        <w:rPr>
          <w:rFonts w:ascii="Times New Roman" w:cs="Times New Roman" w:eastAsia="Times New Roman" w:hAnsi="Times New Roman"/>
          <w:sz w:val="22"/>
          <w:szCs w:val="22"/>
          <w:color w:val="auto"/>
        </w:rPr>
        <w:t>” means July 1 through June 30 next following, or such other tax period as may be established by law for the payment of Taxes.</w:t>
      </w:r>
    </w:p>
    <w:p>
      <w:pPr>
        <w:spacing w:after="0" w:line="158" w:lineRule="exact"/>
        <w:rPr>
          <w:sz w:val="20"/>
          <w:szCs w:val="20"/>
          <w:color w:val="auto"/>
        </w:rPr>
      </w:pPr>
    </w:p>
    <w:p>
      <w:pPr>
        <w:ind w:firstLine="761"/>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 all taxes, assessments, betterments, water or sewer entrance fees and charges including general, special, ordinary and extraordinary, environmental, or any other charges (including charges for the use of municipal services if billed separately from other taxes), levied, assessed or imposed at any time by any governmental authority upon or against the Land, the Building, or the fixtures, signs and other improvements thereon then included in Landlord’s Property and (b) all attorneys’ fees, appraisal fees and other fees, charges, costs and/or expenses incurred in connection with any proceedings related to an attempt to reduce the amount of the Taxes, change the tax classification and/or reduce the assessed value of Landlord’s Property, provided that such proceedings are reasonably projected to achieve a savings in total Taxes (taking into account the costs of the proceedings) over the Lease Term. This definition of Taxes is based upon the present system of real estate taxation in the Commonwealth of Massachusetts; if taxes upon rentals or any other basis shall be substituted, in whole or in part, for the present ad valorem real estate taxes, the term “Taxes” shall be deemed changed to the extent to which there is such a substitution for the present ad valorem real estate taxes. Taxes shall not include (i) any net income, capital, stock, succession, transfer, franchise, gift, estate or inheritance tax, except to the extent that such tax shall be imposed in lieu of any portion of Taxes; (ii) any item to the extent otherwise included in Operating Costs and (iii) interest and/or penalties incurred as a result of Landlord’s late payment of any Taxes.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means Cerulean Pharma Inc., a Delaware corporation, its permitted successors and permitted assigns.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Improvement Allowance</w:t>
      </w:r>
      <w:r>
        <w:rPr>
          <w:rFonts w:ascii="Times New Roman" w:cs="Times New Roman" w:eastAsia="Times New Roman" w:hAnsi="Times New Roman"/>
          <w:sz w:val="22"/>
          <w:szCs w:val="22"/>
          <w:color w:val="auto"/>
        </w:rPr>
        <w:t>” has the meaning set forth in Item 4 of the Summary of Basic Terms.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Electricity Costs</w:t>
      </w:r>
      <w:r>
        <w:rPr>
          <w:rFonts w:ascii="Times New Roman" w:cs="Times New Roman" w:eastAsia="Times New Roman" w:hAnsi="Times New Roman"/>
          <w:sz w:val="22"/>
          <w:szCs w:val="22"/>
          <w:color w:val="auto"/>
        </w:rPr>
        <w:t>” has the meaning set forth in Item 9D of the Summary of Basic Terms.</w:t>
      </w:r>
    </w:p>
    <w:p>
      <w:pPr>
        <w:spacing w:after="0" w:line="206" w:lineRule="exact"/>
        <w:rPr>
          <w:sz w:val="20"/>
          <w:szCs w:val="20"/>
          <w:color w:val="auto"/>
        </w:rPr>
      </w:pPr>
    </w:p>
    <w:p>
      <w:pPr>
        <w:ind w:right="120" w:firstLine="76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Share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7.73%</w:t>
      </w:r>
      <w:r>
        <w:rPr>
          <w:rFonts w:ascii="Times New Roman" w:cs="Times New Roman" w:eastAsia="Times New Roman" w:hAnsi="Times New Roman"/>
          <w:sz w:val="22"/>
          <w:szCs w:val="22"/>
          <w:color w:val="auto"/>
        </w:rPr>
        <w:t>, being the amount (expressed as a percentage) equal to (a) the Leasable Square Footage of the Premises divided by (b) the Leasable Square Footage of the Building (rounded to the nearest one-hundredth of one percent (0.01%).</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Commencement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auto"/>
        </w:rPr>
        <w:t>December 28, 2015</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OF PREMISES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2.1 Lease of the Premises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20" w:firstLine="1529"/>
        <w:spacing w:after="0" w:line="234" w:lineRule="auto"/>
        <w:tabs>
          <w:tab w:leader="none" w:pos="17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leases the Premises to Tenant, and Tenant hereby leases the Premises from Landlord, upon and subject to the terms and provisions of this Lease and all zoning ordinances, and easements, restrictions and conditions of record. Subject to all applicable Legal Requirements and Rules and Regulations, Tenant shall have access to the Premises on a seven days per week, 24 hours per day basis during the Lease Term, subject to closure where necessary or appropriate for maintenance, cleaning and repairs and those matters which are beyond Landlord’s reasonable control, including but not limited to, acts of God, accidents, breakdowns, war, civil commotion, fire or other casualty, labor difficulties, governmental regulations or orders and weather conditions. In the event that it is necessary for Landlord to close the Premises for maintenance, cleaning or repairs, Landlord shall limit the closure to the minimum duration necessary to accomplish the applicable maintenance, cleaning and repairs. Except in the event of emergency Landlord shall give Tenant not less than 72 hours advance written notice of any such closure.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2.2 Common Rights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firstLine="1529"/>
        <w:spacing w:after="0" w:line="233" w:lineRule="auto"/>
        <w:tabs>
          <w:tab w:leader="none" w:pos="17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are leased subject to, and with the benefit of, the non-exclusive right to use in common with others at any time entitled thereto the Common Areas and Common Facilities for all such purposes as such areas may be reasonably designated, but only in connection with the use of the Premises for the Permitted Use in accordance with the Rules and Regulations. Landlord shall have the right from time to time to designate or change the locations, size or configuration of the Common Areas, and to modify or replace the Common Facilities, and to permit expansion of construction and new construction therein; provided, however, such changes shall not have a material adverse impact on Tenant’s access to, or use and enjoyment of, the Premises. Tenant shall not have the right to use those portions of the Common Areas designated from time to time by Landlord as for the temporary exclusive use of one or more other tenants, provided that such areas shall not constitute any area which this Lease specifically provides Tenant the exclusive right to use or where the temporary inability to use such Common Areas would materially adversely affect Tenant’s access to, or use and enjoyment of, the Premises. Included herein at the discretion of the Landlord to use the conference center or conference rooms when not otherwise booked by the Landlord or others also entitled to use same.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432" w:right="239" w:bottom="1440" w:gutter="0" w:footer="0" w:header="0"/>
        </w:sectPr>
      </w:pPr>
    </w:p>
    <w:bookmarkStart w:id="75" w:name="page76"/>
    <w:bookmarkEnd w:id="75"/>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2.3 Parking</w:t>
      </w:r>
    </w:p>
    <w:p>
      <w:pPr>
        <w:spacing w:after="0" w:line="207" w:lineRule="exact"/>
        <w:rPr>
          <w:sz w:val="20"/>
          <w:szCs w:val="20"/>
          <w:color w:val="auto"/>
        </w:rPr>
      </w:pPr>
    </w:p>
    <w:p>
      <w:pPr>
        <w:ind w:firstLine="769"/>
        <w:spacing w:after="0" w:line="244" w:lineRule="auto"/>
        <w:tabs>
          <w:tab w:leader="none" w:pos="92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Rules and Regulations, Tenant’s Invitees are authorized to park not more than the Specified Number of passenger automobiles, at any time, in the unreserved Parking Areas in common with Landlord and other tenants of Landlord’s Property from time to time, on a first come, first served basis. Tenant acknowledges that not all of the Specified Number of spaces are located on Landlord’s Property and agrees that, in order to use the full amount of the Specified Number, Tenant will be required to utilize spaces in the Parking Garage. In the event of a change in the Leasable Square Footage of the Premises, the Specified Number shall be adjusted pursuant to the formula used to calculate the Specified Number as of the date of the Lease. Tenant shall not (a) permit any Invitees of Tenant (other than visitors and guests) to park in spaces designated as “visitor” spaces, (b) permit any Invitees of Tenant to park in spaces designated as “reserved” spaces (unless reserved for Tenant), (c) permit the total number of passenger automobiles parked in the Parking Areas by Invitees of Tenant, at any time, to exceed the Specified Number, and (d) except for delivery trucks using designated loading and unloading facilities, permit any Invitee of Tenant to park any vehicle in the Parking Areas other than passenger automobiles. Landlord may, from time to time, designate one or more spaces as reserved for the exclusive use of one or more of the tenants and/or for Landlord’s Invitees, provided the same shall not materially and adversely affect Tenant’s parking rights hereunder. Subject to the Rules and Regulations, Tenant shall have non-exclusive access to two (2) loading docks located in Building E, Level 0, and to the loading dock of the main building (A00).</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2.4 Lease Term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1529"/>
        <w:spacing w:after="0" w:line="244" w:lineRule="auto"/>
        <w:tabs>
          <w:tab w:leader="none" w:pos="181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Term shall commence at 12:01 a.m. on the Term Commencement Date and, unless Tenant timely and properly exercises its right to extend pursuant to Section 2.4(b) or this Lease terminates early, shall end at 11:59 p.m. on February 28, 2021.</w:t>
      </w:r>
    </w:p>
    <w:p>
      <w:pPr>
        <w:spacing w:after="0" w:line="173" w:lineRule="exact"/>
        <w:rPr>
          <w:rFonts w:ascii="Times New Roman" w:cs="Times New Roman" w:eastAsia="Times New Roman" w:hAnsi="Times New Roman"/>
          <w:sz w:val="22"/>
          <w:szCs w:val="22"/>
          <w:color w:val="auto"/>
        </w:rPr>
      </w:pPr>
    </w:p>
    <w:p>
      <w:pPr>
        <w:ind w:right="20" w:firstLine="1529"/>
        <w:spacing w:after="0" w:line="236" w:lineRule="auto"/>
        <w:tabs>
          <w:tab w:leader="none" w:pos="182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an Event of Default does not then exist, Tenant shall have the right to extend the Lease Term for one (1) period of three (3) years (the “Extension Term”) by giving Landlord written notice specifying such extension, which notice must be received by Landlord not less than twelve (12) months prior to the expiration date of the Initial Term. If such extension becomes effective, the Lease Term shall be automatically extended upon the same terms and conditions as are applicable to the Initial Term, except that (x) Base Rent for the applicable Extension Term shall be as set forth in Item 8 of the Summary of Basic Terms and (y) there shall be no further right to extend or renew beyond the first Extension Term.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2.5 Lease Amendment</w:t>
      </w:r>
    </w:p>
    <w:p>
      <w:pPr>
        <w:spacing w:after="0" w:line="206" w:lineRule="exact"/>
        <w:rPr>
          <w:sz w:val="20"/>
          <w:szCs w:val="20"/>
          <w:color w:val="auto"/>
        </w:rPr>
      </w:pPr>
    </w:p>
    <w:p>
      <w:pPr>
        <w:ind w:right="60" w:firstLine="769"/>
        <w:spacing w:after="0" w:line="235" w:lineRule="auto"/>
        <w:tabs>
          <w:tab w:leader="none" w:pos="92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pursuant to any provision of this Lease, there is a change in any of the terms or amounts in the Summary of Basic Terms (including, without limitation, the Leasable Square Footage of the Building, the Leasable Square Footage of the Premises, Base Rent, or Tenant’s Share) then in effect, Landlord and Tenant will promptly execute a written amendment to, and restatement of, the Summary of Basic Terms, substituting the changed (or confirmed) terms and recomputed amounts in lieu of each of the applicable terms and amounts then in effect which have been changed. As of the effective date of the amendment to the Summary of Basic Terms, the changed terms (and recomputed amounts) will be effective for all purposes of this Lease, and the amended and restated Summary of Basic Terms will be a part of, and incorporated into, this Lease.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2.6 Landlord’s Equipment</w:t>
      </w:r>
    </w:p>
    <w:p>
      <w:pPr>
        <w:spacing w:after="0" w:line="206" w:lineRule="exact"/>
        <w:rPr>
          <w:sz w:val="20"/>
          <w:szCs w:val="20"/>
          <w:color w:val="auto"/>
        </w:rPr>
      </w:pPr>
    </w:p>
    <w:p>
      <w:pPr>
        <w:ind w:right="100" w:firstLine="761"/>
        <w:spacing w:after="0" w:line="249" w:lineRule="auto"/>
        <w:rPr>
          <w:sz w:val="20"/>
          <w:szCs w:val="20"/>
          <w:color w:val="auto"/>
        </w:rPr>
      </w:pPr>
      <w:r>
        <w:rPr>
          <w:rFonts w:ascii="Times New Roman" w:cs="Times New Roman" w:eastAsia="Times New Roman" w:hAnsi="Times New Roman"/>
          <w:sz w:val="21"/>
          <w:szCs w:val="21"/>
          <w:color w:val="auto"/>
        </w:rPr>
        <w:t>During the Lease Term, Tenant shall have a license to use, at no additional cost to Tenant, Landlord's Equipment. Tenant takes the Landlord’s Equipment in “AS IS” condition, and Landlord does not warrant or make any representation, express or implied, concerning the condition, adequacy or sufficiency for Tenant’s present or future purposes of the Landlord’s Equipment. Landlord shall perform any maintenance, repairs or restoration that may be required to the Landlord’s Equipment during the Lease Term, and Tenant shall reimburse Landlord for all costs in connection therewith within thirty (30) days following receipt of Landlord invoice. Tenant shall return the Landlord’s Equipment upon the expiration or earlier termination of this Lease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76" w:name="page77"/>
    <w:bookmarkEnd w:id="76"/>
    <w:p>
      <w:pPr>
        <w:ind w:right="60"/>
        <w:spacing w:after="0" w:line="259" w:lineRule="auto"/>
        <w:rPr>
          <w:sz w:val="20"/>
          <w:szCs w:val="20"/>
          <w:color w:val="auto"/>
        </w:rPr>
      </w:pPr>
      <w:r>
        <w:rPr>
          <w:rFonts w:ascii="Times New Roman" w:cs="Times New Roman" w:eastAsia="Times New Roman" w:hAnsi="Times New Roman"/>
          <w:sz w:val="22"/>
          <w:szCs w:val="22"/>
          <w:color w:val="auto"/>
        </w:rPr>
        <w:t>in the same condition as of the Term Commencement Date, ordinary wear and tear and casualty excepted. Under no circumstances shall Tenant remove any of Landlord’s Equipment from the Premises.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2.7 Back-up Generator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61"/>
        <w:spacing w:after="0" w:line="235" w:lineRule="auto"/>
        <w:rPr>
          <w:sz w:val="20"/>
          <w:szCs w:val="20"/>
          <w:color w:val="auto"/>
        </w:rPr>
      </w:pPr>
      <w:r>
        <w:rPr>
          <w:rFonts w:ascii="Times New Roman" w:cs="Times New Roman" w:eastAsia="Times New Roman" w:hAnsi="Times New Roman"/>
          <w:sz w:val="22"/>
          <w:szCs w:val="22"/>
          <w:color w:val="auto"/>
        </w:rPr>
        <w:t>Tenant shall be permitted to connect its equipment located in the Premises to the back-up generator equipment serving the Building (the “Back-up Generator”), at no additional cost to Tenant, by plugging such equipment into the red electrical outlets currently located in the Premises (the “Back-up Generator Outlets”). Tenant’s use of such Back-Up Generator Outlets shall be at the sole risk and hazard of Tenant and Landlord does not warrant or make any representation, express or implied, concerning the condition, adequacy or sufficiency for Tenant’s present or future purposes of the Back-up Generator Outlets and/or Back-up Generator. Landlord covenants that Landlord shall use commercially reasonable efforts to maintain the Back-up Generator (or replacement back-up generator equipment with substantially the same or better specifications to the Back-Up Generator) in good working order and condition throughout the Lease Term.</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2.8 Flammables Storage Room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61"/>
        <w:spacing w:after="0" w:line="235" w:lineRule="auto"/>
        <w:rPr>
          <w:sz w:val="20"/>
          <w:szCs w:val="20"/>
          <w:color w:val="auto"/>
        </w:rPr>
      </w:pPr>
      <w:r>
        <w:rPr>
          <w:rFonts w:ascii="Times New Roman" w:cs="Times New Roman" w:eastAsia="Times New Roman" w:hAnsi="Times New Roman"/>
          <w:sz w:val="22"/>
          <w:szCs w:val="22"/>
          <w:color w:val="auto"/>
        </w:rPr>
        <w:t>Subject to Landlord’s reasonable allocation of the same between the various tenants and occupants of Landlord’s Property, Landlord shall use commercially reasonable efforts to provide Tenant an exclusive license to use the portions of the flammables storage cabinets designated by Landlord (the “A.00 Flammables Storage”) within Building A, Level 00 (the “A.00 Flammables Storage Room”, as more particularly set forth in Exhibit F attached hereto and incorporated herein) at a monthly license fee (the “Flammables Storage License Fee”) not to exceed $22.00 per rentable square foot of such Flammables Storage per annum, which license fee shall be exclusive of all operating expenses of the A.00 Flammables Storage Room. Such license to use the A.00 Flammables Storage shall be pursuant to a separate agreement between Landlord and Tenant. Landlord shall maintain the A.00 Flammables Storage in its current condition and maintain its current permits for the same.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2.9 Right of First Offer; Building K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Tenant shall have a one-time right of first offer (the “Right of First Offer”) on the then-available portions of (i) Building E,</w:t>
      </w:r>
    </w:p>
    <w:p>
      <w:pPr>
        <w:spacing w:after="0" w:line="26" w:lineRule="exact"/>
        <w:rPr>
          <w:sz w:val="20"/>
          <w:szCs w:val="20"/>
          <w:color w:val="auto"/>
        </w:rPr>
      </w:pPr>
    </w:p>
    <w:p>
      <w:pPr>
        <w:ind w:right="40" w:firstLine="8"/>
        <w:spacing w:after="0" w:line="233" w:lineRule="auto"/>
        <w:tabs>
          <w:tab w:leader="none" w:pos="3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Floor 3 of Building D and (iii) Floor 2 of Building C (each, a “ROFO Space”) upon the following terms and conditions. This Right of First Offer is subject and subordinate to the rights of third parties existing as of the date of this Lease, to the rights, if any, of each tenant set forth in the applicable lease with such tenant pursuant to the Initial Lease-Up (as defined below) with respect to a ROFO Space that such tenant leased in such applicable lease, and to the right of Landlord or any affiliate of Landlord to use or occupy such ROFO Space.</w:t>
      </w:r>
    </w:p>
    <w:p>
      <w:pPr>
        <w:spacing w:after="0" w:line="180" w:lineRule="exact"/>
        <w:rPr>
          <w:sz w:val="20"/>
          <w:szCs w:val="20"/>
          <w:color w:val="auto"/>
        </w:rPr>
      </w:pPr>
    </w:p>
    <w:p>
      <w:pPr>
        <w:ind w:firstLine="761"/>
        <w:spacing w:after="0" w:line="245" w:lineRule="auto"/>
        <w:rPr>
          <w:sz w:val="20"/>
          <w:szCs w:val="20"/>
          <w:color w:val="auto"/>
        </w:rPr>
      </w:pPr>
      <w:r>
        <w:rPr>
          <w:rFonts w:ascii="Times New Roman" w:cs="Times New Roman" w:eastAsia="Times New Roman" w:hAnsi="Times New Roman"/>
          <w:sz w:val="21"/>
          <w:szCs w:val="21"/>
          <w:color w:val="auto"/>
        </w:rPr>
        <w:t>Landlord will notify Tenant of its plans to market a ROFO Space (the “ROFO Notice”) for lease to any party unrelated to Landlord (it being acknowledged and agreed that the Right of First Offer shall not be applicable to space Landlord intends to occupy and/or provide to affiliates of Landlord), which ROFO Notice shall specify the location and square footage for such ROFO Space, Landlord’s estimate of the fair market rent for such ROFO Space, the date of availability of such ROFO Space, the term for the ROFO Space and all other material terms and conditions which will apply to such ROFO Space. Within ten (10) Business Days following its receipt of any ROFO Notice, Tenant shall have the right to accept the same by written notice to Landlord (the “ROFO Acceptance Notice”), provided that if Tenant disputes Landlord’s estimate of the fair market rent in the ROFO Acceptance Notice, the fair market rent for such space shall be determined as set forth in Section 4.7 below. If Tenant timely delivers a ROFO Acceptance Notice, Landlord and Tenant shall execute an amendment to the Lease incorporating the ROFO Space into the Premises upon the terms contained in the ROFO Notice within ten (10) Business Days following Landlord’s delivery to Tenant of a form therefor (and if the Landlord’s determination of fair market rent was disputed in the ROFO Notice and not agreed to as of the commencement of the term for such ROFO Space, then rent shall be Landlord’s determination of fair market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77" w:name="page78"/>
    <w:bookmarkEnd w:id="77"/>
    <w:p>
      <w:pPr>
        <w:ind w:right="180"/>
        <w:spacing w:after="0" w:line="259" w:lineRule="auto"/>
        <w:rPr>
          <w:sz w:val="20"/>
          <w:szCs w:val="20"/>
          <w:color w:val="auto"/>
        </w:rPr>
      </w:pPr>
      <w:r>
        <w:rPr>
          <w:rFonts w:ascii="Times New Roman" w:cs="Times New Roman" w:eastAsia="Times New Roman" w:hAnsi="Times New Roman"/>
          <w:sz w:val="22"/>
          <w:szCs w:val="22"/>
          <w:color w:val="auto"/>
        </w:rPr>
        <w:t>rent until the finalization of the fair market rent appraisal, and any change in such rent amount shall be adjusted – with applicable credits or reimbursement for any underpayment or overpayment - thereafter).</w:t>
      </w:r>
    </w:p>
    <w:p>
      <w:pPr>
        <w:spacing w:after="0" w:line="157" w:lineRule="exact"/>
        <w:rPr>
          <w:sz w:val="20"/>
          <w:szCs w:val="20"/>
          <w:color w:val="auto"/>
        </w:rPr>
      </w:pPr>
    </w:p>
    <w:p>
      <w:pPr>
        <w:ind w:right="80" w:firstLine="761"/>
        <w:spacing w:after="0" w:line="235" w:lineRule="auto"/>
        <w:rPr>
          <w:sz w:val="20"/>
          <w:szCs w:val="20"/>
          <w:color w:val="auto"/>
        </w:rPr>
      </w:pPr>
      <w:r>
        <w:rPr>
          <w:rFonts w:ascii="Times New Roman" w:cs="Times New Roman" w:eastAsia="Times New Roman" w:hAnsi="Times New Roman"/>
          <w:sz w:val="22"/>
          <w:szCs w:val="22"/>
          <w:color w:val="auto"/>
        </w:rPr>
        <w:t>If Tenant fails to timely deliver a ROFO Acceptance Notice within said ten (10) Business Day period or fails to execute Landlord’s form of amendment for such ROFO Space within ten (10) Business Days of receipt from Landlord, Tenant shall be deemed to have waived its rights with respect to a ROFO Space and Landlord shall be entitled, but not required, to lease all or any portion of such ROFO Space to any third party or parties on such terms and conditions, including, without limitation, options to extend the term of such lease and/or expand the premises under such lease, and for such rent as Landlord determines, all in its sole discretion, and the Right of First Offer with respect to such ROFO Space in such ROFO Notice shall be of no further force or effect.</w:t>
      </w:r>
    </w:p>
    <w:p>
      <w:pPr>
        <w:spacing w:after="0" w:line="184" w:lineRule="exact"/>
        <w:rPr>
          <w:sz w:val="20"/>
          <w:szCs w:val="20"/>
          <w:color w:val="auto"/>
        </w:rPr>
      </w:pPr>
    </w:p>
    <w:p>
      <w:pPr>
        <w:ind w:firstLine="761"/>
        <w:spacing w:after="0" w:line="234" w:lineRule="auto"/>
        <w:rPr>
          <w:sz w:val="20"/>
          <w:szCs w:val="20"/>
          <w:color w:val="auto"/>
        </w:rPr>
      </w:pPr>
      <w:r>
        <w:rPr>
          <w:rFonts w:ascii="Times New Roman" w:cs="Times New Roman" w:eastAsia="Times New Roman" w:hAnsi="Times New Roman"/>
          <w:sz w:val="22"/>
          <w:szCs w:val="22"/>
          <w:color w:val="auto"/>
        </w:rPr>
        <w:t>Notwithstanding any contrary provision of this Lease, any Right of First Offer, and any exercise by Tenant of any Right of First Offer shall be void and of no effect unless on the date Tenant timely delivers a ROFO Acceptance Notice to Landlord and on the commencement date of the amendment for a ROFO Space (as applicable): (i) this Lease is in full force and effect and (ii) no Event of Default has occurred under this Lease which remains continuing and uncured after any applicable notice and opportunity to cure and (iii) Tenant shall not have assigned this Lease other than to a Permitted Transferee, and there shall not be any sublease or subleases then in effect. Tenant acknowledges and agrees that Tenant’s Right of First Offer with respect to any space that is not subject to a third-party lease on the date hereof (the “Vacant Space”) shall not be of any force or effect until such time as such Vacant Space has been initially leased to a third-party tenant after the date hereof as set forth in that lease to such third party tenant as of that date (the “Initial Lease-Up”) and such lease has subsequently expired.</w:t>
      </w:r>
    </w:p>
    <w:p>
      <w:pPr>
        <w:spacing w:after="0" w:line="184" w:lineRule="exact"/>
        <w:rPr>
          <w:sz w:val="20"/>
          <w:szCs w:val="20"/>
          <w:color w:val="auto"/>
        </w:rPr>
      </w:pPr>
    </w:p>
    <w:p>
      <w:pPr>
        <w:jc w:val="both"/>
        <w:ind w:right="140" w:firstLine="761"/>
        <w:spacing w:after="0" w:line="239" w:lineRule="auto"/>
        <w:rPr>
          <w:sz w:val="20"/>
          <w:szCs w:val="20"/>
          <w:color w:val="auto"/>
        </w:rPr>
      </w:pPr>
      <w:r>
        <w:rPr>
          <w:rFonts w:ascii="Times New Roman" w:cs="Times New Roman" w:eastAsia="Times New Roman" w:hAnsi="Times New Roman"/>
          <w:sz w:val="22"/>
          <w:szCs w:val="22"/>
          <w:color w:val="auto"/>
        </w:rPr>
        <w:t>In the event Landlord commences construction of the so-called “Building K” portion of the Building and desires to offer portions of Building K for lease, Landlord shall use commercially reasonable efforts to apprise Tenant of any space in Building K that shall be available for lease by Tenant. The foregoing notwithstanding, Landlord shall in no event be liable to Tenant for any failure for provide such information regarding Building K to Tenant.</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CONDITION OF PREMISES; CONSTRUCTION OF INITIAL IMPROVEMENTS; ALLOWANCE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3.1 Condition of Premises</w:t>
      </w:r>
    </w:p>
    <w:p>
      <w:pPr>
        <w:spacing w:after="0" w:line="206" w:lineRule="exact"/>
        <w:rPr>
          <w:sz w:val="20"/>
          <w:szCs w:val="20"/>
          <w:color w:val="auto"/>
        </w:rPr>
      </w:pPr>
    </w:p>
    <w:p>
      <w:pPr>
        <w:ind w:firstLine="769"/>
        <w:spacing w:after="0" w:line="235" w:lineRule="auto"/>
        <w:tabs>
          <w:tab w:leader="none" w:pos="92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contained, Tenant shall take the Premises “as-is”, in the condition in which the Premises are in as of the Term Commencement Date, without any obligation on the part of Landlord to prepare or construct the Premises for Tenant’s occupancy, and without any representation or warranty by Landlord to Tenant as to the condition of the Premises or the Building except as set forth in the next sentence. Notwithstanding the foregoing Landlord represents that the roof and all structural elements of the Building and all utility and building service systems located in the Building on the Term Commencement Date shall be in good working order and condition for use of the Premises as office space on the Term Commencement Date and the condition of the Premises as of the Term Commencement Date shall not materially, adversely differ from its condition as of the date of Tenant’s execution of this Lease.</w:t>
      </w:r>
    </w:p>
    <w:p>
      <w:pPr>
        <w:spacing w:after="0" w:line="175" w:lineRule="exact"/>
        <w:rPr>
          <w:sz w:val="20"/>
          <w:szCs w:val="20"/>
          <w:color w:val="auto"/>
        </w:rPr>
      </w:pPr>
    </w:p>
    <w:p>
      <w:pPr>
        <w:ind w:left="760" w:right="3960"/>
        <w:spacing w:after="0" w:line="437" w:lineRule="auto"/>
        <w:rPr>
          <w:sz w:val="20"/>
          <w:szCs w:val="20"/>
          <w:color w:val="auto"/>
        </w:rPr>
      </w:pPr>
      <w:r>
        <w:rPr>
          <w:rFonts w:ascii="Times New Roman" w:cs="Times New Roman" w:eastAsia="Times New Roman" w:hAnsi="Times New Roman"/>
          <w:sz w:val="22"/>
          <w:szCs w:val="22"/>
          <w:u w:val="single" w:color="auto"/>
          <w:color w:val="auto"/>
        </w:rPr>
        <w:t>Section 3.2 Tenant’s Work; Landlord’s Contribution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3.3 Plans and Specifications</w:t>
      </w:r>
    </w:p>
    <w:p>
      <w:pPr>
        <w:spacing w:after="0" w:line="1" w:lineRule="exact"/>
        <w:rPr>
          <w:sz w:val="20"/>
          <w:szCs w:val="20"/>
          <w:color w:val="auto"/>
        </w:rPr>
      </w:pPr>
    </w:p>
    <w:p>
      <w:pPr>
        <w:ind w:right="180" w:firstLine="769"/>
        <w:spacing w:after="0" w:line="255" w:lineRule="auto"/>
        <w:tabs>
          <w:tab w:leader="none" w:pos="919"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be solely responsible for the preparation of the final architectural, electrical and mechanical construction drawings, plans and specifications (called “</w:t>
      </w:r>
      <w:r>
        <w:rPr>
          <w:rFonts w:ascii="Times New Roman" w:cs="Times New Roman" w:eastAsia="Times New Roman" w:hAnsi="Times New Roman"/>
          <w:sz w:val="21"/>
          <w:szCs w:val="21"/>
          <w:b w:val="1"/>
          <w:bCs w:val="1"/>
          <w:color w:val="auto"/>
        </w:rPr>
        <w:t>plans</w:t>
      </w:r>
      <w:r>
        <w:rPr>
          <w:rFonts w:ascii="Times New Roman" w:cs="Times New Roman" w:eastAsia="Times New Roman" w:hAnsi="Times New Roman"/>
          <w:sz w:val="21"/>
          <w:szCs w:val="21"/>
          <w:color w:val="auto"/>
        </w:rPr>
        <w:t>”) necessary for Tenant to construct the Premises for Tenant’s occupancy, which plans shall be subject to approval by Landlord’s architect and engineers and shall comply with their reasonable requirements to avoid aesthetic or other conflicts with the design and function of the balance of the Building. Landlord’s approval is solely given</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78" w:name="page79"/>
    <w:bookmarkEnd w:id="78"/>
    <w:p>
      <w:pPr>
        <w:spacing w:after="0" w:line="232" w:lineRule="auto"/>
        <w:rPr>
          <w:sz w:val="20"/>
          <w:szCs w:val="20"/>
          <w:color w:val="auto"/>
        </w:rPr>
      </w:pPr>
      <w:r>
        <w:rPr>
          <w:rFonts w:ascii="Times New Roman" w:cs="Times New Roman" w:eastAsia="Times New Roman" w:hAnsi="Times New Roman"/>
          <w:sz w:val="22"/>
          <w:szCs w:val="22"/>
          <w:color w:val="auto"/>
        </w:rPr>
        <w:t>for the benefit of Landlord, and neither Tenant nor any third party shall have the right to rely upon Landlord’s approval of Tenant’s plans for any purpose whatsoever other than that Landlord does not object thereto under this Lease. Landlord’s architects and engineers shall respond (with approval or disapproval) to any plan submission by Tenant within 8 business days after Landlord’s receipt thereof. If Landlord fails to respond to any such submission within such 8 business day period, which failure continues for more than 2 business days after Tenant gives Landlord a written notice (the “Deemed Approved Notice”) advising Landlord that such plan submission shall be deemed approved within 2 business days of Landlord’s receipt of the Deemed Approved Notice, then such plan submission shall be deemed approved hereunder. The Deemed Approved Notice shall, in order to be effective, contain on the first page thereof, in a font at least twice as large as the font of any other text contained in such notice, a legend substantially as follows: “FAILURE TO RESPOND TO THIS NOTICE WITHIN TWO (2) BUSINESS DAYS AFTER RECEIPT HEREOF SHALL CONSTITUTE LANDLORD’S APPROVAL OF SUBMITTED PLANS.” In the event Landlord’s architect’s or engineers’ approval of Tenant’s plans is withheld or conditioned, Landlord shall send prompt written notification thereof to Tenant and include a reasonably detailed statement identifying the reasons for such refusal or condition, and Tenant shall promptly have the plans revised by its architect to incorporate all reasonable objections and conditions presented by Landlord and shall resubmit such plans to Landlord. Landlord’s architects and engineers shall respond (with approval or disapproval) to any plan re-submission by Tenant within 8 business days after Landlord’s receipt thereof. Such process shall be followed until the plans shall have been approved by Landlord’s architect and engineers without unreasonable objection or condition.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Tenant agrees it shall be solely responsible for the timely preparation and submission of all such plans and for all elements of the design of such plans and for all costs related thereto. (The word “</w:t>
      </w:r>
      <w:r>
        <w:rPr>
          <w:rFonts w:ascii="Times New Roman" w:cs="Times New Roman" w:eastAsia="Times New Roman" w:hAnsi="Times New Roman"/>
          <w:sz w:val="22"/>
          <w:szCs w:val="22"/>
          <w:b w:val="1"/>
          <w:bCs w:val="1"/>
          <w:color w:val="auto"/>
        </w:rPr>
        <w:t>architect</w:t>
      </w:r>
      <w:r>
        <w:rPr>
          <w:rFonts w:ascii="Times New Roman" w:cs="Times New Roman" w:eastAsia="Times New Roman" w:hAnsi="Times New Roman"/>
          <w:sz w:val="22"/>
          <w:szCs w:val="22"/>
          <w:color w:val="auto"/>
        </w:rPr>
        <w:t>” as used in this Section 3.2 shall include an interior designer or space planner.)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3.4 Signs</w:t>
      </w:r>
    </w:p>
    <w:p>
      <w:pPr>
        <w:spacing w:after="0" w:line="206" w:lineRule="exact"/>
        <w:rPr>
          <w:sz w:val="20"/>
          <w:szCs w:val="20"/>
          <w:color w:val="auto"/>
        </w:rPr>
      </w:pPr>
    </w:p>
    <w:p>
      <w:pPr>
        <w:ind w:right="100" w:firstLine="769"/>
        <w:spacing w:after="0" w:line="234" w:lineRule="auto"/>
        <w:tabs>
          <w:tab w:leader="none" w:pos="91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not erect or keep any sign which is visible from the exterior of the Building, but tenant may install a sign at its sole cost and expense at the entrance to the Premises subject to Landlord’s reasonable approval. All signs located in the interior and/or exterior of the Building (i) shall comply with all applicable Legal Requirements and the sign criteria included in the Rules and Regulations, and (ii) and shall have been reasonably approved in writing and in advance by Landlord following submission of detailed plans and specifications by Tenant to Landlord. Tenant shall maintain its signs in good condition and repair and in accordance with Legal Requirements. At the end of the Lease Term or earlier termination of this Lease, Tenant shall promptly remove Tenant’s signs, repair any damage caused by such removal, and return the affected portions of the Building to their condition existing prior to installation of the signs. Tenant shall be identified in the Building directory in the Building’s common lobby and with directional signage at the entry of the Building at Landlord’s cost and, at Tenant’s cost, on the sign board at the entrance to the complex which includes the Building and Premises.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BASE RENT; ADDITIONAL RENT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4.1 Base Rent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529"/>
        <w:spacing w:after="0" w:line="258" w:lineRule="auto"/>
        <w:tabs>
          <w:tab w:leader="none" w:pos="181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Base Rent commencing on the Rent Commencement Date at the rate set forth in Item 8 of the Summary of Basic Terms.</w:t>
      </w:r>
    </w:p>
    <w:p>
      <w:pPr>
        <w:spacing w:after="0" w:line="158" w:lineRule="exact"/>
        <w:rPr>
          <w:rFonts w:ascii="Times New Roman" w:cs="Times New Roman" w:eastAsia="Times New Roman" w:hAnsi="Times New Roman"/>
          <w:sz w:val="22"/>
          <w:szCs w:val="22"/>
          <w:color w:val="auto"/>
        </w:rPr>
      </w:pPr>
    </w:p>
    <w:p>
      <w:pPr>
        <w:ind w:right="120" w:firstLine="1529"/>
        <w:spacing w:after="0" w:line="244" w:lineRule="auto"/>
        <w:tabs>
          <w:tab w:leader="none" w:pos="182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shall be payable in equal monthly installments of 1/12th of the annual Base Rent then in effect and shall be paid without offset for any reason except as otherwise expressly provided herein, in advance, on the first day of each calendar month from and after the Rent Commencement Date. Base Rent and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spacing w:after="0" w:line="235" w:lineRule="auto"/>
        <w:rPr>
          <w:sz w:val="20"/>
          <w:szCs w:val="20"/>
          <w:color w:val="auto"/>
        </w:rPr>
      </w:pPr>
      <w:r>
        <w:rPr>
          <w:rFonts w:ascii="Times New Roman" w:cs="Times New Roman" w:eastAsia="Times New Roman" w:hAnsi="Times New Roman"/>
          <w:sz w:val="22"/>
          <w:szCs w:val="22"/>
          <w:color w:val="auto"/>
        </w:rPr>
        <w:t xml:space="preserve">Additional Rent shall be paid either (i) by an “electronic funds transfer” system arranged by and among Tenant, Tenant’s bank and Landlord, or (ii) by check sent to Landlord’s address set forth in Item 12C of the Summary of Basic Terms, or at such other place as Landlord shall from time to time designate in writing. If Tenant is using checks, rent checks shall be made payable to </w:t>
      </w:r>
      <w:r>
        <w:rPr>
          <w:rFonts w:ascii="Times New Roman" w:cs="Times New Roman" w:eastAsia="Times New Roman" w:hAnsi="Times New Roman"/>
          <w:sz w:val="22"/>
          <w:szCs w:val="22"/>
          <w:b w:val="1"/>
          <w:bCs w:val="1"/>
          <w:u w:val="single" w:color="auto"/>
          <w:color w:val="auto"/>
        </w:rPr>
        <w:t>AstraZeneca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to such other entity as Landlord may designate from time to time in writing. The obligations of Tenant to pay Base Rent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sums to Landlord and the obligations of Landlord under this Lease are independent covenants and obligations. The parties acknowledge and agree that the obligations owing by Tenant under this Section 4.1 are rent reserved under this Lease, for all purposes hereunder, and are rent reserved within the meaning of Section 502(b)(6) of the Bankruptcy Code or any successor provision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4.2 Certain Additional Rent</w:t>
      </w:r>
    </w:p>
    <w:p>
      <w:pPr>
        <w:spacing w:after="0" w:line="206" w:lineRule="exact"/>
        <w:rPr>
          <w:sz w:val="20"/>
          <w:szCs w:val="20"/>
          <w:color w:val="auto"/>
        </w:rPr>
      </w:pPr>
    </w:p>
    <w:p>
      <w:pPr>
        <w:ind w:firstLine="769"/>
        <w:spacing w:after="0" w:line="238" w:lineRule="auto"/>
        <w:tabs>
          <w:tab w:leader="none" w:pos="92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Term Commencement Date Tenant shall pay to Landlord, without offset for any reason, all Additional Rent when due. If Tenant fails to pay any Additional Rent, Landlord shall have all the rights and remedies for failure to pay Base Rent. The parties acknowledge and agree that the obligations owing by Tenant under this Section 4.2 are rent reserved under this Lease, for all purposes hereunder, and are rent reserved within the meaning of Section 502(b)(6) of the Bankruptcy Code or any successor provision thereto.</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4.3 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529"/>
        <w:spacing w:after="0" w:line="247" w:lineRule="auto"/>
        <w:tabs>
          <w:tab w:leader="none" w:pos="181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pay to Landlord, as Additional Rent, an amount equal to Tenant’s Tax Escalation. Tenant’s Tax Escalation shall be estimated in good faith by Landlord at the beginning of each Tax Fiscal Year, and thereafter be payable to Landlord in equal estimated monthly installments together with the payment of Base Rent, subject to readjustment when the actual amount of Taxes is determined. After readjustment, any shortage shall be due and payable by Tenant within 30 days of demand by Landlord and any excess shall be credited against future Base Rent and Additional Rent obligations, or refunded if the Lease Term has ended or terminated early and Tenant has no further rent or surrender obligations to Landlord. If the taxing authority provides an estimated tax bill, then monthly installments of Taxes shall be based thereon until the final tax bill is ascertained. Landlord shall furnish to Tenant, upon Tenant’s request, but not more than once in any year, a copy of the tax bill or any estimated tax bill.</w:t>
      </w:r>
    </w:p>
    <w:p>
      <w:pPr>
        <w:spacing w:after="0" w:line="172" w:lineRule="exact"/>
        <w:rPr>
          <w:rFonts w:ascii="Times New Roman" w:cs="Times New Roman" w:eastAsia="Times New Roman" w:hAnsi="Times New Roman"/>
          <w:sz w:val="21"/>
          <w:szCs w:val="21"/>
          <w:color w:val="auto"/>
        </w:rPr>
      </w:pPr>
    </w:p>
    <w:p>
      <w:pPr>
        <w:ind w:right="100" w:firstLine="1529"/>
        <w:spacing w:after="0" w:line="235" w:lineRule="auto"/>
        <w:tabs>
          <w:tab w:leader="none" w:pos="18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Tenant shall have made any payment under this Section 4.3, Landlord shall receive a refund of any portion of the Taxes paid on account of any Tax Fiscal Year in which such payments shall have been made as a result of an abatement of such Taxes, by final determination of legal proceedings, settlement or otherwise, Landlord shall, within 30 days after receiving the refund, pay to Tenant (unless an Event of Default has occurred) an amount equal to (i) the lesser of (A) Tenant’s Tax Escalation payments for such Tax Fiscal Year or (B) Tenant’s Share of the refund, which payment to Tenant shall be appropriately adjusted if Tenant’s Tax Escalation covered a shorter period than covered by the refund, less (ii) Tenant’s Share of all reasonable expenses incurred by Landlord in connection with such proceedings (including, but not limited to, reasonable attorneys’ fees, costs and appraisers’ fees). Landlord shall have sole control of all tax abatement proceedings.</w:t>
      </w:r>
    </w:p>
    <w:p>
      <w:pPr>
        <w:spacing w:after="0" w:line="179" w:lineRule="exact"/>
        <w:rPr>
          <w:rFonts w:ascii="Times New Roman" w:cs="Times New Roman" w:eastAsia="Times New Roman" w:hAnsi="Times New Roman"/>
          <w:sz w:val="22"/>
          <w:szCs w:val="22"/>
          <w:color w:val="auto"/>
        </w:rPr>
      </w:pPr>
    </w:p>
    <w:p>
      <w:pPr>
        <w:jc w:val="both"/>
        <w:ind w:right="120" w:firstLine="1529"/>
        <w:spacing w:after="0" w:line="239" w:lineRule="auto"/>
        <w:tabs>
          <w:tab w:leader="none" w:pos="181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obligation in respect of Taxes shall be prorated at the beginning and end of the Lease Term. If the final tax bill for the Tax Fiscal Year in which such expiration or termination of this Lease occurs shall not have been received by Landlord, then within 30 days after the receipt of the tax bill for such Tax Fiscal Year, Landlord and Tenant shall make appropriate adjustments of estimated payments.</w:t>
      </w:r>
    </w:p>
    <w:p>
      <w:pPr>
        <w:spacing w:after="0" w:line="180" w:lineRule="exact"/>
        <w:rPr>
          <w:rFonts w:ascii="Times New Roman" w:cs="Times New Roman" w:eastAsia="Times New Roman" w:hAnsi="Times New Roman"/>
          <w:sz w:val="22"/>
          <w:szCs w:val="22"/>
          <w:color w:val="auto"/>
        </w:rPr>
      </w:pPr>
    </w:p>
    <w:p>
      <w:pPr>
        <w:ind w:right="140" w:firstLine="1529"/>
        <w:spacing w:after="0" w:line="244" w:lineRule="auto"/>
        <w:tabs>
          <w:tab w:leader="none" w:pos="18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Tenant shall pay all rent and personal property taxes attributable to its signs or any other personal property including but not limited to its trade fixtures, the existing or any future floor coverings, wall treatments and light fixtures in the Premises.</w:t>
      </w:r>
    </w:p>
    <w:p>
      <w:pPr>
        <w:spacing w:after="0" w:line="173" w:lineRule="exact"/>
        <w:rPr>
          <w:rFonts w:ascii="Times New Roman" w:cs="Times New Roman" w:eastAsia="Times New Roman" w:hAnsi="Times New Roman"/>
          <w:sz w:val="22"/>
          <w:szCs w:val="22"/>
          <w:color w:val="auto"/>
        </w:rPr>
      </w:pPr>
    </w:p>
    <w:p>
      <w:pPr>
        <w:ind w:right="120" w:firstLine="1529"/>
        <w:spacing w:after="0" w:line="244" w:lineRule="auto"/>
        <w:tabs>
          <w:tab w:leader="none" w:pos="181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bring proceedings to contest the validity of the amount of any Taxes or to recover payment therefor. Tenant shall reasonably cooperate with Landlord in connection with such proceedings and shall pay to Landlord Tenant’s Share of all reasonable costs, fees and expenses of such</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ind w:right="60"/>
        <w:spacing w:after="0" w:line="255" w:lineRule="auto"/>
        <w:rPr>
          <w:sz w:val="20"/>
          <w:szCs w:val="20"/>
          <w:color w:val="auto"/>
        </w:rPr>
      </w:pPr>
      <w:r>
        <w:rPr>
          <w:rFonts w:ascii="Times New Roman" w:cs="Times New Roman" w:eastAsia="Times New Roman" w:hAnsi="Times New Roman"/>
          <w:sz w:val="21"/>
          <w:szCs w:val="21"/>
          <w:color w:val="auto"/>
        </w:rPr>
        <w:t>proceedings promptly upon being billed therefor. Any refund, rebate, credit or abatement of Taxes shall be equitably apportioned between the parties with due regard to the duties and rights of each under this Lease, after first reimbursing the parties participating in such contest or proceedings for their aforesaid respective costs and expenses in such contest or proceeding. If and to the extent the cost of bringing such proceedings in included in Taxes, then such costs shall not also be included in Operating Costs.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4.4 Operating Costs</w:t>
      </w:r>
    </w:p>
    <w:p>
      <w:pPr>
        <w:spacing w:after="0" w:line="206" w:lineRule="exact"/>
        <w:rPr>
          <w:sz w:val="20"/>
          <w:szCs w:val="20"/>
          <w:color w:val="auto"/>
        </w:rPr>
      </w:pPr>
    </w:p>
    <w:p>
      <w:pPr>
        <w:ind w:right="80" w:firstLine="769"/>
        <w:spacing w:after="0" w:line="234" w:lineRule="auto"/>
        <w:tabs>
          <w:tab w:leader="none" w:pos="91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to Landlord, as Additional Rent, an amount equal to Tenant’s Operating Cost Escalation. Tenant’s Operating Cost Escalation shall be estimated in good faith by Landlord at the beginning of each calendar year, and thereafter be payable in equal estimated monthly installments, together with the Base Rent, subject to readjustment from time to time, but not more frequently than once in any calendar year, as reasonably determined by Landlord and also when actual Operating Costs are determined. After a readjustment, any shortage shall be due and payable by Tenant within 30 days of demand by Landlord and any excess shall be credited against future Base Rent and Additional Rent obligations, or refunded if the Lease Term has ended and Tenant has no further rent or surrender obligations to Landlord. Upon Tenant’s reasonable written request, Landlord shall provide Tenant with reasonable supporting documentation for the Operating Costs for the prior calendar year; provided that such request is received by Landlord within six months after the end of the calendar year to which such Operating Costs relate.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4.5 Payment for Electricity</w:t>
      </w:r>
    </w:p>
    <w:p>
      <w:pPr>
        <w:spacing w:after="0" w:line="206" w:lineRule="exact"/>
        <w:rPr>
          <w:sz w:val="20"/>
          <w:szCs w:val="20"/>
          <w:color w:val="auto"/>
        </w:rPr>
      </w:pPr>
    </w:p>
    <w:p>
      <w:pPr>
        <w:ind w:right="140" w:firstLine="769"/>
        <w:spacing w:after="0" w:line="234" w:lineRule="auto"/>
        <w:tabs>
          <w:tab w:leader="none" w:pos="92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has installed a meter to measure the consumption of electricity by all of the tenants (including Tenant) on the floors of the Building in which the Premises are located. Tenant shall from and after the Term Commencement Date pay to Landlord, as Additional Rent, on demand from time to time, but not more frequently than monthly, for its consumption of electricity, a sum equal to its pro rata share of such electrical costs, which pro rata share shall be based on a ratio, the numerator of which is the area of the portion of the Premises subject to each such common meter and the denominator of which is the aggregate area occupied by tenants on the floor of the Building in which such portion of the Premises is located sharing such common meter. The rate to be paid by Tenant for electricity shall exclude the costs incurred by Landlord in maintaining or replacing electrical meters, sub-meters or check-meters, but shall include any taxes or other charges imposed on the Landlord in connection with such electrical service. In the event Landlord installs a check-meter to measure the consumption of electricity by Tenant in any portion of the Premises, Tenant shall pay to Landlord, as Additional Rent, on demand from time to time, but not more frequently than monthly, for its consumption of electricity as measured by such check-meter.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4.6 Tenant’s Audit Rights</w:t>
      </w:r>
    </w:p>
    <w:p>
      <w:pPr>
        <w:spacing w:after="0" w:line="206" w:lineRule="exact"/>
        <w:rPr>
          <w:sz w:val="20"/>
          <w:szCs w:val="20"/>
          <w:color w:val="auto"/>
        </w:rPr>
      </w:pPr>
    </w:p>
    <w:p>
      <w:pPr>
        <w:ind w:firstLine="769"/>
        <w:spacing w:after="0" w:line="244" w:lineRule="auto"/>
        <w:tabs>
          <w:tab w:leader="none" w:pos="9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Annually, within 120 days after the end of each calendar year or Tax Fiscal Year, as applicable, Landlord shall furnish to Tenant a report setting forth in reasonable detail the Operating Costs and Taxes for the immediately preceding calendar year (in the case of Operating Costs) or Tax Fiscal Year (in the case of Taxes). Tenant shall have the right to audit Landlord’s books and records relating to Operating Costs and/or Taxes with respect to the period covered by each such report within six months after receipt of such report (such six month period being called the “Audit Period”) by delivering a notice of its intention to perform such audit to Landlord. If, as a result of such audit, Tenant believes that it is entitled to receive a refund of any Additional Rent paid by Tenant in respect of Operating Costs and/or Taxes, Tenant shall deliver to Landlord, no later than 30 days after expiration of the Audit Period, a notice demanding such a refund, together with a statement of the grounds for each such demand and the amount of each proposed refund. The cost of any such audit shall be paid by Tenant, except that, if it is established that the Additional Rent in respect of Operating Costs or Taxes, as applicable, charged to Tenant for the period in question was overstated by more than 3%, the reasonable out-of-pocket cost of such audit paid to a third party other than an employee of Tenant shall be paid or reimbursed to Tenant by Landlord. Provided that Landlord has complied with Section 4.3(b) or Section 4.3(e), as the case may be, an overstatement for the purposes of allocation of audit costs shall not be deemed to exist due to a refund of Taxes. Any audit shall be performed by either (a) Tenant’s or Tenant’s Affiliates regular employees or (b) a reputable certified public accountant reasonably acceptable to Landlord whose compensation is not contingent on the results of the audit. As a condition of Tenant’s right to audit under this Section 4.6, Tenant agrees, and shall cause any outside auditor retained by Tenant to agree,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spacing w:after="0" w:line="236" w:lineRule="auto"/>
        <w:rPr>
          <w:sz w:val="20"/>
          <w:szCs w:val="20"/>
          <w:color w:val="auto"/>
        </w:rPr>
      </w:pPr>
      <w:r>
        <w:rPr>
          <w:rFonts w:ascii="Times New Roman" w:cs="Times New Roman" w:eastAsia="Times New Roman" w:hAnsi="Times New Roman"/>
          <w:sz w:val="22"/>
          <w:szCs w:val="22"/>
          <w:color w:val="auto"/>
        </w:rPr>
        <w:t>maintain the confidentiality of the results of the audit, subject to the right to disclose such results in any legal proceedings regarding the accuracy of the charges for Additional Rent in respect of Operating Costs or Taxes. If Landlord determines that a report previously furnished by Landlord was in error, Landlord may furnish a corrective or supplemental report to Tenant within six (6) months after the original report was furnished, and if such corrective or supplemental report results in increased Additional Rent, the Audit Period for the year covered by such report shall be extended for six months after Landlord furnishes the corrective or supplemental report.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4.7 Determination of Fair Market 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00" w:firstLine="761"/>
        <w:spacing w:after="0" w:line="239" w:lineRule="auto"/>
        <w:rPr>
          <w:sz w:val="20"/>
          <w:szCs w:val="20"/>
          <w:color w:val="auto"/>
        </w:rPr>
      </w:pPr>
      <w:r>
        <w:rPr>
          <w:rFonts w:ascii="Times New Roman" w:cs="Times New Roman" w:eastAsia="Times New Roman" w:hAnsi="Times New Roman"/>
          <w:sz w:val="22"/>
          <w:szCs w:val="22"/>
          <w:color w:val="auto"/>
        </w:rPr>
        <w:t>“Fair Market Rent” shall mean (a) with respect to the Extension Term, the anticipated rent for the Premises for the Extension Term as of the commencement of the Extension Term under market conditions then existing and (b) with respect to a ROFO Space, the anticipated rent for the ROFO Space as of the commencement of the term for such ROFO Space under market conditions then existing.</w:t>
      </w:r>
    </w:p>
    <w:p>
      <w:pPr>
        <w:spacing w:after="0" w:line="181" w:lineRule="exact"/>
        <w:rPr>
          <w:sz w:val="20"/>
          <w:szCs w:val="20"/>
          <w:color w:val="auto"/>
        </w:rPr>
      </w:pPr>
    </w:p>
    <w:p>
      <w:pPr>
        <w:ind w:right="40" w:firstLine="761"/>
        <w:spacing w:after="0" w:line="238" w:lineRule="auto"/>
        <w:rPr>
          <w:sz w:val="20"/>
          <w:szCs w:val="20"/>
          <w:color w:val="auto"/>
        </w:rPr>
      </w:pPr>
      <w:r>
        <w:rPr>
          <w:rFonts w:ascii="Times New Roman" w:cs="Times New Roman" w:eastAsia="Times New Roman" w:hAnsi="Times New Roman"/>
          <w:sz w:val="22"/>
          <w:szCs w:val="22"/>
          <w:color w:val="auto"/>
        </w:rPr>
        <w:t>With respect to the Extension Term, provided that Tenant timely delivers written notice that it is exercising its option to extend the term of the Lease, Landlord shall notify Tenant of Landlord’s estimate of the Fair Market Rent no later than the date that is eleven (11) calendar months prior to the expiration of the initial term of the Lease. No later than fifteen (15) days after such notification, Tenant may dispute Landlord’s estimate of Fair Market Rent upon written notice thereof to Landlord which written notice shall contain Tenant’s estimate of the Fair Market Rent (the “Extension Term FMV Dispute Notice”).</w:t>
      </w:r>
    </w:p>
    <w:p>
      <w:pPr>
        <w:spacing w:after="0" w:line="177" w:lineRule="exact"/>
        <w:rPr>
          <w:sz w:val="20"/>
          <w:szCs w:val="20"/>
          <w:color w:val="auto"/>
        </w:rPr>
      </w:pPr>
    </w:p>
    <w:p>
      <w:pPr>
        <w:ind w:right="100" w:firstLine="761"/>
        <w:spacing w:after="0" w:line="239" w:lineRule="auto"/>
        <w:rPr>
          <w:sz w:val="20"/>
          <w:szCs w:val="20"/>
          <w:color w:val="auto"/>
        </w:rPr>
      </w:pPr>
      <w:r>
        <w:rPr>
          <w:rFonts w:ascii="Times New Roman" w:cs="Times New Roman" w:eastAsia="Times New Roman" w:hAnsi="Times New Roman"/>
          <w:sz w:val="22"/>
          <w:szCs w:val="22"/>
          <w:color w:val="auto"/>
        </w:rPr>
        <w:t>If Tenant disputes Landlord’s estimate of Fair Market Rent, then the Fair Market Rent shall be determined by agreement between Landlord and Tenant during the next thirty (30) day period (the “Discussion Period”) following Tenant’s delivery of an Extension Term FMV Dispute Notice or a ROFO Acceptance Notice which disputes Landlord’s estimate of the fair market rent for a ROFO Space, as applicable.</w:t>
      </w:r>
    </w:p>
    <w:p>
      <w:pPr>
        <w:spacing w:after="0" w:line="181" w:lineRule="exact"/>
        <w:rPr>
          <w:sz w:val="20"/>
          <w:szCs w:val="20"/>
          <w:color w:val="auto"/>
        </w:rPr>
      </w:pPr>
    </w:p>
    <w:p>
      <w:pPr>
        <w:ind w:right="60" w:firstLine="761"/>
        <w:spacing w:after="0" w:line="243" w:lineRule="auto"/>
        <w:rPr>
          <w:sz w:val="20"/>
          <w:szCs w:val="20"/>
          <w:color w:val="auto"/>
        </w:rPr>
      </w:pPr>
      <w:r>
        <w:rPr>
          <w:rFonts w:ascii="Times New Roman" w:cs="Times New Roman" w:eastAsia="Times New Roman" w:hAnsi="Times New Roman"/>
          <w:sz w:val="21"/>
          <w:szCs w:val="21"/>
          <w:color w:val="auto"/>
        </w:rPr>
        <w:t>If Landlord and Tenant are unable to agree upon the Fair Market Rent during the Discussion Period, then the Fair Market Rent shall be determined by the determination of a board of three (3) M.A.I. appraisers as hereafter provided, each of whom shall have at least five (5) years’ experience in the Waltham biotech rental market and each of whom is hereinafter referred to as “appraiser”, Tenant and Landlord shall each appoint one such appraiser and the two appraisers so appointed shall appoint the third appraiser (the “Neutral Appraiser”). The cost and expenses of each appraiser appointed separately by Tenant and Landlord shall be borne by the party who appointed the appraiser. The cost and expenses of the third appraiser shall be shared equally by Tenant and Landlord. Landlord and Tenant shall appoint their respective appraisers no later than fifteen (15) days after the expiration of the Discussion Period and shall designate the appraisers so appointed by notice to the other party. The two appraisers so appointed and designated shall appoint the Neutral Appraiser no later than thirty (30) days after the end of the Discussion Period and shall designate such appraiser by notice to Landlord and Tenant. The Neutral Appraiser shall then choose either the Landlord’s estimate of Fair Market Rent or the Tenant’s estimate of Fair Market Rent as the Fair Market Rent of the space in question as of the commencement of the Extension Term and shall notify Landlord and Tenant of its determination no later than forty-five (45) days after the end of the Discussion Period. The Fair Market Rent determined in accordance with the provisions of this Section shall be deemed binding and conclusive on Tenant and Landlord. Notwithstanding the foregoing, if either party shall fail to appoint its appraiser within the period specified above (such party referred to hereinafter as the “failing party”) the other party may serve notice on the failing party requiring the failing party to appoint its appraiser within ten (10) days of the giving of such notice and if the failing party shall not respond by appointment of its appraiser within said (10) day period, then the appraiser appointed by the other party shall be the sole appraiser whose choice of either the Landlord’s or the Tenant’s estimate of Fair Market Rent shall be binding and conclusive upon Tenant and Landlord. All times set forth herein are of the essence.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USE OF PREMISES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5.1 Permitted Use</w:t>
      </w:r>
    </w:p>
    <w:p>
      <w:pPr>
        <w:spacing w:after="0" w:line="206" w:lineRule="exact"/>
        <w:rPr>
          <w:sz w:val="20"/>
          <w:szCs w:val="20"/>
          <w:color w:val="auto"/>
        </w:rPr>
      </w:pPr>
    </w:p>
    <w:p>
      <w:pPr>
        <w:ind w:left="740" w:right="2700" w:firstLine="9"/>
        <w:spacing w:after="0" w:line="435" w:lineRule="auto"/>
        <w:tabs>
          <w:tab w:leader="none" w:pos="89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not use or occupy the Premises for any purpose other than the Permitted Use. </w:t>
      </w:r>
      <w:r>
        <w:rPr>
          <w:rFonts w:ascii="Times New Roman" w:cs="Times New Roman" w:eastAsia="Times New Roman" w:hAnsi="Times New Roman"/>
          <w:sz w:val="22"/>
          <w:szCs w:val="22"/>
          <w:u w:val="single" w:color="auto"/>
          <w:color w:val="auto"/>
        </w:rPr>
        <w:t>Section 5.2 Restrictions on Use</w:t>
      </w:r>
    </w:p>
    <w:p>
      <w:pPr>
        <w:spacing w:after="0" w:line="1" w:lineRule="exact"/>
        <w:rPr>
          <w:sz w:val="20"/>
          <w:szCs w:val="20"/>
          <w:color w:val="auto"/>
        </w:rPr>
      </w:pPr>
    </w:p>
    <w:p>
      <w:pPr>
        <w:ind w:left="-20" w:firstLine="769"/>
        <w:spacing w:after="0" w:line="232" w:lineRule="auto"/>
        <w:tabs>
          <w:tab w:leader="none" w:pos="89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use the Premises and Landlord’s Equipment in a careful, safe and proper manner, shall not commit or suffer any waste on or about Landlord’s Property or with respect to Landlord’s Equipment, and shall not make any use of Landlord’s Property and/or Landlord’s Equipment which is prohibited by or contrary to any laws, rules, regulations, orders or requirements of public authorities, or which would cause a public or private nuisance. Tenant shall comply with and obey all laws, rules, regulations, orders and requirements of public authorities which in any way affect the use or operation of Landlord’s Equipment and the use, operation or occupancy of Landlord’s Property. Tenant, at its own expense, shall obtain any and all permits, approvals and licenses necessary for use of the Landlord’s Equipment and the Premises (copies of which shall be provided to the Landlord), provided that Landlord shall be responsible for obtaining a certificate of occupancy for the Building generally (i.e., as opposed to a certificate of occupancy for the Premises after the performance of any work by Tenant, which shall be Tenant’s responsibility) and any other permits, approvals and licenses necessary generally for the use of Landlord’s Equipment and Landlord’s Property and in order for Landlord to comply with its compliance obligations under Section 6.6. Tenant shall not overload the floors or other structural parts of the Building; and shall not commit or suffer any act or thing on Landlord’s Property which is illegal, unreasonably offensive, unreasonably dangerous, or which unreasonably disturbs other tenants. Tenant shall not knowingly do or permit to be done any act or thing on Landlord’s Property or with Landlord’s Equipment which will invalidate or be in conflict with any insurance policies, or which will increase the rate of any insurance, covering the Building. If, because of Tenant’s failure to comply with the provisions of this Section or due to any use of the Premises or activity of Tenant in or about Landlord’s Property, the Insurance Costs are increased, Tenant shall pay Landlord the amount of such increase caused by the failure of Tenant to comply with the provisions of this Section or by the nature of Tenant’s use of the Premises. Tenant shall cause any fire lanes in the front, sides and rear of the Building to be kept free of all parking associated with its business or occupancy and in compliance with all applicable regulations. Tenant shall conduct its business at all times so as not to annoy or be offensive to other tenants and occupants in Landlord’s Property. Tenant shall not permit the emission of any objectionable noise or odor from the Premises and shall at its own cost install such extra sound proofing or noise control systems and odor control systems, as may be needed to eliminate unreasonable noise, vibrations and odors, if any, emanating from the Premises being heard, felt or smelled outside the Premises. Tenant shall not place any file cabinets bookcases, partitions, shelves or other furnishings or equipment in a location which abuts or blocks any windows.</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5.3 Hazardous Materials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20" w:firstLine="1529"/>
        <w:spacing w:after="0" w:line="245" w:lineRule="auto"/>
        <w:tabs>
          <w:tab w:leader="none" w:pos="179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be permitted to bring or keep in or on the Premises any Hazardous Material (hereinafter defined), so long as such Hazardous Material is specifically identified and enumerated in Tenant’s Hazardous Waste Management Program (as hereafter defined and as the same may be updated by Tenant from time to time upon reasonable prior notice to and with the approval of Landlord), which are hereby expressly permitted by Landlord (“Tenant’s Hazardous Materials”). Tenant’s Hazardous Materials shall at all times be brought upon, kept or used in accordance with (A) all applicable Environmental Laws (hereinafter defined) and regulations or requirements of insurance rating or insurance service organizations, (B) Tenant’s “Hazardous Waste Management Program,” which shall be provided by Tenant to Landlord in advance of Hazardous Materials being brought by Tenant upon the Premises for Landlord’s review and approval, not to be unreasonably withheld, conditioned or delayed, and Tenant hereby acknowledges that Tenant shall be prohibited from bringing or keeping any Tenant’s Hazardous Materials in or on the Premises until Landlord has approved Tenant’s “Hazardous Waste Management Program” in writing, and (C) with respect to medical waste and so-called “biohazard” materials, all applicable laws and regulations and insurance regulations or requirements. Tenant shall be responsible for assuring that all laboratory uses are adequately and properly vented. Tenant’s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432" w:right="259" w:bottom="1440" w:gutter="0" w:footer="0" w:header="0"/>
        </w:sectPr>
      </w:pPr>
    </w:p>
    <w:bookmarkStart w:id="83" w:name="page84"/>
    <w:bookmarkEnd w:id="83"/>
    <w:p>
      <w:pPr>
        <w:ind w:right="220"/>
        <w:spacing w:after="0" w:line="236" w:lineRule="auto"/>
        <w:rPr>
          <w:sz w:val="20"/>
          <w:szCs w:val="20"/>
          <w:color w:val="auto"/>
        </w:rPr>
      </w:pPr>
      <w:r>
        <w:rPr>
          <w:rFonts w:ascii="Times New Roman" w:cs="Times New Roman" w:eastAsia="Times New Roman" w:hAnsi="Times New Roman"/>
          <w:sz w:val="22"/>
          <w:szCs w:val="22"/>
          <w:color w:val="auto"/>
        </w:rPr>
        <w:t>Hazardous Waste Management Program shall be updated as reasonably required by Landlord or desired by Tenant (including the list of Tenant’s Hazardous Materials enumerated therein), but no less frequently than annually. Tenant’s Hazardous Waste Management Program shall also specify (i) a description of handling, storage, use and disposal procedures; and (ii) all plans or disclosures and/or emergency response plans which Tenant has prepared, including without limitation Tenant’s Hazardous Waste Management Plan, and all plans which Tenant is required to supply to any governmental agency or authority pursuant to any Environmental Law.</w:t>
      </w:r>
    </w:p>
    <w:p>
      <w:pPr>
        <w:spacing w:after="0" w:line="183" w:lineRule="exact"/>
        <w:rPr>
          <w:sz w:val="20"/>
          <w:szCs w:val="20"/>
          <w:color w:val="auto"/>
        </w:rPr>
      </w:pPr>
    </w:p>
    <w:p>
      <w:pPr>
        <w:ind w:firstLine="1529"/>
        <w:spacing w:after="0" w:line="234" w:lineRule="auto"/>
        <w:tabs>
          <w:tab w:leader="none" w:pos="182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its sole cost and expense, shall comply with (i) all applicable Environmental Laws, including but not limited to those relating to any discharge into the air, surface, water, sewers, soil or groundwater of any Hazardous Material, whether within or outside the Premises, Building or Landlord’s Property, and (ii) any applicable rules, requirements and safety procedures of the Massachusetts Department of Environmental Protection (“DEP”), the City of Waltham Fire Marshal, any other federal, state or local agencies or authorities having jurisdiction, and any insurer of the Landlord’s Equipment, Landlord’s Property, Building or the Premises with respect to the use, storage and disposal of any Hazardous Materials at or from the Premises. Tenant shall provide Landlord with a written inventory of all of Tenant’s Hazardous Materials used or to be used in the Tenant’s normal operations at the Premises, and Tenant shall update said inventory on an annual basis and upon any changes or modifications thereto.</w:t>
      </w:r>
    </w:p>
    <w:p>
      <w:pPr>
        <w:spacing w:after="0" w:line="184" w:lineRule="exact"/>
        <w:rPr>
          <w:rFonts w:ascii="Times New Roman" w:cs="Times New Roman" w:eastAsia="Times New Roman" w:hAnsi="Times New Roman"/>
          <w:sz w:val="22"/>
          <w:szCs w:val="22"/>
          <w:color w:val="auto"/>
        </w:rPr>
      </w:pPr>
    </w:p>
    <w:p>
      <w:pPr>
        <w:jc w:val="both"/>
        <w:ind w:firstLine="1529"/>
        <w:spacing w:after="0" w:line="262" w:lineRule="auto"/>
        <w:tabs>
          <w:tab w:leader="none" w:pos="181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increase in the premium for insurance at the Landlord’s Property arising from Tenant’s use and/or storage of Tenant’s Hazardous Materials shall be at Tenant’s expense. Tenant shall procure and maintain at its sole expense such additional insurance as may be necessary to comply with any requirement of any federal, state or local government agency with jurisdiction.</w:t>
      </w:r>
    </w:p>
    <w:p>
      <w:pPr>
        <w:spacing w:after="0" w:line="154" w:lineRule="exact"/>
        <w:rPr>
          <w:rFonts w:ascii="Times New Roman" w:cs="Times New Roman" w:eastAsia="Times New Roman" w:hAnsi="Times New Roman"/>
          <w:sz w:val="21"/>
          <w:szCs w:val="21"/>
          <w:color w:val="auto"/>
        </w:rPr>
      </w:pPr>
    </w:p>
    <w:p>
      <w:pPr>
        <w:ind w:right="100" w:firstLine="1529"/>
        <w:spacing w:after="0" w:line="238" w:lineRule="auto"/>
        <w:tabs>
          <w:tab w:leader="none" w:pos="182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reimburse Landlord upon demand, as Additional Rent, for the reasonable costs of investigating Tenant’s compliance with the provisions of this Section 5.3, within thirty (30) days after demand therefor, but only if such investigation reveals that Tenant is not in material compliance. Tenant shall execute affidavits, certifications and the like, as may be reasonably requested by Landlord from time to time concerning Tenant’s best knowledge and belief concerning the presence of Hazardous Materials in or on the Premises or the Building.</w:t>
      </w:r>
    </w:p>
    <w:p>
      <w:pPr>
        <w:spacing w:after="0" w:line="177" w:lineRule="exact"/>
        <w:rPr>
          <w:rFonts w:ascii="Times New Roman" w:cs="Times New Roman" w:eastAsia="Times New Roman" w:hAnsi="Times New Roman"/>
          <w:sz w:val="22"/>
          <w:szCs w:val="22"/>
          <w:color w:val="auto"/>
        </w:rPr>
      </w:pPr>
    </w:p>
    <w:p>
      <w:pPr>
        <w:ind w:firstLine="1529"/>
        <w:spacing w:after="0" w:line="232" w:lineRule="auto"/>
        <w:tabs>
          <w:tab w:leader="none" w:pos="181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covenants and agrees to indemnify, defend and hold Landlord harmless from and against any and all claims against Landlord arising out of (A) the presence of Hazardous Material (which term shall include, for all purposes of this Lease, any biohazardous materials) in, under or about the Building or in Landlord’s Property or transported from the Building or Landlord’s Premises to the extent resulting from Tenant’s use or operations, or (B) the breach by Tenant of any of its obligations under this Section 5.3. This indemnification of the Landlord by Tenant includes, without limitation, reasonable costs incurred in connection with any investigation of site conditions or any cleanup, remedial, removal or restoration work required by any federal, state or local governmental agency or political subdivision because of Hazardous Material present in the land, soil, air or ground water on, under or about the Building or landlord’s Premises resulting from Tenant’s use or operations. The indemnification and hold harmless obligations of Tenant under this Section 5.3(e) shall survive the expiration or any earlier termination of this Lease. Without limiting the foregoing, if the presence of any Hazardous Material in the Building or otherwise in the Landlord’s Property is caused by any of the Tenant, its agents, contractors, or employees and results in any contamination of any part of the Landlord’s Property or any adjacent property, Tenant shall take all actions at Tenant’s sole cost and expense as are necessary pursuant to Environmental Laws to remediate the Landlord’s Property or any adjacent property to their condition as of the date of this Lease, provided that Tenant shall first obtain Landlord’s approval of such actions, which approval shall not be unreasonably withheld, conditioned or delayed so long as such actions, in Landlord’s reasonable discretion, would not potentially have any adverse effect on the Landlord’s Property, and, in any event, Landlord shall not withhold its approval of any proposed actions which are required by applicable Environmental Laws.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84" w:name="page85"/>
    <w:bookmarkEnd w:id="84"/>
    <w:p>
      <w:pPr>
        <w:ind w:left="-20" w:right="320" w:firstLine="1529"/>
        <w:spacing w:after="0" w:line="244" w:lineRule="auto"/>
        <w:tabs>
          <w:tab w:leader="none" w:pos="177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represents that it has no knowledge of (i) any contamination of any portion of the Landlord’s Property other than as disclosed in the environmental reports previously delivered to the Landlord; or (ii) any asserted claims by third parties relating to the presence of Hazardous Materials in the Landlord’s Property.</w:t>
      </w:r>
    </w:p>
    <w:p>
      <w:pPr>
        <w:spacing w:after="0" w:line="174" w:lineRule="exact"/>
        <w:rPr>
          <w:rFonts w:ascii="Times New Roman" w:cs="Times New Roman" w:eastAsia="Times New Roman" w:hAnsi="Times New Roman"/>
          <w:sz w:val="22"/>
          <w:szCs w:val="22"/>
          <w:color w:val="auto"/>
        </w:rPr>
      </w:pPr>
    </w:p>
    <w:p>
      <w:pPr>
        <w:ind w:left="-20" w:right="80" w:firstLine="1529"/>
        <w:spacing w:after="0" w:line="236" w:lineRule="auto"/>
        <w:tabs>
          <w:tab w:leader="none" w:pos="180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covenants and agrees with Tenant to indemnify, defend and hold Tenant harmless from and against any and all claims against Tenant which may arise out of (i) the release or discharge of any Hazardous Material on or about the Landlord’s Property, Premises or Building by virtue of the acts of Landlord or any of its contractors, agents or invitees, and (ii) the presence of the Hazardous Materials located at or migrating from the Landlord’s Premises or Building as of the Term Commencement Date. The indemnification and hold harmless obligations of Landlord under this Section 5.3(g) shall survive the expiration or any earlier termination of this Lease with respect to occurrences during the Term.</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5.4 Biohazard Removal and Animal Care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160" w:firstLine="1529"/>
        <w:spacing w:after="0" w:line="235" w:lineRule="auto"/>
        <w:tabs>
          <w:tab w:leader="none" w:pos="17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responsible, at its sole cost and expense, for janitorial and trash removal services and other biohazard disposal services for the Premises, including the laboratory areas thereof. Such services shall be performed by Tenant’s employees or by licensed (where required by law), insured and qualified contractors and on a sufficient basis to ensure that the Building and the Landlord’s Premises are at all times kept neat, clean and free of Hazardous Materials and biohazards as provided in Section 5.3. In addition, Tenant shall be responsible, at Tenant’s sole cost and expense, for the care and safe storage of any animals housed within the Premises, including without limitation all animal husbandry and custodial services with respect thereto, in accordance with the prevailing standards and practices applicable to Tenant’s industry.</w:t>
      </w:r>
    </w:p>
    <w:p>
      <w:pPr>
        <w:spacing w:after="0" w:line="183" w:lineRule="exact"/>
        <w:rPr>
          <w:rFonts w:ascii="Times New Roman" w:cs="Times New Roman" w:eastAsia="Times New Roman" w:hAnsi="Times New Roman"/>
          <w:sz w:val="22"/>
          <w:szCs w:val="22"/>
          <w:color w:val="auto"/>
        </w:rPr>
      </w:pPr>
    </w:p>
    <w:p>
      <w:pPr>
        <w:ind w:left="-20" w:right="40" w:firstLine="1529"/>
        <w:spacing w:after="0" w:line="235" w:lineRule="auto"/>
        <w:tabs>
          <w:tab w:leader="none" w:pos="180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animals, animal waste, food or supplies relating to the animals maintained from time to time in the animal storage areas of the Premises shall be transported within the Building except as provided in this Section 5.4. All deliveries of animals or animal food or supplies to Tenant at the Building shall be made prior to 11:00 a.m. No transportation of animals, animal waste, food or supplies within the Building shall occur between the hours of 11:00 a.m. and 2:00 p.m. At all times that animals are transported within the Common Areas, they shall be transported in an appropriate cage or other container. At no time shall any animals, animal waste, food or supplies relating to the animals be brought into, transported through, or delivered to the lobby of the Building or be transported within the Building in elevators.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LANDLORD’S SERVICES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6.1 Landlord’s Services</w:t>
      </w:r>
    </w:p>
    <w:p>
      <w:pPr>
        <w:spacing w:after="0" w:line="206" w:lineRule="exact"/>
        <w:rPr>
          <w:sz w:val="20"/>
          <w:szCs w:val="20"/>
          <w:color w:val="auto"/>
        </w:rPr>
      </w:pPr>
    </w:p>
    <w:p>
      <w:pPr>
        <w:ind w:left="-20" w:right="140" w:firstLine="769"/>
        <w:spacing w:after="0" w:line="236" w:lineRule="auto"/>
        <w:tabs>
          <w:tab w:leader="none" w:pos="90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furnish to the Building the services set forth below in this Section 6.1, subject to the conditions stated in this Lease. The cost of certain of these services are to be (i) paid by Tenant, as expressly provided in this Lease, or (ii) included in Operating Costs or Taxes, as applicable. The cost and expense of any services that are expressly provided in this Lease not (x) to be paid for by Tenant as expressly provided for in this Lease or (y) included in Operating Costs or Taxes, as applicable, shall be borne by Landlord. Except as otherwise expressly provided in this Lease, the cost of all work and services to be provided or performed by Landlord hereunder shall be included in Operating Costs.</w:t>
      </w:r>
    </w:p>
    <w:p>
      <w:pPr>
        <w:spacing w:after="0" w:line="182" w:lineRule="exact"/>
        <w:rPr>
          <w:rFonts w:ascii="Times New Roman" w:cs="Times New Roman" w:eastAsia="Times New Roman" w:hAnsi="Times New Roman"/>
          <w:sz w:val="22"/>
          <w:szCs w:val="22"/>
          <w:color w:val="auto"/>
        </w:rPr>
      </w:pPr>
    </w:p>
    <w:p>
      <w:pPr>
        <w:ind w:left="-20" w:firstLine="1529"/>
        <w:spacing w:after="0" w:line="244" w:lineRule="auto"/>
        <w:tabs>
          <w:tab w:leader="none" w:pos="179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Exterior of Building and Structure</w:t>
      </w:r>
      <w:r>
        <w:rPr>
          <w:rFonts w:ascii="Times New Roman" w:cs="Times New Roman" w:eastAsia="Times New Roman" w:hAnsi="Times New Roman"/>
          <w:sz w:val="22"/>
          <w:szCs w:val="22"/>
          <w:color w:val="auto"/>
        </w:rPr>
        <w:t>. Landlord shall keep in good condition and repair the exterior and structural elements of the Building, including the roof, roof membrane and the utility lines and systems outside the Building (except to the extent those utility lines or systems are the property or responsibility of the applicable utility company).</w:t>
      </w:r>
    </w:p>
    <w:p>
      <w:pPr>
        <w:spacing w:after="0" w:line="173" w:lineRule="exact"/>
        <w:rPr>
          <w:rFonts w:ascii="Times New Roman" w:cs="Times New Roman" w:eastAsia="Times New Roman" w:hAnsi="Times New Roman"/>
          <w:sz w:val="22"/>
          <w:szCs w:val="22"/>
          <w:color w:val="auto"/>
        </w:rPr>
      </w:pPr>
    </w:p>
    <w:p>
      <w:pPr>
        <w:ind w:left="-20" w:right="80" w:firstLine="1529"/>
        <w:spacing w:after="0" w:line="244" w:lineRule="auto"/>
        <w:tabs>
          <w:tab w:leader="none" w:pos="180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Systems</w:t>
      </w:r>
      <w:r>
        <w:rPr>
          <w:rFonts w:ascii="Times New Roman" w:cs="Times New Roman" w:eastAsia="Times New Roman" w:hAnsi="Times New Roman"/>
          <w:sz w:val="22"/>
          <w:szCs w:val="22"/>
          <w:color w:val="auto"/>
        </w:rPr>
        <w:t>. Subject to the performance of Tenant’s obligations under Section 7.4, Landlord shall operate, maintain and keep in good condition and repair the heating, ventilating and air conditioning system, the plumbing, sewer, drainage, electrical, fire protection, elevator, life safety and security systems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11" w:right="239" w:bottom="1440" w:gutter="0" w:footer="0" w:header="0"/>
        </w:sectPr>
      </w:pPr>
    </w:p>
    <w:bookmarkStart w:id="85" w:name="page86"/>
    <w:bookmarkEnd w:id="85"/>
    <w:p>
      <w:pPr>
        <w:ind w:right="80"/>
        <w:spacing w:after="0" w:line="249" w:lineRule="exact"/>
        <w:rPr>
          <w:sz w:val="20"/>
          <w:szCs w:val="20"/>
          <w:color w:val="auto"/>
        </w:rPr>
      </w:pPr>
      <w:r>
        <w:rPr>
          <w:rFonts w:ascii="Times New Roman" w:cs="Times New Roman" w:eastAsia="Times New Roman" w:hAnsi="Times New Roman"/>
          <w:sz w:val="22"/>
          <w:szCs w:val="22"/>
          <w:color w:val="auto"/>
        </w:rPr>
        <w:t>equipment and other mechanical, electrical and communications systems and equipment of the Building (“Building Systems”). Notwithstanding the foregoing, the Building Systems shall only include such commonly available systems and equipment as are present in the Building as of the Term Commencement Date and replacements thereof, and shall expressly exclude any utility or building service systems or equipment installed by or on behalf of Tenant or otherwise in connection with Tenant’s operations in the Premises, all of which shall be operated, maintained, repaired, and replaced as necessary by Tenant at its sole expense. Subject to the performance of Tenant’s obligations under Section 7.4, Landlord, at Tenant’s expense, shall provide heating, ventilating, and air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conditioning services to the Premises, and Landlord shall set the temperature in D2 and C3 portions of the Premises at a temperature reasonably designated by Tenant.</w:t>
      </w:r>
    </w:p>
    <w:p>
      <w:pPr>
        <w:spacing w:after="0" w:line="185" w:lineRule="exact"/>
        <w:rPr>
          <w:sz w:val="20"/>
          <w:szCs w:val="20"/>
          <w:color w:val="auto"/>
        </w:rPr>
      </w:pPr>
    </w:p>
    <w:p>
      <w:pPr>
        <w:ind w:right="20" w:firstLine="1529"/>
        <w:spacing w:after="0" w:line="234" w:lineRule="auto"/>
        <w:tabs>
          <w:tab w:leader="none" w:pos="181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Water and Sewer</w:t>
      </w:r>
      <w:r>
        <w:rPr>
          <w:rFonts w:ascii="Times New Roman" w:cs="Times New Roman" w:eastAsia="Times New Roman" w:hAnsi="Times New Roman"/>
          <w:sz w:val="22"/>
          <w:szCs w:val="22"/>
          <w:color w:val="auto"/>
        </w:rPr>
        <w:t>. Water will be available for Tenant’s use. Tenant shall from and after the Term Commencement Date pay to Landlord, as Additional Rent, on demand from time to time, but not more frequently than monthly, for its consumption of water and sewer services, a Water Service Charge. As of the date hereof the “Water Service Charge” is a sum equal to $1.48/rsf per annum (i.e. $2,835.68.00 per month). Landlord may from time to time have a survey made by a reputable, independent engineer or consulting firm selected by Landlord in its sole discretion to determine the cost of the water and sewer service being furnished to the Premises by Landlord. If it is determined that such cost is different from the Water Service Charge, then the Water Service Charge shall be adjusted by such difference, effective on the date recommended by such engineer or consulting firm. Any adjustment in the Water Service Charge shall be retroactive to the extent necessary. Notwithstanding the foregoing, if the rates for water and/or sewer usage charged by the applicable utility company increase during the term of this Lease, Landlord may increase the Water Service Charge accordingly effective as of the date of such increase without the necessity of a survey.</w:t>
      </w:r>
    </w:p>
    <w:p>
      <w:pPr>
        <w:spacing w:after="0" w:line="176" w:lineRule="exact"/>
        <w:rPr>
          <w:rFonts w:ascii="Times New Roman" w:cs="Times New Roman" w:eastAsia="Times New Roman" w:hAnsi="Times New Roman"/>
          <w:sz w:val="22"/>
          <w:szCs w:val="22"/>
          <w:color w:val="auto"/>
        </w:rPr>
      </w:pPr>
    </w:p>
    <w:p>
      <w:pPr>
        <w:ind w:right="160" w:firstLine="1529"/>
        <w:spacing w:after="0" w:line="236" w:lineRule="auto"/>
        <w:tabs>
          <w:tab w:leader="none" w:pos="18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Areas</w:t>
      </w:r>
      <w:r>
        <w:rPr>
          <w:rFonts w:ascii="Times New Roman" w:cs="Times New Roman" w:eastAsia="Times New Roman" w:hAnsi="Times New Roman"/>
          <w:sz w:val="22"/>
          <w:szCs w:val="22"/>
          <w:color w:val="auto"/>
        </w:rPr>
        <w:t>. Landlord shall provide heating and air conditioning for the Common Areas inside the Building during Business Hours. Landlord shall clean, provide lighting, repair, maintain and provide janitorial services for the Common Areas including, to the extent reasonable, the Parking Areas, in order to maintain the Common Areas. Landlord shall make any alterations or improvements as are necessary to cause the Common Areas to be in substantial compliance with all Legal Requirements. Notwithstanding the above, any damage to the Common Areas or Common Facilities caused by any Invitee of Tenant shall be the sole responsibility of Tenant.</w:t>
      </w:r>
    </w:p>
    <w:p>
      <w:pPr>
        <w:spacing w:after="0" w:line="182" w:lineRule="exact"/>
        <w:rPr>
          <w:rFonts w:ascii="Times New Roman" w:cs="Times New Roman" w:eastAsia="Times New Roman" w:hAnsi="Times New Roman"/>
          <w:sz w:val="22"/>
          <w:szCs w:val="22"/>
          <w:color w:val="auto"/>
        </w:rPr>
      </w:pPr>
    </w:p>
    <w:p>
      <w:pPr>
        <w:ind w:right="20" w:firstLine="1529"/>
        <w:spacing w:after="0" w:line="238" w:lineRule="auto"/>
        <w:tabs>
          <w:tab w:leader="none" w:pos="181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Waste Removal</w:t>
      </w:r>
      <w:r>
        <w:rPr>
          <w:rFonts w:ascii="Times New Roman" w:cs="Times New Roman" w:eastAsia="Times New Roman" w:hAnsi="Times New Roman"/>
          <w:sz w:val="22"/>
          <w:szCs w:val="22"/>
          <w:color w:val="auto"/>
        </w:rPr>
        <w:t>. Landlord shall provide or arrange for ordinary and reasonable waste removal services for the Building. In the event that Landlord reasonably determines that Tenant’s quantity of waste is excessive in comparison to other tenants of the Building, or, in the event that Landlord determines that Tenant’s waste is other than waste generated by typical office use, Landlord may bill Tenant directly as Additional Rent for any such additional cost therefor or require that Tenant be responsible for disposing of its own waste.</w:t>
      </w:r>
    </w:p>
    <w:p>
      <w:pPr>
        <w:spacing w:after="0" w:line="177" w:lineRule="exact"/>
        <w:rPr>
          <w:rFonts w:ascii="Times New Roman" w:cs="Times New Roman" w:eastAsia="Times New Roman" w:hAnsi="Times New Roman"/>
          <w:sz w:val="22"/>
          <w:szCs w:val="22"/>
          <w:color w:val="auto"/>
        </w:rPr>
      </w:pPr>
    </w:p>
    <w:p>
      <w:pPr>
        <w:ind w:left="1800" w:hanging="271"/>
        <w:spacing w:after="0"/>
        <w:tabs>
          <w:tab w:leader="none" w:pos="18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Landlord shall pay all Taxes levied upon or with respect to Landlord’s Property.</w:t>
      </w:r>
    </w:p>
    <w:p>
      <w:pPr>
        <w:spacing w:after="0" w:line="206" w:lineRule="exact"/>
        <w:rPr>
          <w:rFonts w:ascii="Times New Roman" w:cs="Times New Roman" w:eastAsia="Times New Roman" w:hAnsi="Times New Roman"/>
          <w:sz w:val="22"/>
          <w:szCs w:val="22"/>
          <w:color w:val="auto"/>
        </w:rPr>
      </w:pPr>
    </w:p>
    <w:p>
      <w:pPr>
        <w:ind w:right="60" w:firstLine="1529"/>
        <w:spacing w:after="0" w:line="235" w:lineRule="auto"/>
        <w:tabs>
          <w:tab w:leader="none" w:pos="18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Landlord shall procure and maintain in full force and effect fire, casualty and extended coverage insurance with respect to the Building, with vandalism and malicious mischief endorsements, liability insurance with respect to the Common Areas, business automotive, rent loss insurance and such other insurance upon or with respect to Landlord’s Property as Landlord reasonably determines to be necessary, appropriate and/or desirable or is required by Landlord’s lender, all with such limits of coverage and deductibles as Landlord or Landlord’s lender may deem reasonably necessary, appropriate and/or desirable, which insurance coverage and amounts shall be commercially reasonable in light of the practices of similarly situated commercial landlords of comparable properties in the City of Waltham, Massachusetts.</w:t>
      </w:r>
    </w:p>
    <w:p>
      <w:pPr>
        <w:spacing w:after="0" w:line="183" w:lineRule="exact"/>
        <w:rPr>
          <w:rFonts w:ascii="Times New Roman" w:cs="Times New Roman" w:eastAsia="Times New Roman" w:hAnsi="Times New Roman"/>
          <w:sz w:val="22"/>
          <w:szCs w:val="22"/>
          <w:color w:val="auto"/>
        </w:rPr>
      </w:pPr>
    </w:p>
    <w:p>
      <w:pPr>
        <w:ind w:firstLine="1529"/>
        <w:spacing w:after="0" w:line="244" w:lineRule="auto"/>
        <w:tabs>
          <w:tab w:leader="none" w:pos="18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Food Service</w:t>
      </w:r>
      <w:r>
        <w:rPr>
          <w:rFonts w:ascii="Times New Roman" w:cs="Times New Roman" w:eastAsia="Times New Roman" w:hAnsi="Times New Roman"/>
          <w:sz w:val="22"/>
          <w:szCs w:val="22"/>
          <w:color w:val="auto"/>
        </w:rPr>
        <w:t>. Landlord shall cause food service to be provided (directly or through outside vendors) during Business Hours for tenants of the Building within a portion of the Common Areas of the Building for use by tenants of the Building and others permitted to use such facilities by Landlord. Landlord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6" w:name="page87"/>
    <w:bookmarkEnd w:id="86"/>
    <w:p>
      <w:pPr>
        <w:ind w:right="800"/>
        <w:spacing w:after="0" w:line="259" w:lineRule="auto"/>
        <w:rPr>
          <w:sz w:val="20"/>
          <w:szCs w:val="20"/>
          <w:color w:val="auto"/>
        </w:rPr>
      </w:pPr>
      <w:r>
        <w:rPr>
          <w:rFonts w:ascii="Times New Roman" w:cs="Times New Roman" w:eastAsia="Times New Roman" w:hAnsi="Times New Roman"/>
          <w:sz w:val="22"/>
          <w:szCs w:val="22"/>
          <w:color w:val="auto"/>
        </w:rPr>
        <w:t>shall have the right to terminate the food service if it no longer is economically viable in the Landlord’s sole and exclusive judgment.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6.2 Extraordinary Use</w:t>
      </w:r>
    </w:p>
    <w:p>
      <w:pPr>
        <w:spacing w:after="0" w:line="206" w:lineRule="exact"/>
        <w:rPr>
          <w:sz w:val="20"/>
          <w:szCs w:val="20"/>
          <w:color w:val="auto"/>
        </w:rPr>
      </w:pPr>
    </w:p>
    <w:p>
      <w:pPr>
        <w:ind w:firstLine="769"/>
        <w:spacing w:after="0" w:line="235" w:lineRule="auto"/>
        <w:tabs>
          <w:tab w:leader="none" w:pos="91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for the purposes of computer use in the Premises, the electrical and HVAC services to be supplied by Landlord to the Premises will be sufficient only for computer use for general office purposes (and not for data centers, server farms or any similar computing equipment requiring high-demand power and cooling). Any additional capacity or structural support, as reasonably determined by Landlord, needed for computers, data processing or heat-generating machines or other equipment required for computer use beyond ordinary office uses, shall be subject to Landlord’s prior written approval, which approval shall be in Landlord’s reasonable discretion, and all such equipment shall be installed and maintained at Tenant’s sole expense.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87" w:name="page88"/>
    <w:bookmarkEnd w:id="87"/>
    <w:p>
      <w:pPr>
        <w:ind w:left="740"/>
        <w:spacing w:after="0"/>
        <w:rPr>
          <w:sz w:val="20"/>
          <w:szCs w:val="20"/>
          <w:color w:val="auto"/>
        </w:rPr>
      </w:pPr>
      <w:r>
        <w:rPr>
          <w:rFonts w:ascii="Times New Roman" w:cs="Times New Roman" w:eastAsia="Times New Roman" w:hAnsi="Times New Roman"/>
          <w:sz w:val="22"/>
          <w:szCs w:val="22"/>
          <w:u w:val="single" w:color="auto"/>
          <w:color w:val="auto"/>
        </w:rPr>
        <w:t>Section 6.3 Interruption; Delay</w:t>
      </w:r>
    </w:p>
    <w:p>
      <w:pPr>
        <w:spacing w:after="0" w:line="207" w:lineRule="exact"/>
        <w:rPr>
          <w:sz w:val="20"/>
          <w:szCs w:val="20"/>
          <w:color w:val="auto"/>
        </w:rPr>
      </w:pPr>
    </w:p>
    <w:p>
      <w:pPr>
        <w:ind w:left="-20" w:firstLine="769"/>
        <w:spacing w:after="0" w:line="232" w:lineRule="auto"/>
        <w:tabs>
          <w:tab w:leader="none" w:pos="9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no responsibility or liability for failure or interruption of any such repairs or services referred to in this Article VI, or for any interruption in utility services, caused by breakage, accident, strikes, repairs, inability after exercise of reasonable diligence to obtain supplies or otherwise furnish services, or for any cause or causes beyond the reasonable control of Landlord (any or all of the foregoing being a “Service Interruption”) (but Landlord, in respect of those matters for which Landlord is responsible, will use reasonable efforts to restore such services or make such repairs as soon as possible), nor in any event for any indirect or consequential damages; and failure or omission on the part of Landlord to furnish such service or make such repair shall not be construed as an eviction of Tenant, nor render Landlord liable in damages, nor entitle Tenant to an abatement of Base Rent or Additional Rent, nor release Tenant from the obligation to fulfill any of its covenants under this Lease, except as provided in Articles X and XI with respect to eminent domain and damage by fire or other casualty. Notwithstanding the foregoing, if the Premises, or a material portion thereof, is made untenantable or inaccessible, and Tenant actually ceases to use the Premises or such portion, for more than five consecutive business days after written notice from Tenant to Landlord as a result of any Service Interruption not caused by Tenant, then Tenant shall be entitled to receive an abatement of Base Rent and Additional Rent payable hereunder for the period beginning on the fifth consecutive business day of such Service Interruption and ending on the day the service is restored; provided that if such a Service Interruption renders less than the entire Premises untenantable or inaccessible, the amount of Base Rent and Additional Rent abated shall be prorated in proportion to the percentage of the rentable square footage of the Premises that is rendered untenantable or inaccessible. The foregoing right shall not apply if the Service Interruption is due to casualty. In any event, Landlord shall take all commercially reasonable steps to provide alternative power, utility services, HVAC, electrical, plumbing and other services to the Premises, including, but not limited to, providing generators and other temporary services at the Landlord’s sole cost and expense (and not an Operating Cost) if such Service Interruption was caused by Landlord or Landlord’s employees, agents, contractors or invitees.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6.4 Additional Services</w:t>
      </w:r>
    </w:p>
    <w:p>
      <w:pPr>
        <w:spacing w:after="0" w:line="206" w:lineRule="exact"/>
        <w:rPr>
          <w:sz w:val="20"/>
          <w:szCs w:val="20"/>
          <w:color w:val="auto"/>
        </w:rPr>
      </w:pPr>
    </w:p>
    <w:p>
      <w:pPr>
        <w:ind w:left="-20" w:firstLine="769"/>
        <w:spacing w:after="0" w:line="244" w:lineRule="auto"/>
        <w:tabs>
          <w:tab w:leader="none" w:pos="90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Tenant request any additional services, or services beyond the noted hours for such services, Tenant agrees to pay to Landlord as Additional Rent therefor Landlord’s actual costs for providing such service, plus an additional 5% as an administrative fee, within 30 days of Landlord’s billing Tenant therefor.</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6.5 Landlord Indemnity</w:t>
      </w:r>
    </w:p>
    <w:p>
      <w:pPr>
        <w:spacing w:after="0" w:line="206" w:lineRule="exact"/>
        <w:rPr>
          <w:sz w:val="20"/>
          <w:szCs w:val="20"/>
          <w:color w:val="auto"/>
        </w:rPr>
      </w:pPr>
    </w:p>
    <w:p>
      <w:pPr>
        <w:ind w:left="-20" w:right="20" w:firstLine="769"/>
        <w:spacing w:after="0" w:line="236" w:lineRule="auto"/>
        <w:tabs>
          <w:tab w:leader="none" w:pos="90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exonerate, indemnify, defend, save and hold harmless Tenant from and against all claims, proceedings, defenses thereof, liabilities, costs, and expenses of any kind and nature, including reasonable legal fees, expenses and costs, arising from (i) any injury to person or damage to property to the extent caused by the negligence or misconduct of Landlord or Landlord’s agents, employees or contractors, or (ii) any breach by Landlord of any representation, covenant or other term contained in this Lease, whether occurring before, during, or after the expiration of the Lease Term. The provisions of this Section shall survive the expiration or earlier termination of the Lease Term.</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6.6 Compliance with Laws</w:t>
      </w:r>
    </w:p>
    <w:p>
      <w:pPr>
        <w:spacing w:after="0" w:line="206" w:lineRule="exact"/>
        <w:rPr>
          <w:sz w:val="20"/>
          <w:szCs w:val="20"/>
          <w:color w:val="auto"/>
        </w:rPr>
      </w:pPr>
    </w:p>
    <w:p>
      <w:pPr>
        <w:ind w:left="-20" w:right="40" w:firstLine="769"/>
        <w:spacing w:after="0" w:line="236" w:lineRule="auto"/>
        <w:tabs>
          <w:tab w:leader="none" w:pos="90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cause the Building (other than portions for which such compliance is the responsibility of the party leasing such space) and the Common Areas to comply with all Legal Requirements. Such obligation of Landlord shall include, but not be limited to, the correction of any violations with respect to the Common Areas that arise out of or in connection with any claims brought under any provision of the Americans with Disabilities Act as amended from time to time. As of the date hereof, Landlord has not received notice from any governmental agencies that the Landlord’s Property, Common Areas or Premises are in violation of Legal Requirements.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CERTAIN OBLIGATIONS OF TENANT</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7.1 Rent</w:t>
      </w:r>
    </w:p>
    <w:p>
      <w:pPr>
        <w:spacing w:after="0" w:line="206" w:lineRule="exact"/>
        <w:rPr>
          <w:sz w:val="20"/>
          <w:szCs w:val="20"/>
          <w:color w:val="auto"/>
        </w:rPr>
      </w:pPr>
    </w:p>
    <w:p>
      <w:pPr>
        <w:ind w:left="-20" w:right="460" w:firstLine="769"/>
        <w:spacing w:after="0" w:line="258" w:lineRule="auto"/>
        <w:tabs>
          <w:tab w:leader="none" w:pos="89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promptly pay the Base Rent and Additional Rent, including without limitation any and all fees, charges, expenses, fines, assessments or other sums payable by Tenant to Landlord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12" w:right="259" w:bottom="1440" w:gutter="0" w:footer="0" w:header="0"/>
        </w:sectPr>
      </w:pPr>
    </w:p>
    <w:bookmarkStart w:id="88" w:name="page89"/>
    <w:bookmarkEnd w:id="88"/>
    <w:p>
      <w:pPr>
        <w:ind w:right="220"/>
        <w:spacing w:after="0" w:line="259" w:lineRule="auto"/>
        <w:rPr>
          <w:sz w:val="20"/>
          <w:szCs w:val="20"/>
          <w:color w:val="auto"/>
        </w:rPr>
      </w:pPr>
      <w:r>
        <w:rPr>
          <w:rFonts w:ascii="Times New Roman" w:cs="Times New Roman" w:eastAsia="Times New Roman" w:hAnsi="Times New Roman"/>
          <w:sz w:val="22"/>
          <w:szCs w:val="22"/>
          <w:color w:val="auto"/>
        </w:rPr>
        <w:t>(or to the applicable provider of utilities) at the time and in the manner provided for in this Lease, all of which shall be deemed to be obligations to pay Base Rent or Additional Rent.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7.2 Utilities</w:t>
      </w:r>
    </w:p>
    <w:p>
      <w:pPr>
        <w:spacing w:after="0" w:line="206" w:lineRule="exact"/>
        <w:rPr>
          <w:sz w:val="20"/>
          <w:szCs w:val="20"/>
          <w:color w:val="auto"/>
        </w:rPr>
      </w:pPr>
    </w:p>
    <w:p>
      <w:pPr>
        <w:ind w:firstLine="769"/>
        <w:spacing w:after="0" w:line="246" w:lineRule="auto"/>
        <w:tabs>
          <w:tab w:leader="none" w:pos="91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pay Tenant’s Electricity Costs in accordance with Section 4.5. With respect to utilities other than electric for which the Premises are separately metered or submetered, Tenant shall pay bills directly to the utility provider prior to their due dates if Tenant is billed directly by the utility provider, or Tenant shall pay the charges therefor to Landlord as Additional Rent within 30 days of Landlord’s billing therefor. With respect to utilities other than electric for which the Premises are not separately metered or submetered, Tenant shall pay for usage as a part of the Operating Costs. Tenant agrees that its use of electric current shall never exceed the capacity of existing feeders, risers and wiring installations in the Building. Tenant shall not make or perform any alterations to wiring, installations, lighting fixtures or other electrical facilities in any manner without the prior written consent of Landlord, which consent shall not be unreasonably withheld, delayed, or conditioned. Any risers or wiring to meet Tenant’s excess electrical requirements, if requested by Tenant and approved by Landlord, will be installed by Landlord at Tenant’s expense.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7.3 No Waste</w:t>
      </w:r>
    </w:p>
    <w:p>
      <w:pPr>
        <w:spacing w:after="0" w:line="206" w:lineRule="exact"/>
        <w:rPr>
          <w:sz w:val="20"/>
          <w:szCs w:val="20"/>
          <w:color w:val="auto"/>
        </w:rPr>
      </w:pPr>
    </w:p>
    <w:p>
      <w:pPr>
        <w:ind w:right="340" w:firstLine="769"/>
        <w:spacing w:after="0" w:line="258" w:lineRule="auto"/>
        <w:tabs>
          <w:tab w:leader="none" w:pos="91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overload, damage or deface the Premises nor shall it suffer or permit the same to be done, nor shall it commit any waste.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7.4 Maintenance; Repairs; and Yield Up</w:t>
      </w:r>
    </w:p>
    <w:p>
      <w:pPr>
        <w:spacing w:after="0" w:line="206" w:lineRule="exact"/>
        <w:rPr>
          <w:sz w:val="20"/>
          <w:szCs w:val="20"/>
          <w:color w:val="auto"/>
        </w:rPr>
      </w:pPr>
    </w:p>
    <w:p>
      <w:pPr>
        <w:ind w:right="20" w:firstLine="769"/>
        <w:spacing w:after="0" w:line="245" w:lineRule="auto"/>
        <w:tabs>
          <w:tab w:leader="none" w:pos="923"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Landlord’s maintenance and repair obligations and the limitations set forth below, Tenant shall keep the Premises neat and clean and maintain the same in good repair and condition; Tenant’s obligation to so maintain and repair the Premises shall apply to all of the Premises, including, without limitation, all doors, glass, fixtures, interior walls, floors, ceilings, HVAC equipment, telephone and data equipment, lighting, plumbing and lab equipment and any other systems (other than common Building Systems) exclusively serving the Premises. There is excepted from Tenant’s obligations under this Section 7.4 only (a) damage to such portions of the Premises not the responsibility of Tenant under this Lease and originally constructed by Landlord as is caused by those hazards which are covered by the policies of insurance carried by Landlord with respect to Landlord’s Property,</w:t>
      </w:r>
    </w:p>
    <w:p>
      <w:pPr>
        <w:ind w:right="20" w:firstLine="8"/>
        <w:spacing w:after="0" w:line="231" w:lineRule="auto"/>
        <w:tabs>
          <w:tab w:leader="none" w:pos="30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 of damage caused by Landlord except to the extent covered by Tenant’s property insurance, (c) repairs and work which are otherwise the specific responsibility of Landlord hereunder and (d) reasonable wear and tear. Upon the expiration or other termination of the term hereof, Tenant shall (i) peaceably quit and surrender to Landlord the Premises in the condition required by the other provisions of this Lease; (ii) remove any and all Hazardous Materials from the Premises (other than any Hazardous Materials in the Premises on the Term Commencement Date) and all of Tenant’s Property; (iii) deliver to Landlord a certification from a licensed, insured, and qualified industrial hygienist certifying that the Premises do not contain any Hazardous Materials other than any Hazardous Materials in the Premises on the Term Commencement Date; (iv) repair any damages to the Premises or the Building caused by the installation or removal of alterations or Tenant’s property; and (v) decommission all laboratory lines, systems, and equipment in accordance with applicable industry standards. Tenant’s obligations under the preceding sentence shall survive the expiration or earlier termination of this Lease for a period of eighteen (18) months. Failure to perform such removal and restoration on or before the expiration or earlier termination of the Term hereof shall constitute a holding over by Tenant subject to the terms of Section 13.9 hereof. Tenant shall cause all maintenance and repair work to conform to applicable governmental laws, rules, regulations, orders and requirements of public authorities. Tenant shall keep the Premises clear of all filth, trash and refuse. If Tenant fails to perform Tenant’s obligations under the above provisions of this Section, then Landlord will have the right (but not the obligation), without waiving any default by Tenant, to cause such obligations to be performed upon not less than three days prior written notice to Tenant (or a shorter period of prior written notice, or a contemporaneous written notice, if appropriate in Landlord’s reasonable judgment in light of the nature of Tenant’s obligations to be performed), and if Landlord causes any of such obligations to be performed, the costs and expenses reasonably incurred by Landlord in connection therewith shall be due and payable by Tenant to Landlord as Additional Rent upon demand.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7.5 Alterations by Tenant</w:t>
      </w:r>
    </w:p>
    <w:p>
      <w:pPr>
        <w:spacing w:after="0" w:line="206" w:lineRule="exact"/>
        <w:rPr>
          <w:sz w:val="20"/>
          <w:szCs w:val="20"/>
          <w:color w:val="auto"/>
        </w:rPr>
      </w:pPr>
    </w:p>
    <w:p>
      <w:pPr>
        <w:ind w:right="320" w:firstLine="769"/>
        <w:spacing w:after="0" w:line="258" w:lineRule="auto"/>
        <w:tabs>
          <w:tab w:leader="none" w:pos="91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not make any change in, or addition to, the Premises without first obtaining, on each occasion, Landlord’s consent in writing, not to be unreasonably withheld,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9" w:name="page90"/>
    <w:bookmarkEnd w:id="89"/>
    <w:p>
      <w:pPr>
        <w:spacing w:after="0" w:line="231" w:lineRule="auto"/>
        <w:rPr>
          <w:sz w:val="20"/>
          <w:szCs w:val="20"/>
          <w:color w:val="auto"/>
        </w:rPr>
      </w:pPr>
      <w:r>
        <w:rPr>
          <w:rFonts w:ascii="Times New Roman" w:cs="Times New Roman" w:eastAsia="Times New Roman" w:hAnsi="Times New Roman"/>
          <w:sz w:val="22"/>
          <w:szCs w:val="22"/>
          <w:color w:val="auto"/>
        </w:rPr>
        <w:t>conditioned or delayed and then only at Tenant’s expense (other than with respect to the Tenant Improvement Allowance, if applicable), and in a lawful manner and upon such terms and conditions as Landlord, by such writing, shall approve, which shall include, without limitation, (a) maintenance of insurance reasonably satisfactory to Landlord and (b) compliance with Sections 7.9 and 7.11. Notwithstanding the foregoing, the prior written consent of Landlord will not be required for non-structural interior alterations that do not affect any of the utility or building service systems or equipment in the Building (other than such utilities and systems that are located within and exclusively serve the Premises) and that cost less than $10,000.00 for any single project; provided, however, that Tenant shall notify Landlord of the performance of any such work and provide Landlord copies of any plans and specifications therefor that have been produced by or for the benefit of Tenant. Any such alteration or addition shall be consistent in appearance with the rest of the Building and Landlord’s Property and shall be made only after duly obtaining (and providing to Landlord copies of) all required permits and licenses from all governmental authorities. Tenant will deliver to Landlord in writing a schedule setting forth the details and location of all such proposed alterations or additions and detailed plans and specifications. The contractor(s) performing the work shall be subject to Landlord’s reasonable approval. All approved repairs, installations, alterations, additions or other improvements made by Tenant shall be made in a good and workmanlike manner, between such hours as approved in writing by Landlord, which approval shall not be unreasonably withheld, delayed, or conditioned, and in such a way that utilities will not be unnecessarily interrupted and other tenants and occupants of the Building will not suffer unreasonable inconvenience or interference as reasonably determined by Landlord. Tenant’s Invitees shall be given such reasonable access to other portions of the Building and the mechanical systems as may be necessary or appropriate to perform such work. Both during and after the performance of any such work, Landlord shall have free access to any and all mechanical installations in the Premises that constitute part of the Building service systems and equipment (i.e., as opposed to Tenant’s laboratory equipment), including, but not limited to, air conditioning, fans, ventilating systems, machine rooms and electrical closets; and Tenant agrees not to construct or permit the installation of partitions and/or other obstructions in the Premises which might interfere with Landlord’s free access to the Premises or Building, or impede the free flow of air to and from air vents and other portions of the heating, ventilating and air conditioning systems in the Building. All installations, alterations, additions or improvements in or to the Premises shall be the property of Landlord and shall remain upon, and be surrendered with, the Premises at the end of the Lease Term or sooner termination of this Lease, except to the extent that Landlord, by written notice to Tenant given simultaneously with the approval of the plans and specifications for any such work, requires Tenant to remove any of the same at the expiration or earlier termination of this Lease, all of which items so designated shall be removed by Tenant at its expense and Tenant shall repair any damage to the Landlord’s Property and Landlord’s Equipment caused by the installation or removal of any such item.</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7.6 Trade Fixtures and Equipment</w:t>
      </w:r>
    </w:p>
    <w:p>
      <w:pPr>
        <w:spacing w:after="0" w:line="206" w:lineRule="exact"/>
        <w:rPr>
          <w:sz w:val="20"/>
          <w:szCs w:val="20"/>
          <w:color w:val="auto"/>
        </w:rPr>
      </w:pPr>
    </w:p>
    <w:p>
      <w:pPr>
        <w:ind w:right="20" w:firstLine="769"/>
        <w:spacing w:after="0" w:line="248" w:lineRule="auto"/>
        <w:tabs>
          <w:tab w:leader="none" w:pos="91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trade fixtures installed in, or attached to, the Premises by, and at the expense of, Tenant, shall remain the property of Tenant, if the same may be removed without material damage to, or destruction of, the Premises. Tenant shall have the right, at any time and from time to time during the Lease Term, to remove any and all of its trade fixtures, which it may have installed in, or attached to, the Premises. In addition, at the end of the Lease Term or sooner termination of this Lease, Tenant shall remove all of Tenant’s trade fixtures unless Landlord gives Tenant a written waiver for same. At any time that Tenant removes any of its trade fixtures, Tenant shall promptly repair Landlord’s Property and Landlord’s Equipment as a result of any damage to, or destruction of, Landlord’s Property and/or Landlord’s Equipment caused by the installation or removal of any of its trade fixtures.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7.7 Compliance with Laws</w:t>
      </w:r>
    </w:p>
    <w:p>
      <w:pPr>
        <w:spacing w:after="0" w:line="206" w:lineRule="exact"/>
        <w:rPr>
          <w:sz w:val="20"/>
          <w:szCs w:val="20"/>
          <w:color w:val="auto"/>
        </w:rPr>
      </w:pPr>
    </w:p>
    <w:p>
      <w:pPr>
        <w:ind w:right="40" w:firstLine="769"/>
        <w:spacing w:after="0" w:line="238" w:lineRule="auto"/>
        <w:tabs>
          <w:tab w:leader="none" w:pos="92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6.6 and/or Landlord’s obligation to obtain a certificate of occupancy for the Building as provided in Section 5.2 above and any other permits, approvals and licenses necessary generally for the use of Landlord’s Property and Landlord’s Equipment, Tenant, in its use of the Premises and at its sole expense, shall comply with all applicable laws, orders and regulations of Federal, State, County and Town authorities, and with any direction of any public officer or officers, pursuant to law, including, without limitation, all Legal Requirements related to the use, storage, discharge, release, removal or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0" w:name="page91"/>
    <w:bookmarkEnd w:id="90"/>
    <w:p>
      <w:pPr>
        <w:spacing w:after="0" w:line="238" w:lineRule="auto"/>
        <w:rPr>
          <w:sz w:val="20"/>
          <w:szCs w:val="20"/>
          <w:color w:val="auto"/>
        </w:rPr>
      </w:pPr>
      <w:r>
        <w:rPr>
          <w:rFonts w:ascii="Times New Roman" w:cs="Times New Roman" w:eastAsia="Times New Roman" w:hAnsi="Times New Roman"/>
          <w:sz w:val="22"/>
          <w:szCs w:val="22"/>
          <w:color w:val="auto"/>
        </w:rPr>
        <w:t>existence of Hazardous Materials and for all applicable Export Control and sanctions regulations. Tenant shall maintain the Premises and Landlord’s Equipment in a sanitary and safe condition in accordance with all applicable Federal and State laws and the by laws, rules, regulations and ordinances of the City of Waltham, and in accordance with all directions, rules and regulations of the Health Officer, Fire Marshall, Building Inspector and other proper officers of the governmental agencies having jurisdiction thereover.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7.8 Contents at Tenant’s Risk</w:t>
      </w:r>
    </w:p>
    <w:p>
      <w:pPr>
        <w:spacing w:after="0" w:line="206" w:lineRule="exact"/>
        <w:rPr>
          <w:sz w:val="20"/>
          <w:szCs w:val="20"/>
          <w:color w:val="auto"/>
        </w:rPr>
      </w:pPr>
    </w:p>
    <w:p>
      <w:pPr>
        <w:ind w:right="140" w:firstLine="769"/>
        <w:spacing w:after="0" w:line="245" w:lineRule="auto"/>
        <w:tabs>
          <w:tab w:leader="none" w:pos="91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inventory, equipment, goods, merchandise, furniture, fixtures and property of every kind which may be on or about the Premises shall be at the sole risk and hazard of Tenant, and if the whole or any part thereof shall be destroyed or damaged by windstorm, vandalism, and malicious mischief and such other hazards as are included in so-called extended all-risk coverage, including but not limited to fire, water or otherwise, or by the use or abuse of water or by the leaking or bursting of water pipes, or by rising water, or by roof or other structural leak, or by loss of electrical service, or in any other way or manner, no part of such loss or damage shall be charged to or borne by Landlord in any case whatsoever, except that to the extent required by applicable Massachusetts law, the foregoing shall not exculpate Landlord from its own negligent acts or omissions or willful</w:t>
      </w:r>
    </w:p>
    <w:p>
      <w:pPr>
        <w:ind w:right="60"/>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misconduct. Tenant agrees to maintain property insurance written on an All Risk or Special Perils Form, with coverage for broad form water damage, including earthquake sprinkler leakage, at the full replacement cost value of the insured property and with a replacement cost endorsement covering all of Tenant’s business and trade fixtures, equipment, furniture, merchandise and other personal property within the Premises; and from and after the commencement date of this Lease and throughout the remainder of the term hereof rent or business interruption insurance against loss resulting from fire, or other risks covered by broad form extended coverage endorsement, in an amount equal to the then current base annual rent and additional rents for the Premises for at least a one year period, with loss payable under such policy to Landlord, and Tenant shall indemnify and save harmless Landlord from any loss, cost, expense, damage or liability resulting from Tenant’s failure to have such insurance as required in this</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Lease. Such insurance on Tenant’s property shall contain a waiver of subrogation clause in favor of Landlord.</w:t>
      </w:r>
    </w:p>
    <w:p>
      <w:pPr>
        <w:spacing w:after="0" w:line="182" w:lineRule="exact"/>
        <w:rPr>
          <w:sz w:val="20"/>
          <w:szCs w:val="20"/>
          <w:color w:val="auto"/>
        </w:rPr>
      </w:pPr>
    </w:p>
    <w:p>
      <w:pPr>
        <w:ind w:right="40" w:firstLine="761"/>
        <w:spacing w:after="0" w:line="243" w:lineRule="auto"/>
        <w:rPr>
          <w:sz w:val="20"/>
          <w:szCs w:val="20"/>
          <w:color w:val="auto"/>
        </w:rPr>
      </w:pPr>
      <w:r>
        <w:rPr>
          <w:rFonts w:ascii="Times New Roman" w:cs="Times New Roman" w:eastAsia="Times New Roman" w:hAnsi="Times New Roman"/>
          <w:sz w:val="21"/>
          <w:szCs w:val="21"/>
          <w:color w:val="auto"/>
        </w:rPr>
        <w:t>Such policies are to be written for terms of not less than one year by a company having a general policy holder's rating of not less than A and a rating in financial size of not less than XI, as rated in the most current “Best's” insurance reports, and authorized and licensed to issue such policies in the Commonwealth of Massachusetts. Any such insurance required of Tenant hereunder may be furnished by Tenant under any blanket policy carried by it, providing the policy strictly complies with all other terms and conditions contained in this Lease, and provided further that such policy: (x) identifies with specificity the particular address of the premises being covered under the blanket policy; (y) provides a minimum guaranteed coverage amount for the Premises as required pursuant to the terms of this Article; and (z) expressly waives any pro rata distribution requirement contained in Tenant’s blanket policy covering the Premises. Each policy evidencing insurance as required to be carried by Tenant pursuant to this Article shall contain the following provisions and/or clauses: (i) a cross-liability clause; (ii) a provision that such policy and the coverage carried by Landlord shall be excess insurance; (iii) a provision including Landlord, Landlord's managing agent, and other parties (including mortgagees) designated by Landlord as additional insureds (except with respect to workers' compensation insurance); (iv) a waiver by the insurer of any right of subrogation against Landlord, its agents, employees and representatives which arises or might arise by reason of any payment under such policy or by reasons of any act or omission of Landlord, its agents, employees, or representatives; (v) a severability clause; and (vi) a provision that the insurer will endeavor to provide 30 days’ notice of cancelation. An Evidence of Insurance (in form ACORD 27, or such other form acceptable to Landlord) for each of the insurance policies Tenant is required to carry in compliance with its obligations under this Lease, and containing provisions specified herein, shall be delivered to Landlord prior to the Term Commencement Date, and, upon renewals, prior to the expiration of such coverage. Upon Tenant's default in obtaining or delivering any such policy or policies or failure to pay the premiums therefor, Landlord (in addition to and not in limitation of its other rights, remedies and privileges by reason thereof) may, but shall not be obligated to, secure or pay the premium for any such policy or policies and charge Tenant as Additional Rent therefor an amount equal to 110% of the costs incurred by Landlord thereby. Insurance notifications may arrive by regular mail.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7.9 Exoneration; Indemnification and Insurance</w:t>
      </w:r>
    </w:p>
    <w:p>
      <w:pPr>
        <w:spacing w:after="0" w:line="207" w:lineRule="exact"/>
        <w:rPr>
          <w:sz w:val="20"/>
          <w:szCs w:val="20"/>
          <w:color w:val="auto"/>
        </w:rPr>
      </w:pPr>
    </w:p>
    <w:p>
      <w:pPr>
        <w:ind w:firstLine="769"/>
        <w:spacing w:after="0" w:line="235" w:lineRule="auto"/>
        <w:tabs>
          <w:tab w:leader="none" w:pos="91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will exonerate, indemnify, defend, save and hold harmless Landlord (and any and all Persons claiming by, through or under Landlord) from and against all claims, proceedings, defenses thereof, liabilities, costs, and expenses of any kind and nature, including reasonable legal fees, arising from: (i) any breach of this Lease by Tenant or any Invitee of Tenant or other Person claiming by, through or under Tenant; (ii) any occurrence within the Premises, except to the extent the same results from the negligence or willful misconduct of Landlord, its agents, contractors, or employees; and/or (iii) any act, omission or negligence of any Invitee of Tenant, or arising from any accident, injury or damage occurring in, on or about Landlord’s Property, which such accident, damage or injury results from the negligence or misconduct on the part of any Invitee of Tenant. This exoneration, indemnification and hold harmless agreement shall survive the termination of this Lease.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and after the Term Commencement Date and thereafter during the Lease Term and any period of holding over,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 shall maintain in full force and effect the following insurance coverages:</w:t>
      </w:r>
    </w:p>
    <w:p>
      <w:pPr>
        <w:spacing w:after="0" w:line="182" w:lineRule="exact"/>
        <w:rPr>
          <w:sz w:val="20"/>
          <w:szCs w:val="20"/>
          <w:color w:val="auto"/>
        </w:rPr>
      </w:pPr>
    </w:p>
    <w:p>
      <w:pPr>
        <w:ind w:right="180" w:firstLine="1910"/>
        <w:spacing w:after="0" w:line="238" w:lineRule="auto"/>
        <w:tabs>
          <w:tab w:leader="none" w:pos="2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public liability insurance all on an occurrence basis with respect to the business carried on in or from the Premises and the Tenant’s use and occupancy of the Premises and of any other part of the Building, with coverage for any one occurrence or claim of not less than Ten Million Dollars ($10,000,000), which insurance shall include the Landlord as an additional insured (by written endorsement delivered to the Landlord) and shall contain a cross liability clause protecting the Landlord in respect of claims by the Tenant as if the Landlord were separately insured;</w:t>
      </w:r>
    </w:p>
    <w:p>
      <w:pPr>
        <w:spacing w:after="0" w:line="177" w:lineRule="exact"/>
        <w:rPr>
          <w:rFonts w:ascii="Times New Roman" w:cs="Times New Roman" w:eastAsia="Times New Roman" w:hAnsi="Times New Roman"/>
          <w:sz w:val="22"/>
          <w:szCs w:val="22"/>
          <w:color w:val="auto"/>
        </w:rPr>
      </w:pPr>
    </w:p>
    <w:p>
      <w:pPr>
        <w:jc w:val="both"/>
        <w:ind w:right="60" w:firstLine="1910"/>
        <w:spacing w:after="0" w:line="239" w:lineRule="auto"/>
        <w:tabs>
          <w:tab w:leader="none" w:pos="22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risks property insurance in respect of fire and such other perils are from time to time in the usual extended coverage endorsement covering the Tenant’s leasehold improvements or alterations (to the extent the same have not become the property of Landlord), trade fixtures, property and the furniture and equipment in the Premises for the full replacement cost thereof;</w:t>
      </w:r>
    </w:p>
    <w:p>
      <w:pPr>
        <w:spacing w:after="0" w:line="180" w:lineRule="exact"/>
        <w:rPr>
          <w:rFonts w:ascii="Times New Roman" w:cs="Times New Roman" w:eastAsia="Times New Roman" w:hAnsi="Times New Roman"/>
          <w:sz w:val="22"/>
          <w:szCs w:val="22"/>
          <w:color w:val="auto"/>
        </w:rPr>
      </w:pPr>
    </w:p>
    <w:p>
      <w:pPr>
        <w:ind w:right="80" w:firstLine="1910"/>
        <w:spacing w:after="0" w:line="258" w:lineRule="auto"/>
        <w:tabs>
          <w:tab w:leader="none" w:pos="22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insurance and all such other insurance as may be required by applicable law and Employers Liability coverage with a limit of not less than One Million Dollars ($1,000,000); and</w:t>
      </w:r>
    </w:p>
    <w:p>
      <w:pPr>
        <w:spacing w:after="0" w:line="158" w:lineRule="exact"/>
        <w:rPr>
          <w:rFonts w:ascii="Times New Roman" w:cs="Times New Roman" w:eastAsia="Times New Roman" w:hAnsi="Times New Roman"/>
          <w:sz w:val="22"/>
          <w:szCs w:val="22"/>
          <w:color w:val="auto"/>
        </w:rPr>
      </w:pPr>
    </w:p>
    <w:p>
      <w:pPr>
        <w:ind w:right="220" w:firstLine="1910"/>
        <w:spacing w:after="0" w:line="262" w:lineRule="auto"/>
        <w:tabs>
          <w:tab w:leader="none" w:pos="226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insurance against such other perils and in such amounts as the Landlord may from time to time reasonably require upon not less than ninety (90) days’ written notice, such requirement to be made on the basis that the required insurance is customary at the time for prudent tenants of properties similar to the Building and for tenants in a similar business.</w:t>
      </w:r>
    </w:p>
    <w:p>
      <w:pPr>
        <w:spacing w:after="0" w:line="155" w:lineRule="exact"/>
        <w:rPr>
          <w:sz w:val="20"/>
          <w:szCs w:val="20"/>
          <w:color w:val="auto"/>
        </w:rPr>
      </w:pPr>
    </w:p>
    <w:p>
      <w:pPr>
        <w:ind w:right="20" w:firstLine="761"/>
        <w:spacing w:after="0" w:line="244" w:lineRule="auto"/>
        <w:rPr>
          <w:sz w:val="20"/>
          <w:szCs w:val="20"/>
          <w:color w:val="auto"/>
        </w:rPr>
      </w:pPr>
      <w:r>
        <w:rPr>
          <w:rFonts w:ascii="Times New Roman" w:cs="Times New Roman" w:eastAsia="Times New Roman" w:hAnsi="Times New Roman"/>
          <w:sz w:val="22"/>
          <w:szCs w:val="22"/>
          <w:color w:val="auto"/>
        </w:rPr>
        <w:t>Each policy shall contain: (A) a waiver by the insurer of any rights of subrogation or indemnity or any other claim over to which the insurer might otherwise be entitled against the Landlord or the agents or employees of the Landlord, and (B) a cross liability clause.</w:t>
      </w:r>
    </w:p>
    <w:p>
      <w:pPr>
        <w:spacing w:after="0" w:line="174" w:lineRule="exact"/>
        <w:rPr>
          <w:sz w:val="20"/>
          <w:szCs w:val="20"/>
          <w:color w:val="auto"/>
        </w:rPr>
      </w:pPr>
    </w:p>
    <w:p>
      <w:pPr>
        <w:ind w:right="140" w:firstLine="761"/>
        <w:spacing w:after="0" w:line="244" w:lineRule="auto"/>
        <w:rPr>
          <w:sz w:val="20"/>
          <w:szCs w:val="20"/>
          <w:color w:val="auto"/>
        </w:rPr>
      </w:pPr>
      <w:r>
        <w:rPr>
          <w:rFonts w:ascii="Times New Roman" w:cs="Times New Roman" w:eastAsia="Times New Roman" w:hAnsi="Times New Roman"/>
          <w:sz w:val="22"/>
          <w:szCs w:val="22"/>
          <w:color w:val="auto"/>
        </w:rPr>
        <w:t>In the event Tenant fails to provide evidence of insurance required to be provided by Tenant hereunder, Landlord shall be authorized (but not required) to procure such coverage in the amounts stated with all costs thereof to be chargeable to Tenant as Additional Rent, and payable by Tenant upon receipt of written invoice therefor.</w:t>
      </w:r>
    </w:p>
    <w:p>
      <w:pPr>
        <w:spacing w:after="0" w:line="174" w:lineRule="exact"/>
        <w:rPr>
          <w:sz w:val="20"/>
          <w:szCs w:val="20"/>
          <w:color w:val="auto"/>
        </w:rPr>
      </w:pPr>
    </w:p>
    <w:p>
      <w:pPr>
        <w:ind w:right="220" w:firstLine="761"/>
        <w:spacing w:after="0" w:line="235" w:lineRule="auto"/>
        <w:rPr>
          <w:sz w:val="20"/>
          <w:szCs w:val="20"/>
          <w:color w:val="auto"/>
        </w:rPr>
      </w:pPr>
      <w:r>
        <w:rPr>
          <w:rFonts w:ascii="Times New Roman" w:cs="Times New Roman" w:eastAsia="Times New Roman" w:hAnsi="Times New Roman"/>
          <w:sz w:val="22"/>
          <w:szCs w:val="22"/>
          <w:color w:val="auto"/>
        </w:rPr>
        <w:t>Tenant shall not permit any contractor to do any work at or furnish any materials to be incorporated into the Premises without first delivering to Landlord satisfactory evidence of the Contractor’s commercial general liability insurance, worker’s compensation insurance, automobile insurance and statutory lien bonds each reasonably acceptable to Landlord and complying with any insurance specifications provided by Landlord. Tenant shall also provide and pay for window and plate glass insurance with respect to the Premises (if not otherwise covered by Tenant’s property insurance), and Tenant shall provide Landlord with a certificate evidencing such insurance and containing a provision that the same may not be canceled until the insurer endeavors to provide 30 days’ prior written notice to Landlord and Tenant shall provide Landlord with such 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92" w:name="page93"/>
    <w:bookmarkEnd w:id="92"/>
    <w:p>
      <w:pPr>
        <w:spacing w:after="0" w:line="234" w:lineRule="auto"/>
        <w:rPr>
          <w:sz w:val="20"/>
          <w:szCs w:val="20"/>
          <w:color w:val="auto"/>
        </w:rPr>
      </w:pPr>
      <w:r>
        <w:rPr>
          <w:rFonts w:ascii="Times New Roman" w:cs="Times New Roman" w:eastAsia="Times New Roman" w:hAnsi="Times New Roman"/>
          <w:sz w:val="22"/>
          <w:szCs w:val="22"/>
          <w:color w:val="auto"/>
        </w:rPr>
        <w:t>certificate prior to the Term Commencement Date and thereafter prior to the expiration of any such coverage. All insurance requirements imposed upon Tenant or its contractors under this Lease shall be subject to the further requirement that the forms of coverage and the insurers providing the insurance be authorized to conduct business in the Commonwealth of Massachusetts, be in sound financial condition and carry an A-/VIII or better Best’s rating. Tenant agrees that Landlord shall not be responsible or liable to Tenant, or to those Persons claiming by, through or under Tenant, for any loss or damage that may be occasioned by or through the acts or omissions of Persons occupying or using adjoining premises or any part of Landlord’s Property, or otherwise, or for any loss or damage resulting to Tenant or those Persons claiming by, through or under Tenant, or its or their property, except that to the extent required by applicable Massachusetts law, the foregoing shall not exculpate Landlord from its own negligent acts or omissions or willful misconduct.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3" w:name="page94"/>
    <w:bookmarkEnd w:id="93"/>
    <w:p>
      <w:pPr>
        <w:ind w:left="740"/>
        <w:spacing w:after="0"/>
        <w:rPr>
          <w:sz w:val="20"/>
          <w:szCs w:val="20"/>
          <w:color w:val="auto"/>
        </w:rPr>
      </w:pPr>
      <w:r>
        <w:rPr>
          <w:rFonts w:ascii="Times New Roman" w:cs="Times New Roman" w:eastAsia="Times New Roman" w:hAnsi="Times New Roman"/>
          <w:sz w:val="22"/>
          <w:szCs w:val="22"/>
          <w:u w:val="single" w:color="auto"/>
          <w:color w:val="auto"/>
        </w:rPr>
        <w:t>Section 7.10 Landlord’s Access</w:t>
      </w:r>
    </w:p>
    <w:p>
      <w:pPr>
        <w:spacing w:after="0" w:line="207" w:lineRule="exact"/>
        <w:rPr>
          <w:sz w:val="20"/>
          <w:szCs w:val="20"/>
          <w:color w:val="auto"/>
        </w:rPr>
      </w:pPr>
    </w:p>
    <w:p>
      <w:pPr>
        <w:ind w:left="-20" w:right="100" w:firstLine="769"/>
        <w:spacing w:after="0" w:line="232" w:lineRule="auto"/>
        <w:tabs>
          <w:tab w:leader="none" w:pos="90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its representatives shall have the right without charge to it and without reduction in Base Rent or Additional Rent, at reasonable times, with reasonable notice, and in such manner as shall not unreasonably interfere with Tenant’s business, to enter the Premises for any reasonable purpose (including, without limitation, showing the Premises to prospective purchasers, lenders and, during the last 12 months of the Lease Term, tenants) and, if Landlord so elects, to make entry for the purpose of investigating repair or maintenance problems and to make such repairs or changes as Landlord deems advisable, and to maintain, use, repair, replace, relocate or introduce pipes, ducts, wires, meters and any other Landlord’s fixtures serving or to serve the Premises or other parts of Landlord’s Property, or to maintain or repair any portion of Landlord’s Property or Landlord’s Equipment, and, in case of an emergency, whether resulting from circumstances in the Premises or elsewhere in Landlord’s Property, Landlord or its representatives may enter the Premises (forcibly, if necessary) at any time to take such measures as may be needed to cope with such emergency. Such access shall include, but not be limited to, the right to open floors, walls, ceilings, and building systems for the foregoing purposes. Subject to the following sentence, Tenant shall have the right to have an escort during such access by Landlord or its representatives provided that such escort shall be made available within three (3) hours of Landlord’s verbal, written and/or email request (and Landlord may access the Premises without such escort, but otherwise in compliance with this section, if no escort is made available following such 3-hour period). The foregoing notwithstanding, no Tenant escort shall be required for such access by Landlord or its representatives in the event of an emergency and/or an urgent maintenance or repair matter (as reasonably determined by Landlord).</w:t>
      </w:r>
    </w:p>
    <w:p>
      <w:pPr>
        <w:spacing w:after="0" w:line="1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7.11 No Liens</w:t>
      </w:r>
    </w:p>
    <w:p>
      <w:pPr>
        <w:spacing w:after="0" w:line="206" w:lineRule="exact"/>
        <w:rPr>
          <w:sz w:val="20"/>
          <w:szCs w:val="20"/>
          <w:color w:val="auto"/>
        </w:rPr>
      </w:pPr>
    </w:p>
    <w:p>
      <w:pPr>
        <w:ind w:left="-20" w:right="20" w:firstLine="769"/>
        <w:spacing w:after="0" w:line="239" w:lineRule="auto"/>
        <w:tabs>
          <w:tab w:leader="none" w:pos="89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permit any mechanics’, laborers’ or materialmen’s liens to stand against Landlord’s Property, Landlord’s Equipment or Tenant’s interests in the Premises, this Lease, or the estate created hereby for any labor or materials furnished to Tenant or claimed to have been furnished to Tenant in connection with work of any character performed or claimed to have been performed in or on the Premises by or at the direction or sufferance of Tenant.</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7.12 Compliance with Rules and Regulations</w:t>
      </w:r>
    </w:p>
    <w:p>
      <w:pPr>
        <w:spacing w:after="0" w:line="206" w:lineRule="exact"/>
        <w:rPr>
          <w:sz w:val="20"/>
          <w:szCs w:val="20"/>
          <w:color w:val="auto"/>
        </w:rPr>
      </w:pPr>
    </w:p>
    <w:p>
      <w:pPr>
        <w:ind w:left="-20" w:firstLine="769"/>
        <w:spacing w:after="0" w:line="236" w:lineRule="auto"/>
        <w:tabs>
          <w:tab w:leader="none" w:pos="89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that all Invitees of Tenant will comply with the Rules and Regulations. Landlord, however, shall have the reasonable right to change the Rules and Regulations and to waive any one or more of them in the case of any one or more tenants; provided that any changes or modifications to the Rules and Regulations shall be reasonable and of uniform applicability to all tenants of the Building, and provided that the Rules and Regulations will generally be enforced in a non-discriminatory manner with respect to similarly situated tenants. In the event of any conflict between the terms of this Lease and any changes or modifications to the Rules and Regulations attached hereto, the terms of this Lease shall control.</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SUBLETTING AND ASSIGNMENT</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8.1 Subletting and Assignment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 w:right="80" w:firstLine="1529"/>
        <w:spacing w:after="0" w:line="236" w:lineRule="auto"/>
        <w:tabs>
          <w:tab w:leader="none" w:pos="179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hereinafter set forth, Tenant shall not assign, mortgage, pledge or encumber this Lease nor sublet all or any part of the Premises, nor permit or allow the use of all or any part of the Premises by any person other than Tenant and its employees, without, on each occasion, obtaining Landlord’s written consent thereto. As used herein, the term “assign” or “assignment” shall be deemed to include, without limitation: (i) any transfer of Tenant’s interest in this Lease by operation of law or the merger or consolidation of Tenant with or into any other firm or corporation; or (ii) the transfer or sale of a controlling interest in Tenant.</w:t>
      </w:r>
    </w:p>
    <w:p>
      <w:pPr>
        <w:spacing w:after="0" w:line="182" w:lineRule="exact"/>
        <w:rPr>
          <w:rFonts w:ascii="Times New Roman" w:cs="Times New Roman" w:eastAsia="Times New Roman" w:hAnsi="Times New Roman"/>
          <w:sz w:val="22"/>
          <w:szCs w:val="22"/>
          <w:color w:val="auto"/>
        </w:rPr>
      </w:pPr>
    </w:p>
    <w:p>
      <w:pPr>
        <w:ind w:left="-20" w:right="60" w:firstLine="1529"/>
        <w:spacing w:after="0" w:line="239" w:lineRule="auto"/>
        <w:tabs>
          <w:tab w:leader="none" w:pos="180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in the case of a Permitted Transferee, for which Landlord’s consent will not be required, but written notification will be provided, Landlord will not unreasonably withhold, condition or delay its consent to any sublease of all or any part of the Premises, so long as (A) the subtenant and its proposed use is of a character consistent with the operation of a building of the same class as the Building; (B) the subtenant’s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111" w:right="239" w:bottom="1440" w:gutter="0" w:footer="0" w:header="0"/>
        </w:sectPr>
      </w:pPr>
    </w:p>
    <w:bookmarkStart w:id="94" w:name="page95"/>
    <w:bookmarkEnd w:id="94"/>
    <w:p>
      <w:pPr>
        <w:ind w:right="160"/>
        <w:spacing w:after="0" w:line="234" w:lineRule="auto"/>
        <w:rPr>
          <w:sz w:val="20"/>
          <w:szCs w:val="20"/>
          <w:color w:val="auto"/>
        </w:rPr>
      </w:pPr>
      <w:r>
        <w:rPr>
          <w:rFonts w:ascii="Times New Roman" w:cs="Times New Roman" w:eastAsia="Times New Roman" w:hAnsi="Times New Roman"/>
          <w:sz w:val="22"/>
          <w:szCs w:val="22"/>
          <w:color w:val="auto"/>
        </w:rPr>
        <w:t>proposed use is permitted under the terms of this Lease; (C) the subtenant is qualified to do business in the Commonwealth of Massachusetts and has all applicable permits and licenses to do business from the Premises; (D) Tenant pays to Landlord all of Landlord’s reasonable expenses actually arising out of such sublease, including, without limitation, reasonable attorneys’ fees; (E) there does not then exist an Event of Default and no Event of Default will be created as a result of the proposed sublease or the proposed use by the subtenant; (F) each of Landlord’s mortgagees has consented in writing to such sublease if such mortgagee’s consent is required pursuant to the terms of the applicable financing documents (and Landlord will use commercially reasonable efforts to obtain such consent); (G) the proposed sublease prohibits any assignment of the sublease or any sub-sublease of any portion of the Premises without the prior written consent of Landlord, which consent may be granted or denied in Landlord’s reasonable discretion; (H) the proposed sublease will not cause Landlord to be in default under any then-existing lease, license or other occupancy agreement regarding the Landlord’s Property (including without limitation pursuant to any anti-competition or prohibited use provisions therein).</w:t>
      </w:r>
    </w:p>
    <w:p>
      <w:pPr>
        <w:spacing w:after="0" w:line="177" w:lineRule="exact"/>
        <w:rPr>
          <w:sz w:val="20"/>
          <w:szCs w:val="20"/>
          <w:color w:val="auto"/>
        </w:rPr>
      </w:pPr>
    </w:p>
    <w:p>
      <w:pPr>
        <w:ind w:right="20" w:firstLine="1910"/>
        <w:spacing w:after="0" w:line="233" w:lineRule="auto"/>
        <w:tabs>
          <w:tab w:leader="none" w:pos="22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 Permitted Transferee, for which Landlord’s consent will not be required, but written notification will be provided, Landlord will not unreasonably withhold, condition or delay its consent to an assignment of this Lease, so long as (A) the assignee and its proposed use is of a character consistent with the operation of a first class office and/or laboratory building; (B) the assignee’s proposed use is permitted under the terms of this Lease; (C) the assignee is qualified to do business in the Commonwealth of Massachusetts and has all applicable permits and licenses to do business from the Premises; (D) Tenant pays to Landlord all of Landlord’s reasonable expenses actually arising out of such assignee, including, without limitation, attorneys’ fees; (E) there does not then exist an Event of Default and no Event of Default will be created as a result of the proposed assignment or the proposed use by the assignee; and (F) each of Landlord’s mortgagees has consented in writing to such assignment if such mortgagee’s consent is required pursuant to the terms of the applicable financing documents; (G) the proposed assignment will not cause Landlord to be in default under any then-existing lease, license or other occupancy agreement regarding the Landlord’s Property (including without limitation pursuant to any anti-competition or prohibited use provisions therein) and (I)</w:t>
      </w:r>
    </w:p>
    <w:p>
      <w:pPr>
        <w:spacing w:after="0" w:line="182" w:lineRule="exact"/>
        <w:rPr>
          <w:sz w:val="20"/>
          <w:szCs w:val="20"/>
          <w:color w:val="auto"/>
        </w:rPr>
      </w:pPr>
    </w:p>
    <w:p>
      <w:pPr>
        <w:ind w:right="60" w:firstLine="761"/>
        <w:spacing w:after="0" w:line="262" w:lineRule="auto"/>
        <w:rPr>
          <w:sz w:val="20"/>
          <w:szCs w:val="20"/>
          <w:color w:val="auto"/>
        </w:rPr>
      </w:pPr>
      <w:r>
        <w:rPr>
          <w:rFonts w:ascii="Times New Roman" w:cs="Times New Roman" w:eastAsia="Times New Roman" w:hAnsi="Times New Roman"/>
          <w:sz w:val="22"/>
          <w:szCs w:val="22"/>
          <w:b w:val="1"/>
          <w:bCs w:val="1"/>
          <w:color w:val="auto"/>
        </w:rPr>
        <w:t>No assignment, sublease or transfer shall be made to an individual, entity or company engaged in the Generic Drug business.</w:t>
      </w:r>
    </w:p>
    <w:p>
      <w:pPr>
        <w:spacing w:after="0" w:line="154" w:lineRule="exact"/>
        <w:rPr>
          <w:sz w:val="20"/>
          <w:szCs w:val="20"/>
          <w:color w:val="auto"/>
        </w:rPr>
      </w:pPr>
    </w:p>
    <w:p>
      <w:pPr>
        <w:ind w:firstLine="1529"/>
        <w:spacing w:after="0" w:line="232" w:lineRule="auto"/>
        <w:tabs>
          <w:tab w:leader="none" w:pos="181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assignment of this Lease, Tenant shall be jointly and severally liable with the new tenant for the payment of any and all Base Rent and Additional Rent which may become due by the terms of this Lease and for the performance of all covenants, agreements and conditions on the part of Tenant to be performed hereunder. If the sublease or assignment is to a party other than a Permitted Transferee, Tenant shall also pay to Landlord 50% of the amount, if any, by which the rent received as a result of the assignment or sublease exceeds the rent payable hereunder on a per square foot basis after deducting the actual direct out-of-pocket costs which are (i) incurred by Tenant for leasing commissions, architectural and/or engineering fees, legal fees, additional tenant improvements paid in connection with such assignment or sublease, tenant improvement allowances, reimbursement obligations or costs incurred in constructing tenant improvements in connection with such sublease or assignment, free rent and/or any other consideration paid or provided by Tenant to the proposed transferee, which shall be depreciated on a straight line basis over the term of the proposed Transfer, and (ii) documented to Landlord’s reasonable satisfaction by invoices, contracts, canceled checks and the like, such costs to be amortized on a straight-line basis over the then remaining term of this Lease. No such assignment or sublease shall be valid or effective unless and until (i) the new tenant and Tenant execute and deliver to Landlord an agreement, in such form as Landlord may reasonably prescribe, pursuant to which, inter alia, such new tenant (A) assumes all of the obligations of Tenant under this Lease accruing from and after the effective date of the assignment if such transaction is an assignment of this Lease, (B) agrees to execute and deliver such estoppel certificates and subordination agreements as may be reasonably required by Landlord, (C) if a sublease, acknowledges that Landlord has no obligations to the subtenant under this Lease, the sublease or otherwise, and (D) agrees to maintain the same insurance coverages as the insurance coverages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which Tenant is required to maintain under this Lease and to provide evidence thereof satisfactory to Landlord when requested; and</w:t>
      </w:r>
    </w:p>
    <w:p>
      <w:pPr>
        <w:spacing w:after="0" w:line="26" w:lineRule="exact"/>
        <w:rPr>
          <w:sz w:val="20"/>
          <w:szCs w:val="20"/>
          <w:color w:val="auto"/>
        </w:rPr>
      </w:pPr>
    </w:p>
    <w:p>
      <w:pPr>
        <w:ind w:right="140" w:firstLine="8"/>
        <w:spacing w:after="0" w:line="234" w:lineRule="auto"/>
        <w:tabs>
          <w:tab w:leader="none" w:pos="3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tenant delivers to Landlord evidence, in form and substance satisfactory to Landlord, of the insurance coverages required to be maintained by such new tenant under the agreement referenced in clause (i) above. No modification of the terms of this Lease or any course of dealing between Landlord and any assignee or sublessee of Tenant’s interest herein shall operate to release or impair Tenant’s obligations hereunder.</w:t>
      </w:r>
    </w:p>
    <w:p>
      <w:pPr>
        <w:spacing w:after="0" w:line="177" w:lineRule="exact"/>
        <w:rPr>
          <w:rFonts w:ascii="Times New Roman" w:cs="Times New Roman" w:eastAsia="Times New Roman" w:hAnsi="Times New Roman"/>
          <w:sz w:val="22"/>
          <w:szCs w:val="22"/>
          <w:color w:val="auto"/>
        </w:rPr>
      </w:pPr>
    </w:p>
    <w:p>
      <w:pPr>
        <w:ind w:firstLine="1529"/>
        <w:spacing w:after="0" w:line="234" w:lineRule="auto"/>
        <w:tabs>
          <w:tab w:leader="none" w:pos="1827"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Tenant seeks Landlord’s consent to an assignment of this Lease other than to a Permitted Transferee or a sublease of 50% or more of the Premises other than to a Permitted Transferee, Landlord, at its option, may terminate this Lease (or if the request is for a sublease of less than all of the Premises, but for all of the remaining term, at Landlord’s option, Landlord may terminate this Lease as to the portion requested to be sublet and Landlord and Tenant shall execute an amendment to this Lease to modify the Premises and to adjust Base Rent and Tenant’s Share based upon the approximate remaining leasable square footage to the Leasable Square Footage of the Building); provided that if Landlord exercises such option, Tenant may, by written notice given to Landlord within five days after Landlord gives Tenant written notice of exercise of such option, defeat such exercise by withdrawing the request for Landlord’s consent to the proposed assignment or sublease and terminating the proposed assignment or sublease. In the event of any such termination, Landlord may enter into a new lease with the proposed assignee or sublessee or any other party on any terms and provisions acceptable to Landlord in Landlord’s sole discretion for the Premises or the portion of the Premises released from this Lease</w:t>
      </w:r>
    </w:p>
    <w:p>
      <w:pPr>
        <w:spacing w:after="0" w:line="176" w:lineRule="exact"/>
        <w:rPr>
          <w:rFonts w:ascii="Times New Roman" w:cs="Times New Roman" w:eastAsia="Times New Roman" w:hAnsi="Times New Roman"/>
          <w:sz w:val="22"/>
          <w:szCs w:val="22"/>
          <w:color w:val="auto"/>
        </w:rPr>
      </w:pPr>
    </w:p>
    <w:p>
      <w:pPr>
        <w:ind w:right="160" w:firstLine="1529"/>
        <w:spacing w:after="0" w:line="258" w:lineRule="auto"/>
        <w:tabs>
          <w:tab w:leader="none" w:pos="181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enter into any arrangements with any subtenant or assignee to circumvent, or which have the effect of circumventing any provisions of this Article VIII.</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RIGHTS OF MORTGAGEES AND GROUND LESSORS; ESTOPPEL CERTIFICATES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9.1 Subordination to Mortgages and Ground Leases</w:t>
      </w:r>
    </w:p>
    <w:p>
      <w:pPr>
        <w:spacing w:after="0" w:line="206" w:lineRule="exact"/>
        <w:rPr>
          <w:sz w:val="20"/>
          <w:szCs w:val="20"/>
          <w:color w:val="auto"/>
        </w:rPr>
      </w:pPr>
    </w:p>
    <w:p>
      <w:pPr>
        <w:ind w:right="20" w:firstLine="761"/>
        <w:spacing w:after="0" w:line="234" w:lineRule="auto"/>
        <w:rPr>
          <w:sz w:val="20"/>
          <w:szCs w:val="20"/>
          <w:color w:val="auto"/>
        </w:rPr>
      </w:pPr>
      <w:r>
        <w:rPr>
          <w:rFonts w:ascii="Times New Roman" w:cs="Times New Roman" w:eastAsia="Times New Roman" w:hAnsi="Times New Roman"/>
          <w:sz w:val="22"/>
          <w:szCs w:val="22"/>
          <w:color w:val="auto"/>
        </w:rPr>
        <w:t>. Landlord represents that, as of the date of this Lease, no mortgage encumbers all or any part of Landlord’s Property. Provided that such mortgagee delivers to Tenant a subordination, non-disturbance and attornment agreement on such mortgagee’s standard form consistent with commercial practices within the real estate industry, Tenant agrees that this Lease shall be subordinate to the lien of any future mortgage or mortgages, or ground lease, upon Landlord’s Property, irrespective of the time of execution or time of recording of any such mortgage or mortgages, or ground lease, and to all renewals, extensions, and modifications therefor or amendments thereto. Tenant agrees that it will, upon five (5) business days’ advance written request from Landlord or any holder of a mortgage on all or a portion of Landlord’s Property or the ground lessor thereof, execute, acknowledge, and deliver any and all commercially reasonable instruments reasonably deemed necessary or desirable by Landlord, or such holder to give effect to, or notice of, such subordination.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9.2 Lease Superior at Mortgagee’s or Ground Lessor’s Election</w:t>
      </w:r>
    </w:p>
    <w:p>
      <w:pPr>
        <w:spacing w:after="0" w:line="206" w:lineRule="exact"/>
        <w:rPr>
          <w:sz w:val="20"/>
          <w:szCs w:val="20"/>
          <w:color w:val="auto"/>
        </w:rPr>
      </w:pPr>
    </w:p>
    <w:p>
      <w:pPr>
        <w:ind w:right="60" w:firstLine="769"/>
        <w:spacing w:after="0" w:line="239" w:lineRule="auto"/>
        <w:tabs>
          <w:tab w:leader="none" w:pos="91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in writing of any mortgagee, or ground lessor, of Landlord’s Property, this Lease shall be deemed superior to such mortgage, or ground lease, whether this Lease was executed before or after such mortgage, or ground lease, and Tenant shall execute such documents to effect the foregoing in recordable form as such mortgagee, or ground lessor, shall reasonably request.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9.3 Notice to Mortgagee and Ground Lessor</w:t>
      </w:r>
    </w:p>
    <w:p>
      <w:pPr>
        <w:spacing w:after="0" w:line="206" w:lineRule="exact"/>
        <w:rPr>
          <w:sz w:val="20"/>
          <w:szCs w:val="20"/>
          <w:color w:val="auto"/>
        </w:rPr>
      </w:pPr>
    </w:p>
    <w:p>
      <w:pPr>
        <w:ind w:right="220" w:firstLine="769"/>
        <w:spacing w:after="0" w:line="255" w:lineRule="auto"/>
        <w:tabs>
          <w:tab w:leader="none" w:pos="92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of a written request from Landlord or any holder of a mortgage, on all or any part of Landlord’s Property, or the ground lessor thereof, Tenant will thereafter send any such holder copies of all notices of default or termination given by Tenant to Landlord in accordance with any provision of this Lease. In the event of any failure by Landlord to perform, fulfill or observe any agreement by Landlord herein or any breach by Landlord of any representation or warranty of</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6" w:name="page97"/>
    <w:bookmarkEnd w:id="96"/>
    <w:p>
      <w:pPr>
        <w:ind w:right="580"/>
        <w:spacing w:after="0" w:line="259" w:lineRule="auto"/>
        <w:rPr>
          <w:sz w:val="20"/>
          <w:szCs w:val="20"/>
          <w:color w:val="auto"/>
        </w:rPr>
      </w:pPr>
      <w:r>
        <w:rPr>
          <w:rFonts w:ascii="Times New Roman" w:cs="Times New Roman" w:eastAsia="Times New Roman" w:hAnsi="Times New Roman"/>
          <w:sz w:val="22"/>
          <w:szCs w:val="22"/>
          <w:color w:val="auto"/>
        </w:rPr>
        <w:t>Landlord herein, any such holder may at its election cure such failure or breach for and on behalf of Landlord within the time provided herein for Landlord to cure the same.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9.4 Limitations on Obligations of Mortgagees, Ground Lessors and Successors</w:t>
      </w:r>
    </w:p>
    <w:p>
      <w:pPr>
        <w:spacing w:after="0" w:line="206" w:lineRule="exact"/>
        <w:rPr>
          <w:sz w:val="20"/>
          <w:szCs w:val="20"/>
          <w:color w:val="auto"/>
        </w:rPr>
      </w:pPr>
    </w:p>
    <w:p>
      <w:pPr>
        <w:ind w:firstLine="769"/>
        <w:spacing w:after="0" w:line="232" w:lineRule="auto"/>
        <w:tabs>
          <w:tab w:leader="none" w:pos="91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that the holder of a mortgage or ground lease or any successor-in-interest to any of them or to Landlord shall not be: (a) bound by any payment of an installment of Base Rent or Additional Rent which may have been made more than 30 days before the due date of such installment; (b) bound by any amendment or modification to this Lease made without the consent of the holder of a mortgage or ground lease or such successor in interest (to the extent such consent is required by such mortgage, ground lease or documents executed by Landlord and/or Tenant in connection with the same); (c) liable for any previous act or omission of Landlord (or its predecessors in interest) except for a non-monetary default by such Landlord under the Lease that began prior to such holder’s succession-in-interest, is ongoing and continuing following such succession event, is susceptible of being cured and for which Tenant has provided such holder with notice as may be required hereunder or under any separate agreement with such holder; (d) responsible for any monies owing by Landlord to the credit of Tenant or subject to any credits, offsets, claims, counterclaims, demands or defenses which Tenant may have against Landlord (or any of its predecessors in interest); (e) bound by any covenant to undertake or complete any construction of the Premises or any portion thereof; or (f) obligated to make any payment to Tenant other than any security deposit actually delivered to holder of a mortgage or ground lease or such successor in interest. Further, Tenant agrees that it will not seek to terminate this Lease by reason of any act or omission of Landlord until Tenant shall have given written notice of such act or omission to the holder of such mortgage or ground lease (at such holder’s last address furnished to Tenant) and following the giving of such notice such holder shall have the right, but shall not be obligated, to remedy such act or omission within 20 business days after the time period provided for in this Lease for Landlord to cure the same or, if such cure cannot reasonably be completed with such period, such longer period as may be reasonably necessary to cure the same provided that such party commences such cure within said 20 business day period and diligently prosecutes such cure to completion; provided, however, the total period provided for such cure shall in no event exceed sixty days. Tenant shall enter into a written agreement confirming the foregoing from time to time upon written request from Landlord and/or the holder of a mortgage or ground lease on Landlord’s Property.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9.5 Estoppel Certificates</w:t>
      </w:r>
    </w:p>
    <w:p>
      <w:pPr>
        <w:spacing w:after="0" w:line="206" w:lineRule="exact"/>
        <w:rPr>
          <w:sz w:val="20"/>
          <w:szCs w:val="20"/>
          <w:color w:val="auto"/>
        </w:rPr>
      </w:pPr>
    </w:p>
    <w:p>
      <w:pPr>
        <w:ind w:firstLine="769"/>
        <w:spacing w:after="0" w:line="245" w:lineRule="auto"/>
        <w:tabs>
          <w:tab w:leader="none" w:pos="92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(“Responding Party”) agrees, at any time and from time to time, within ten business days after written request by the other party (“Requesting Party”) or any holder of a mortgage on all or a portion of Landlord’s Property or the ground lessor thereof, to execute, acknowledge and deliver to the Requesting Party a statement in writing certifying that (except as may be otherwise specified by the Responding Party): (i) this Lease is presently in full force and effect and unmodified; (ii) Tenant has accepted possession of the Premises; (iii) any improvements required by the terms of this Lease to be made by Landlord have been completed to the satisfaction of Tenant; (iv) no rent under this Lease has been paid more than 30 days in advance of its due date; (v) the addresses for notices to be sent to the Responding Party is as set forth in this Lease or as specified in such certificate; (vi) to the best of the knowledge of the Responding Party, Tenant as of the date of executing the certificate has no charge, lien or claim of offset under this Lease, or otherwise, against rents or other charges due or to become due hereunder; (vii) to the best of the knowledge of the Responding Party, the Responding Party is not in default under this Lease; and (viii) such other factual information as the Requesting Party may reasonably request about this Lease or Tenant’s occupancy to the extent that the same is in the possession of the Responding Party and may be responded to without incurring any out-of-pocket costs.</w:t>
      </w:r>
    </w:p>
    <w:p>
      <w:pPr>
        <w:spacing w:after="0" w:line="2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ARTICLE X.</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CASUALTY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 Damage From Casualty</w:t>
      </w:r>
    </w:p>
    <w:p>
      <w:pPr>
        <w:spacing w:after="0" w:line="206" w:lineRule="exact"/>
        <w:rPr>
          <w:sz w:val="20"/>
          <w:szCs w:val="20"/>
          <w:color w:val="auto"/>
        </w:rPr>
      </w:pPr>
    </w:p>
    <w:p>
      <w:pPr>
        <w:ind w:right="80" w:firstLine="769"/>
        <w:spacing w:after="0" w:line="244" w:lineRule="auto"/>
        <w:tabs>
          <w:tab w:leader="none" w:pos="9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material portion of the Premises or the Building affecting Tenant’s use of the Premises is damaged by fire or other casualty, Tenant shall give Landlord written notice of such casualty in the Premises promptly after Tenant becomes aware of such casualty. Within 30 days after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7" w:name="page98"/>
    <w:bookmarkEnd w:id="97"/>
    <w:p>
      <w:pPr>
        <w:ind w:right="100"/>
        <w:spacing w:after="0" w:line="245" w:lineRule="auto"/>
        <w:rPr>
          <w:sz w:val="20"/>
          <w:szCs w:val="20"/>
          <w:color w:val="auto"/>
        </w:rPr>
      </w:pPr>
      <w:r>
        <w:rPr>
          <w:rFonts w:ascii="Times New Roman" w:cs="Times New Roman" w:eastAsia="Times New Roman" w:hAnsi="Times New Roman"/>
          <w:sz w:val="21"/>
          <w:szCs w:val="21"/>
          <w:color w:val="auto"/>
        </w:rPr>
        <w:t>Tenant gives Landlord written notice of such casualty, Landlord shall reasonably estimate, and give Tenant written notice of, the period commencing with the date of such notice (the “Restoration Period”) that Landlord anticipates will be reasonably required to perform the restoration work which is the responsibility of Landlord as provided below. If Landlord reasonably estimates that the Restoration Period will be longer than 90 days, or if such casualty occurs during the final six (6) months of the Lease Term and Tenant does not elect to exercise a right to extend the Lease Term, if any, then either Landlord or Tenant may terminate this Lease by giving to the other written notice of termination within ten days after Landlord gives Tenant written notice of such</w:t>
      </w:r>
    </w:p>
    <w:p>
      <w:pPr>
        <w:spacing w:after="0" w:line="4"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estimate. Such notice of termination shall be effective on the date thereof, and if Tenant is then occupying the Premises, Tenant shall thereafter have a reasonable period of time in which to vacate the Premises. If (i) Landlord reasonably estimates that the Restoration Period will be 90 days or shorter, or (ii) Landlord reasonably estimates that the Restoration Period will be longer than 90 days but neither Landlord nor Tenant exercises its right to terminate this Lease as set forth above, then this Lease shall not terminate; and in such event, Landlord shall, unless Landlord exercises its termination right pursuant to Section 10.3, with reasonable dispatch, repair or rebuild the Premises to the condition thereof as of the Term Commencement Date (subject, however, to Legal Requirements then in existence), and Tenant shall, forthwith after the completion of Landlord’s Restoration Work, repair or rebuild the Premises to substantially its condition immediately before the occurrence of the casualty.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10.2 Abatement of Rent</w:t>
      </w:r>
    </w:p>
    <w:p>
      <w:pPr>
        <w:spacing w:after="0" w:line="206" w:lineRule="exact"/>
        <w:rPr>
          <w:sz w:val="20"/>
          <w:szCs w:val="20"/>
          <w:color w:val="auto"/>
        </w:rPr>
      </w:pPr>
    </w:p>
    <w:p>
      <w:pPr>
        <w:ind w:right="100" w:firstLine="769"/>
        <w:spacing w:after="0" w:line="234" w:lineRule="auto"/>
        <w:tabs>
          <w:tab w:leader="none" w:pos="9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provisions of Section 10.1 shall become applicable, the Base Rent and Additional Rent shall be abated or reduced proportionately during any period in which, by reason of any such damage or destruction, there is substantial interference with the operation of the business of Tenant in the Premises, having regard to the extent to which Tenant may be required to discontinue its business in the Premises, and such abatement or reduction shall continue (but may be reasonably adjusted from time to time based on the extent of the interference with Tenant’s operations) for the period commencing with such destruction or damage and ending on the earlier to occur of (i) the date on which Tenant commences business operations in the Premises or the portion thereof affected by the casualty and (ii) the date that is 60 days after substantial completion by Landlord of the restoration work to be performed by Landlord under Section 10.1 above, with respect to the Office Premises and 120 days after such substantial completion with respect to the Laboratory Premises.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10.3 Landlord’s Right to Terminate</w:t>
      </w:r>
    </w:p>
    <w:p>
      <w:pPr>
        <w:spacing w:after="0" w:line="206" w:lineRule="exact"/>
        <w:rPr>
          <w:sz w:val="20"/>
          <w:szCs w:val="20"/>
          <w:color w:val="auto"/>
        </w:rPr>
      </w:pPr>
    </w:p>
    <w:p>
      <w:pPr>
        <w:jc w:val="both"/>
        <w:ind w:right="20" w:firstLine="769"/>
        <w:spacing w:after="0" w:line="249" w:lineRule="auto"/>
        <w:tabs>
          <w:tab w:leader="none" w:pos="92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Landlord may terminate this Lease following: (a) damage or destruction to the Building or Premises to the extent of 50% or more of the cost of replacement thereof; or (b) the refusal of the applicable insurance carrier to pay funds sufficient for the cost to repair or replace, less any applicable deductible. Landlord may exercise the right to so terminate this Lease by written notice to Tenant given within 60 days after the date of the damage or 60 days after the date Landlord receives written notice of such damage, whichever is later. Such notice of termination shall be effective on the date thereof, and if Tenant is then occupying the Premises, Tenant shall thereafter have a reasonable period of time in which to vacate the Premises.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XI.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EMINENT DOMAIN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11.1 Eminent Domain; Right to Terminate and Abatement in Rent</w:t>
      </w:r>
    </w:p>
    <w:p>
      <w:pPr>
        <w:spacing w:after="0" w:line="206" w:lineRule="exact"/>
        <w:rPr>
          <w:sz w:val="20"/>
          <w:szCs w:val="20"/>
          <w:color w:val="auto"/>
        </w:rPr>
      </w:pPr>
    </w:p>
    <w:p>
      <w:pPr>
        <w:ind w:firstLine="769"/>
        <w:spacing w:after="0" w:line="235" w:lineRule="auto"/>
        <w:tabs>
          <w:tab w:leader="none" w:pos="92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or any part thereof, or the whole or any substantial part of Landlord’s Property, shall be taken, or if a conveyance shall be made in anticipation thereof, for any street or other public use, by action of the municipal, state, federal or other authorities, or shall receive any substantial direct or consequential damage for which Landlord or Tenant shall be entitled to compensation by reason of anything lawfully done in pursuance of any public authority, after the execution hereof and before the expiration of the Lease Term, then this Lease and the Lease Term shall terminate at the election of Landlord or Tenant (given by written notice to the other within 90 days of the taking or within 90 days of notice of the taking to Landlord), and such election may be made in case of any such taking notwithstanding the entire interest of Landlord may have been divested by such taking; and if neither Landlord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8" w:name="page99"/>
    <w:bookmarkEnd w:id="98"/>
    <w:p>
      <w:pPr>
        <w:ind w:right="20"/>
        <w:spacing w:after="0" w:line="235" w:lineRule="auto"/>
        <w:rPr>
          <w:sz w:val="20"/>
          <w:szCs w:val="20"/>
          <w:color w:val="auto"/>
        </w:rPr>
      </w:pPr>
      <w:r>
        <w:rPr>
          <w:rFonts w:ascii="Times New Roman" w:cs="Times New Roman" w:eastAsia="Times New Roman" w:hAnsi="Times New Roman"/>
          <w:sz w:val="22"/>
          <w:szCs w:val="22"/>
          <w:color w:val="auto"/>
        </w:rPr>
        <w:t>nor Tenant so elects, then in case of any such taking or destruction of, or damage to, the Premises, rendering the same or any part thereof unfit for use and occupation, a just proportion of the Base Rent hereinbefore reserved according to the nature and extent of the injury sustained by the Premises as reasonably determined by Landlord, shall be suspended or abated until the Premises or, in case of such taking, what may remain thereof, shall have been put in proper condition for use and occupation. To the extent that the Premises, upon having been put in proper condition for use and occupation are smaller than before such taking, the Base Rent hereinbefore reserved shall be reduced for the balance of the Lease Term in the same proportion which the reduction in space bears to the original Leasable Square Footage of the Premises. In the event of a taking of any portion of the Building, Tenant’s Share shall be recomputed.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11.2 Restoration</w:t>
      </w:r>
    </w:p>
    <w:p>
      <w:pPr>
        <w:spacing w:after="0" w:line="206" w:lineRule="exact"/>
        <w:rPr>
          <w:sz w:val="20"/>
          <w:szCs w:val="20"/>
          <w:color w:val="auto"/>
        </w:rPr>
      </w:pPr>
    </w:p>
    <w:p>
      <w:pPr>
        <w:ind w:firstLine="769"/>
        <w:spacing w:after="0" w:line="234" w:lineRule="auto"/>
        <w:tabs>
          <w:tab w:leader="none" w:pos="92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Lease is not terminated as provided in Section 11.1, Landlord shall apply so much of the available proceeds of the eminent domain award as are required to restore Landlord’s Property and the Premises to a condition, to the extent practical, substantially the same as that immediately preceding the taking, but subject to zoning laws and building codes then in existence. If the available proceeds of the eminent domain award are insufficient, in Landlord’s judgment, for that purpose, Landlord shall (i) notify Tenant within thirty (30) days following notification of such award, (ii) have no obligation to expend funds in excess of said proceeds and (iii) have the right to select which portions of Landlord’s Property, if any, shall be restored, by notice to Tenant. Tenant shall have the right in its sole discretion within thirty (30) days following notification from Landlord that Landlord does not intend to restore the Premises in its entirety to terminate this Lease by notice to Landlord. The term “available proceeds” means the amount of the award paid to Landlord, less cost of obtaining the same (including attorneys’ fees and appraisal fees) and less the amount thereof required to be paid to a mortgagee or ground lessor.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11.3 Landlord to Control Eminent Domain Action</w:t>
      </w:r>
    </w:p>
    <w:p>
      <w:pPr>
        <w:spacing w:after="0" w:line="206" w:lineRule="exact"/>
        <w:rPr>
          <w:sz w:val="20"/>
          <w:szCs w:val="20"/>
          <w:color w:val="auto"/>
        </w:rPr>
      </w:pPr>
    </w:p>
    <w:p>
      <w:pPr>
        <w:ind w:right="20" w:firstLine="769"/>
        <w:spacing w:after="0" w:line="236" w:lineRule="auto"/>
        <w:tabs>
          <w:tab w:leader="none" w:pos="92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all rights to compensation for damage to the Premises or any part thereof, or the leasehold hereby created, heretofore accrued or hereafter to accrue, by reason of any taking for public use of said Premises or any portion thereof, or right appurtenant thereto, or privilege or easement in, through, under or over the same, and by way of confirmation of the foregoing Tenant hereby assigns all rights to such damages heretofore accrued or hereafter accruing during the Lease Term to</w:t>
      </w:r>
    </w:p>
    <w:p>
      <w:pPr>
        <w:spacing w:after="0" w:line="1" w:lineRule="exact"/>
        <w:rPr>
          <w:rFonts w:ascii="Times New Roman" w:cs="Times New Roman" w:eastAsia="Times New Roman" w:hAnsi="Times New Roman"/>
          <w:sz w:val="22"/>
          <w:szCs w:val="22"/>
          <w:color w:val="auto"/>
        </w:rPr>
      </w:pPr>
    </w:p>
    <w:p>
      <w:pPr>
        <w:ind w:right="24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Provided, however, nothing herein contained shall limit Tenant’s right to any separate award for the taking of personal property, the cost of leasehold improvements installed in the Premises by Tenant to the extent such unamortized cost exceeds the Tenant Improvement Allowance and, if applicable, Landlord’s Additional Contribution, moving expenses, or other items the payment of which shall not reduce the award payable to Landlord.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DEFAULT AND REMEDIES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12.1 Event of Default</w:t>
      </w:r>
    </w:p>
    <w:p>
      <w:pPr>
        <w:spacing w:after="0" w:line="206" w:lineRule="exact"/>
        <w:rPr>
          <w:sz w:val="20"/>
          <w:szCs w:val="20"/>
          <w:color w:val="auto"/>
        </w:rPr>
      </w:pPr>
    </w:p>
    <w:p>
      <w:pPr>
        <w:ind w:right="40" w:firstLine="769"/>
        <w:spacing w:after="0" w:line="233" w:lineRule="auto"/>
        <w:tabs>
          <w:tab w:leader="none" w:pos="91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“Event of Default” means the occurrence and/or existence of any one or more of the following: (a) (i) Tenant shall fail to pay any installment of Base Rent, Additional Rent or any other monetary amount due under this Lease on or before the date on which the same becomes due and payable, and such failure continues for five business days after written notice from Landlord thereof or (ii) Landlord having given the written notice specified in the foregoing clause (i) to Tenant twice in any 12 month period, Tenant shall fail, on a third occasion within the 12 months following the giving of the first such notice by Landlord, to pay any installment of Base Rent, Additional Rent or any other monetary amount due under this Lease on or before the date on which the same becomes due and payable; or (b) Tenant shall neglect or fail to perform or observe any of the other covenants or undertakings herein on its part to be performed or observed and such neglect or failure shall continue for 30 days after written notice to Tenant; provided that if the default is other than a default under clause (a) above, or clauses (c) through (h) below, and is such that it cannot be cured within 30 days, but is capable of being cured, such 30 day period shall be extended by up to 60 additional days provided that Tenant commences to cure such default within said 30 day period, continues to do so diligently, and thereafter completes such cure within not more than 90 days following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9" w:name="page100"/>
    <w:bookmarkEnd w:id="99"/>
    <w:p>
      <w:pPr>
        <w:ind w:right="100"/>
        <w:spacing w:after="0" w:line="236" w:lineRule="auto"/>
        <w:rPr>
          <w:sz w:val="20"/>
          <w:szCs w:val="20"/>
          <w:color w:val="auto"/>
        </w:rPr>
      </w:pPr>
      <w:r>
        <w:rPr>
          <w:rFonts w:ascii="Times New Roman" w:cs="Times New Roman" w:eastAsia="Times New Roman" w:hAnsi="Times New Roman"/>
          <w:sz w:val="22"/>
          <w:szCs w:val="22"/>
          <w:color w:val="auto"/>
        </w:rPr>
        <w:t>the notice of default; or (c) there is filed by Tenant any case, petition, proceeding or other action under any Bankruptcy Law; or (d) any other proceedings shall be instituted against Tenant under any Bankruptcy Law and not be dismissed within 60 days; or (e) Tenant shall execute an assignment of its property for the benefit of its creditors; or (f) a receiver, custodian or other similar officer for Tenant shall be appointed and not be discharged within 60 days; or (g) the estate hereby created shall be taken by execution or by other process of law and is not redeemed by Tenant within 60 days thereafter; or (h) an assignment or sublease in violation of the terms of this Lease.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12.2 Landlord’s Remedies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529"/>
        <w:spacing w:after="0" w:line="234" w:lineRule="auto"/>
        <w:tabs>
          <w:tab w:leader="none" w:pos="181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 Event of Default, Landlord may, immediately or at any time thereafter (notwithstanding any license or waiver of any former breach or waiver of the benefit hereof, or consent in a former instance), and enter the Premises or any part thereof and repossess the same as of its former estate in accordance with law, or terminate this Lease by written notice to Tenant, and in either event expel Tenant and those claiming through or under it and remove their effects (forcibly, if necessary) in compliance with law without being deemed guilty of any manner of trespass and without prejudice to any remedy which might otherwise be used for arrears of Base Rent or Additional Rent or breach of covenant, and upon entry or written notice of termination, or automatic termination, both as aforesaid, this Lease shall terminate and Landlord, in addition to all other remedies which it may have at law or equity, and not in limitation thereof, shall have the remedies provided in this Article XII. No termination of this Lease and/or repossession of the Premises pursuant to this Section 12.2(a) shall relieve Tenant of its obligations under this Lease, which shall survive such termination or repossession.</w:t>
      </w:r>
    </w:p>
    <w:p>
      <w:pPr>
        <w:spacing w:after="0" w:line="180" w:lineRule="exact"/>
        <w:rPr>
          <w:rFonts w:ascii="Times New Roman" w:cs="Times New Roman" w:eastAsia="Times New Roman" w:hAnsi="Times New Roman"/>
          <w:sz w:val="22"/>
          <w:szCs w:val="22"/>
          <w:color w:val="auto"/>
        </w:rPr>
      </w:pPr>
    </w:p>
    <w:p>
      <w:pPr>
        <w:ind w:firstLine="1529"/>
        <w:spacing w:after="0" w:line="233" w:lineRule="auto"/>
        <w:tabs>
          <w:tab w:leader="none" w:pos="182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termination of this Lease pursuant to Section 12.2(a) through the remainder of the Lease Term, until such time, if any, that Landlord exercises its right pursuant to Section 12.2(c), Tenant shall pay to Landlord the Base Rent and Additional Rent in installments as and when the same become due and payable, subject to reduction by any rent and additional rent actually received by Landlord as a result of a re-letting of the Premises (net of the reasonable costs of re-letting, including remodeling costs, brokerage commissions and reasonable attorneys’ fees). Landlord shall exercise commercially reasonable efforts to re-let the Premises to mitigate damages, and Landlord may re let the Premises or any part or parts thereof for a term or terms which may, at Landlord’s option, be less than or exceed the period which would otherwise have constituted the balance of the Lease Term and may grant concessions or free rent. The good faith failure of Landlord to re let the Premises or any part or parts thereof, or, if the Premises are re let, the good faith failure to collect the rents due under such re letting, shall not release or affect Tenant’s liability for damage so long as Landlord does not act arbitrarily or capriciously. Any suit brought to collect the amount of deficiency for any month or other period shall not prejudice in any way the right of Landlord to collect the deficiency for any subsequent month or period by a similar proceeding. Landlord, at Landlord’s option, may make such alterations, repairs, replacements and decorations to the Premises as Landlord in Landlord’s sole but reasonable judgment considers advisable and necessary for the purpose of re letting the Premises, and the making of such alterations or decorations shall not operate or be construed to release Tenant from liability hereunder.</w:t>
      </w:r>
    </w:p>
    <w:p>
      <w:pPr>
        <w:spacing w:after="0" w:line="178" w:lineRule="exact"/>
        <w:rPr>
          <w:rFonts w:ascii="Times New Roman" w:cs="Times New Roman" w:eastAsia="Times New Roman" w:hAnsi="Times New Roman"/>
          <w:sz w:val="22"/>
          <w:szCs w:val="22"/>
          <w:color w:val="auto"/>
        </w:rPr>
      </w:pPr>
    </w:p>
    <w:p>
      <w:pPr>
        <w:ind w:right="120" w:firstLine="1529"/>
        <w:spacing w:after="0" w:line="235" w:lineRule="auto"/>
        <w:tabs>
          <w:tab w:leader="none" w:pos="181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Landlord’s option exercisable by written notice given to Tenant upon or after the termination of this Lease pursuant to Section 12.2(a), Tenant shall forthwith pay to Landlord as damages, in addition to all sums which were due prior to the exercise of such option by Landlord, a sum equal to the amount by which the Base Rent and Additional Rent for the remainder of the Lease Term exceeds the fair rental value of the Premises determined as of the termination date for the remainder of the Lease Term, discounted to present value at the then-applicable federal discount rate. For the purposes of computing damages payable pursuant to this Section 12.2(c), the annual Additional Rent with respect to Taxes, Insurance Costs and Operating Costs for the remainder of the Lease Term will be assumed to be such Additional Rent for the most recently ended fiscal, calendar or lease year, as the case may be.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0" w:name="page101"/>
    <w:bookmarkEnd w:id="100"/>
    <w:p>
      <w:pPr>
        <w:ind w:left="740"/>
        <w:spacing w:after="0"/>
        <w:rPr>
          <w:sz w:val="20"/>
          <w:szCs w:val="20"/>
          <w:color w:val="auto"/>
        </w:rPr>
      </w:pPr>
      <w:r>
        <w:rPr>
          <w:rFonts w:ascii="Times New Roman" w:cs="Times New Roman" w:eastAsia="Times New Roman" w:hAnsi="Times New Roman"/>
          <w:sz w:val="22"/>
          <w:szCs w:val="22"/>
          <w:u w:val="single" w:color="auto"/>
          <w:color w:val="auto"/>
        </w:rPr>
        <w:t>Section 12.3 Reimbursement of Landlord</w:t>
      </w:r>
    </w:p>
    <w:p>
      <w:pPr>
        <w:spacing w:after="0" w:line="207" w:lineRule="exact"/>
        <w:rPr>
          <w:sz w:val="20"/>
          <w:szCs w:val="20"/>
          <w:color w:val="auto"/>
        </w:rPr>
      </w:pPr>
    </w:p>
    <w:p>
      <w:pPr>
        <w:ind w:left="-20" w:firstLine="769"/>
        <w:spacing w:after="0" w:line="234" w:lineRule="auto"/>
        <w:tabs>
          <w:tab w:leader="none" w:pos="90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default by Tenant in the payment of any Base Rent or Additional Rent, Tenant will, in addition to paying Landlord all amounts due under the terms and provisions of this Lease, including, without limitation, Section 12.9, reimburse Landlord for all reasonable expenses incurred by Landlord in collecting such rent or in obtaining possession of, or in re letting the Premises, or in defending any action, including expenses for reasonable counsel fees and commissions. Tenant further agrees that, if on termination of this Lease by expiration or otherwise, Tenant shall fail to remove any of its property from the Premises as provided for herein, Landlord shall be authorized, in its sole option, and in Tenant’s name and on its behalf, either (a) to cause such property to be removed and placed in storage for the account and at the expense of Tenant; or (b) to sell such property at public or private sale, with or without notice, and to apply the proceeds thereof, after the payment of all expenses of removal, storage and sale, to the indebtedness, if any, of Tenant to Landlord, the surplus, if any, to be paid to Tenant; prior to the removal of such property Landlord may charge Tenant a fair rental amount for the storage of such property. All sums payable by Tenant under this Article XII shall be deemed Additional Rent.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12.4 Landlord’s Right to Perform Tenant’s Covenants</w:t>
      </w:r>
    </w:p>
    <w:p>
      <w:pPr>
        <w:spacing w:after="0" w:line="206" w:lineRule="exact"/>
        <w:rPr>
          <w:sz w:val="20"/>
          <w:szCs w:val="20"/>
          <w:color w:val="auto"/>
        </w:rPr>
      </w:pPr>
    </w:p>
    <w:p>
      <w:pPr>
        <w:ind w:left="-20" w:right="120" w:firstLine="769"/>
        <w:spacing w:after="0" w:line="232" w:lineRule="auto"/>
        <w:tabs>
          <w:tab w:leader="none" w:pos="89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and agrees that, if it shall at any time fail to make any payment or perform any other act on its part to be made or performed as in this Lease provided, then Landlord, in its sole discretion may after due notice to, or demand upon, Tenant and subject to the limitations set forth below, make any payment or perform any other act on the part of Tenant to be made and performed as in this Lease provided, in such manner and to such extent as Landlord may reasonably deem desirable, and in exercising any such rights, Landlord may pay necessary and incidental costs and expenses, employ counsel, and incur and pay reasonable attorneys’ fees. The making of any such payment or the performing of any other act by Landlord pursuant to this Article shall not waive, or release Tenant from, any obligations of Tenant in this Lease contained. All sums so paid by Landlord and all reasonably necessary and incidental costs and expenses in connection with the performance of any such act by Landlord shall, except as otherwise in this Lease expressly provided, be payable to Landlord on demand, and Tenant covenants to pay any such sum or sums promptly, and Landlord shall have (in addition to any other right or remedy of Landlord) the same rights and remedies in the event of the non-payment thereof by Tenant as in the case of default by Tenant in the payment of the Base Rent. Whenever practicable, Landlord, before proceeding as provided in this Section 12.4, shall give Tenant notice in writing of the failure of Tenant which Landlord proposes to remedy, and shall allow Tenant such length of time as may be reasonable in the circumstances, consistent with any grace periods contained herein, but not exceeding 30 days from the giving of notice, to remedy the failure itself and, if Tenant shall not remedy the failure in the time so allowed, Landlord shall be deemed to have given “due notice” and may proceed as provided in this Section 12.4; provided that nothing in this Section shall prevent Landlord from acting without notice to Tenant in case of any emergency wherein there is danger to property or person or where there may exist any violation of legal requirements including but not limited to the presence of Hazardous Materials, in which event no notice shall be required.</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12.5 Cumulative Remedies</w:t>
      </w:r>
    </w:p>
    <w:p>
      <w:pPr>
        <w:spacing w:after="0" w:line="206" w:lineRule="exact"/>
        <w:rPr>
          <w:sz w:val="20"/>
          <w:szCs w:val="20"/>
          <w:color w:val="auto"/>
        </w:rPr>
      </w:pPr>
    </w:p>
    <w:p>
      <w:pPr>
        <w:ind w:left="-20" w:firstLine="769"/>
        <w:spacing w:after="0" w:line="234" w:lineRule="auto"/>
        <w:tabs>
          <w:tab w:leader="none" w:pos="89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remedies to which Landlord may resort under the terms of this Lease, or under the provisions of applicable law, are cumulative and not intended to be exclusive of any other remedies or means of redress to which Landlord may be lawfully entitled in case of any breach or threatened breach by Tenant of any provisions of this Lease. The failure of Landlord to insist in any one or more cases upon the strict performance of any of the covenants of this Lease or to exercise any option contained herein shall not be construed as a waiver or a relinquishment for the future of such covenant or option. Receipt by Landlord of any Base Rent or Additional Rent payment with knowledge of the breach of any covenants hereof shall not be deemed a waiver of such breach. No waiver by Landlord or Tenant of any provision of this Lease shall be deemed to have been made unless expressed in writing and signed by the waiving party. In addition to the other remedies provided in this Lease, Landlord shall be entitled to restraint by injunction of any violation or attempted or threatened violation of any of the covenants, conditions or provisions of this Lease.</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Section 12.6 Expenses of Enforcement</w:t>
      </w:r>
    </w:p>
    <w:p>
      <w:pPr>
        <w:spacing w:after="0" w:line="206" w:lineRule="exact"/>
        <w:rPr>
          <w:sz w:val="20"/>
          <w:szCs w:val="20"/>
          <w:color w:val="auto"/>
        </w:rPr>
      </w:pPr>
    </w:p>
    <w:p>
      <w:pPr>
        <w:ind w:left="-20" w:right="580" w:firstLine="769"/>
        <w:spacing w:after="0" w:line="258" w:lineRule="auto"/>
        <w:tabs>
          <w:tab w:leader="none" w:pos="89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pay all reasonable expenses and reasonable attorneys’ fees incurred by Landlord in enforcing any obligation or any remedies hereunder including, without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11" w:right="259" w:bottom="1440" w:gutter="0" w:footer="0" w:header="0"/>
        </w:sectPr>
      </w:pPr>
    </w:p>
    <w:bookmarkStart w:id="101" w:name="page102"/>
    <w:bookmarkEnd w:id="101"/>
    <w:p>
      <w:pPr>
        <w:spacing w:after="0" w:line="244" w:lineRule="auto"/>
        <w:rPr>
          <w:sz w:val="20"/>
          <w:szCs w:val="20"/>
          <w:color w:val="auto"/>
        </w:rPr>
      </w:pPr>
      <w:r>
        <w:rPr>
          <w:rFonts w:ascii="Times New Roman" w:cs="Times New Roman" w:eastAsia="Times New Roman" w:hAnsi="Times New Roman"/>
          <w:sz w:val="22"/>
          <w:szCs w:val="22"/>
          <w:color w:val="auto"/>
        </w:rPr>
        <w:t>limitation, in connection with collection of Base Rent or Additional Rent, recovery by Landlord of the Premises, or in any litigation in which Landlord shall become involved by reason of any act or negligence of Tenant’s Invitees or any breach of this Lease by Tenant.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12.7 Landlord’s Default</w:t>
      </w:r>
    </w:p>
    <w:p>
      <w:pPr>
        <w:spacing w:after="0" w:line="206" w:lineRule="exact"/>
        <w:rPr>
          <w:sz w:val="20"/>
          <w:szCs w:val="20"/>
          <w:color w:val="auto"/>
        </w:rPr>
      </w:pPr>
    </w:p>
    <w:p>
      <w:pPr>
        <w:ind w:right="120" w:firstLine="769"/>
        <w:spacing w:after="0" w:line="236" w:lineRule="auto"/>
        <w:tabs>
          <w:tab w:leader="none" w:pos="92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deemed to be in default hereunder unless such default shall remain uncured for more than 30 days following written notice from Tenant to Landlord specifying the nature of such default, or, if such cure cannot reasonably be completed within such period, such longer period as may be reasonably required to correct such default provided that Landlord commences such cure within said 30 day period and diligently prosecutes such cure to completion. In no event whatsoever shall Landlord be liable for consequential or any indirect damages. The provisions of this Section 12.7 are further subject to the provisions of Articles X and XI dealing with eminent domain and fire and other casualty.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12.8 Limitation of Landlord’s Liability</w:t>
      </w:r>
    </w:p>
    <w:p>
      <w:pPr>
        <w:spacing w:after="0" w:line="206" w:lineRule="exact"/>
        <w:rPr>
          <w:sz w:val="20"/>
          <w:szCs w:val="20"/>
          <w:color w:val="auto"/>
        </w:rPr>
      </w:pPr>
    </w:p>
    <w:p>
      <w:pPr>
        <w:ind w:firstLine="769"/>
        <w:spacing w:after="0" w:line="233" w:lineRule="auto"/>
        <w:tabs>
          <w:tab w:leader="none" w:pos="91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Landlord hereunder shall be binding upon Landlord and each succeeding owner of Landlord’s interest hereunder only during the period of such ownership, and Landlord and each succeeding owner shall have no liability whatsoever except for its obligations during each such respective period. Tenant hereby agrees for itself and each succeeding holder of Tenant’s interest, or any portion thereof, hereunder, that any judgment, decree or award obtained against Landlord or any succeeding owner of Landlord’s interest, which is in any manner related to this Lease, the Premises or Tenant’s use and occupancy of the Premises or the Common Areas, or the remainder of Landlord’s Property, whether at law or in equity, shall be satisfied out of Landlord’s equity in the land and buildings then comprising Landlord’s Property owned by Landlord to the extent then owned by Landlord and the proceeds from Landlord’s Property and such succeeding owner, and further agrees to look only to such assets and to no other assets of Landlord, or such succeeding owner, for satisfaction. Except in the event such Person is a guarantor of Tenant’s obligations under this Lease, no Person executing this Lease on behalf of Landlord or Tenant, nor any limited partner, or any officer, director, employee, member, trustee, beneficiary, or other owner of Landlord or Tenant, nor of any subsequent Landlord or Tenant shall have any personal liability hereunder. The remedies provided to Tenant in this Lease are exclusive, and Landlord will not be liable under any theory of recovery, whether based on contract, tort or otherwise.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12.9 Late Payment and Administrative Expense</w:t>
      </w:r>
    </w:p>
    <w:p>
      <w:pPr>
        <w:spacing w:after="0" w:line="206" w:lineRule="exact"/>
        <w:rPr>
          <w:sz w:val="20"/>
          <w:szCs w:val="20"/>
          <w:color w:val="auto"/>
        </w:rPr>
      </w:pPr>
    </w:p>
    <w:p>
      <w:pPr>
        <w:ind w:right="20" w:firstLine="769"/>
        <w:spacing w:after="0" w:line="234" w:lineRule="auto"/>
        <w:tabs>
          <w:tab w:leader="none" w:pos="92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pay Base Rent, Additional Rent or other charges when due and payable under this Lease, such unpaid amounts shall bear interest from the due date thereof to the date of payment at the lesser of (a) a rate per annum equal to 3% plus the prime rate of Bank of America, N.A. (or any successor), in effect on the day the payment became due and subject to change thereafter or (b) the maximum rate permitted by applicable law. In addition, if Landlord is required to redeposit any check which is returned for insufficient funds or if Tenant shall fail to pay Base Rent, Additional Rent or other charges on or before the date on which the same become due and payable, then Tenant shall also pay to Landlord an administrative expense charge of 5% of the amount thereof. The provisions of this Section 12.9 shall not be construed to relieve Tenant of the obligation to pay Base Rent, Additional Rent and all other charges when due under this Lease and shall be in addition to and not in limitation of Landlord’s other remedies as provided for in this Lease.</w:t>
      </w:r>
    </w:p>
    <w:p>
      <w:pPr>
        <w:spacing w:after="0" w:line="184" w:lineRule="exact"/>
        <w:rPr>
          <w:sz w:val="20"/>
          <w:szCs w:val="20"/>
          <w:color w:val="auto"/>
        </w:rPr>
      </w:pPr>
    </w:p>
    <w:p>
      <w:pPr>
        <w:ind w:right="80" w:firstLine="761"/>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12.10 Limitation of Tenant’s Liability</w:t>
      </w:r>
      <w:r>
        <w:rPr>
          <w:rFonts w:ascii="Times New Roman" w:cs="Times New Roman" w:eastAsia="Times New Roman" w:hAnsi="Times New Roman"/>
          <w:sz w:val="22"/>
          <w:szCs w:val="22"/>
          <w:color w:val="auto"/>
        </w:rPr>
        <w:t>. Notwithstanding anything in this Lease to the contrary, except as provided in Sections 5.3, 5.4 and 13.9, in no event whatsoever shall Tenant be liable to Landlord for consequential or indirect damages arising under this Lease.</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 Brokers</w:t>
      </w:r>
    </w:p>
    <w:p>
      <w:pPr>
        <w:spacing w:after="0" w:line="206" w:lineRule="exact"/>
        <w:rPr>
          <w:sz w:val="20"/>
          <w:szCs w:val="20"/>
          <w:color w:val="auto"/>
        </w:rPr>
      </w:pPr>
    </w:p>
    <w:p>
      <w:pPr>
        <w:ind w:right="60" w:firstLine="769"/>
        <w:spacing w:after="0" w:line="244" w:lineRule="auto"/>
        <w:tabs>
          <w:tab w:leader="none" w:pos="91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that it has not dealt with any Person in connection with the Premises or the negotiation or execution of this Lease other than officers, employees and attorneys of Landlord and Brokers. Tenant shall indemnify and save harmless Landlord from and against all claims, liabilities, costs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02" w:name="page103"/>
    <w:bookmarkEnd w:id="102"/>
    <w:p>
      <w:pPr>
        <w:ind w:right="60"/>
        <w:spacing w:after="0" w:line="249" w:lineRule="auto"/>
        <w:rPr>
          <w:sz w:val="20"/>
          <w:szCs w:val="20"/>
          <w:color w:val="auto"/>
        </w:rPr>
      </w:pPr>
      <w:r>
        <w:rPr>
          <w:rFonts w:ascii="Times New Roman" w:cs="Times New Roman" w:eastAsia="Times New Roman" w:hAnsi="Times New Roman"/>
          <w:sz w:val="21"/>
          <w:szCs w:val="21"/>
          <w:color w:val="auto"/>
        </w:rPr>
        <w:t>and expenses incurred as a result of any breach of the foregoing representation by Tenant. Landlord represents that it has not dealt with any Person in connection with the Premises or the negotiation or execution of this Lease other than officers, employees and attorneys of Tenant and Brokers. Landlord shall indemnify and save harmless Tenant from and against all claims, liabilities, costs and expenses incurred as a result of any breach of the foregoing representation by Landlord. The broker’s fees payable to Brokers for this Lease shall be payable by Landlord subject to and in accordance with the terms of a separate agreement between Landlord and Broker, and Landlord shall indemnify, defend and hold Tenant harmless from and against any liability in connection therewith.</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13.2 Quiet Enjoyment</w:t>
      </w:r>
    </w:p>
    <w:p>
      <w:pPr>
        <w:spacing w:after="0" w:line="206" w:lineRule="exact"/>
        <w:rPr>
          <w:sz w:val="20"/>
          <w:szCs w:val="20"/>
          <w:color w:val="auto"/>
        </w:rPr>
      </w:pPr>
    </w:p>
    <w:p>
      <w:pPr>
        <w:ind w:right="120" w:firstLine="769"/>
        <w:spacing w:after="0" w:line="244" w:lineRule="auto"/>
        <w:tabs>
          <w:tab w:leader="none" w:pos="91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so long as no Event of Default exists, peaceably and quietly have and hold the Premises without hindrance or molestation by any Person or Persons lawfully claiming by, through or under, Landlord, subject, however, to the terms of this Lease.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13.3 Security Deposit</w:t>
      </w:r>
    </w:p>
    <w:p>
      <w:pPr>
        <w:spacing w:after="0" w:line="206" w:lineRule="exact"/>
        <w:rPr>
          <w:sz w:val="20"/>
          <w:szCs w:val="20"/>
          <w:color w:val="auto"/>
        </w:rPr>
      </w:pPr>
    </w:p>
    <w:p>
      <w:pPr>
        <w:ind w:firstLine="1529"/>
        <w:spacing w:after="0" w:line="245" w:lineRule="auto"/>
        <w:tabs>
          <w:tab w:leader="none" w:pos="181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shall be a condition precedent to the effectiveness of this Lease that Tenant shall deliver to Landlord, together with Tenant’s execution and delivery of this Lease, the Security Deposit in the form of an irrevocable letter of credit (the “Letter of Credit”) pursuant to the provisions of paragraphs (b) and (c) below. The Security Deposit shall be held as security for the performance of Tenant’s obligations. The Security Deposit is not an advance payment of Rent or a measure of damages. Landlord may use all or a portion of the Security Deposit to cure any Event of Default by Tenant and/or reimburse Landlord for amounts due to and/or damages sustained by Landlord arising from any Event of Default. If Landlord uses any portion of the Security Deposit, Tenant shall, within five (5) days after demand, restore the Security Deposit to its original amount. Landlord may assign the Security Deposit to a successor or transferee that purchases Landlord’s Property and, following the assignment, Landlord shall have no further liability for the return of the Security Deposit. In the event Landlord or its successor or transferee pays, on behalf of Tenant, any transfer fee required by the issuer of a Letter of Credit in connection with a transfer of the Letter of Credit, Tenant shall reimburse such transfer fee to Landlord, as additional Rent, within fifteen (15) days of Landlord’s invoice therefor.</w:t>
      </w:r>
    </w:p>
    <w:p>
      <w:pPr>
        <w:spacing w:after="0" w:line="178" w:lineRule="exact"/>
        <w:rPr>
          <w:rFonts w:ascii="Times New Roman" w:cs="Times New Roman" w:eastAsia="Times New Roman" w:hAnsi="Times New Roman"/>
          <w:sz w:val="21"/>
          <w:szCs w:val="21"/>
          <w:color w:val="auto"/>
        </w:rPr>
      </w:pPr>
    </w:p>
    <w:p>
      <w:pPr>
        <w:ind w:left="1840" w:hanging="311"/>
        <w:spacing w:after="0"/>
        <w:tabs>
          <w:tab w:leader="none" w:pos="18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(and any renewals or replacements thereof) shall:</w:t>
      </w:r>
    </w:p>
    <w:p>
      <w:pPr>
        <w:spacing w:after="0" w:line="206" w:lineRule="exact"/>
        <w:rPr>
          <w:rFonts w:ascii="Times New Roman" w:cs="Times New Roman" w:eastAsia="Times New Roman" w:hAnsi="Times New Roman"/>
          <w:sz w:val="22"/>
          <w:szCs w:val="22"/>
          <w:color w:val="auto"/>
        </w:rPr>
      </w:pPr>
    </w:p>
    <w:p>
      <w:pPr>
        <w:ind w:left="2160" w:hanging="250"/>
        <w:spacing w:after="0"/>
        <w:tabs>
          <w:tab w:leader="none" w:pos="216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 the amount of $229,920.00;</w:t>
      </w:r>
    </w:p>
    <w:p>
      <w:pPr>
        <w:spacing w:after="0" w:line="206" w:lineRule="exact"/>
        <w:rPr>
          <w:rFonts w:ascii="Times New Roman" w:cs="Times New Roman" w:eastAsia="Times New Roman" w:hAnsi="Times New Roman"/>
          <w:sz w:val="22"/>
          <w:szCs w:val="22"/>
          <w:color w:val="auto"/>
        </w:rPr>
      </w:pPr>
    </w:p>
    <w:p>
      <w:pPr>
        <w:ind w:left="2220" w:hanging="310"/>
        <w:spacing w:after="0"/>
        <w:tabs>
          <w:tab w:leader="none" w:pos="222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issued on a form reasonably acceptable to Landlord;</w:t>
      </w:r>
    </w:p>
    <w:p>
      <w:pPr>
        <w:spacing w:after="0" w:line="206" w:lineRule="exact"/>
        <w:rPr>
          <w:rFonts w:ascii="Times New Roman" w:cs="Times New Roman" w:eastAsia="Times New Roman" w:hAnsi="Times New Roman"/>
          <w:sz w:val="22"/>
          <w:szCs w:val="22"/>
          <w:color w:val="auto"/>
        </w:rPr>
      </w:pPr>
    </w:p>
    <w:p>
      <w:pPr>
        <w:ind w:left="2280" w:hanging="370"/>
        <w:spacing w:after="0"/>
        <w:tabs>
          <w:tab w:leader="none" w:pos="22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Landlord as its beneficiary;</w:t>
      </w:r>
    </w:p>
    <w:p>
      <w:pPr>
        <w:spacing w:after="0" w:line="206" w:lineRule="exact"/>
        <w:rPr>
          <w:rFonts w:ascii="Times New Roman" w:cs="Times New Roman" w:eastAsia="Times New Roman" w:hAnsi="Times New Roman"/>
          <w:sz w:val="22"/>
          <w:szCs w:val="22"/>
          <w:color w:val="auto"/>
        </w:rPr>
      </w:pPr>
    </w:p>
    <w:p>
      <w:pPr>
        <w:ind w:firstLine="1910"/>
        <w:spacing w:after="0" w:line="258" w:lineRule="auto"/>
        <w:tabs>
          <w:tab w:leader="none" w:pos="226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transferable by Landlord to Landlord’s transferee, without Tenant’s approval, should Landlord transfer or convey its interest in Landlord’s Property, with any transfer fees being for the account of Tenant;</w:t>
      </w:r>
    </w:p>
    <w:p>
      <w:pPr>
        <w:spacing w:after="0" w:line="158" w:lineRule="exact"/>
        <w:rPr>
          <w:rFonts w:ascii="Times New Roman" w:cs="Times New Roman" w:eastAsia="Times New Roman" w:hAnsi="Times New Roman"/>
          <w:sz w:val="22"/>
          <w:szCs w:val="22"/>
          <w:color w:val="auto"/>
        </w:rPr>
      </w:pPr>
    </w:p>
    <w:p>
      <w:pPr>
        <w:jc w:val="both"/>
        <w:ind w:right="300" w:firstLine="1910"/>
        <w:spacing w:after="0" w:line="262" w:lineRule="auto"/>
        <w:tabs>
          <w:tab w:leader="none" w:pos="2208"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drawn on an FDIC insured financial institution reasonably satisfactory to the Landlord and having a minimum corporate credit rating from Standard and Poor’s Professional Rating Service of "A" or a comparable minimum credit rating from Moody’s Professional Rating Service (Landlord acknowledging that Silicon Valley Bank is acceptable);</w:t>
      </w:r>
    </w:p>
    <w:p>
      <w:pPr>
        <w:spacing w:after="0" w:line="154" w:lineRule="exact"/>
        <w:rPr>
          <w:rFonts w:ascii="Times New Roman" w:cs="Times New Roman" w:eastAsia="Times New Roman" w:hAnsi="Times New Roman"/>
          <w:sz w:val="21"/>
          <w:szCs w:val="21"/>
          <w:color w:val="auto"/>
        </w:rPr>
      </w:pPr>
    </w:p>
    <w:p>
      <w:pPr>
        <w:ind w:left="2280" w:hanging="370"/>
        <w:spacing w:after="0"/>
        <w:tabs>
          <w:tab w:leader="none" w:pos="22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for a term of not less than one (1) year;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03" w:name="page104"/>
    <w:bookmarkEnd w:id="103"/>
    <w:p>
      <w:pPr>
        <w:ind w:left="1920"/>
        <w:spacing w:after="0"/>
        <w:rPr>
          <w:sz w:val="20"/>
          <w:szCs w:val="20"/>
          <w:color w:val="auto"/>
        </w:rPr>
      </w:pPr>
      <w:r>
        <w:rPr>
          <w:rFonts w:ascii="Times New Roman" w:cs="Times New Roman" w:eastAsia="Times New Roman" w:hAnsi="Times New Roman"/>
          <w:sz w:val="21"/>
          <w:szCs w:val="21"/>
          <w:color w:val="auto"/>
        </w:rPr>
        <w:t>(vii) allow draws on the Letter of Credit at the bank counter of the issuing bank, and/or by overnight courier;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ind w:right="40" w:firstLine="1910"/>
        <w:spacing w:after="0" w:line="258" w:lineRule="auto"/>
        <w:tabs>
          <w:tab w:leader="none" w:pos="2389"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provide that the amount thereof may not be reduced by amendment unless and until Landlord shall have provided its written consent to such amendment ((i) - (viii) being referred to herein as the “LOC Criteria”).</w:t>
      </w:r>
    </w:p>
    <w:p>
      <w:pPr>
        <w:spacing w:after="0" w:line="158" w:lineRule="exact"/>
        <w:rPr>
          <w:rFonts w:ascii="Times New Roman" w:cs="Times New Roman" w:eastAsia="Times New Roman" w:hAnsi="Times New Roman"/>
          <w:sz w:val="22"/>
          <w:szCs w:val="22"/>
          <w:color w:val="auto"/>
        </w:rPr>
      </w:pPr>
    </w:p>
    <w:p>
      <w:pPr>
        <w:ind w:right="80" w:firstLine="1529"/>
        <w:spacing w:after="0" w:line="244" w:lineRule="auto"/>
        <w:tabs>
          <w:tab w:leader="none" w:pos="181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that it shall from time to time, as necessary, whether as a result of a draw on the Letter of Credit by Landlord pursuant to the terms hereof or as a result of the expiration of the Letter of Credit then in effect, renew or replace the original and any subsequent Letter of Credit so that a Letter of Credit, in the amount required hereunder, is continuously in effect until a date which is at least thirty (30) days after the Termination Date. If (x) Tenant fails to furnish such renewal or replacement at least thirty (30) days prior to the stated expiration date of the Letter of Credit then held by Landlord, (y) the corporate credit rating of the issuing institution drops below the minimum set forth above (or Silicon Valley Bank drops below a rating of “BBB”) and/or (z) if Landlord determines, in its reasonable discretion, that it is reasonably likely that the Letter of Credit shall expire prior to the date Tenant shall surrender possession of the Premises to Landlord in accordance with this Lease, Landlord may draw upon such Letter of Credit and hold the proceeds thereof (and such proceeds need not be segregated) as a cash Security Deposit pursuant to the terms of this Section 13.3. To the extent the Security Deposit is held as cash, the Security Deposit may be commingled with Landlord’s general accounts and shall be held by Landlord without liability for interest (unless required by applicable law). Any renewal, replacement or amendment of the original or any subsequent Letter of Credit shall meet the LOC Criteria. If Landlord draws on the Letter of Credit then, within five (5) days following written demand of Landlord, Tenant shall restore the amount available under the Letter of Credit to its original amount by providing Landlord with an amendment to the Letter of Credit evidencing that the amount available under the Letter of Credit has been restored to its original amount. Should Landlord elect to draw upon the Letter of Credit, Tenant expressly waives any rights it might otherwise have to prevent Landlord from drawing on the Letter of Credit and agrees that an action for damages and not injunctive or other equitable relief shall be Tenant’s sole remedy in the event Tenant disputes Landlord’s claims to any such amounts.</w:t>
      </w:r>
    </w:p>
    <w:p>
      <w:pPr>
        <w:spacing w:after="0" w:line="172" w:lineRule="exact"/>
        <w:rPr>
          <w:rFonts w:ascii="Times New Roman" w:cs="Times New Roman" w:eastAsia="Times New Roman" w:hAnsi="Times New Roman"/>
          <w:sz w:val="21"/>
          <w:szCs w:val="21"/>
          <w:color w:val="auto"/>
        </w:rPr>
      </w:pPr>
    </w:p>
    <w:p>
      <w:pPr>
        <w:ind w:right="380" w:firstLine="1529"/>
        <w:spacing w:after="0" w:line="244" w:lineRule="auto"/>
        <w:tabs>
          <w:tab w:leader="none" w:pos="182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or earlier termination of this Lease, Landlord shall return any unapplied portion of the Security Deposit to Tenant within thirty (30) days after the later to occur of: (x) the date Tenant surrenders possession of the Premises to Landlord in accordance with this Lease; or (y) the date of expiration or earlier termination of this Lease.</w:t>
      </w:r>
    </w:p>
    <w:p>
      <w:pPr>
        <w:spacing w:after="0" w:line="173" w:lineRule="exact"/>
        <w:rPr>
          <w:rFonts w:ascii="Times New Roman" w:cs="Times New Roman" w:eastAsia="Times New Roman" w:hAnsi="Times New Roman"/>
          <w:sz w:val="22"/>
          <w:szCs w:val="22"/>
          <w:color w:val="auto"/>
        </w:rPr>
      </w:pPr>
    </w:p>
    <w:p>
      <w:pPr>
        <w:ind w:firstLine="1529"/>
        <w:spacing w:after="0" w:line="235" w:lineRule="auto"/>
        <w:tabs>
          <w:tab w:leader="none" w:pos="181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pledge or assign its interest in the Security Deposit (including the Letter of Credit and proceeds thereof) to any lender holding a security interest in the Premises. No mortgagee or purchaser of any or all of the Building at any foreclosure proceeding brought under the provisions of any mortgage shall (regardless of whether the Lease is at the time in question subordinated to the lien of any mortgage) be liable to Tenant or any other person for any or all of such sums or the return of any Letter of Credit (or any other or additional Security Deposit or other payments made by Tenant under the provisions of this Lease), unless Landlord has actually delivered the Security Deposit (including the Letter of Credit and proceeds thereof), to such mortgagee or purchaser. If requested by any such mortgagee or purchaser, Tenant shall obtain an amendment to the Letter of Credit that names such mortgagee or purchaser as the beneficiary thereof in lieu of Landlord.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13.4 Notices</w:t>
      </w:r>
    </w:p>
    <w:p>
      <w:pPr>
        <w:spacing w:after="0" w:line="206" w:lineRule="exact"/>
        <w:rPr>
          <w:sz w:val="20"/>
          <w:szCs w:val="20"/>
          <w:color w:val="auto"/>
        </w:rPr>
      </w:pPr>
    </w:p>
    <w:p>
      <w:pPr>
        <w:ind w:right="20" w:firstLine="769"/>
        <w:spacing w:after="0" w:line="236" w:lineRule="auto"/>
        <w:tabs>
          <w:tab w:leader="none" w:pos="91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demand, request or statement required or intended to be given or delivered under the terms of this Lease shall be in writing, shall be addressed to the party to be notified at the address or addresses set forth in the Summary of Basic Terms or at such other address in the continental United States as each party may designate for itself from time to time by notice hereunder, and shall be deemed to have been given, delivered or served upon the earliest of (a) three days following deposit in the U.S. Mail, with proper postage prepaid, certified or registered, return receipt requested, (b) the next business day after delivery to a regularly scheduled overnight delivery carrier with delivery fees either prepaid or an arrangement,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satisfactory with such carrier, made for the payment of such fees, or (c) receipt of notice given by personal delivery.</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13.5 Waiver of Subrogation</w:t>
      </w:r>
    </w:p>
    <w:p>
      <w:pPr>
        <w:spacing w:after="0" w:line="206" w:lineRule="exact"/>
        <w:rPr>
          <w:sz w:val="20"/>
          <w:szCs w:val="20"/>
          <w:color w:val="auto"/>
        </w:rPr>
      </w:pPr>
    </w:p>
    <w:p>
      <w:pPr>
        <w:ind w:right="140" w:firstLine="769"/>
        <w:spacing w:after="0" w:line="248" w:lineRule="auto"/>
        <w:tabs>
          <w:tab w:leader="none" w:pos="92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hereby release each other, to the extent of their respective insurance coverages, from any and all liability for any loss or damage caused by fire, any of the extended coverage casualties, or other casualties insured against, even if such fire or other casualty shall be brought about by the fault or negligence of the party benefited by the release or its agents, provided, however, this release shall be in force and effect only with respect to loss or damage occurring during such time as the policies of fire, extended coverage and other insurance, maintained by the releasing party shall contain a clause, or be subject to a statutory provision, to the effect that such release shall not affect said policies or the right of the releasing party to recover thereunder. Tenant agrees that its fire, extended coverage, and other property insurance policies will include such a clause.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13.6 Entire Agreement; Execution; Time of the Essence and Headings and Table of Contents</w:t>
      </w:r>
    </w:p>
    <w:p>
      <w:pPr>
        <w:spacing w:after="0" w:line="206" w:lineRule="exact"/>
        <w:rPr>
          <w:sz w:val="20"/>
          <w:szCs w:val="20"/>
          <w:color w:val="auto"/>
        </w:rPr>
      </w:pPr>
    </w:p>
    <w:p>
      <w:pPr>
        <w:ind w:firstLine="769"/>
        <w:spacing w:after="0" w:line="234" w:lineRule="auto"/>
        <w:tabs>
          <w:tab w:leader="none" w:pos="91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together with all Exhibits referred to herein and the Summary of Basic Terms, sets forth the entire agreement between the parties hereto and cannot be modified or amended, except in a writing duly executed by the respective parties. This Lease, together with all Exhibits referred to herein and the Summary of Basic Terms, supersedes all previous written and oral negotiations, understandings and agreements regarding the subject matter of this Lease. Neither Landlord nor any Person acting on behalf of Landlord has made any representations to Tenant on which Tenant has relied in entering into this Lease except any representations expressly stated in this Lease. This Lease is executed as a sealed instrument and in multiple counterparts, all copies of which are identical, and any one of which is to be deemed to be complete in itself and may be introduced in evidence or used for any purpose without the production of any other copy. Time is of the essence of the obligations of the parties to be performed within a specific time frame in this Lease. The headings throughout this Lease and the Table of Contents are for convenience of reference only, and shall in no way be held or deemed to define, limit, explain, describe, modify or add to the interpretation, construction or meaning of any provision of this Lease.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13.7 Partial Invalidity</w:t>
      </w:r>
    </w:p>
    <w:p>
      <w:pPr>
        <w:spacing w:after="0" w:line="206" w:lineRule="exact"/>
        <w:rPr>
          <w:sz w:val="20"/>
          <w:szCs w:val="20"/>
          <w:color w:val="auto"/>
        </w:rPr>
      </w:pPr>
    </w:p>
    <w:p>
      <w:pPr>
        <w:ind w:firstLine="769"/>
        <w:spacing w:after="0" w:line="251" w:lineRule="auto"/>
        <w:tabs>
          <w:tab w:leader="none" w:pos="92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term or condition of this Lease or its application to any Person or circumstance shall to any extent be in violation of or unenforceable under any law, rule, regulation or order (including any court order) now existing or hereafter enacted or entered by any court or other governmental entity having competent jurisdiction (including after all appeals therefrom), the remainder of this Lease, or the application of such term or condition to Persons or circumstances other than those as to which it is invalid or unenforceable, shall not be affected thereby and shall be enforceable to the fullest extent not prohibited by law.</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13.8 No Waiver</w:t>
      </w:r>
    </w:p>
    <w:p>
      <w:pPr>
        <w:spacing w:after="0" w:line="206" w:lineRule="exact"/>
        <w:rPr>
          <w:sz w:val="20"/>
          <w:szCs w:val="20"/>
          <w:color w:val="auto"/>
        </w:rPr>
      </w:pPr>
    </w:p>
    <w:p>
      <w:pPr>
        <w:ind w:right="40" w:firstLine="769"/>
        <w:spacing w:after="0" w:line="234" w:lineRule="auto"/>
        <w:tabs>
          <w:tab w:leader="none" w:pos="92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assent, express or implied, by a party to any breach of any agreement or condition herein contained on the part of the other party to be performed or observed, and no waiver, express or implied, of any such agreement or condition shall be deemed to be a waiver of or an assent to any succeeding breach of the same or any other agreement or condition; the acceptance by Landlord of Base Rent or Additional Rent due hereunder (whether such payment is made by Tenant or another Person), or silence by Landlord or Tenant as to any breach by Tenant or Landlord, respectively, shall not be construed as waiving any of Landlord’s or Tenant’s rights hereunder unless such waiver shall be in writing. No payment by Tenant or acceptance by Landlord of a lesser amount than shall be due Landlord from Tenant shall be deemed to be anything but payment on account, and the acceptance by Landlord of a check for a lesser amount with an endorsement or statement thereon, or upon a letter accompanying said check, that said lesser amount is payment in full shall not be deemed an accord and satisfaction, and Landlord may accept said check without prejudice to recover the balance due or pursue any other remedy.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13.9 Holdover</w:t>
      </w:r>
    </w:p>
    <w:p>
      <w:pPr>
        <w:spacing w:after="0" w:line="206" w:lineRule="exact"/>
        <w:rPr>
          <w:sz w:val="20"/>
          <w:szCs w:val="20"/>
          <w:color w:val="auto"/>
        </w:rPr>
      </w:pPr>
    </w:p>
    <w:p>
      <w:pPr>
        <w:ind w:right="140" w:firstLine="769"/>
        <w:spacing w:after="0" w:line="239" w:lineRule="auto"/>
        <w:tabs>
          <w:tab w:leader="none" w:pos="92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remains in the Premises beyond the expiration of this Lease at the end of the Lease Term, or sooner following an early termination as provided for herein, such holding over shall not create any tenancy, but Tenant shall be a daily tenant at sufferance only subject to all of Tenant’s obligations set forth herein, but at a daily rate equal to 150% of the Base Rent, then in effect, and Additional Rent and other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05" w:name="page106"/>
    <w:bookmarkEnd w:id="105"/>
    <w:p>
      <w:pPr>
        <w:ind w:right="60"/>
        <w:spacing w:after="0" w:line="236" w:lineRule="auto"/>
        <w:rPr>
          <w:sz w:val="20"/>
          <w:szCs w:val="20"/>
          <w:color w:val="auto"/>
        </w:rPr>
      </w:pPr>
      <w:r>
        <w:rPr>
          <w:rFonts w:ascii="Times New Roman" w:cs="Times New Roman" w:eastAsia="Times New Roman" w:hAnsi="Times New Roman"/>
          <w:sz w:val="22"/>
          <w:szCs w:val="22"/>
          <w:color w:val="auto"/>
        </w:rPr>
        <w:t>charges provided for under this Lease. The acceptance of a purported rent check following termination shall not constitute the creation of a tenancy at will, it being agreed that Tenant’s status shall remain that of a daily Tenant at sufferance, at the aforesaid daily rate. Tenant shall also pay to Landlord all damages, if any, sustained by reason of any such holding over; provided, however, that in no event shall Tenant be liable to Landlord for any consequential, punitive, special or exemplary damages arising in connection with such holdover except in the event such holdover extends for more than sixty (60) days following Landlord’s delivery to Tenant of a written notice to vacate. Otherwise, such holding over shall be on the terms and conditions set forth in this Lease as far as applicable.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13.10 When Lease Becomes Binding</w:t>
      </w:r>
    </w:p>
    <w:p>
      <w:pPr>
        <w:spacing w:after="0" w:line="206" w:lineRule="exact"/>
        <w:rPr>
          <w:sz w:val="20"/>
          <w:szCs w:val="20"/>
          <w:color w:val="auto"/>
        </w:rPr>
      </w:pPr>
    </w:p>
    <w:p>
      <w:pPr>
        <w:ind w:right="20" w:firstLine="769"/>
        <w:spacing w:after="0" w:line="238" w:lineRule="auto"/>
        <w:tabs>
          <w:tab w:leader="none" w:pos="91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submission of this document for examination and negotiation does not constitute an offer to lease or a reservation or an option for the Premises, and this document shall become effective and binding only upon the execution and delivery hereof by both Landlord and Tenant. All negotiations, considerations, representations and understandings between Landlord and Tenant are incorporated herein and may be modified or altered only by agreement in writing between Landlord and Tenant, and no act or omission of any employee or agent of Landlord shall alter, change or modify any of the provisions hereof.</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13.11 No Recordation</w:t>
      </w:r>
    </w:p>
    <w:p>
      <w:pPr>
        <w:spacing w:after="0" w:line="206" w:lineRule="exact"/>
        <w:rPr>
          <w:sz w:val="20"/>
          <w:szCs w:val="20"/>
          <w:color w:val="auto"/>
        </w:rPr>
      </w:pPr>
    </w:p>
    <w:p>
      <w:pPr>
        <w:ind w:right="20" w:firstLine="769"/>
        <w:spacing w:after="0" w:line="258" w:lineRule="auto"/>
        <w:tabs>
          <w:tab w:leader="none" w:pos="91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record this Lease with any registry of deeds or land court, and any recordation of this Lease will be void and constitute an Event of Default under this Lease.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13.12 As Is</w:t>
      </w:r>
    </w:p>
    <w:p>
      <w:pPr>
        <w:spacing w:after="0" w:line="206" w:lineRule="exact"/>
        <w:rPr>
          <w:sz w:val="20"/>
          <w:szCs w:val="20"/>
          <w:color w:val="auto"/>
        </w:rPr>
      </w:pPr>
    </w:p>
    <w:p>
      <w:pPr>
        <w:ind w:firstLine="769"/>
        <w:spacing w:after="0" w:line="236" w:lineRule="auto"/>
        <w:tabs>
          <w:tab w:leader="none" w:pos="91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to Landlord that Tenant has leased the Premises after a full and complete examination of the same, and by its execution and delivery of this Lease, Tenant hereby acknowledges that neither Landlord, nor Landlord’s agents, has made any representation or promises with respect to the Premises, the Building, or the land upon which it stands, and no rights, easements or licenses are acquired by Tenant, by implication or otherwise, except as may be set forth expressly in this Lease. The execution and delivery of this Lease by Tenant shall be conclusive evidence, as against Tenant, that Tenant accepts the Premises “AS IS”, with all faults.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13.13 Financial Statements; Certain Representations and Warranties of Tenant</w:t>
      </w:r>
    </w:p>
    <w:p>
      <w:pPr>
        <w:spacing w:after="0" w:line="206" w:lineRule="exact"/>
        <w:rPr>
          <w:sz w:val="20"/>
          <w:szCs w:val="20"/>
          <w:color w:val="auto"/>
        </w:rPr>
      </w:pPr>
    </w:p>
    <w:p>
      <w:pPr>
        <w:ind w:firstLine="769"/>
        <w:spacing w:after="0" w:line="233" w:lineRule="auto"/>
        <w:tabs>
          <w:tab w:leader="none" w:pos="92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as requested by Landlord, but not more than once in any year, and only if Tenant is not then a publicly traded company, Tenant shall provide to Landlord, any actual or potential mortgagee and any actual or potential ground lessor or any representative of any of the foregoing, copies of Tenant’s annual financial statements (audited or reviewed, if available) and quarterly financial statements, all certified as true and correct by Tenant, and, if Tenant is not then a publicly traded company, such other information regarding Tenant’s financial condition as Landlord may reasonably request; provided, however, that Landlord shall only request such financial statements if requested by a prospective lender or purchaser or if Tenant requests Landlord’s consent to an assignment or sublease. Tenant represents and warrants to Landlord, its successors and assigns that: (a) Tenant is a corporation duly organized and validly existing under the laws of the State of Delaware, and is authorized to transact business in the Commonwealth of Massachusetts; (b) the execution, delivery and performance of this Lease by Tenant has been duly authorized by Tenant; and (c) this Lease is valid and binding upon Tenant and is enforceable against Tenant in accordance with the terms hereof. Landlord represents to Tenant that: (a) Landlord is a limited partnership duly organized and validly existing under the laws of the State of Delaware, and is authorized to transact business in the Commonwealth of Massachusetts; (b) the execution, delivery and performance of this Lease by Landlord has been duly authorized by Landlord; and (c) this Lease is valid and binding upon Landlord and is enforceable against Landlord in accordance with the terms 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13.14</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Real Estate Confidentiality</w:t>
      </w:r>
    </w:p>
    <w:p>
      <w:pPr>
        <w:spacing w:after="0" w:line="206" w:lineRule="exact"/>
        <w:rPr>
          <w:sz w:val="20"/>
          <w:szCs w:val="20"/>
          <w:color w:val="auto"/>
        </w:rPr>
      </w:pPr>
    </w:p>
    <w:p>
      <w:pPr>
        <w:ind w:right="300" w:firstLine="769"/>
        <w:spacing w:after="0" w:line="239" w:lineRule="auto"/>
        <w:tabs>
          <w:tab w:leader="none" w:pos="91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the terms under which Landlord has leased the Premises to Tenant, including, without limitation, the rental rate(s), term and other financial and business terms, constitute confidential information of Landlord (“Landlord Confidential Information”). Tenant covenants and agrees to keep the Landlord Confidential Information completely confidential; provided that (a) such Landlord Confidential Information may be disclosed by Tenant to those of</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06" w:name="page107"/>
    <w:bookmarkEnd w:id="106"/>
    <w:p>
      <w:pPr>
        <w:ind w:right="60"/>
        <w:spacing w:after="0" w:line="234" w:lineRule="auto"/>
        <w:rPr>
          <w:sz w:val="20"/>
          <w:szCs w:val="20"/>
          <w:color w:val="auto"/>
        </w:rPr>
      </w:pPr>
      <w:r>
        <w:rPr>
          <w:rFonts w:ascii="Times New Roman" w:cs="Times New Roman" w:eastAsia="Times New Roman" w:hAnsi="Times New Roman"/>
          <w:sz w:val="22"/>
          <w:szCs w:val="22"/>
          <w:color w:val="auto"/>
        </w:rPr>
        <w:t>its and its Tenant Affiliate’s officers, employees, attorneys, accountants, lenders, real estate brokers, contractors, consultants and financial advisors (collectively, “representatives”) who need to know such information in connection with Tenant’s use and occupancy of the Premises and for financial reporting and credit related activities (it being understood that Tenant shall inform its representatives of the confidential nature of such Landlord Confidential Information and that such representatives shall be directed by Tenant, and shall each expressly agree, to treat such Landlord Confidential Information confidentially in accordance with the terms of this Section), (b) such Landlord Confidential Information may be disclosed by Tenant to the extent otherwise in the public domain or to the extent required to be disclosed in connection with litigation involving this Lease or the Premises, and (c) unless required by applicable law, any other disclosure of such information may only be made if Landlord consents in writing prior to any such disclosure. In furtherance of and not in limitation of the foregoing, Tenant understands and agrees that during the period of any negotiation of the terms of this Lease, the disclosure of Tenant’s possible interest in leasing the Premises and the terms thereof could have a material adverse effect on Landlord’s business.</w:t>
      </w:r>
    </w:p>
    <w:p>
      <w:pPr>
        <w:spacing w:after="0" w:line="177" w:lineRule="exact"/>
        <w:rPr>
          <w:sz w:val="20"/>
          <w:szCs w:val="20"/>
          <w:color w:val="auto"/>
        </w:rPr>
      </w:pPr>
    </w:p>
    <w:p>
      <w:pPr>
        <w:ind w:right="20" w:firstLine="761"/>
        <w:spacing w:after="0" w:line="245" w:lineRule="auto"/>
        <w:rPr>
          <w:sz w:val="20"/>
          <w:szCs w:val="20"/>
          <w:color w:val="auto"/>
        </w:rPr>
      </w:pPr>
      <w:r>
        <w:rPr>
          <w:rFonts w:ascii="Times New Roman" w:cs="Times New Roman" w:eastAsia="Times New Roman" w:hAnsi="Times New Roman"/>
          <w:sz w:val="21"/>
          <w:szCs w:val="21"/>
          <w:color w:val="auto"/>
        </w:rPr>
        <w:t>Landlord acknowledges that the financial statements of Tenant and other financial and business information related to Tenant and its business constitute confidential information of Tenant (“</w:t>
      </w:r>
      <w:r>
        <w:rPr>
          <w:rFonts w:ascii="Times New Roman" w:cs="Times New Roman" w:eastAsia="Times New Roman" w:hAnsi="Times New Roman"/>
          <w:sz w:val="21"/>
          <w:szCs w:val="21"/>
          <w:u w:val="single" w:color="auto"/>
          <w:color w:val="auto"/>
        </w:rPr>
        <w:t>Tenant Confidential Information</w:t>
      </w:r>
      <w:r>
        <w:rPr>
          <w:rFonts w:ascii="Times New Roman" w:cs="Times New Roman" w:eastAsia="Times New Roman" w:hAnsi="Times New Roman"/>
          <w:sz w:val="21"/>
          <w:szCs w:val="21"/>
          <w:color w:val="auto"/>
        </w:rPr>
        <w:t>”). Landlord covenants and agrees to keep the Tenant Confidential Information completely confidential; provided that (a) such Tenant Confidential Information may be disclosed by Landlord to those of its officers, employees, attorneys, accountants, lenders and financial advisors (collectively, “representatives”) who need to know such information (it being understood that Landlord shall inform its representatives of the confidential nature of such Tenant Confidential Information and that such representatives shall be directed by Landlord, and shall each expressly agree, to treat such Tenant Confidential Information confidentially in accordance with the terms of this Section), (b) such Tenant Confidential Information may be disclosed by Landlord to Landlord’s lenders and prospective lenders and to prospective purchasers of Landlord’s Property (it being understood that Landlord shall inform its lenders and prospective lenders and purchasers of the confidential nature of such Tenant Confidential Information and that such lenders and prospective lenders and purchasers shall be directed by Landlord, and shall each expressly agree, to treat such Tenant Confidential Information confidentially in accordance with the terms of this Section), and (c) unless required by applicable law, any other disclosure of such information may only be made if Tenant consents in writing prior to any such disclosure.</w:t>
      </w:r>
    </w:p>
    <w:p>
      <w:pPr>
        <w:spacing w:after="0" w:line="172" w:lineRule="exact"/>
        <w:rPr>
          <w:sz w:val="20"/>
          <w:szCs w:val="20"/>
          <w:color w:val="auto"/>
        </w:rPr>
      </w:pPr>
    </w:p>
    <w:p>
      <w:pPr>
        <w:ind w:left="1840" w:hanging="311"/>
        <w:spacing w:after="0"/>
        <w:tabs>
          <w:tab w:leader="none" w:pos="18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 Real Estate Confidentiality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910"/>
        <w:spacing w:after="0" w:line="258" w:lineRule="auto"/>
        <w:tabs>
          <w:tab w:leader="none" w:pos="216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Tenant and Landlord agrees and acknowledges that it is not granted any rights to use or access any Confidential Information of the other party (“Counterparty Confidential Information”) by virtue of this Lease.</w:t>
      </w:r>
    </w:p>
    <w:p>
      <w:pPr>
        <w:spacing w:after="0" w:line="158" w:lineRule="exact"/>
        <w:rPr>
          <w:rFonts w:ascii="Times New Roman" w:cs="Times New Roman" w:eastAsia="Times New Roman" w:hAnsi="Times New Roman"/>
          <w:sz w:val="22"/>
          <w:szCs w:val="22"/>
          <w:color w:val="auto"/>
        </w:rPr>
      </w:pPr>
    </w:p>
    <w:p>
      <w:pPr>
        <w:jc w:val="both"/>
        <w:ind w:right="1000" w:firstLine="1910"/>
        <w:spacing w:after="0" w:line="282" w:lineRule="auto"/>
        <w:tabs>
          <w:tab w:leader="none" w:pos="222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as the receiving party (“Receiving Party”) shall keep all Counterparty Confidential Information confidential and, except with the express prior written consent of the other party (“Counterparty”) shall not:</w:t>
      </w:r>
    </w:p>
    <w:p>
      <w:pPr>
        <w:spacing w:after="0" w:line="135" w:lineRule="exact"/>
        <w:rPr>
          <w:sz w:val="20"/>
          <w:szCs w:val="20"/>
          <w:color w:val="auto"/>
        </w:rPr>
      </w:pPr>
    </w:p>
    <w:p>
      <w:pPr>
        <w:ind w:left="1920" w:right="320" w:hanging="10"/>
        <w:spacing w:after="0" w:line="258" w:lineRule="auto"/>
        <w:tabs>
          <w:tab w:leader="none" w:pos="227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or make available or publish the Counterparty Confidential Information in whole or in part to any third party, except as expressly permitted by this Lease;</w:t>
      </w:r>
    </w:p>
    <w:p>
      <w:pPr>
        <w:spacing w:after="0" w:line="158" w:lineRule="exact"/>
        <w:rPr>
          <w:rFonts w:ascii="Times New Roman" w:cs="Times New Roman" w:eastAsia="Times New Roman" w:hAnsi="Times New Roman"/>
          <w:sz w:val="22"/>
          <w:szCs w:val="22"/>
          <w:color w:val="auto"/>
        </w:rPr>
      </w:pPr>
    </w:p>
    <w:p>
      <w:pPr>
        <w:ind w:left="2260" w:hanging="350"/>
        <w:spacing w:after="0"/>
        <w:tabs>
          <w:tab w:leader="none" w:pos="22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 reduce to writing or otherwise record the Counterparty Confidential Information;</w:t>
      </w:r>
    </w:p>
    <w:p>
      <w:pPr>
        <w:spacing w:after="0" w:line="206" w:lineRule="exact"/>
        <w:rPr>
          <w:rFonts w:ascii="Times New Roman" w:cs="Times New Roman" w:eastAsia="Times New Roman" w:hAnsi="Times New Roman"/>
          <w:sz w:val="22"/>
          <w:szCs w:val="22"/>
          <w:color w:val="auto"/>
        </w:rPr>
      </w:pPr>
    </w:p>
    <w:p>
      <w:pPr>
        <w:ind w:left="1920" w:right="220" w:hanging="10"/>
        <w:spacing w:after="0" w:line="258" w:lineRule="auto"/>
        <w:tabs>
          <w:tab w:leader="none" w:pos="226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reproduce, transform or store the Counterparty Confidential Information in any retrieval or storage system whatsoever.</w:t>
      </w:r>
    </w:p>
    <w:p>
      <w:pPr>
        <w:spacing w:after="0" w:line="158" w:lineRule="exact"/>
        <w:rPr>
          <w:sz w:val="20"/>
          <w:szCs w:val="20"/>
          <w:color w:val="auto"/>
        </w:rPr>
      </w:pPr>
    </w:p>
    <w:p>
      <w:pPr>
        <w:ind w:right="140" w:firstLine="1910"/>
        <w:spacing w:after="0" w:line="244" w:lineRule="auto"/>
        <w:tabs>
          <w:tab w:leader="none" w:pos="228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may disclose Counterparty Confidential Information only to the extent required by law, any governmental order or other legal requirement provided that, to the extent it is legally permitted to do so, it gives the Counterparty as much notice of such disclosure as possible and, where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07" w:name="page108"/>
    <w:bookmarkEnd w:id="107"/>
    <w:p>
      <w:pPr>
        <w:jc w:val="both"/>
        <w:ind w:right="120"/>
        <w:spacing w:after="0"/>
        <w:rPr>
          <w:sz w:val="20"/>
          <w:szCs w:val="20"/>
          <w:color w:val="auto"/>
        </w:rPr>
      </w:pPr>
      <w:r>
        <w:rPr>
          <w:rFonts w:ascii="Times New Roman" w:cs="Times New Roman" w:eastAsia="Times New Roman" w:hAnsi="Times New Roman"/>
          <w:sz w:val="22"/>
          <w:szCs w:val="22"/>
          <w:color w:val="auto"/>
        </w:rPr>
        <w:t>notice of disclosure is not prohibited and is given in accordance with this Section 13.14(b) Receiving Party takes into account the reasonable requests of the Counterparty in relation to the content of such disclosure. The Receiving Party shall cooperate with the Counterparty to obtain confidential treatment, to the extent possible, with respect to the Counterparty Confidential Information so disclosed.</w:t>
      </w:r>
    </w:p>
    <w:p>
      <w:pPr>
        <w:spacing w:after="0" w:line="177" w:lineRule="exact"/>
        <w:rPr>
          <w:sz w:val="20"/>
          <w:szCs w:val="20"/>
          <w:color w:val="auto"/>
        </w:rPr>
      </w:pPr>
    </w:p>
    <w:p>
      <w:pPr>
        <w:ind w:right="1040" w:firstLine="1910"/>
        <w:spacing w:after="0" w:line="258" w:lineRule="auto"/>
        <w:tabs>
          <w:tab w:leader="none" w:pos="226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Party’s obligations in relation to Counterparty Confidential Information shall, notwithstanding any earlier termination of the Lease continue in perpetuity.</w:t>
      </w:r>
    </w:p>
    <w:p>
      <w:pPr>
        <w:spacing w:after="0" w:line="158" w:lineRule="exact"/>
        <w:rPr>
          <w:rFonts w:ascii="Times New Roman" w:cs="Times New Roman" w:eastAsia="Times New Roman" w:hAnsi="Times New Roman"/>
          <w:sz w:val="22"/>
          <w:szCs w:val="22"/>
          <w:color w:val="auto"/>
        </w:rPr>
      </w:pPr>
    </w:p>
    <w:p>
      <w:pPr>
        <w:ind w:right="200" w:firstLine="1910"/>
        <w:spacing w:after="0" w:line="239" w:lineRule="auto"/>
        <w:tabs>
          <w:tab w:leader="none" w:pos="220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shall be liable for any breach by any of its employees, representatives, officers, directors and persons within its control of the restrictions contained in this clause (b) and agrees, at its sole expense, to take reasonable measures to prevent the prohibited or unauthorized disclosure or use of the Counterparty Confidential Information by those persons.</w:t>
      </w:r>
    </w:p>
    <w:p>
      <w:pPr>
        <w:spacing w:after="0" w:line="180" w:lineRule="exact"/>
        <w:rPr>
          <w:rFonts w:ascii="Times New Roman" w:cs="Times New Roman" w:eastAsia="Times New Roman" w:hAnsi="Times New Roman"/>
          <w:sz w:val="22"/>
          <w:szCs w:val="22"/>
          <w:color w:val="auto"/>
        </w:rPr>
      </w:pPr>
    </w:p>
    <w:p>
      <w:pPr>
        <w:ind w:firstLine="1910"/>
        <w:spacing w:after="0" w:line="244" w:lineRule="auto"/>
        <w:tabs>
          <w:tab w:leader="none" w:pos="226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the Receiving Party shall use at least the same effort and degree of care that it uses to protect its own confidential information of a similar nature from unauthorized use or disclosure, but shall not use less than a commercially reasonable degree of care.</w:t>
      </w:r>
    </w:p>
    <w:p>
      <w:pPr>
        <w:spacing w:after="0" w:line="174" w:lineRule="exact"/>
        <w:rPr>
          <w:sz w:val="20"/>
          <w:szCs w:val="20"/>
          <w:color w:val="auto"/>
        </w:rPr>
      </w:pPr>
    </w:p>
    <w:p>
      <w:pPr>
        <w:ind w:right="160" w:firstLine="761"/>
        <w:spacing w:after="0" w:line="236" w:lineRule="auto"/>
        <w:rPr>
          <w:sz w:val="20"/>
          <w:szCs w:val="20"/>
          <w:color w:val="auto"/>
        </w:rPr>
      </w:pPr>
      <w:r>
        <w:rPr>
          <w:rFonts w:ascii="Times New Roman" w:cs="Times New Roman" w:eastAsia="Times New Roman" w:hAnsi="Times New Roman"/>
          <w:sz w:val="22"/>
          <w:szCs w:val="22"/>
          <w:color w:val="auto"/>
        </w:rPr>
        <w:t>“Counterparty Confidential Information” as herein used shall mean all confidential information or material (however recorded or preserved) disclosed or made available to the Counterparty by the Receiving Party, directly or indirectly, or which in any way as a result of this Lease or the Receiving Party’s dealings with the Counterparty or Landlord’s Property, including the Tenant’s access to the Common Areas, is received by, comes into the possession of, or to the attention of the Receiving Party and any employees, directors, officers, representatives, contractors or advisers of the Receiving Party or persons under the Receiving Party’s control including but not limited to:</w:t>
      </w:r>
    </w:p>
    <w:p>
      <w:pPr>
        <w:spacing w:after="0" w:line="182" w:lineRule="exact"/>
        <w:rPr>
          <w:sz w:val="20"/>
          <w:szCs w:val="20"/>
          <w:color w:val="auto"/>
        </w:rPr>
      </w:pPr>
    </w:p>
    <w:p>
      <w:pPr>
        <w:ind w:right="240" w:firstLine="1910"/>
        <w:spacing w:after="0" w:line="244" w:lineRule="auto"/>
        <w:tabs>
          <w:tab w:leader="none" w:pos="241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(including but not limited to in the form of documents, notes, analyses, studies, samples, drawings, diagrams, designs, flowcharts, databases and models) that would be regarded as confidential by a reasonable business person relating to:</w:t>
      </w:r>
    </w:p>
    <w:p>
      <w:pPr>
        <w:spacing w:after="0" w:line="174" w:lineRule="exact"/>
        <w:rPr>
          <w:sz w:val="20"/>
          <w:szCs w:val="20"/>
          <w:color w:val="auto"/>
        </w:rPr>
      </w:pPr>
    </w:p>
    <w:p>
      <w:pPr>
        <w:ind w:left="1920" w:right="340" w:hanging="10"/>
        <w:spacing w:after="0" w:line="258" w:lineRule="auto"/>
        <w:tabs>
          <w:tab w:leader="none" w:pos="217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affairs, customers, clients, suppliers, plans, intentions, market opportunities, compounds, candidate drugs or products of the Counterparty and/or persons within its control; and</w:t>
      </w:r>
    </w:p>
    <w:p>
      <w:pPr>
        <w:spacing w:after="0" w:line="158" w:lineRule="exact"/>
        <w:rPr>
          <w:rFonts w:ascii="Times New Roman" w:cs="Times New Roman" w:eastAsia="Times New Roman" w:hAnsi="Times New Roman"/>
          <w:sz w:val="22"/>
          <w:szCs w:val="22"/>
          <w:color w:val="auto"/>
        </w:rPr>
      </w:pPr>
    </w:p>
    <w:p>
      <w:pPr>
        <w:ind w:left="1920" w:right="520" w:hanging="10"/>
        <w:spacing w:after="0" w:line="258" w:lineRule="auto"/>
        <w:tabs>
          <w:tab w:leader="none" w:pos="223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processes, product information, know-how, designs, trade secrets, or software of the Counterparty and/or persons within its control; and</w:t>
      </w:r>
    </w:p>
    <w:p>
      <w:pPr>
        <w:spacing w:after="0" w:line="158" w:lineRule="exact"/>
        <w:rPr>
          <w:sz w:val="20"/>
          <w:szCs w:val="20"/>
          <w:color w:val="auto"/>
        </w:rPr>
      </w:pPr>
    </w:p>
    <w:p>
      <w:pPr>
        <w:ind w:left="760" w:right="1600" w:firstLine="1150"/>
        <w:spacing w:after="0" w:line="435" w:lineRule="auto"/>
        <w:tabs>
          <w:tab w:leader="none" w:pos="238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or analysis derived from the Counterparty Confidential Information; but not including any information that:</w:t>
      </w:r>
    </w:p>
    <w:p>
      <w:pPr>
        <w:spacing w:after="0" w:line="1" w:lineRule="exact"/>
        <w:rPr>
          <w:rFonts w:ascii="Times New Roman" w:cs="Times New Roman" w:eastAsia="Times New Roman" w:hAnsi="Times New Roman"/>
          <w:sz w:val="22"/>
          <w:szCs w:val="22"/>
          <w:color w:val="auto"/>
        </w:rPr>
      </w:pPr>
    </w:p>
    <w:p>
      <w:pPr>
        <w:ind w:right="80" w:firstLine="1910"/>
        <w:spacing w:after="0" w:line="244" w:lineRule="auto"/>
        <w:tabs>
          <w:tab w:leader="none" w:pos="238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becomes generally available to the public (other than as a result of its disclosure by the Receiving Party or its representatives in breach of this Lease), (except that any compilation of otherwise public information in a form not publicly known shall nevertheless be treated as Counterparty Confidential Information);</w:t>
      </w:r>
    </w:p>
    <w:p>
      <w:pPr>
        <w:spacing w:after="0" w:line="173" w:lineRule="exact"/>
        <w:rPr>
          <w:rFonts w:ascii="Times New Roman" w:cs="Times New Roman" w:eastAsia="Times New Roman" w:hAnsi="Times New Roman"/>
          <w:sz w:val="22"/>
          <w:szCs w:val="22"/>
          <w:color w:val="auto"/>
        </w:rPr>
      </w:pPr>
    </w:p>
    <w:p>
      <w:pPr>
        <w:ind w:right="980" w:firstLine="1910"/>
        <w:spacing w:after="0" w:line="258" w:lineRule="auto"/>
        <w:tabs>
          <w:tab w:leader="none" w:pos="241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lawfully in the possession of the Receiving Party on a non-confidential basis before the information was disclosed to it by the Counterparty as evidenced by Receiving Party’s written records; or</w:t>
      </w:r>
    </w:p>
    <w:p>
      <w:pPr>
        <w:spacing w:after="0" w:line="158" w:lineRule="exact"/>
        <w:rPr>
          <w:rFonts w:ascii="Times New Roman" w:cs="Times New Roman" w:eastAsia="Times New Roman" w:hAnsi="Times New Roman"/>
          <w:sz w:val="22"/>
          <w:szCs w:val="22"/>
          <w:color w:val="auto"/>
        </w:rPr>
      </w:pPr>
    </w:p>
    <w:p>
      <w:pPr>
        <w:ind w:left="2380" w:hanging="470"/>
        <w:spacing w:after="0"/>
        <w:tabs>
          <w:tab w:leader="none" w:pos="2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developed by the Receiving Party independently of the information disclosed by the Counterparty.</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08" w:name="page109"/>
    <w:bookmarkEnd w:id="108"/>
    <w:p>
      <w:pPr>
        <w:ind w:right="60" w:firstLine="761"/>
        <w:spacing w:after="0"/>
        <w:rPr>
          <w:sz w:val="20"/>
          <w:szCs w:val="20"/>
          <w:color w:val="auto"/>
        </w:rPr>
      </w:pPr>
      <w:r>
        <w:rPr>
          <w:rFonts w:ascii="Times New Roman" w:cs="Times New Roman" w:eastAsia="Times New Roman" w:hAnsi="Times New Roman"/>
          <w:sz w:val="22"/>
          <w:szCs w:val="22"/>
          <w:color w:val="auto"/>
        </w:rPr>
        <w:t>Receiving Party acknowledges that Counterparty may require individual Receiving Party employees to sign an individual confidentiality and non-disclosure agreement to manage intellectual property risks of working in a shared space with Counterparty employees, and such confidentiality and non-disclosure agreement may, without limitation, prohibit Receiving Party employees from disclosing Counterparty Confidential Information to employees of Counterparty.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13.15 Summary of Basic Terms</w:t>
      </w:r>
    </w:p>
    <w:p>
      <w:pPr>
        <w:spacing w:after="0" w:line="206" w:lineRule="exact"/>
        <w:rPr>
          <w:sz w:val="20"/>
          <w:szCs w:val="20"/>
          <w:color w:val="auto"/>
        </w:rPr>
      </w:pPr>
    </w:p>
    <w:p>
      <w:pPr>
        <w:ind w:right="500" w:firstLine="769"/>
        <w:spacing w:after="0" w:line="262" w:lineRule="auto"/>
        <w:tabs>
          <w:tab w:leader="none" w:pos="91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Summary of Basic Terms which is affixed to this Lease sets forth certain basic terms and information which is thereafter referred to in the main text of this Lease. Every reference to the Summary of Basic Terms, or to a particular item thereon, shall have the effect of incorporating the Summary, or the particular item thereof, into the main text of this Lease.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13.16 Jurisdiction and Venue</w:t>
      </w:r>
    </w:p>
    <w:p>
      <w:pPr>
        <w:spacing w:after="0" w:line="206" w:lineRule="exact"/>
        <w:rPr>
          <w:sz w:val="20"/>
          <w:szCs w:val="20"/>
          <w:color w:val="auto"/>
        </w:rPr>
      </w:pPr>
    </w:p>
    <w:p>
      <w:pPr>
        <w:ind w:firstLine="769"/>
        <w:spacing w:after="0" w:line="248" w:lineRule="auto"/>
        <w:tabs>
          <w:tab w:leader="none" w:pos="91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the Premises are located in the Commonwealth of Massachusetts, Tenant agrees that its address for service of process is the address of the Premises or alternatively, with the Secretary of State of the Commonwealth of Massachusetts. In any cause of action arising out of or in connection with the Premises and the terms of this Lease, Tenant hereby submits itself to the jurisdiction of any state or federal court in the Commonwealth of Massachusetts and agrees that any such cause of action shall be governed by the laws of the Commonwealth of Massachusetts and further agrees that any such cause of action prosecuted by Tenant shall only be brought in state or federal courts in the Commonwealth of Massachusetts. This Lease and the rights and obligations of the parties hereto shall be construed and enforced in accordance with the laws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Tenant and Landlord, each by its duly authorized officer, has signed this Lease as of the date first set forth above.</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TENANT:</w:t>
      </w:r>
    </w:p>
    <w:p>
      <w:pPr>
        <w:spacing w:after="0" w:line="20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CERULEAN PHARMA INC. </w:t>
      </w:r>
      <w:r>
        <w:rPr>
          <w:rFonts w:ascii="Times New Roman" w:cs="Times New Roman" w:eastAsia="Times New Roman" w:hAnsi="Times New Roman"/>
          <w:sz w:val="22"/>
          <w:szCs w:val="22"/>
          <w:color w:val="auto"/>
        </w:rPr>
        <w:t>, a Delaware corporation</w:t>
      </w:r>
    </w:p>
    <w:p>
      <w:pPr>
        <w:spacing w:after="0" w:line="200" w:lineRule="exact"/>
        <w:rPr>
          <w:sz w:val="20"/>
          <w:szCs w:val="20"/>
          <w:color w:val="auto"/>
        </w:rPr>
      </w:pPr>
    </w:p>
    <w:p>
      <w:pPr>
        <w:spacing w:after="0" w:line="2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Christopher D. T. Guiffre</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w:t>
      </w:r>
      <w:r>
        <w:rPr>
          <w:rFonts w:ascii="Times New Roman" w:cs="Times New Roman" w:eastAsia="Times New Roman" w:hAnsi="Times New Roman"/>
          <w:sz w:val="22"/>
          <w:szCs w:val="22"/>
          <w:u w:val="single" w:color="auto"/>
          <w:color w:val="auto"/>
        </w:rPr>
        <w:t>Christopher D. T. Guiffre</w:t>
      </w:r>
    </w:p>
    <w:p>
      <w:pPr>
        <w:ind w:left="3820"/>
        <w:spacing w:after="0" w:line="230" w:lineRule="auto"/>
        <w:rPr>
          <w:sz w:val="20"/>
          <w:szCs w:val="20"/>
          <w:color w:val="auto"/>
        </w:rPr>
      </w:pPr>
      <w:r>
        <w:rPr>
          <w:rFonts w:ascii="Times New Roman" w:cs="Times New Roman" w:eastAsia="Times New Roman" w:hAnsi="Times New Roman"/>
          <w:sz w:val="22"/>
          <w:szCs w:val="22"/>
          <w:color w:val="auto"/>
        </w:rPr>
        <w:t>Title:</w:t>
      </w:r>
      <w:r>
        <w:rPr>
          <w:rFonts w:ascii="Times New Roman" w:cs="Times New Roman" w:eastAsia="Times New Roman" w:hAnsi="Times New Roman"/>
          <w:sz w:val="22"/>
          <w:szCs w:val="22"/>
          <w:u w:val="single" w:color="auto"/>
          <w:color w:val="auto"/>
        </w:rPr>
        <w:t>President &amp; CEO</w:t>
      </w:r>
    </w:p>
    <w:p>
      <w:pPr>
        <w:spacing w:after="0" w:line="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Duly Authorized</w:t>
      </w:r>
    </w:p>
    <w:p>
      <w:pPr>
        <w:spacing w:after="0" w:line="39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LANDLORD:</w:t>
      </w:r>
    </w:p>
    <w:p>
      <w:pPr>
        <w:spacing w:after="0" w:line="202" w:lineRule="exact"/>
        <w:rPr>
          <w:sz w:val="20"/>
          <w:szCs w:val="20"/>
          <w:color w:val="auto"/>
        </w:rPr>
      </w:pPr>
    </w:p>
    <w:p>
      <w:pPr>
        <w:ind w:left="3820"/>
        <w:spacing w:after="0" w:line="262" w:lineRule="auto"/>
        <w:rPr>
          <w:sz w:val="20"/>
          <w:szCs w:val="20"/>
          <w:color w:val="auto"/>
        </w:rPr>
      </w:pPr>
      <w:r>
        <w:rPr>
          <w:rFonts w:ascii="Times New Roman" w:cs="Times New Roman" w:eastAsia="Times New Roman" w:hAnsi="Times New Roman"/>
          <w:sz w:val="22"/>
          <w:szCs w:val="22"/>
          <w:b w:val="1"/>
          <w:bCs w:val="1"/>
          <w:color w:val="auto"/>
        </w:rPr>
        <w:t>ASTRAZENECA PHARMACEUTICALS LIMITED PARTNERSHIP</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partnership</w:t>
      </w:r>
    </w:p>
    <w:p>
      <w:pPr>
        <w:spacing w:after="0" w:line="3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D. Arnold</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w:t>
      </w:r>
      <w:r>
        <w:rPr>
          <w:rFonts w:ascii="Times New Roman" w:cs="Times New Roman" w:eastAsia="Times New Roman" w:hAnsi="Times New Roman"/>
          <w:sz w:val="22"/>
          <w:szCs w:val="22"/>
          <w:u w:val="single" w:color="auto"/>
          <w:color w:val="auto"/>
        </w:rPr>
        <w:t>Matthew D. Arnold</w:t>
      </w:r>
    </w:p>
    <w:p>
      <w:pPr>
        <w:ind w:left="3820"/>
        <w:spacing w:after="0" w:line="230" w:lineRule="auto"/>
        <w:rPr>
          <w:sz w:val="20"/>
          <w:szCs w:val="20"/>
          <w:color w:val="auto"/>
        </w:rPr>
      </w:pPr>
      <w:r>
        <w:rPr>
          <w:rFonts w:ascii="Times New Roman" w:cs="Times New Roman" w:eastAsia="Times New Roman" w:hAnsi="Times New Roman"/>
          <w:sz w:val="22"/>
          <w:szCs w:val="22"/>
          <w:color w:val="auto"/>
        </w:rPr>
        <w:t>Title:</w:t>
      </w:r>
      <w:r>
        <w:rPr>
          <w:rFonts w:ascii="Times New Roman" w:cs="Times New Roman" w:eastAsia="Times New Roman" w:hAnsi="Times New Roman"/>
          <w:sz w:val="22"/>
          <w:szCs w:val="22"/>
          <w:u w:val="single" w:color="auto"/>
          <w:color w:val="auto"/>
        </w:rPr>
        <w:t>VP, Head of Operations</w:t>
      </w:r>
    </w:p>
    <w:p>
      <w:pPr>
        <w:spacing w:after="0" w:line="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62230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000" w:top="111" w:right="359" w:bottom="1440" w:gutter="0" w:footer="0" w:header="0"/>
        </w:sectPr>
      </w:pPr>
    </w:p>
    <w:bookmarkStart w:id="110" w:name="page111"/>
    <w:bookmarkEnd w:id="110"/>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PROPERTY DESCRIPTION</w:t>
      </w:r>
    </w:p>
    <w:p>
      <w:pPr>
        <w:spacing w:after="0" w:line="206" w:lineRule="exact"/>
        <w:rPr>
          <w:sz w:val="20"/>
          <w:szCs w:val="20"/>
          <w:color w:val="auto"/>
        </w:rPr>
      </w:pPr>
    </w:p>
    <w:p>
      <w:pPr>
        <w:ind w:right="40" w:firstLine="877"/>
        <w:spacing w:after="0" w:line="236" w:lineRule="auto"/>
        <w:rPr>
          <w:sz w:val="20"/>
          <w:szCs w:val="20"/>
          <w:color w:val="auto"/>
        </w:rPr>
      </w:pPr>
      <w:r>
        <w:rPr>
          <w:rFonts w:ascii="Times New Roman" w:cs="Times New Roman" w:eastAsia="Times New Roman" w:hAnsi="Times New Roman"/>
          <w:sz w:val="22"/>
          <w:szCs w:val="22"/>
          <w:color w:val="auto"/>
        </w:rPr>
        <w:t>The property is a state-of-the-art multi-tenant office, research and development, and laboratory facility located at 35 Gatehouse Drive in Waltham, Massachusetts. It provides spectacular views of the Cambridge Reservoir and is adjacent to over 22 acres of beautiful wooded protected park land in Weston, MA. It is situated directly off of Interstate 95 / Route 128 at Exit 17, neighboring Reservoir Woods, Waltham Woods, and Bay Colony Corporate Center. This location offers excellent proximity to Greater Boston's most desirable residential communities and to the R&amp;D epicenter of Cambridge, world-renowned for the region's best intellectual talent.</w:t>
      </w:r>
    </w:p>
    <w:p>
      <w:pPr>
        <w:spacing w:after="0" w:line="182" w:lineRule="exact"/>
        <w:rPr>
          <w:sz w:val="20"/>
          <w:szCs w:val="20"/>
          <w:color w:val="auto"/>
        </w:rPr>
      </w:pPr>
    </w:p>
    <w:p>
      <w:pPr>
        <w:ind w:firstLine="877"/>
        <w:spacing w:after="0" w:line="238" w:lineRule="auto"/>
        <w:rPr>
          <w:sz w:val="20"/>
          <w:szCs w:val="20"/>
          <w:color w:val="auto"/>
        </w:rPr>
      </w:pPr>
      <w:r>
        <w:rPr>
          <w:rFonts w:ascii="Times New Roman" w:cs="Times New Roman" w:eastAsia="Times New Roman" w:hAnsi="Times New Roman"/>
          <w:sz w:val="22"/>
          <w:szCs w:val="22"/>
          <w:color w:val="auto"/>
        </w:rPr>
        <w:t>The location is a series of interconnecting modern buildings, clad in glass and curtain wall skin that creates a world class destination. It offers tenants leading technology infrastructure. The tenant specific areas for lease are extremely flexible to accommodate a variety of specific research and development tailored to a tenant's needs. Large ribbon windows and incredible natural light also enhance the "universal lab" flexibility and quality of environment. Common areas are spacious, modern, and can provide informal collaboration areas.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11" w:name="page112"/>
    <w:bookmarkEnd w:id="111"/>
    <w:p>
      <w:pPr>
        <w:ind w:left="396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2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148590</wp:posOffset>
            </wp:positionV>
            <wp:extent cx="4587875" cy="7058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87875" cy="705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156845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BUILDING FLOOR PLANS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(showing Premises)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302895</wp:posOffset>
            </wp:positionV>
            <wp:extent cx="5342890" cy="6920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6920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RULES AND REGULATIONS</w:t>
      </w:r>
    </w:p>
    <w:p>
      <w:pPr>
        <w:spacing w:after="0" w:line="206" w:lineRule="exact"/>
        <w:rPr>
          <w:sz w:val="20"/>
          <w:szCs w:val="20"/>
          <w:color w:val="auto"/>
        </w:rPr>
      </w:pPr>
    </w:p>
    <w:p>
      <w:pPr>
        <w:ind w:right="120" w:firstLine="877"/>
        <w:spacing w:after="0" w:line="238" w:lineRule="auto"/>
        <w:rPr>
          <w:sz w:val="20"/>
          <w:szCs w:val="20"/>
          <w:color w:val="auto"/>
        </w:rPr>
      </w:pPr>
      <w:r>
        <w:rPr>
          <w:rFonts w:ascii="Times New Roman" w:cs="Times New Roman" w:eastAsia="Times New Roman" w:hAnsi="Times New Roman"/>
          <w:sz w:val="22"/>
          <w:szCs w:val="22"/>
          <w:color w:val="auto"/>
        </w:rPr>
        <w:t>ASTRAZENECA PHARMACEUTICALS LIMITED PARTNERSHIP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hereby promulgates the rules and regulations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 set forth below with respect to the use of the office building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and related amenities located at and known as 35 Gatehouse Drive, Waltham, Massachusetts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by tenants (collectively, the “</w:t>
      </w:r>
      <w:r>
        <w:rPr>
          <w:rFonts w:ascii="Times New Roman" w:cs="Times New Roman" w:eastAsia="Times New Roman" w:hAnsi="Times New Roman"/>
          <w:sz w:val="22"/>
          <w:szCs w:val="22"/>
          <w:u w:val="single" w:color="auto"/>
          <w:color w:val="auto"/>
        </w:rPr>
        <w:t>Tenants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of the Building. Office space within the Building leased by a Tenant is called “Premises.” The Rules and Regulations are as follows:</w:t>
      </w:r>
    </w:p>
    <w:p>
      <w:pPr>
        <w:spacing w:after="0" w:line="177" w:lineRule="exact"/>
        <w:rPr>
          <w:sz w:val="20"/>
          <w:szCs w:val="20"/>
          <w:color w:val="auto"/>
        </w:rPr>
      </w:pPr>
    </w:p>
    <w:p>
      <w:pPr>
        <w:jc w:val="both"/>
        <w:ind w:right="100" w:firstLine="885"/>
        <w:spacing w:after="0" w:line="239"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Sidewalks, doorways, vestibules, stairways, corridors, halls and other similar areas within the common areas of the Property (the “</w:t>
      </w:r>
      <w:r>
        <w:rPr>
          <w:rFonts w:ascii="Times New Roman" w:cs="Times New Roman" w:eastAsia="Times New Roman" w:hAnsi="Times New Roman"/>
          <w:sz w:val="22"/>
          <w:szCs w:val="22"/>
          <w:u w:val="single" w:color="auto"/>
          <w:color w:val="auto"/>
        </w:rPr>
        <w:t>Common Areas</w:t>
      </w:r>
      <w:r>
        <w:rPr>
          <w:rFonts w:ascii="Times New Roman" w:cs="Times New Roman" w:eastAsia="Times New Roman" w:hAnsi="Times New Roman"/>
          <w:sz w:val="22"/>
          <w:szCs w:val="22"/>
          <w:color w:val="auto"/>
        </w:rPr>
        <w:t>”) shall not be obstructed by any Tenant or used for any purpose other than ingress and egress to and from the portion of the Property leased by the applicable Tenant and for going from one part of the Property to another part of the Property.</w:t>
      </w:r>
    </w:p>
    <w:p>
      <w:pPr>
        <w:spacing w:after="0" w:line="180" w:lineRule="exact"/>
        <w:rPr>
          <w:rFonts w:ascii="Times New Roman" w:cs="Times New Roman" w:eastAsia="Times New Roman" w:hAnsi="Times New Roman"/>
          <w:sz w:val="22"/>
          <w:szCs w:val="22"/>
          <w:color w:val="auto"/>
        </w:rPr>
      </w:pPr>
    </w:p>
    <w:p>
      <w:pPr>
        <w:ind w:firstLine="885"/>
        <w:spacing w:after="0" w:line="244"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sign, advertisement, notice or other lettering shall be exhibited, inscribed, painted or affixed by a Tenant on or to any window, door, corridor or other part of the Building which is visible from outside of the Premises without the prior written consent of Landlord.</w:t>
      </w:r>
    </w:p>
    <w:p>
      <w:pPr>
        <w:spacing w:after="0" w:line="173" w:lineRule="exact"/>
        <w:rPr>
          <w:rFonts w:ascii="Times New Roman" w:cs="Times New Roman" w:eastAsia="Times New Roman" w:hAnsi="Times New Roman"/>
          <w:sz w:val="22"/>
          <w:szCs w:val="22"/>
          <w:color w:val="auto"/>
        </w:rPr>
      </w:pPr>
    </w:p>
    <w:p>
      <w:pPr>
        <w:ind w:right="40" w:firstLine="885"/>
        <w:spacing w:after="0" w:line="282" w:lineRule="auto"/>
        <w:tabs>
          <w:tab w:leader="none" w:pos="168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will provide and maintain a directory board in a Common Area identifying Tenants. Without the prior written consent of Lender, no Tenant shall be entitled to maintain any other directory or identifying sign in any Common Area.</w:t>
      </w:r>
    </w:p>
    <w:p>
      <w:pPr>
        <w:spacing w:after="0" w:line="134" w:lineRule="exact"/>
        <w:rPr>
          <w:rFonts w:ascii="Times New Roman" w:cs="Times New Roman" w:eastAsia="Times New Roman" w:hAnsi="Times New Roman"/>
          <w:sz w:val="21"/>
          <w:szCs w:val="21"/>
          <w:color w:val="auto"/>
        </w:rPr>
      </w:pPr>
    </w:p>
    <w:p>
      <w:pPr>
        <w:ind w:right="60" w:firstLine="885"/>
        <w:spacing w:after="0" w:line="244"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Movement of furniture, office equipment or any bulky material which requires movement through the Common Areas of the Building shall be restricted to such hours as Landlord may designate, and such movement shall be subject to such restrictions as Landlord may reasonably impose.</w:t>
      </w:r>
    </w:p>
    <w:p>
      <w:pPr>
        <w:spacing w:after="0" w:line="173" w:lineRule="exact"/>
        <w:rPr>
          <w:rFonts w:ascii="Times New Roman" w:cs="Times New Roman" w:eastAsia="Times New Roman" w:hAnsi="Times New Roman"/>
          <w:sz w:val="22"/>
          <w:szCs w:val="22"/>
          <w:color w:val="auto"/>
        </w:rPr>
      </w:pPr>
    </w:p>
    <w:p>
      <w:pPr>
        <w:ind w:right="60" w:firstLine="885"/>
        <w:spacing w:after="0" w:line="258"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authority to limit the weight of, and to prescribe and restrict the positioning and manner of installation of, safes, file cabinets and other heavy equipment.</w:t>
      </w:r>
    </w:p>
    <w:p>
      <w:pPr>
        <w:spacing w:after="0" w:line="158" w:lineRule="exact"/>
        <w:rPr>
          <w:rFonts w:ascii="Times New Roman" w:cs="Times New Roman" w:eastAsia="Times New Roman" w:hAnsi="Times New Roman"/>
          <w:sz w:val="22"/>
          <w:szCs w:val="22"/>
          <w:color w:val="auto"/>
        </w:rPr>
      </w:pPr>
    </w:p>
    <w:p>
      <w:pPr>
        <w:ind w:right="420" w:firstLine="885"/>
        <w:spacing w:after="0" w:line="258"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shall use, or permit any person making or receiving any delivery to its Premises to use, any hand trucks except those equipped with rubber tires and side guards.</w:t>
      </w:r>
    </w:p>
    <w:p>
      <w:pPr>
        <w:spacing w:after="0" w:line="158" w:lineRule="exact"/>
        <w:rPr>
          <w:rFonts w:ascii="Times New Roman" w:cs="Times New Roman" w:eastAsia="Times New Roman" w:hAnsi="Times New Roman"/>
          <w:sz w:val="22"/>
          <w:szCs w:val="22"/>
          <w:color w:val="auto"/>
        </w:rPr>
      </w:pPr>
    </w:p>
    <w:p>
      <w:pPr>
        <w:ind w:right="60" w:firstLine="885"/>
        <w:spacing w:after="0" w:line="238" w:lineRule="auto"/>
        <w:tabs>
          <w:tab w:leader="none" w:pos="16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locks for doors in each Tenant’s Premises shall be building standard and no Tenant shall place any additional lock or locks on any door in its Premises without Landlord’s prior written consent. All requests for duplicate keys shall be made through Landlord and charged to the Tenant. Upon termination of a Tenant’s tenancy, the Tenant shall deliver to Landlord all keys to the Tenant’s Premises, to interior doors within the Tenant’s Premises, to doors within the Common Areas and to exterior Building doors which have been furnished to or obtained by the Tenant.</w:t>
      </w:r>
    </w:p>
    <w:p>
      <w:pPr>
        <w:spacing w:after="0" w:line="177" w:lineRule="exact"/>
        <w:rPr>
          <w:rFonts w:ascii="Times New Roman" w:cs="Times New Roman" w:eastAsia="Times New Roman" w:hAnsi="Times New Roman"/>
          <w:sz w:val="22"/>
          <w:szCs w:val="22"/>
          <w:color w:val="auto"/>
        </w:rPr>
      </w:pPr>
    </w:p>
    <w:p>
      <w:pPr>
        <w:ind w:left="1700" w:hanging="815"/>
        <w:spacing w:after="0"/>
        <w:tabs>
          <w:tab w:leader="none" w:pos="17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Corridor doors, when not in use, shall be kept closed.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5" w:name="page116"/>
    <w:bookmarkEnd w:id="115"/>
    <w:p>
      <w:pPr>
        <w:ind w:left="1680" w:hanging="815"/>
        <w:spacing w:after="0"/>
        <w:tabs>
          <w:tab w:leader="none" w:pos="16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Tenant shall lock all doors of its Premises leading to Common Areas at the close of its working day.</w:t>
      </w:r>
    </w:p>
    <w:p>
      <w:pPr>
        <w:spacing w:after="0" w:line="206" w:lineRule="exact"/>
        <w:rPr>
          <w:rFonts w:ascii="Times New Roman" w:cs="Times New Roman" w:eastAsia="Times New Roman" w:hAnsi="Times New Roman"/>
          <w:sz w:val="22"/>
          <w:szCs w:val="22"/>
          <w:color w:val="auto"/>
        </w:rPr>
      </w:pPr>
    </w:p>
    <w:p>
      <w:pPr>
        <w:ind w:left="-20" w:right="40" w:firstLine="885"/>
        <w:spacing w:after="0" w:line="244"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curtains, blinds, draperies or other window treatments shall be attached to or hung in any window of the Premises of a Tenant on an exterior wall of the Building or on an interior wall of the Building dividing the Premises from Common Areas without the prior written consent of Landlord, which consent shall not be unreasonably withheld.</w:t>
      </w:r>
    </w:p>
    <w:p>
      <w:pPr>
        <w:spacing w:after="0" w:line="173" w:lineRule="exact"/>
        <w:rPr>
          <w:rFonts w:ascii="Times New Roman" w:cs="Times New Roman" w:eastAsia="Times New Roman" w:hAnsi="Times New Roman"/>
          <w:sz w:val="22"/>
          <w:szCs w:val="22"/>
          <w:color w:val="auto"/>
        </w:rPr>
      </w:pPr>
    </w:p>
    <w:p>
      <w:pPr>
        <w:ind w:left="-20" w:right="140" w:firstLine="885"/>
        <w:spacing w:after="0" w:line="239" w:lineRule="auto"/>
        <w:tabs>
          <w:tab w:leader="none" w:pos="176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Plumbing fixtures and appliances shall be used only for the purposes for which they were designed and constructed, and no sweepings rubbish, rags or other material shall be thrown or placed therein. The cost of repairing any damage resulting from misuse of the plumbing fixtures or appliances by a Tenant or its employees, agents or invitees shall be borne by the responsible Tenant.</w:t>
      </w:r>
    </w:p>
    <w:p>
      <w:pPr>
        <w:spacing w:after="0" w:line="180" w:lineRule="exact"/>
        <w:rPr>
          <w:rFonts w:ascii="Times New Roman" w:cs="Times New Roman" w:eastAsia="Times New Roman" w:hAnsi="Times New Roman"/>
          <w:sz w:val="22"/>
          <w:szCs w:val="22"/>
          <w:color w:val="auto"/>
        </w:rPr>
      </w:pPr>
    </w:p>
    <w:p>
      <w:pPr>
        <w:ind w:left="-20" w:right="24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shall use or permit the use of its Premises, or any part thereof, for lodging, for manufacturing, for any immoral or illegal purpose, or for any other purpose which is not permitted by the terms of its lease.</w:t>
      </w:r>
    </w:p>
    <w:p>
      <w:pPr>
        <w:spacing w:after="0" w:line="158" w:lineRule="exact"/>
        <w:rPr>
          <w:rFonts w:ascii="Times New Roman" w:cs="Times New Roman" w:eastAsia="Times New Roman" w:hAnsi="Times New Roman"/>
          <w:sz w:val="22"/>
          <w:szCs w:val="22"/>
          <w:color w:val="auto"/>
        </w:rPr>
      </w:pPr>
    </w:p>
    <w:p>
      <w:pPr>
        <w:ind w:left="-20" w:right="20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vending machines shall be allowed in any Premises without the prior written consent of Landlord, except for vending machines for the sole use of Tenant, its employees and invitees.</w:t>
      </w:r>
    </w:p>
    <w:p>
      <w:pPr>
        <w:spacing w:after="0" w:line="158" w:lineRule="exact"/>
        <w:rPr>
          <w:rFonts w:ascii="Times New Roman" w:cs="Times New Roman" w:eastAsia="Times New Roman" w:hAnsi="Times New Roman"/>
          <w:sz w:val="22"/>
          <w:szCs w:val="22"/>
          <w:color w:val="auto"/>
        </w:rPr>
      </w:pPr>
    </w:p>
    <w:p>
      <w:pPr>
        <w:ind w:left="-20" w:right="380" w:firstLine="885"/>
        <w:spacing w:after="0" w:line="244"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Tenant shall, at its expense, provide artificial light and electric current for the employees of Landlord and/or Landlord’s contractors while performing janitorial or other cleaning, maintenance or repair services in the Tenant’s Premises.</w:t>
      </w:r>
    </w:p>
    <w:p>
      <w:pPr>
        <w:spacing w:after="0" w:line="173" w:lineRule="exact"/>
        <w:rPr>
          <w:rFonts w:ascii="Times New Roman" w:cs="Times New Roman" w:eastAsia="Times New Roman" w:hAnsi="Times New Roman"/>
          <w:sz w:val="22"/>
          <w:szCs w:val="22"/>
          <w:color w:val="auto"/>
        </w:rPr>
      </w:pPr>
    </w:p>
    <w:p>
      <w:pPr>
        <w:ind w:left="-20" w:right="38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will make or permit any of its employees, agents or invitees to make any improper noises in the Building or to otherwise interfere in any way with other Tenants or persons having business with them.</w:t>
      </w:r>
    </w:p>
    <w:p>
      <w:pPr>
        <w:spacing w:after="0" w:line="158" w:lineRule="exact"/>
        <w:rPr>
          <w:rFonts w:ascii="Times New Roman" w:cs="Times New Roman" w:eastAsia="Times New Roman" w:hAnsi="Times New Roman"/>
          <w:sz w:val="22"/>
          <w:szCs w:val="22"/>
          <w:color w:val="auto"/>
        </w:rPr>
      </w:pPr>
    </w:p>
    <w:p>
      <w:pPr>
        <w:ind w:left="-2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shall cause any unnecessary janitorial labor or services by reason of the Tenant’s willful misconduct or carelessness or indifference in the preservation of good order and cleanliness.</w:t>
      </w:r>
    </w:p>
    <w:p>
      <w:pPr>
        <w:spacing w:after="0" w:line="158" w:lineRule="exact"/>
        <w:rPr>
          <w:rFonts w:ascii="Times New Roman" w:cs="Times New Roman" w:eastAsia="Times New Roman" w:hAnsi="Times New Roman"/>
          <w:sz w:val="22"/>
          <w:szCs w:val="22"/>
          <w:color w:val="auto"/>
        </w:rPr>
      </w:pPr>
    </w:p>
    <w:p>
      <w:pPr>
        <w:jc w:val="both"/>
        <w:ind w:left="-20" w:right="180" w:firstLine="885"/>
        <w:spacing w:after="0" w:line="244"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Landlord, no Tenant shall use the name of the Building or any picture of the Building in any materials promoting or advertising the business of the Tenant, except that each Tenant may use the address of the Building as the address of its business.</w:t>
      </w:r>
    </w:p>
    <w:p>
      <w:pPr>
        <w:spacing w:after="0" w:line="173" w:lineRule="exact"/>
        <w:rPr>
          <w:rFonts w:ascii="Times New Roman" w:cs="Times New Roman" w:eastAsia="Times New Roman" w:hAnsi="Times New Roman"/>
          <w:sz w:val="22"/>
          <w:szCs w:val="22"/>
          <w:color w:val="auto"/>
        </w:rPr>
      </w:pPr>
    </w:p>
    <w:p>
      <w:pPr>
        <w:ind w:left="-20" w:right="4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Tenant shall cooperate with Landlord to assure the effective operation of the heating and air conditioning systems serving the Tenant’s Premises and the Building.</w:t>
      </w:r>
    </w:p>
    <w:p>
      <w:pPr>
        <w:spacing w:after="0" w:line="158" w:lineRule="exact"/>
        <w:rPr>
          <w:rFonts w:ascii="Times New Roman" w:cs="Times New Roman" w:eastAsia="Times New Roman" w:hAnsi="Times New Roman"/>
          <w:sz w:val="22"/>
          <w:szCs w:val="22"/>
          <w:color w:val="auto"/>
        </w:rPr>
      </w:pPr>
    </w:p>
    <w:p>
      <w:pPr>
        <w:ind w:left="-20" w:right="80" w:firstLine="885"/>
        <w:spacing w:after="0" w:line="282" w:lineRule="auto"/>
        <w:tabs>
          <w:tab w:leader="none" w:pos="177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Landlord nor the Property manager will be responsible for lost or stolen money, jewelry or other personal property from any areas of the Property, regardless of whether the loss or theft occurs when the area in question is locked.</w:t>
      </w:r>
    </w:p>
    <w:p>
      <w:pPr>
        <w:spacing w:after="0" w:line="134" w:lineRule="exact"/>
        <w:rPr>
          <w:rFonts w:ascii="Times New Roman" w:cs="Times New Roman" w:eastAsia="Times New Roman" w:hAnsi="Times New Roman"/>
          <w:sz w:val="21"/>
          <w:szCs w:val="21"/>
          <w:color w:val="auto"/>
        </w:rPr>
      </w:pPr>
    </w:p>
    <w:p>
      <w:pPr>
        <w:ind w:left="-20" w:right="280" w:firstLine="885"/>
        <w:spacing w:after="0" w:line="258" w:lineRule="auto"/>
        <w:tabs>
          <w:tab w:leader="none" w:pos="177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in its discretion, institute security measures in the operation of the Property, and Tenants will comply with all such security measures. Such security measures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112" w:right="259" w:bottom="1440" w:gutter="0" w:footer="0" w:header="0"/>
        </w:sectPr>
      </w:pPr>
    </w:p>
    <w:bookmarkStart w:id="116" w:name="page117"/>
    <w:bookmarkEnd w:id="116"/>
    <w:p>
      <w:pPr>
        <w:ind w:right="180"/>
        <w:spacing w:after="0" w:line="236" w:lineRule="auto"/>
        <w:rPr>
          <w:sz w:val="20"/>
          <w:szCs w:val="20"/>
          <w:color w:val="auto"/>
        </w:rPr>
      </w:pPr>
      <w:r>
        <w:rPr>
          <w:rFonts w:ascii="Times New Roman" w:cs="Times New Roman" w:eastAsia="Times New Roman" w:hAnsi="Times New Roman"/>
          <w:sz w:val="22"/>
          <w:szCs w:val="22"/>
          <w:color w:val="auto"/>
        </w:rPr>
        <w:t>include, but are not limited to, requiring persons entering the Building or the Property to identify themselves to a watchman or other person designated by Landlord and to sign in and sign out of the Property, denying access to persons who are not properly identified or appear suspicious, requiring each employee, guest or visitor to wear and display a security badge at all times, and conducting fire or other emergency drills. The exercise of such security measures by Landlord and any resulting interruption of a Tenant’s business shall not constitute an eviction or disturbance of a Tenant’s use and possession of its Premises, render Landlord liable to the Tenant for damages, or relieve a Tenant from its obligations under its lease.</w:t>
      </w:r>
    </w:p>
    <w:p>
      <w:pPr>
        <w:spacing w:after="0" w:line="183" w:lineRule="exact"/>
        <w:rPr>
          <w:sz w:val="20"/>
          <w:szCs w:val="20"/>
          <w:color w:val="auto"/>
        </w:rPr>
      </w:pPr>
    </w:p>
    <w:p>
      <w:pPr>
        <w:ind w:right="220" w:firstLine="885"/>
        <w:spacing w:after="0" w:line="258" w:lineRule="auto"/>
        <w:tabs>
          <w:tab w:leader="none" w:pos="17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bicycles or vehicles shall be brought into or kept in the Building. All bicycles and vehicles brought onto the Property shall be driven and parked only in designated, paved areas.</w:t>
      </w:r>
    </w:p>
    <w:p>
      <w:pPr>
        <w:spacing w:after="0" w:line="158" w:lineRule="exact"/>
        <w:rPr>
          <w:rFonts w:ascii="Times New Roman" w:cs="Times New Roman" w:eastAsia="Times New Roman" w:hAnsi="Times New Roman"/>
          <w:sz w:val="22"/>
          <w:szCs w:val="22"/>
          <w:color w:val="auto"/>
        </w:rPr>
      </w:pPr>
    </w:p>
    <w:p>
      <w:pPr>
        <w:ind w:firstLine="885"/>
        <w:spacing w:after="0" w:line="233" w:lineRule="auto"/>
        <w:tabs>
          <w:tab w:leader="none" w:pos="17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Parking on the Property shall be subject to the restrictions set forth in this paragraph and, with respect to any particular Tenant, to any additional restrictions on parking set forth in such Tenant’s lease. Each Tenant and such Tenant’s employees, agents and invitees shall have the right, in common with others and in connection with the conduct of Tenant’s business at the Property, to park passenger automobiles on portions of the Property which have been striped for parking; provided, however that (a) no Tenant or its employees or agents may park in any space marked “visitor,” and (b) no Tenant or its employees, agents or invitees may park in any space marked “reserved,” unless reserved for such Tenant, and (c) persons parking their vehicles will do so exclusively within the marked parking space lines. No Tenant or its employees, agents or invitees shall have a right to park vehicles on the Property overnight or for purposes other than in connection with the Tenant’s business at the Property. Landlord shall have no responsibility to any Tenant or any Tenant’s employees, agents or invitees for any theft, loss of or damage to any vehicle or its contents on the Property. Each Tenant’s parking rights, except as otherwise expressly provided in its lease, are in common with other Tenants and on a first come, first served basis, and, except as otherwise expressly provided in its lease or other written agreements with Landlord, no Tenant has the right to any designated parking spaces or to any particular number of parking spaces.</w:t>
      </w:r>
    </w:p>
    <w:p>
      <w:pPr>
        <w:spacing w:after="0" w:line="183" w:lineRule="exact"/>
        <w:rPr>
          <w:rFonts w:ascii="Times New Roman" w:cs="Times New Roman" w:eastAsia="Times New Roman" w:hAnsi="Times New Roman"/>
          <w:sz w:val="22"/>
          <w:szCs w:val="22"/>
          <w:color w:val="auto"/>
        </w:rPr>
      </w:pPr>
    </w:p>
    <w:p>
      <w:pPr>
        <w:ind w:right="380" w:firstLine="885"/>
        <w:spacing w:after="0" w:line="258" w:lineRule="auto"/>
        <w:tabs>
          <w:tab w:leader="none" w:pos="17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vehicles brought onto the Property by Tenant, its employees, agents, customers and invitees shall be in good condition and appearance and shall be drivable. No such vehicles shall be leaking oil or other fluids.</w:t>
      </w:r>
    </w:p>
    <w:p>
      <w:pPr>
        <w:spacing w:after="0" w:line="158" w:lineRule="exact"/>
        <w:rPr>
          <w:rFonts w:ascii="Times New Roman" w:cs="Times New Roman" w:eastAsia="Times New Roman" w:hAnsi="Times New Roman"/>
          <w:sz w:val="22"/>
          <w:szCs w:val="22"/>
          <w:color w:val="auto"/>
        </w:rPr>
      </w:pPr>
    </w:p>
    <w:p>
      <w:pPr>
        <w:ind w:right="40" w:firstLine="885"/>
        <w:spacing w:after="0" w:line="244" w:lineRule="auto"/>
        <w:tabs>
          <w:tab w:leader="none" w:pos="17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Tenant will deposit its garbage, trash and refuse only in approved trash containers within the Tenant’s Premises or in designated trash receptacles placed by Landlord within the Common Areas. No Tenant shall deposit any hazardous, flammable or explosive substances in any trash receptacle on the Property.</w:t>
      </w:r>
    </w:p>
    <w:p>
      <w:pPr>
        <w:spacing w:after="0" w:line="173" w:lineRule="exact"/>
        <w:rPr>
          <w:rFonts w:ascii="Times New Roman" w:cs="Times New Roman" w:eastAsia="Times New Roman" w:hAnsi="Times New Roman"/>
          <w:sz w:val="22"/>
          <w:szCs w:val="22"/>
          <w:color w:val="auto"/>
        </w:rPr>
      </w:pPr>
    </w:p>
    <w:p>
      <w:pPr>
        <w:ind w:right="100" w:firstLine="885"/>
        <w:spacing w:after="0" w:line="236" w:lineRule="auto"/>
        <w:tabs>
          <w:tab w:leader="none" w:pos="17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rescind, alter or waive any of the Rules and Regulations, and to adopt such additional rules and regulations as part of the Rules and Regulations, from time to time as Landlord deems it appropriate for the safety, protection, care and cleanliness of the Property, the operation thereof, the preservation of good order therein or the protection and comfort of the Tenants and their employees, agents and invitees. An alteration or waiver of any of the Rules and Regulations in favor of one Tenant shall not, other than with the consent of Landlord, operate as an alteration or waiver in favor of any other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117" w:name="page118"/>
    <w:bookmarkEnd w:id="117"/>
    <w:p>
      <w:pPr>
        <w:spacing w:after="0" w:line="244" w:lineRule="auto"/>
        <w:rPr>
          <w:sz w:val="20"/>
          <w:szCs w:val="20"/>
          <w:color w:val="auto"/>
        </w:rPr>
      </w:pPr>
      <w:r>
        <w:rPr>
          <w:rFonts w:ascii="Times New Roman" w:cs="Times New Roman" w:eastAsia="Times New Roman" w:hAnsi="Times New Roman"/>
          <w:sz w:val="22"/>
          <w:szCs w:val="22"/>
          <w:color w:val="auto"/>
        </w:rPr>
        <w:t>Tenant. Landlord shall not be responsible to any Tenant for the non-observance or violation by any other Tenant of any of the Rules and Regulations, nor for the enforcement of any of the Rules and Regulations against any other Tenant. No Tenant shall have the right to enforce any of the Rules and Regulations against any other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LANDLORD’S WORK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u w:val="single" w:color="auto"/>
          <w:color w:val="auto"/>
        </w:rPr>
        <w:t>A.00 FLAMMABLES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155575</wp:posOffset>
            </wp:positionV>
            <wp:extent cx="5351145" cy="6920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156845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158750</wp:posOffset>
            </wp:positionV>
            <wp:extent cx="4973955" cy="74098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73955" cy="740981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Schedule 3E-1</w:t>
      </w:r>
    </w:p>
    <w:p>
      <w:pPr>
        <w:sectPr>
          <w:pgSz w:w="11900" w:h="16838" w:orient="portrait"/>
          <w:cols w:equalWidth="0" w:num="1">
            <w:col w:w="9019"/>
          </w:cols>
          <w:pgMar w:left="1440" w:top="108" w:right="1440"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This Consulting Agreement (the “Agreement”) is made effective as of May 27, 2015 (the “Effective Date”), by and between Cerulean Pharma Inc., a Delaware corporation, with its principal place of business being 840 Memorial Drive, 5th Floor, Cambridge, MA 02139 (the “Company”) and Danforth Advisors, LLC, a Massachusetts limited liability corporation, with its principal place of business being 91 Middle Road, Southborough, MA 01772 (“Danforth”). The Company and Danforth are herein sometimes referred to individually as a “Party” and collectively as the “Parties.”</w:t>
      </w:r>
    </w:p>
    <w:p>
      <w:pPr>
        <w:spacing w:after="0" w:line="177" w:lineRule="exact"/>
        <w:rPr>
          <w:sz w:val="20"/>
          <w:szCs w:val="20"/>
          <w:color w:val="auto"/>
        </w:rPr>
      </w:pPr>
    </w:p>
    <w:p>
      <w:pPr>
        <w:ind w:right="660" w:firstLine="761"/>
        <w:spacing w:after="0" w:line="258" w:lineRule="auto"/>
        <w:rPr>
          <w:sz w:val="20"/>
          <w:szCs w:val="20"/>
          <w:color w:val="auto"/>
        </w:rPr>
      </w:pPr>
      <w:r>
        <w:rPr>
          <w:rFonts w:ascii="Times New Roman" w:cs="Times New Roman" w:eastAsia="Times New Roman" w:hAnsi="Times New Roman"/>
          <w:sz w:val="22"/>
          <w:szCs w:val="22"/>
          <w:color w:val="auto"/>
        </w:rPr>
        <w:t>WHEREAS, the Company possesses know-how and proprietary technology related to oncology drug discovery and development;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Danforth has expertise in financial and corporate operations and strategy; and</w:t>
      </w:r>
    </w:p>
    <w:p>
      <w:pPr>
        <w:spacing w:after="0" w:line="206" w:lineRule="exact"/>
        <w:rPr>
          <w:sz w:val="20"/>
          <w:szCs w:val="20"/>
          <w:color w:val="auto"/>
        </w:rPr>
      </w:pPr>
    </w:p>
    <w:p>
      <w:pPr>
        <w:ind w:firstLine="761"/>
        <w:spacing w:after="0" w:line="282" w:lineRule="auto"/>
        <w:rPr>
          <w:sz w:val="20"/>
          <w:szCs w:val="20"/>
          <w:color w:val="auto"/>
        </w:rPr>
      </w:pPr>
      <w:r>
        <w:rPr>
          <w:rFonts w:ascii="Times New Roman" w:cs="Times New Roman" w:eastAsia="Times New Roman" w:hAnsi="Times New Roman"/>
          <w:sz w:val="21"/>
          <w:szCs w:val="21"/>
          <w:color w:val="auto"/>
        </w:rPr>
        <w:t xml:space="preserve">WHEREAS, Danforth desires to serve as an independent consultant for the purpose of providing the Company with certain strategic and financial advice and support services, as more fully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"Services"); and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wishes to engage Danforth on the terms and conditions set forth herein.</w:t>
      </w:r>
    </w:p>
    <w:p>
      <w:pPr>
        <w:spacing w:after="0" w:line="206" w:lineRule="exact"/>
        <w:rPr>
          <w:sz w:val="20"/>
          <w:szCs w:val="20"/>
          <w:color w:val="auto"/>
        </w:rPr>
      </w:pPr>
    </w:p>
    <w:p>
      <w:pPr>
        <w:ind w:right="40" w:firstLine="761"/>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are hereby acknowledged, the Parties agree and covenant as follows.</w:t>
      </w:r>
    </w:p>
    <w:p>
      <w:pPr>
        <w:spacing w:after="0" w:line="158" w:lineRule="exact"/>
        <w:rPr>
          <w:sz w:val="20"/>
          <w:szCs w:val="20"/>
          <w:color w:val="auto"/>
        </w:rPr>
      </w:pPr>
    </w:p>
    <w:p>
      <w:pPr>
        <w:jc w:val="both"/>
        <w:ind w:left="760" w:right="320" w:hanging="752"/>
        <w:spacing w:after="0" w:line="244" w:lineRule="auto"/>
        <w:tabs>
          <w:tab w:leader="none" w:pos="7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 of Consultant</w:t>
      </w:r>
      <w:r>
        <w:rPr>
          <w:rFonts w:ascii="Times New Roman" w:cs="Times New Roman" w:eastAsia="Times New Roman" w:hAnsi="Times New Roman"/>
          <w:sz w:val="22"/>
          <w:szCs w:val="22"/>
          <w:color w:val="auto"/>
        </w:rPr>
        <w:t xml:space="preserve">. Danforth will assist the Company with matters relating to the Services. The Services are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Danforth and the Company will review the Services on a monthly basis to prioritize and implement the tasks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760" w:right="20" w:hanging="752"/>
        <w:spacing w:after="0" w:line="233" w:lineRule="auto"/>
        <w:tabs>
          <w:tab w:leader="none" w:pos="7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for Services</w:t>
      </w:r>
      <w:r>
        <w:rPr>
          <w:rFonts w:ascii="Times New Roman" w:cs="Times New Roman" w:eastAsia="Times New Roman" w:hAnsi="Times New Roman"/>
          <w:sz w:val="22"/>
          <w:szCs w:val="22"/>
          <w:color w:val="auto"/>
        </w:rPr>
        <w:t xml:space="preserve">. In full consideration of Danforth’s full, prompt and faithful performance of the Services, the Company shall compensate Danforth and Mr. Gregg Beloff, as more fully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(collectively, the “Total Compensation”). Danforth shall, from time to time, but not more frequently than twice per calendar month invoice the Company for Services rendered and such invoice will be paid upon thirty (30) days of receipt. Each month the Parties shall evaluate jointly the current fee structure and scope of Services. Danforth reserves the right to an annual increase in the consultant fee of up to 4%, effective January 1 of each year. Upon termination of this Agreement pursuant to Section 3, no compensation of any kind as described in this Section 2 shall be payable or issuable to Danforth after the effective date of such termination. </w:t>
      </w:r>
      <w:r>
        <w:rPr>
          <w:rFonts w:ascii="Times New Roman" w:cs="Times New Roman" w:eastAsia="Times New Roman" w:hAnsi="Times New Roman"/>
          <w:sz w:val="19"/>
          <w:szCs w:val="19"/>
          <w:color w:val="auto"/>
        </w:rPr>
        <w:t>In addition,</w:t>
      </w:r>
      <w:r>
        <w:rPr>
          <w:rFonts w:ascii="Times New Roman" w:cs="Times New Roman" w:eastAsia="Times New Roman" w:hAnsi="Times New Roman"/>
          <w:sz w:val="22"/>
          <w:szCs w:val="22"/>
          <w:color w:val="auto"/>
        </w:rPr>
        <w:t xml:space="preserve"> the Company will reimburse Danforth for reasonable out-of-pocket business expenses, including but not limited to travel and parking, incurred by Danforth in performing the Services hereunder, upon submission by Danforth of supporting documentation reasonably acceptable to the Company. Any such accrued expenses in any given three (3) month period that exceed one thousand dollars ($1,000) shall be submitted to the Company for its prior written approval.</w:t>
      </w:r>
    </w:p>
    <w:p>
      <w:pPr>
        <w:spacing w:after="0" w:line="186" w:lineRule="exact"/>
        <w:rPr>
          <w:rFonts w:ascii="Times New Roman" w:cs="Times New Roman" w:eastAsia="Times New Roman" w:hAnsi="Times New Roman"/>
          <w:sz w:val="22"/>
          <w:szCs w:val="22"/>
          <w:color w:val="auto"/>
        </w:rPr>
      </w:pPr>
    </w:p>
    <w:p>
      <w:pPr>
        <w:ind w:left="760" w:right="40" w:hanging="752"/>
        <w:spacing w:after="0" w:line="236" w:lineRule="auto"/>
        <w:tabs>
          <w:tab w:leader="none" w:pos="7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 The term of this Agreement will commence on the Effective Date and will continue through the anniversary of such date in the next calendar year (the “Term”). This Agreement may be extended for an additional period by mutual written agreement. This Agreement may be terminated by either Party hereto: (a) with Cause (as defined below), upon thirty (30) days prior written notice to the other Party; or (b) without cause upon sixty (60) days prior written notice to the other Party. For purposes of this Section 3, “Cause” shall include: (i) a breach of the terms of this Agreement which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22" w:name="page123"/>
    <w:bookmarkEnd w:id="122"/>
    <w:p>
      <w:pPr>
        <w:ind w:left="752" w:right="1140"/>
        <w:spacing w:after="0" w:line="258" w:lineRule="auto"/>
        <w:rPr>
          <w:sz w:val="20"/>
          <w:szCs w:val="20"/>
          <w:color w:val="auto"/>
        </w:rPr>
      </w:pPr>
      <w:r>
        <w:rPr>
          <w:rFonts w:ascii="Times New Roman" w:cs="Times New Roman" w:eastAsia="Times New Roman" w:hAnsi="Times New Roman"/>
          <w:sz w:val="22"/>
          <w:szCs w:val="22"/>
          <w:color w:val="auto"/>
        </w:rPr>
        <w:t>is not cured within thirty (30) days of written notice of such default or (ii) the commission of any act of fraud, embezzlement or deliberate disregard of a rule or policy of the Company.</w:t>
      </w:r>
    </w:p>
    <w:p>
      <w:pPr>
        <w:spacing w:after="0" w:line="158" w:lineRule="exact"/>
        <w:rPr>
          <w:sz w:val="20"/>
          <w:szCs w:val="20"/>
          <w:color w:val="auto"/>
        </w:rPr>
      </w:pPr>
    </w:p>
    <w:p>
      <w:pPr>
        <w:ind w:left="752" w:right="280" w:hanging="752"/>
        <w:spacing w:after="0" w:line="258" w:lineRule="auto"/>
        <w:tabs>
          <w:tab w:leader="none" w:pos="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Commitment</w:t>
      </w:r>
      <w:r>
        <w:rPr>
          <w:rFonts w:ascii="Times New Roman" w:cs="Times New Roman" w:eastAsia="Times New Roman" w:hAnsi="Times New Roman"/>
          <w:sz w:val="22"/>
          <w:szCs w:val="22"/>
          <w:color w:val="auto"/>
        </w:rPr>
        <w:t>. Danforth will devote such time to perform the Services under this Agreement as may reasonably be required, and as mutually agreed by the Parties.</w:t>
      </w:r>
    </w:p>
    <w:p>
      <w:pPr>
        <w:spacing w:after="0" w:line="158" w:lineRule="exact"/>
        <w:rPr>
          <w:rFonts w:ascii="Times New Roman" w:cs="Times New Roman" w:eastAsia="Times New Roman" w:hAnsi="Times New Roman"/>
          <w:sz w:val="22"/>
          <w:szCs w:val="22"/>
          <w:color w:val="auto"/>
        </w:rPr>
      </w:pPr>
    </w:p>
    <w:p>
      <w:pPr>
        <w:ind w:left="752" w:right="180" w:hanging="752"/>
        <w:spacing w:after="0" w:line="239" w:lineRule="auto"/>
        <w:tabs>
          <w:tab w:leader="none" w:pos="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Danforth will perform the Services at such locations upon which the Company and Danforth may mutually agree. Danforth will not, without the prior written consent of the Company, perform any of the Services at any facility or in any manner that might give anyone other than the Company any rights to or allow for disclosure of any Confidential Information (as defined below).</w:t>
      </w:r>
    </w:p>
    <w:p>
      <w:pPr>
        <w:spacing w:after="0" w:line="180" w:lineRule="exact"/>
        <w:rPr>
          <w:rFonts w:ascii="Times New Roman" w:cs="Times New Roman" w:eastAsia="Times New Roman" w:hAnsi="Times New Roman"/>
          <w:sz w:val="22"/>
          <w:szCs w:val="22"/>
          <w:color w:val="auto"/>
        </w:rPr>
      </w:pPr>
    </w:p>
    <w:p>
      <w:pPr>
        <w:ind w:left="752" w:right="480" w:hanging="752"/>
        <w:spacing w:after="0" w:line="258" w:lineRule="auto"/>
        <w:tabs>
          <w:tab w:leader="none" w:pos="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Policies and Guidelines</w:t>
      </w:r>
      <w:r>
        <w:rPr>
          <w:rFonts w:ascii="Times New Roman" w:cs="Times New Roman" w:eastAsia="Times New Roman" w:hAnsi="Times New Roman"/>
          <w:sz w:val="22"/>
          <w:szCs w:val="22"/>
          <w:color w:val="auto"/>
        </w:rPr>
        <w:t>. Danforth will perform the Services in accordance with all rules or policies adopted by the Company that the Company discloses in writing to Danforth.</w:t>
      </w:r>
    </w:p>
    <w:p>
      <w:pPr>
        <w:spacing w:after="0" w:line="158" w:lineRule="exact"/>
        <w:rPr>
          <w:rFonts w:ascii="Times New Roman" w:cs="Times New Roman" w:eastAsia="Times New Roman" w:hAnsi="Times New Roman"/>
          <w:sz w:val="22"/>
          <w:szCs w:val="22"/>
          <w:color w:val="auto"/>
        </w:rPr>
      </w:pPr>
    </w:p>
    <w:p>
      <w:pPr>
        <w:ind w:left="752" w:right="40" w:hanging="752"/>
        <w:spacing w:after="0" w:line="233" w:lineRule="auto"/>
        <w:tabs>
          <w:tab w:leader="none" w:pos="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Danforth acknowledges and agrees that during the course of performing the Services, the Company may furnish, disclose or make available to Danforth information, including, but not limited to, material, compilations, data, formulae, models, patent disclosures, procedures, processes, business plans, projections, protocols, results of experimentation and testing, specifications, strategies and techniques, and all tangible and intangible embodiments thereof of any kind whatsoever (including, but not limited to, any apparatus, biological or chemical materials, animals, cells, compositions, documents, drawings, machinery, patent applications, records and reports), which is owned or controlled by the Company and is marked or designated as confidential at the time of disclosure or is of a type that is customarily considered to be confidential information (collectively the “Confidential Information"). Danforth acknowledges that the Confidential Information or any part thereof is the exclusive property of the Company and shall not be disclosed to any third party without first obtaining the written consent of the Company. Danforth further agrees to take all practical steps to ensure that the Confidential Information, and any part thereof, shall not be disclosed or issued to its affiliates, agents or employees, except on like terms of confidentiality. The above provisions of confidentiality shall apply for a period of five (5) years.</w:t>
      </w:r>
    </w:p>
    <w:p>
      <w:pPr>
        <w:spacing w:after="0" w:line="183" w:lineRule="exact"/>
        <w:rPr>
          <w:rFonts w:ascii="Times New Roman" w:cs="Times New Roman" w:eastAsia="Times New Roman" w:hAnsi="Times New Roman"/>
          <w:sz w:val="22"/>
          <w:szCs w:val="22"/>
          <w:color w:val="auto"/>
        </w:rPr>
      </w:pPr>
    </w:p>
    <w:p>
      <w:pPr>
        <w:ind w:left="752" w:hanging="752"/>
        <w:spacing w:after="0" w:line="246" w:lineRule="exact"/>
        <w:tabs>
          <w:tab w:leader="none" w:pos="7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Danforth agrees that all ideas, inventions, discoveries, creations, manuscripts, properties, innovations, improvements,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inventions, designs, developments, apparatus, techniques, methods, and formulae that Danforth conceives, makes, develops or improves as a result of performing the Services, whether or not reduced to practice and whether or not patentable, alone or in conjunction with any other party and whether or not at the request or upon the suggestion of the Company (all of the foregoing being hereinafter collectively referred to as the “Inventions”), shall be the sole and exclusive property of the Company. Danforth hereby agrees in consideration of the Company’s agreement to engage Danforth and pay compensation for the Services rendered to the Company and for other good and valuable consideration, the receipt and sufficiency of which are hereby acknowledged that Danforth shall not, without the prior written consent of the Company, directly or indirectly, consult for, or become an employee of, any company which conducts business in the Field of Interest anywhere in the world. As used herein, the term “Field of Interest” shall mean the research, development, manufacture and/or sale of the products resulting from the Company’s technology. The limitations on competition contained in this Section 8 shall continue during the time that Danforth performs any Services for the Company, and for a period of three (3) months following the termination of any such Services that Danforth performs for the Company. If any part of this section should be determined by a court of competent jurisdiction to be unreasonable in duration, geographic area, or scope, then this Section 8 is intended to and shall extend only for such period of time, in such area and with respect to such activity as is determined to be reasonable. Except as expressly provided herein, nothing in this Agreement shall preclude Danforth from consulting for or being employed by any other person or entity.</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44" w:right="259" w:bottom="1440" w:gutter="0" w:footer="0" w:header="0"/>
        </w:sectPr>
      </w:pPr>
    </w:p>
    <w:bookmarkStart w:id="123" w:name="page124"/>
    <w:bookmarkEnd w:id="123"/>
    <w:p>
      <w:pPr>
        <w:ind w:left="752" w:right="40" w:hanging="752"/>
        <w:spacing w:after="0" w:line="234"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 Solicitation</w:t>
      </w:r>
      <w:r>
        <w:rPr>
          <w:rFonts w:ascii="Times New Roman" w:cs="Times New Roman" w:eastAsia="Times New Roman" w:hAnsi="Times New Roman"/>
          <w:sz w:val="22"/>
          <w:szCs w:val="22"/>
          <w:color w:val="auto"/>
        </w:rPr>
        <w:t>. All personnel representing Danforth are contracted agents of Danforth. As such, they are obligated to provide the Services to the Company and are obligated to Danforth under confidentiality, non-compete, and non-solicitation agreements. Accordingly, they are not retainable as employees or contractors by the Company and the Company hereby agrees not to solicit, hire or retain their services for so long as they are contracted agents of Danforth and for one (1) years thereafter. Should the Company violate this restriction, it agrees to pay Danforth liquidated damages equal to twenty-five thousand ($25,000) dollars for each Danforth contracted agent solicited and/or hired by the Company in violation of this Agreement, plus Danforth’s reasonable attorneys’ fees and costs incurred in enforcing this agreement should the Company fail or refuse to pay the liquidated damages amount in full within thirty (30) days following its violation.</w:t>
      </w:r>
    </w:p>
    <w:p>
      <w:pPr>
        <w:spacing w:after="0" w:line="184" w:lineRule="exact"/>
        <w:rPr>
          <w:rFonts w:ascii="Times New Roman" w:cs="Times New Roman" w:eastAsia="Times New Roman" w:hAnsi="Times New Roman"/>
          <w:sz w:val="22"/>
          <w:szCs w:val="22"/>
          <w:color w:val="auto"/>
        </w:rPr>
      </w:pPr>
    </w:p>
    <w:p>
      <w:pPr>
        <w:ind w:left="752" w:right="120" w:hanging="752"/>
        <w:spacing w:after="0" w:line="238"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Placement Services</w:t>
      </w:r>
      <w:r>
        <w:rPr>
          <w:rFonts w:ascii="Times New Roman" w:cs="Times New Roman" w:eastAsia="Times New Roman" w:hAnsi="Times New Roman"/>
          <w:sz w:val="22"/>
          <w:szCs w:val="22"/>
          <w:color w:val="auto"/>
        </w:rPr>
        <w:t>. In the event that Danforth refers a potential employee to the Company and that individual is hired, Danforth shall receive a fee equal to twenty percent (20%) of the employee’s starting annual base salary and target annual bonus. This fee is due and owing whether an individual is hired, directly or indirectly on a permanent basis or on a contract or consulting basis by the Company, as a result of Danforth’s efforts within one (1) year of the date applicant(s) are submitted to the Company. Such payment is due within thirty (30) days of the employee’s start date.</w:t>
      </w:r>
    </w:p>
    <w:p>
      <w:pPr>
        <w:spacing w:after="0" w:line="177" w:lineRule="exact"/>
        <w:rPr>
          <w:rFonts w:ascii="Times New Roman" w:cs="Times New Roman" w:eastAsia="Times New Roman" w:hAnsi="Times New Roman"/>
          <w:sz w:val="22"/>
          <w:szCs w:val="22"/>
          <w:color w:val="auto"/>
        </w:rPr>
      </w:pPr>
    </w:p>
    <w:p>
      <w:pPr>
        <w:ind w:left="752" w:right="40" w:hanging="752"/>
        <w:spacing w:after="0" w:line="234"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Implied Warranty</w:t>
      </w:r>
      <w:r>
        <w:rPr>
          <w:rFonts w:ascii="Times New Roman" w:cs="Times New Roman" w:eastAsia="Times New Roman" w:hAnsi="Times New Roman"/>
          <w:sz w:val="22"/>
          <w:szCs w:val="22"/>
          <w:color w:val="auto"/>
        </w:rPr>
        <w:t>. Except for any express warranties stated herein, the Services are provided on an "as is" basis, and the Company disclaims any and all other warranties, conditions, or representations (express, implied, oral or written), relating to the Services or any part thereof. Further, in performing the Services Danforth is not engaged to disclose illegal acts, including fraud or defalcations, which may have taken place. The foregoing notwithstanding, Danforth will promptly notify the Company if Danforth becomes aware of any such illegal acts during the performance of the Services. Because the Services do not constitute an examination in accordance with standards established by the American Institute of Certified Public Accountants (the “AICPA”), Danforth is precluded from expressing an opinion as to whether financial statements provided by the Company are in conformity with generally accepted accounting principles or any other standards or guidelines promulgated by the AICPA, or whether the underlying financial and other data provide a reasonable basis for the statements.</w:t>
      </w:r>
    </w:p>
    <w:p>
      <w:pPr>
        <w:spacing w:after="0" w:line="180" w:lineRule="exact"/>
        <w:rPr>
          <w:rFonts w:ascii="Times New Roman" w:cs="Times New Roman" w:eastAsia="Times New Roman" w:hAnsi="Times New Roman"/>
          <w:sz w:val="22"/>
          <w:szCs w:val="22"/>
          <w:color w:val="auto"/>
        </w:rPr>
      </w:pPr>
    </w:p>
    <w:p>
      <w:pPr>
        <w:ind w:left="752" w:right="60" w:hanging="752"/>
        <w:spacing w:after="0" w:line="235"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Party hereto agrees to indemnify and hold the other Party hereto, its directors, officers, agents and employees harmless against any claim based upon circumstances alleged to be inconsistent with such representations and/or warranties contained in this Agreement. Further, the Company shall indemnify and hold harmless Danforth and any of its subcontractors against any claims, losses, damages or liabilities (or actions in respect thereof) that arise out of or are based on the Services performed hereunder, except for any such claims, losses, damages or liabilities arising out of the gross negligence or willful misconduct Danforth or any of its subcontractors. The Company will endeavor to add Consultant and any applicable subcontractor to its insurance policies as additional insureds.</w:t>
      </w:r>
    </w:p>
    <w:p>
      <w:pPr>
        <w:spacing w:after="0" w:line="183" w:lineRule="exact"/>
        <w:rPr>
          <w:rFonts w:ascii="Times New Roman" w:cs="Times New Roman" w:eastAsia="Times New Roman" w:hAnsi="Times New Roman"/>
          <w:sz w:val="22"/>
          <w:szCs w:val="22"/>
          <w:color w:val="auto"/>
        </w:rPr>
      </w:pPr>
    </w:p>
    <w:p>
      <w:pPr>
        <w:ind w:left="752" w:hanging="752"/>
        <w:spacing w:after="0" w:line="235"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Danforth is not, nor shall Danforth be deemed to be at any time during the term of this Agreement, an employee of the Company, and therefore Danforth shall not be entitled to any benefits provided by the Company to its employees, if applicable. Danforth’s status and relationship with the Company shall be that of an independent contractor and consultant. Danforth shall not state or imply, directly or indirectly, that Danforth is empowered to bind the Company without the Company's prior written consent. Nothing herein shall create, expressly or by implication, a partnership, joint venture or other association between the parties. Danforth will be solely responsible for payment of all charges and taxes arising from his or her relationship to the Company as a consultant.</w:t>
      </w:r>
    </w:p>
    <w:p>
      <w:pPr>
        <w:spacing w:after="0" w:line="183" w:lineRule="exact"/>
        <w:rPr>
          <w:rFonts w:ascii="Times New Roman" w:cs="Times New Roman" w:eastAsia="Times New Roman" w:hAnsi="Times New Roman"/>
          <w:sz w:val="22"/>
          <w:szCs w:val="22"/>
          <w:color w:val="auto"/>
        </w:rPr>
      </w:pPr>
    </w:p>
    <w:p>
      <w:pPr>
        <w:ind w:left="752" w:right="520" w:hanging="752"/>
        <w:spacing w:after="0" w:line="258" w:lineRule="auto"/>
        <w:tabs>
          <w:tab w:leader="none" w:pos="75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Upon termination of Danforth’s relationship with the Company, Danforth shall deliver to the Company any property or Confidential Information of the Company relating to the Services which may</w:t>
      </w: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4" w:right="239" w:bottom="1440" w:gutter="0" w:footer="0" w:header="0"/>
        </w:sectPr>
      </w:pPr>
    </w:p>
    <w:bookmarkStart w:id="124" w:name="page125"/>
    <w:bookmarkEnd w:id="124"/>
    <w:p>
      <w:pPr>
        <w:ind w:left="752" w:right="40"/>
        <w:spacing w:after="0" w:line="258" w:lineRule="auto"/>
        <w:rPr>
          <w:sz w:val="20"/>
          <w:szCs w:val="20"/>
          <w:color w:val="auto"/>
        </w:rPr>
      </w:pPr>
      <w:r>
        <w:rPr>
          <w:rFonts w:ascii="Times New Roman" w:cs="Times New Roman" w:eastAsia="Times New Roman" w:hAnsi="Times New Roman"/>
          <w:sz w:val="22"/>
          <w:szCs w:val="22"/>
          <w:color w:val="auto"/>
        </w:rPr>
        <w:t>be in its possession including products, project plans, materials, memoranda, notes, records, reports, laboratory notebooks, or other documents or photocopies and any such information stored using electronic medium.</w:t>
      </w:r>
    </w:p>
    <w:p>
      <w:pPr>
        <w:spacing w:after="0" w:line="374" w:lineRule="exact"/>
        <w:rPr>
          <w:sz w:val="20"/>
          <w:szCs w:val="20"/>
          <w:color w:val="auto"/>
        </w:rPr>
      </w:pPr>
    </w:p>
    <w:p>
      <w:pPr>
        <w:ind w:left="752" w:right="40" w:hanging="752"/>
        <w:spacing w:after="0" w:line="238" w:lineRule="auto"/>
        <w:tabs>
          <w:tab w:leader="none" w:pos="75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under this Agreement shall be in writing (except in the case of verbal communications, emails and teleconferences updating either Party as to the status of work hereunder) and shall be deemed delivered upon personal delivery, one day after being sent via a reputable nationwide overnight courier service or two days after deposit in the mail or on the next business day following transmittal via facsimile. Notices under this Agreement shall be sent to the following representatives of the Parties:</w:t>
      </w:r>
    </w:p>
    <w:p>
      <w:pPr>
        <w:spacing w:after="0" w:line="393"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2"/>
          <w:szCs w:val="22"/>
          <w:color w:val="auto"/>
        </w:rPr>
        <w:t>If to the Company:</w:t>
      </w:r>
    </w:p>
    <w:p>
      <w:pPr>
        <w:sectPr>
          <w:pgSz w:w="11900" w:h="16838" w:orient="portrait"/>
          <w:cols w:equalWidth="0" w:num="1">
            <w:col w:w="11392"/>
          </w:cols>
          <w:pgMar w:left="248" w:top="544" w:right="259" w:bottom="1440" w:gutter="0" w:footer="0" w:header="0"/>
        </w:sectPr>
      </w:pPr>
    </w:p>
    <w:p>
      <w:pPr>
        <w:spacing w:after="0" w:line="224"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Title:</w:t>
      </w:r>
    </w:p>
    <w:p>
      <w:pPr>
        <w:spacing w:after="0" w:line="13"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9"/>
          <w:szCs w:val="19"/>
          <w:color w:val="auto"/>
        </w:rPr>
        <w:t>Address:</w:t>
      </w:r>
    </w:p>
    <w:p>
      <w:pPr>
        <w:spacing w:after="0" w:line="25"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Phone:</w:t>
      </w:r>
    </w:p>
    <w:p>
      <w:pPr>
        <w:spacing w:after="0" w:line="13"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Guiffre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840 Memorial Drive, 5th Floor, Cambridge, MA 02139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(617) 551-9600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cguiffre@ceruleanrx.com</w:t>
      </w:r>
    </w:p>
    <w:p>
      <w:pPr>
        <w:spacing w:after="0" w:line="196" w:lineRule="exact"/>
        <w:rPr>
          <w:sz w:val="20"/>
          <w:szCs w:val="20"/>
          <w:color w:val="auto"/>
        </w:rPr>
      </w:pPr>
    </w:p>
    <w:p>
      <w:pPr>
        <w:sectPr>
          <w:pgSz w:w="11900" w:h="16838" w:orient="portrait"/>
          <w:cols w:equalWidth="0" w:num="2">
            <w:col w:w="2712" w:space="720"/>
            <w:col w:w="7960"/>
          </w:cols>
          <w:pgMar w:left="248" w:top="544" w:right="259" w:bottom="1440" w:gutter="0" w:footer="0" w:header="0"/>
          <w:type w:val="continuous"/>
        </w:sectPr>
      </w:pPr>
    </w:p>
    <w:p>
      <w:pPr>
        <w:ind w:left="1192"/>
        <w:spacing w:after="0"/>
        <w:rPr>
          <w:sz w:val="20"/>
          <w:szCs w:val="20"/>
          <w:color w:val="auto"/>
        </w:rPr>
      </w:pPr>
      <w:r>
        <w:rPr>
          <w:rFonts w:ascii="Times New Roman" w:cs="Times New Roman" w:eastAsia="Times New Roman" w:hAnsi="Times New Roman"/>
          <w:sz w:val="21"/>
          <w:szCs w:val="21"/>
          <w:color w:val="auto"/>
        </w:rPr>
        <w:t>If to Danforth:</w:t>
      </w:r>
    </w:p>
    <w:p>
      <w:pPr>
        <w:sectPr>
          <w:pgSz w:w="11900" w:h="16838" w:orient="portrait"/>
          <w:cols w:equalWidth="0" w:num="1">
            <w:col w:w="11392"/>
          </w:cols>
          <w:pgMar w:left="248" w:top="544" w:right="259" w:bottom="1440" w:gutter="0" w:footer="0" w:header="0"/>
          <w:type w:val="continuous"/>
        </w:sectPr>
      </w:pPr>
    </w:p>
    <w:p>
      <w:pPr>
        <w:spacing w:after="0" w:line="236"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Title:</w:t>
      </w:r>
    </w:p>
    <w:p>
      <w:pPr>
        <w:spacing w:after="0" w:line="13"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9"/>
          <w:szCs w:val="19"/>
          <w:color w:val="auto"/>
        </w:rPr>
        <w:t>Address:</w:t>
      </w:r>
    </w:p>
    <w:p>
      <w:pPr>
        <w:spacing w:after="0" w:line="252"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Phone:</w:t>
      </w:r>
    </w:p>
    <w:p>
      <w:pPr>
        <w:spacing w:after="0" w:line="28"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Gregg Beloff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 Middle Road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Southborough, MA 01772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1 617 686-7679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gbeloff@danforthadvisors.com</w:t>
      </w:r>
    </w:p>
    <w:p>
      <w:pPr>
        <w:spacing w:after="0" w:line="207" w:lineRule="exact"/>
        <w:rPr>
          <w:sz w:val="20"/>
          <w:szCs w:val="20"/>
          <w:color w:val="auto"/>
        </w:rPr>
      </w:pPr>
    </w:p>
    <w:p>
      <w:pPr>
        <w:sectPr>
          <w:pgSz w:w="11900" w:h="16838" w:orient="portrait"/>
          <w:cols w:equalWidth="0" w:num="2">
            <w:col w:w="2712" w:space="720"/>
            <w:col w:w="7960"/>
          </w:cols>
          <w:pgMar w:left="248" w:top="544" w:right="259" w:bottom="1440" w:gutter="0" w:footer="0" w:header="0"/>
          <w:type w:val="continuous"/>
        </w:sectPr>
      </w:pPr>
    </w:p>
    <w:p>
      <w:pPr>
        <w:ind w:left="752" w:hanging="752"/>
        <w:spacing w:after="0" w:line="239" w:lineRule="auto"/>
        <w:tabs>
          <w:tab w:leader="none" w:pos="7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This Agreement may not be assigned by a Party without the consent of the other which shall not be unreasonably withheld, except that each Party may assign this Agreement and the rights, obligations and interests of such Party, in whole or in part, to any of its Affiliates, to any purchaser of all or substantially all of its assets or to any successor corporation resulting from any merger or consolidation of such Party with or into such corporation.</w:t>
      </w:r>
    </w:p>
    <w:p>
      <w:pPr>
        <w:spacing w:after="0" w:line="396" w:lineRule="exact"/>
        <w:rPr>
          <w:rFonts w:ascii="Times New Roman" w:cs="Times New Roman" w:eastAsia="Times New Roman" w:hAnsi="Times New Roman"/>
          <w:sz w:val="22"/>
          <w:szCs w:val="22"/>
          <w:color w:val="auto"/>
        </w:rPr>
      </w:pPr>
    </w:p>
    <w:p>
      <w:pPr>
        <w:ind w:left="752" w:right="200" w:hanging="752"/>
        <w:spacing w:after="0" w:line="255" w:lineRule="auto"/>
        <w:tabs>
          <w:tab w:leader="none" w:pos="75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Neither Party shall be liable for failure of or delay in performing obligations set forth in this Agreement, and neither shall be deemed in breach of its obligations, if such failure or delay is due to natural disasters or any causes beyond the reasonable control of either Party. In the event of such force majeure, the Party affected thereby shall use reasonable efforts to cure or overcome the same and resume performance of its obligations hereunder.</w:t>
      </w:r>
    </w:p>
    <w:p>
      <w:pPr>
        <w:spacing w:after="0" w:line="378" w:lineRule="exact"/>
        <w:rPr>
          <w:rFonts w:ascii="Times New Roman" w:cs="Times New Roman" w:eastAsia="Times New Roman" w:hAnsi="Times New Roman"/>
          <w:sz w:val="21"/>
          <w:szCs w:val="21"/>
          <w:color w:val="auto"/>
        </w:rPr>
      </w:pPr>
    </w:p>
    <w:p>
      <w:pPr>
        <w:ind w:left="752" w:right="200" w:hanging="752"/>
        <w:spacing w:after="0" w:line="258" w:lineRule="auto"/>
        <w:tabs>
          <w:tab w:leader="none" w:pos="7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are intended for convenience of reference only and are not intended to be a part of or to affect the meaning or interpretation of this Agreement.</w:t>
      </w:r>
    </w:p>
    <w:p>
      <w:pPr>
        <w:spacing w:after="0" w:line="374" w:lineRule="exact"/>
        <w:rPr>
          <w:rFonts w:ascii="Times New Roman" w:cs="Times New Roman" w:eastAsia="Times New Roman" w:hAnsi="Times New Roman"/>
          <w:sz w:val="22"/>
          <w:szCs w:val="22"/>
          <w:color w:val="auto"/>
        </w:rPr>
      </w:pPr>
    </w:p>
    <w:p>
      <w:pPr>
        <w:ind w:left="752" w:right="160" w:hanging="752"/>
        <w:spacing w:after="0" w:line="239" w:lineRule="auto"/>
        <w:tabs>
          <w:tab w:leader="none" w:pos="7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 Severability</w:t>
      </w:r>
      <w:r>
        <w:rPr>
          <w:rFonts w:ascii="Times New Roman" w:cs="Times New Roman" w:eastAsia="Times New Roman" w:hAnsi="Times New Roman"/>
          <w:sz w:val="22"/>
          <w:szCs w:val="22"/>
          <w:color w:val="auto"/>
        </w:rPr>
        <w:t>. This Agreement is the sole agreement with respect to the subject matter hereof and shall supersede all other agreements and understandings between the Parties with respect to the same. If any provision of this Agreement is or becomes invalid or is ruled invalid by any court of competent jurisdiction or is deemed unenforceable, it is the intention of the Parties that the remainder of the Agreement shall not be affected.</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44" w:right="259" w:bottom="1440" w:gutter="0" w:footer="0" w:header="0"/>
          <w:type w:val="continuous"/>
        </w:sectPr>
      </w:pPr>
    </w:p>
    <w:bookmarkStart w:id="125" w:name="page126"/>
    <w:bookmarkEnd w:id="125"/>
    <w:p>
      <w:pPr>
        <w:ind w:left="760" w:right="120" w:hanging="752"/>
        <w:spacing w:after="0" w:line="239"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excluding choice of law principles. The Parties agree that any action or proceeding arising out of or related in any way to this Agreement shall be brought solely in a Federal or State court of competent jurisdiction sitting in the Commonwealth of Massachusetts.</w:t>
      </w:r>
    </w:p>
    <w:p>
      <w:pPr>
        <w:spacing w:after="0" w:line="396" w:lineRule="exact"/>
        <w:rPr>
          <w:rFonts w:ascii="Times New Roman" w:cs="Times New Roman" w:eastAsia="Times New Roman" w:hAnsi="Times New Roman"/>
          <w:sz w:val="22"/>
          <w:szCs w:val="22"/>
          <w:color w:val="auto"/>
        </w:rPr>
      </w:pPr>
    </w:p>
    <w:p>
      <w:pPr>
        <w:ind w:left="760" w:right="560" w:hanging="752"/>
        <w:spacing w:after="0" w:line="258" w:lineRule="auto"/>
        <w:tabs>
          <w:tab w:leader="none" w:pos="7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agreement.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If you are in agreement with the foregoing, please sign where indicated below, whereupon this Agreement shall become effective as of the 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DANFORTH ADVISORS, LLC</w:t>
            </w: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CERULEAN PHARMA INC.</w:t>
            </w:r>
          </w:p>
        </w:tc>
      </w:tr>
      <w:tr>
        <w:trPr>
          <w:trHeight w:val="966"/>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Gregg Beloff</w:t>
            </w:r>
          </w:p>
        </w:tc>
        <w:tc>
          <w:tcPr>
            <w:tcW w:w="2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Christopher D. T. Guiffre</w:t>
            </w:r>
          </w:p>
        </w:tc>
      </w:tr>
      <w:tr>
        <w:trPr>
          <w:trHeight w:val="480"/>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Gregg Beloff</w:t>
            </w:r>
          </w:p>
        </w:tc>
        <w:tc>
          <w:tcPr>
            <w:tcW w:w="2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Print Name: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Christopher D. T. Guiffre</w:t>
            </w:r>
          </w:p>
        </w:tc>
      </w:tr>
      <w:tr>
        <w:trPr>
          <w:trHeight w:val="480"/>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Managing Director</w:t>
            </w:r>
          </w:p>
        </w:tc>
        <w:tc>
          <w:tcPr>
            <w:tcW w:w="2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Title: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President &amp; Chief Executive Officer</w:t>
            </w:r>
          </w:p>
        </w:tc>
      </w:tr>
      <w:tr>
        <w:trPr>
          <w:trHeight w:val="480"/>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27, 2015</w:t>
            </w:r>
          </w:p>
        </w:tc>
        <w:tc>
          <w:tcPr>
            <w:tcW w:w="22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Date:</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27, 2015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Description of Services and Schedule of Fees</w:t>
      </w:r>
    </w:p>
    <w:p>
      <w:pPr>
        <w:spacing w:after="0" w:line="20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Danforth will perform mutually agreed to finance, accounting and other administrative functions (the “Services”) which are necessary to support the achievement of the Company’s strategic and financial objectives, and the management of the Company’s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CFO Services:</w:t>
      </w:r>
    </w:p>
    <w:p>
      <w:pPr>
        <w:spacing w:after="0" w:line="112" w:lineRule="exact"/>
        <w:rPr>
          <w:sz w:val="20"/>
          <w:szCs w:val="20"/>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financing activities</w:t>
      </w:r>
    </w:p>
    <w:p>
      <w:pPr>
        <w:spacing w:after="0" w:line="44" w:lineRule="exact"/>
        <w:rPr>
          <w:rFonts w:ascii="Times New Roman" w:cs="Times New Roman" w:eastAsia="Times New Roman" w:hAnsi="Times New Roman"/>
          <w:sz w:val="22"/>
          <w:szCs w:val="22"/>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compliance with SEC filing and other regulatory requirements</w:t>
      </w:r>
    </w:p>
    <w:p>
      <w:pPr>
        <w:spacing w:after="0" w:line="44" w:lineRule="exact"/>
        <w:rPr>
          <w:rFonts w:ascii="Times New Roman" w:cs="Times New Roman" w:eastAsia="Times New Roman" w:hAnsi="Times New Roman"/>
          <w:sz w:val="22"/>
          <w:szCs w:val="22"/>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 investor relations activities</w:t>
      </w:r>
    </w:p>
    <w:p>
      <w:pPr>
        <w:spacing w:after="0" w:line="44" w:lineRule="exact"/>
        <w:rPr>
          <w:rFonts w:ascii="Times New Roman" w:cs="Times New Roman" w:eastAsia="Times New Roman" w:hAnsi="Times New Roman"/>
          <w:sz w:val="22"/>
          <w:szCs w:val="22"/>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finance and accounting functions</w:t>
      </w:r>
    </w:p>
    <w:p>
      <w:pPr>
        <w:spacing w:after="0" w:line="44" w:lineRule="exact"/>
        <w:rPr>
          <w:rFonts w:ascii="Times New Roman" w:cs="Times New Roman" w:eastAsia="Times New Roman" w:hAnsi="Times New Roman"/>
          <w:sz w:val="22"/>
          <w:szCs w:val="22"/>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Audit, Compensation, and Corporate Governance committee meeting preparation, support and attendance</w:t>
      </w:r>
    </w:p>
    <w:p>
      <w:pPr>
        <w:spacing w:after="0" w:line="44" w:lineRule="exact"/>
        <w:rPr>
          <w:rFonts w:ascii="Times New Roman" w:cs="Times New Roman" w:eastAsia="Times New Roman" w:hAnsi="Times New Roman"/>
          <w:sz w:val="22"/>
          <w:szCs w:val="22"/>
          <w:color w:val="auto"/>
        </w:rPr>
      </w:pPr>
    </w:p>
    <w:p>
      <w:pPr>
        <w:ind w:left="760" w:hanging="372"/>
        <w:spacing w:after="0"/>
        <w:tabs>
          <w:tab w:leader="none" w:pos="7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CFO services, as needed/requested:</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business planning</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contract negotiation and cost reduction planning</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and business development/licensing support</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modeling, planning and analysis</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opportunity assessment</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 plan management</w:t>
      </w:r>
    </w:p>
    <w:p>
      <w:pPr>
        <w:spacing w:after="0" w:line="44" w:lineRule="exact"/>
        <w:rPr>
          <w:rFonts w:ascii="Times New Roman" w:cs="Times New Roman" w:eastAsia="Times New Roman" w:hAnsi="Times New Roman"/>
          <w:sz w:val="22"/>
          <w:szCs w:val="22"/>
          <w:color w:val="auto"/>
        </w:rPr>
      </w:pPr>
    </w:p>
    <w:p>
      <w:pPr>
        <w:ind w:left="1500" w:hanging="351"/>
        <w:spacing w:after="0"/>
        <w:tabs>
          <w:tab w:leader="none" w:pos="15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Capitalization table management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CFO services will be provided by Gregg Beloff, Managing Director of Danforth.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Services: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Danforth also offers Services including, but not limited to, supporting the Company with:</w:t>
      </w:r>
    </w:p>
    <w:p>
      <w:pPr>
        <w:spacing w:after="0" w:line="98" w:lineRule="exact"/>
        <w:rPr>
          <w:sz w:val="20"/>
          <w:szCs w:val="20"/>
          <w:color w:val="auto"/>
        </w:rPr>
      </w:pPr>
    </w:p>
    <w:p>
      <w:pPr>
        <w:ind w:left="760" w:hanging="372"/>
        <w:spacing w:after="0"/>
        <w:tabs>
          <w:tab w:leader="none" w:pos="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Accounting</w:t>
      </w:r>
    </w:p>
    <w:p>
      <w:pPr>
        <w:spacing w:after="0" w:line="14" w:lineRule="exact"/>
        <w:rPr>
          <w:rFonts w:ascii="Times New Roman" w:cs="Times New Roman" w:eastAsia="Times New Roman" w:hAnsi="Times New Roman"/>
          <w:sz w:val="22"/>
          <w:szCs w:val="22"/>
          <w:color w:val="auto"/>
        </w:rPr>
      </w:pPr>
    </w:p>
    <w:p>
      <w:pPr>
        <w:ind w:left="760" w:hanging="372"/>
        <w:spacing w:after="0" w:line="230" w:lineRule="auto"/>
        <w:tabs>
          <w:tab w:leader="none" w:pos="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FP&amp;A</w:t>
      </w:r>
    </w:p>
    <w:p>
      <w:pPr>
        <w:ind w:left="760" w:hanging="372"/>
        <w:spacing w:after="0"/>
        <w:tabs>
          <w:tab w:leader="none" w:pos="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special projects as may be requested by Company</w:t>
      </w:r>
    </w:p>
    <w:p>
      <w:pPr>
        <w:spacing w:after="0" w:line="7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Parties recognize that the time required to provide the Services will fluctuate, depending on the Company’s needs and priorities, and to some extent external events that cannot be controlled or accurately predicted. Therefore, the Parties will meet as soon as possible after the execution of this Agreement to agree on the prioritization of tasks and the level of resources required, and will meet periodically, but no less frequently than monthly, to re-assess resourcing.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Hourly Consulting Fees: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CFO: Gregg Beloff</w:t>
            </w:r>
          </w:p>
        </w:tc>
        <w:tc>
          <w:tcPr>
            <w:tcW w:w="75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$280/hour</w:t>
            </w:r>
          </w:p>
        </w:tc>
      </w:tr>
      <w:tr>
        <w:trPr>
          <w:trHeight w:val="243"/>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Technical Accounting</w:t>
            </w:r>
          </w:p>
        </w:tc>
        <w:tc>
          <w:tcPr>
            <w:tcW w:w="75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$270/hour</w:t>
            </w:r>
          </w:p>
        </w:tc>
      </w:tr>
      <w:tr>
        <w:trPr>
          <w:trHeight w:val="258"/>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Director of Finance:</w:t>
            </w:r>
          </w:p>
        </w:tc>
        <w:tc>
          <w:tcPr>
            <w:tcW w:w="758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$165/hour</w:t>
            </w:r>
          </w:p>
        </w:tc>
      </w:tr>
      <w:tr>
        <w:trPr>
          <w:trHeight w:val="642"/>
        </w:trPr>
        <w:tc>
          <w:tcPr>
            <w:tcW w:w="3860" w:type="dxa"/>
            <w:vAlign w:val="bottom"/>
          </w:tcPr>
          <w:p>
            <w:pPr>
              <w:spacing w:after="0"/>
              <w:rPr>
                <w:sz w:val="24"/>
                <w:szCs w:val="24"/>
                <w:color w:val="auto"/>
              </w:rPr>
            </w:pPr>
          </w:p>
        </w:tc>
        <w:tc>
          <w:tcPr>
            <w:tcW w:w="7580" w:type="dxa"/>
            <w:vAlign w:val="bottom"/>
          </w:tcPr>
          <w:p>
            <w:pPr>
              <w:jc w:val="right"/>
              <w:ind w:right="5583"/>
              <w:spacing w:after="0"/>
              <w:rPr>
                <w:sz w:val="20"/>
                <w:szCs w:val="20"/>
                <w:color w:val="auto"/>
              </w:rPr>
            </w:pPr>
            <w:r>
              <w:rPr>
                <w:rFonts w:ascii="Times New Roman" w:cs="Times New Roman" w:eastAsia="Times New Roman" w:hAnsi="Times New Roman"/>
                <w:sz w:val="18"/>
                <w:szCs w:val="18"/>
                <w:color w:val="auto"/>
              </w:rPr>
              <w:t>6</w:t>
            </w:r>
          </w:p>
        </w:tc>
      </w:tr>
      <w:tr>
        <w:trPr>
          <w:trHeight w:val="331"/>
        </w:trPr>
        <w:tc>
          <w:tcPr>
            <w:tcW w:w="38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27" w:name="page128"/>
    <w:bookmarkEnd w:id="127"/>
    <w:p>
      <w:pPr>
        <w:ind w:right="340"/>
        <w:spacing w:after="0" w:line="384" w:lineRule="auto"/>
        <w:rPr>
          <w:sz w:val="20"/>
          <w:szCs w:val="20"/>
          <w:color w:val="auto"/>
        </w:rPr>
      </w:pPr>
      <w:r>
        <w:rPr>
          <w:rFonts w:ascii="Times New Roman" w:cs="Times New Roman" w:eastAsia="Times New Roman" w:hAnsi="Times New Roman"/>
          <w:sz w:val="22"/>
          <w:szCs w:val="22"/>
          <w:color w:val="auto"/>
        </w:rPr>
        <w:t xml:space="preserve">Danforth shall submit invoices to Cerulean, which shall be payable by Cerulean in accordance with Section 2 of the Agreement. </w:t>
      </w:r>
      <w:r>
        <w:rPr>
          <w:rFonts w:ascii="Times New Roman" w:cs="Times New Roman" w:eastAsia="Times New Roman" w:hAnsi="Times New Roman"/>
          <w:sz w:val="22"/>
          <w:szCs w:val="22"/>
          <w:b w:val="1"/>
          <w:bCs w:val="1"/>
          <w:color w:val="auto"/>
        </w:rPr>
        <w:t>Equity Compensation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Cerulean shall grant to Gregg Beloff, in his individual capacity as consultant to the Company, a nonqualified stock option grant, in accordance with and pursuant to the Company’s 2014 Stock Option Plan and a customary stock option agreement, of 90,000 shares of Cerulean common stock (the “Option”). The shares subject to the Option will vest over a one year period, starting as of the Effective Date, with 1/12th of the shares vesting on May 31, 2015 and at the end of each month of continuous service thereafter. Shares subject to the Option which are vested as of the expiration or termination of this Agreement shall be exercisable for a period of up to one (1) year after such expiration or termination.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Together, the hourly consulting fees (as set forth above) and the Option constitute the Total Compensation in accordance with Section 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28"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TRANSITION AND SEPARATION AGREEMENT</w:t>
      </w:r>
    </w:p>
    <w:p>
      <w:pPr>
        <w:spacing w:after="0" w:line="206" w:lineRule="exact"/>
        <w:rPr>
          <w:sz w:val="20"/>
          <w:szCs w:val="20"/>
          <w:color w:val="auto"/>
        </w:rPr>
      </w:pPr>
    </w:p>
    <w:p>
      <w:pPr>
        <w:ind w:right="860" w:firstLine="761"/>
        <w:spacing w:after="0" w:line="258" w:lineRule="auto"/>
        <w:rPr>
          <w:sz w:val="20"/>
          <w:szCs w:val="20"/>
          <w:color w:val="auto"/>
        </w:rPr>
      </w:pPr>
      <w:r>
        <w:rPr>
          <w:rFonts w:ascii="Times New Roman" w:cs="Times New Roman" w:eastAsia="Times New Roman" w:hAnsi="Times New Roman"/>
          <w:sz w:val="22"/>
          <w:szCs w:val="22"/>
          <w:color w:val="auto"/>
        </w:rPr>
        <w:t>This Transition and Separation Agreement (the “Agreement”) is made by and between Cerulean Pharma Inc. (the “Company”) and Karen Roberts (“Ms. Roberts”) (collectively, the “Parties”).</w:t>
      </w:r>
    </w:p>
    <w:p>
      <w:pPr>
        <w:spacing w:after="0" w:line="158" w:lineRule="exact"/>
        <w:rPr>
          <w:sz w:val="20"/>
          <w:szCs w:val="20"/>
          <w:color w:val="auto"/>
        </w:rPr>
      </w:pPr>
    </w:p>
    <w:p>
      <w:pPr>
        <w:ind w:right="120" w:firstLine="761"/>
        <w:spacing w:after="0" w:line="244" w:lineRule="auto"/>
        <w:rPr>
          <w:sz w:val="20"/>
          <w:szCs w:val="20"/>
          <w:color w:val="auto"/>
        </w:rPr>
      </w:pPr>
      <w:r>
        <w:rPr>
          <w:rFonts w:ascii="Times New Roman" w:cs="Times New Roman" w:eastAsia="Times New Roman" w:hAnsi="Times New Roman"/>
          <w:sz w:val="22"/>
          <w:szCs w:val="22"/>
          <w:color w:val="auto"/>
        </w:rPr>
        <w:t>WHEREAS, the Company and Ms. Roberts are parties to the Employment Agreement dated as of July 21, 2014 (the “Employment Agreement”) under which Ms. Roberts currently serves as Senior Vice President, Finance and Administration of the Company;</w:t>
      </w:r>
    </w:p>
    <w:p>
      <w:pPr>
        <w:spacing w:after="0" w:line="174" w:lineRule="exact"/>
        <w:rPr>
          <w:sz w:val="20"/>
          <w:szCs w:val="20"/>
          <w:color w:val="auto"/>
        </w:rPr>
      </w:pPr>
    </w:p>
    <w:p>
      <w:pPr>
        <w:ind w:right="40" w:firstLine="761"/>
        <w:spacing w:after="0" w:line="258" w:lineRule="auto"/>
        <w:rPr>
          <w:sz w:val="20"/>
          <w:szCs w:val="20"/>
          <w:color w:val="auto"/>
        </w:rPr>
      </w:pPr>
      <w:r>
        <w:rPr>
          <w:rFonts w:ascii="Times New Roman" w:cs="Times New Roman" w:eastAsia="Times New Roman" w:hAnsi="Times New Roman"/>
          <w:sz w:val="22"/>
          <w:szCs w:val="22"/>
          <w:color w:val="auto"/>
        </w:rPr>
        <w:t>WHEREAS, the Company intends to hire a Chief Financial Officer and desires that Ms. Roberts continue her service as an employee during the Transition Period (as defined below); and</w:t>
      </w:r>
    </w:p>
    <w:p>
      <w:pPr>
        <w:spacing w:after="0" w:line="158" w:lineRule="exact"/>
        <w:rPr>
          <w:sz w:val="20"/>
          <w:szCs w:val="20"/>
          <w:color w:val="auto"/>
        </w:rPr>
      </w:pPr>
    </w:p>
    <w:p>
      <w:pPr>
        <w:jc w:val="both"/>
        <w:ind w:right="80" w:firstLine="761"/>
        <w:spacing w:after="0" w:line="244" w:lineRule="auto"/>
        <w:rPr>
          <w:sz w:val="20"/>
          <w:szCs w:val="20"/>
          <w:color w:val="auto"/>
        </w:rPr>
      </w:pPr>
      <w:r>
        <w:rPr>
          <w:rFonts w:ascii="Times New Roman" w:cs="Times New Roman" w:eastAsia="Times New Roman" w:hAnsi="Times New Roman"/>
          <w:sz w:val="22"/>
          <w:szCs w:val="22"/>
          <w:color w:val="auto"/>
        </w:rPr>
        <w:t>WHEREAS, the Parties agree that the Employment Agreement shall be null and void on the date this Agreement becomes effective and enforceable and wish to establish the terms of Ms. Roberts’s employment during the Transition Period and the terms of Ms. Roberts’s separation from the Company upon the completion of the Transition Period;</w:t>
      </w:r>
    </w:p>
    <w:p>
      <w:pPr>
        <w:spacing w:after="0" w:line="174" w:lineRule="exact"/>
        <w:rPr>
          <w:sz w:val="20"/>
          <w:szCs w:val="20"/>
          <w:color w:val="auto"/>
        </w:rPr>
      </w:pPr>
    </w:p>
    <w:p>
      <w:pPr>
        <w:ind w:right="400" w:firstLine="761"/>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conditions set forth below, and for other good and valuable consideration, the receipt and sufficiency of which is hereby acknowledged, the Parties agree as follows:</w:t>
      </w:r>
    </w:p>
    <w:p>
      <w:pPr>
        <w:spacing w:after="0" w:line="158" w:lineRule="exact"/>
        <w:rPr>
          <w:sz w:val="20"/>
          <w:szCs w:val="20"/>
          <w:color w:val="auto"/>
        </w:rPr>
      </w:pPr>
    </w:p>
    <w:p>
      <w:pPr>
        <w:ind w:left="1140" w:hanging="752"/>
        <w:spacing w:after="0"/>
        <w:tabs>
          <w:tab w:leader="none" w:pos="11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 Resignation from Employment and Officer Positions.</w:t>
      </w:r>
    </w:p>
    <w:p>
      <w:pPr>
        <w:spacing w:after="0" w:line="233" w:lineRule="exact"/>
        <w:rPr>
          <w:rFonts w:ascii="Times New Roman" w:cs="Times New Roman" w:eastAsia="Times New Roman" w:hAnsi="Times New Roman"/>
          <w:sz w:val="22"/>
          <w:szCs w:val="22"/>
          <w:color w:val="auto"/>
        </w:rPr>
      </w:pPr>
    </w:p>
    <w:p>
      <w:pPr>
        <w:ind w:left="1140" w:right="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xml:space="preserve"> – During the period commencing on the date hereof and ending on August 31, 2015 (unless sooner terminated in accordance with the terms of this Agreement) (the “Transition Period”), Ms. Roberts shall remain an employee of the Company, subject to the supervision of, and with such authority as is delegated to Ms. Roberts by, the President and Chief Executive Officer of the Company and/or the Board of Directors of the Company (the “Board”). During the Transition Period, Ms. Roberts shall use her best efforts to professionally, timely and cooperatively perform such transition duties as may reasonably be requested by and at the direction of the Company. During the Transition Period, Ms. Roberts will continue to receive her current base salary and participate in the Company’s benefit plans (pursuant to the terms and conditions of such plans).</w:t>
      </w:r>
    </w:p>
    <w:p>
      <w:pPr>
        <w:spacing w:after="0" w:line="206" w:lineRule="exact"/>
        <w:rPr>
          <w:sz w:val="20"/>
          <w:szCs w:val="20"/>
          <w:color w:val="auto"/>
        </w:rPr>
      </w:pPr>
    </w:p>
    <w:p>
      <w:pPr>
        <w:ind w:left="1140" w:right="60"/>
        <w:spacing w:after="0" w:line="233"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 During the Transition Period, the Company retains the right to terminate Ms. Roberts’s employment for Cause (defined as: (i) Ms. Roberts’s fraud, embezzlement, willful misconduct or gross negligence or (ii) Ms. Roberts’s indictment, or the entering of a guilty plea or plea of “no contest” with respect to a felony or any crime involving moral turpitude. For purposes of this Agreement, the last day of Ms. Roberts’s employment is referred to as the “Separation Date”, and the Transition Period shall end on the Separation Date. In the event the Company terminates Ms. Roberts’s employment for Cause she will not be eligible to receive the Severance Benefits (as defined in Section 2 below), nor will she receive any further salary payments, benefits, or other compensation from the Company other than payment for any salary earned through the Separation Date but unpaid as of such date, payment for any accrued but unused vacation time as of such date, and/or reimbursement of unpaid business expenses in accordance with Company policy. In the event Ms. Roberts terminates her employment for any reason during the Transition Period she will not be eligible to receive the Additional Severance Pay (as defined in Section 2(c) below) and in, the foregoing event, apart from the applicable portions of Section 2, Ms. Roberts will not receive any further salary payments, benefits, or other compensation from the Company other than payment for any salary earned through the Separation Date but unpaid as of such date, payment for any accrued but unused vacation time as of such date, and/or reimbursement of unpaid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9" w:name="page130"/>
    <w:bookmarkEnd w:id="129"/>
    <w:p>
      <w:pPr>
        <w:ind w:left="752" w:right="20"/>
        <w:spacing w:after="0" w:line="236" w:lineRule="auto"/>
        <w:rPr>
          <w:sz w:val="20"/>
          <w:szCs w:val="20"/>
          <w:color w:val="auto"/>
        </w:rPr>
      </w:pPr>
      <w:r>
        <w:rPr>
          <w:rFonts w:ascii="Times New Roman" w:cs="Times New Roman" w:eastAsia="Times New Roman" w:hAnsi="Times New Roman"/>
          <w:sz w:val="22"/>
          <w:szCs w:val="22"/>
          <w:color w:val="auto"/>
        </w:rPr>
        <w:t>expenses in accordance with Company policy. In the event the Company terminates Ms. Roberts’s employment without Cause prior to August 31, 2015, Ms. Roberts will remain eligible to receive the Severance Benefits in accordance with the terms set forth below; provided, however, that notwithstanding the foregoing, if Ms. Roberts fails use her best efforts to professionally, timely and cooperatively perform her duties during the Transition Period Ms. Roberts will remain eligible to receive the Severance Benefits set forth in Sections 2(a), 2(b) and 2(c) below, but will not be eligible to receive the Severance Benefits set forth in Section 2(d) below.</w:t>
      </w:r>
    </w:p>
    <w:p>
      <w:pPr>
        <w:spacing w:after="0" w:line="209" w:lineRule="exact"/>
        <w:rPr>
          <w:sz w:val="20"/>
          <w:szCs w:val="20"/>
          <w:color w:val="auto"/>
        </w:rPr>
      </w:pPr>
    </w:p>
    <w:p>
      <w:pPr>
        <w:ind w:left="752" w:right="60" w:hanging="9"/>
        <w:spacing w:after="0" w:line="233" w:lineRule="auto"/>
        <w:tabs>
          <w:tab w:leader="none" w:pos="1046"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Employment and Officer Positions</w:t>
      </w:r>
      <w:r>
        <w:rPr>
          <w:rFonts w:ascii="Times New Roman" w:cs="Times New Roman" w:eastAsia="Times New Roman" w:hAnsi="Times New Roman"/>
          <w:sz w:val="22"/>
          <w:szCs w:val="22"/>
          <w:color w:val="auto"/>
        </w:rPr>
        <w:t xml:space="preserve"> – As of the date this Agreement becomes effective and enforceable, Ms. Roberts shall resign from any positions that she holds as an officer of the Company. As of the Separation Date, Ms. Roberts shall resign from employment with the Company. Ms. Roberts agrees to execute and deliver any documents reasonably necessary to effectuate such resignations, provided that nothing in any such document is inconsistent with any terms set forth in this Agreement. Ms. Roberts hereby irrevocably appoints the Company to be her attorney-in-fact to execute any documents and do anything in her name to effect such resignations in the event that Ms. Roberts fails to promptly submit them in accordance with the terms hereof or execute any documents requested by the Company to effectuate such resignations. Copies of any documents executed by the Company as a result of this irrevocable appointment as attorney-in-fact will be provided to Ms. Roberts. A written notification signed by a director or duly authorized officer of the Company that any instrument, document or act falls within the authority conferred by this subsection will be conclusive evidence that it does so. The Company will prepare any documents, pay any filing fees, and bear any other expenses related to the above.</w:t>
      </w:r>
    </w:p>
    <w:p>
      <w:pPr>
        <w:spacing w:after="0" w:line="186" w:lineRule="exact"/>
        <w:rPr>
          <w:rFonts w:ascii="Times New Roman" w:cs="Times New Roman" w:eastAsia="Times New Roman" w:hAnsi="Times New Roman"/>
          <w:sz w:val="22"/>
          <w:szCs w:val="22"/>
          <w:color w:val="auto"/>
        </w:rPr>
      </w:pPr>
    </w:p>
    <w:p>
      <w:pPr>
        <w:ind w:left="752" w:hanging="752"/>
        <w:spacing w:after="0" w:line="236" w:lineRule="auto"/>
        <w:tabs>
          <w:tab w:leader="none" w:pos="75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return for Ms. Roberts’s execution and non-revocation of this Agreement and compliance with the terms hereof, and subject to her execution of the Additional Release of Claims attached hereto as Attachment A (the “Additional Release”) in a timely manner as set forth in Section 13 below and her non-revocation thereof, the Company will provide Ms. Roberts with the following severance benefits (the benefits set forth in Sections 2(a) through 2(d) below are referred to herein collectively as the “Severance Benefits”), provided she remains eligible pursuant to Section 1 above:</w:t>
      </w:r>
    </w:p>
    <w:p>
      <w:pPr>
        <w:spacing w:after="0" w:line="209" w:lineRule="exact"/>
        <w:rPr>
          <w:rFonts w:ascii="Times New Roman" w:cs="Times New Roman" w:eastAsia="Times New Roman" w:hAnsi="Times New Roman"/>
          <w:sz w:val="22"/>
          <w:szCs w:val="22"/>
          <w:color w:val="auto"/>
        </w:rPr>
      </w:pPr>
    </w:p>
    <w:p>
      <w:pPr>
        <w:ind w:left="752" w:right="60" w:hanging="9"/>
        <w:spacing w:after="0" w:line="238" w:lineRule="auto"/>
        <w:tabs>
          <w:tab w:leader="none" w:pos="1046"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xml:space="preserve"> – The Company will provide Ms. Roberts with severance pay in an amount equal to six (6) months of pay at Ms. Roberts’s current base salary rate, less all applicable taxes and withholdings. The severance pay will be paid to Ms. Roberts in equal installments in accordance with the Company’s regular payroll practices; provided, however, that the first payment shall not be made until the first regular payroll date following the date the Additional Release becomes effective and enforceable.</w:t>
      </w:r>
    </w:p>
    <w:p>
      <w:pPr>
        <w:spacing w:after="0" w:line="177" w:lineRule="exact"/>
        <w:rPr>
          <w:rFonts w:ascii="Times New Roman" w:cs="Times New Roman" w:eastAsia="Times New Roman" w:hAnsi="Times New Roman"/>
          <w:sz w:val="22"/>
          <w:szCs w:val="22"/>
          <w:color w:val="auto"/>
        </w:rPr>
      </w:pPr>
    </w:p>
    <w:p>
      <w:pPr>
        <w:ind w:left="752" w:right="20" w:firstLine="9"/>
        <w:spacing w:after="0" w:line="234" w:lineRule="auto"/>
        <w:tabs>
          <w:tab w:leader="none" w:pos="1058"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Group Health Insurance</w:t>
      </w:r>
      <w:r>
        <w:rPr>
          <w:rFonts w:ascii="Times New Roman" w:cs="Times New Roman" w:eastAsia="Times New Roman" w:hAnsi="Times New Roman"/>
          <w:sz w:val="22"/>
          <w:szCs w:val="22"/>
          <w:color w:val="auto"/>
        </w:rPr>
        <w:t xml:space="preserve"> – Should Ms. Roberts be eligible for and timely elect to continue receiving group health insurance coverage under the law known as COBRA, the Company shall, until the earlier of (x) the date that is six (6) months following the Separation Date, or (y) the date that Ms. Roberts becomes eligible for group health coverage through a new employer (as applicable, the “COBRA Contribution Period”), pay on Ms. Roberts’s behalf the share of the premium for such coverage that it currently pays on behalf of active and similarly situated employees with the same type of coverage. The remaining balance of any premium costs, and all premium costs after the COBRA Contribution Period, shall be paid by Ms. Roberts on a monthly basis during the elected period of health insurance coverage under COBRA for as long as, and to the extent that, she remains eligible for COBRA continuation. Ms. Roberts agrees that she will notify the Company in writing at least five (5) days prior to the date on which she becomes eligible to receive group health insurance</w:t>
      </w:r>
    </w:p>
    <w:p>
      <w:pPr>
        <w:spacing w:after="0" w:line="180" w:lineRule="exact"/>
        <w:rPr>
          <w:rFonts w:ascii="Times New Roman" w:cs="Times New Roman" w:eastAsia="Times New Roman" w:hAnsi="Times New Roman"/>
          <w:sz w:val="22"/>
          <w:szCs w:val="22"/>
          <w:color w:val="auto"/>
        </w:rPr>
      </w:pPr>
    </w:p>
    <w:p>
      <w:pPr>
        <w:ind w:left="5272" w:hanging="126"/>
        <w:spacing w:after="0"/>
        <w:tabs>
          <w:tab w:leader="none" w:pos="5272" w:val="left"/>
        </w:tabs>
        <w:numPr>
          <w:ilvl w:val="3"/>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72"/>
          </w:cols>
          <w:pgMar w:left="628" w:top="328" w:right="299" w:bottom="1440" w:gutter="0" w:footer="0" w:header="0"/>
        </w:sectPr>
      </w:pPr>
    </w:p>
    <w:bookmarkStart w:id="130" w:name="page131"/>
    <w:bookmarkEnd w:id="130"/>
    <w:p>
      <w:pPr>
        <w:ind w:left="752" w:right="480"/>
        <w:spacing w:after="0" w:line="258" w:lineRule="auto"/>
        <w:rPr>
          <w:sz w:val="20"/>
          <w:szCs w:val="20"/>
          <w:color w:val="auto"/>
        </w:rPr>
      </w:pPr>
      <w:r>
        <w:rPr>
          <w:rFonts w:ascii="Times New Roman" w:cs="Times New Roman" w:eastAsia="Times New Roman" w:hAnsi="Times New Roman"/>
          <w:sz w:val="22"/>
          <w:szCs w:val="22"/>
          <w:color w:val="auto"/>
        </w:rPr>
        <w:t>coverage through another employer, if that date is prior to the date that is six (6) months following the Separation Date.</w:t>
      </w:r>
    </w:p>
    <w:p>
      <w:pPr>
        <w:spacing w:after="0" w:line="158" w:lineRule="exact"/>
        <w:rPr>
          <w:sz w:val="20"/>
          <w:szCs w:val="20"/>
          <w:color w:val="auto"/>
        </w:rPr>
      </w:pPr>
    </w:p>
    <w:p>
      <w:pPr>
        <w:ind w:left="752" w:right="60" w:firstLine="9"/>
        <w:spacing w:after="0" w:line="234" w:lineRule="auto"/>
        <w:tabs>
          <w:tab w:leader="none" w:pos="104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Severance Pay</w:t>
      </w:r>
      <w:r>
        <w:rPr>
          <w:rFonts w:ascii="Times New Roman" w:cs="Times New Roman" w:eastAsia="Times New Roman" w:hAnsi="Times New Roman"/>
          <w:sz w:val="22"/>
          <w:szCs w:val="22"/>
          <w:color w:val="auto"/>
        </w:rPr>
        <w:t xml:space="preserve"> – Except as set forth in Section 1(b) above, if the Company terminates the employment of Ms. Roberts without Cause prior to August 31, 2015, the Company will also (i) pay to Ms. Roberts additional separation pay equal to the amount of base salary she would have received had she remained employed by the Company between the Separation Date and August 31, 2015 (the “Additional Severance Period”), which amount will be paid to Ms. Roberts in equal installments in accordance with the Company’s regular payroll practices following the end of the severance payments provided for in Section 2(a) above, and (ii) if Ms. Roberts has not become eligible for group health coverage through a new employer on or before the date that is six (6) months following the Separation Date, continue to pay on Ms. Roberts’s behalf, for an additional period of time equal to the Additional Severance Period, the share of the premium for group health insurance as provided for in Section 2(b) above, in each case, less all applicable taxes and withholdings.</w:t>
      </w:r>
    </w:p>
    <w:p>
      <w:pPr>
        <w:spacing w:after="0" w:line="180" w:lineRule="exact"/>
        <w:rPr>
          <w:rFonts w:ascii="Times New Roman" w:cs="Times New Roman" w:eastAsia="Times New Roman" w:hAnsi="Times New Roman"/>
          <w:sz w:val="22"/>
          <w:szCs w:val="22"/>
          <w:color w:val="auto"/>
        </w:rPr>
      </w:pPr>
    </w:p>
    <w:p>
      <w:pPr>
        <w:ind w:left="752" w:firstLine="9"/>
        <w:spacing w:after="0" w:line="234" w:lineRule="auto"/>
        <w:tabs>
          <w:tab w:leader="none" w:pos="105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Option Exercise Date</w:t>
      </w:r>
      <w:r>
        <w:rPr>
          <w:rFonts w:ascii="Times New Roman" w:cs="Times New Roman" w:eastAsia="Times New Roman" w:hAnsi="Times New Roman"/>
          <w:sz w:val="22"/>
          <w:szCs w:val="22"/>
          <w:color w:val="auto"/>
        </w:rPr>
        <w:t xml:space="preserve"> – Except as set forth in Section 1(b) above, effective immediately after the Additional Release becomes effective and enforceable, the Company will extend until the date that is twelve (12) months following the Separation Date the period during which Ms. Roberts may exercise any vested stock options that she holds pursuant to any stock option agreement evidencing the grant of such options (each, an “Option Agreement”), pursuant to the terms of such Option Agreement(s) and the Company’s 2007 Stock Incentive Plan and 2014 Stock Incentive Plan, as applicable, provided that in no event shall Ms. Roberts be able to exercise any option beyond the Final Exercise Date for such option, as set forth in the applicable Option Agreement. Ms. Roberts understands that the stock options subject to this extended exercise period shall cease to be treated for tax purposes as incentive stock options as of the date hereof. Ms. Roberts further understands that, as a result of the loss of incentive stock option status of the affected options, the Company will be required to withhold applicable income and employment taxes at the time of exercise of such options.</w:t>
      </w:r>
    </w:p>
    <w:p>
      <w:pPr>
        <w:spacing w:after="0" w:line="177" w:lineRule="exact"/>
        <w:rPr>
          <w:sz w:val="20"/>
          <w:szCs w:val="20"/>
          <w:color w:val="auto"/>
        </w:rPr>
      </w:pPr>
    </w:p>
    <w:p>
      <w:pPr>
        <w:ind w:left="752" w:right="580"/>
        <w:spacing w:after="0" w:line="258" w:lineRule="auto"/>
        <w:rPr>
          <w:sz w:val="20"/>
          <w:szCs w:val="20"/>
          <w:color w:val="auto"/>
        </w:rPr>
      </w:pPr>
      <w:r>
        <w:rPr>
          <w:rFonts w:ascii="Times New Roman" w:cs="Times New Roman" w:eastAsia="Times New Roman" w:hAnsi="Times New Roman"/>
          <w:sz w:val="22"/>
          <w:szCs w:val="22"/>
          <w:color w:val="auto"/>
        </w:rPr>
        <w:t>Other than the Severance Benefits, Ms. Roberts will not be eligible for, nor shall she have a right to receive, any payments or benefits from the Company following the Separation Date.</w:t>
      </w:r>
    </w:p>
    <w:p>
      <w:pPr>
        <w:spacing w:after="0" w:line="158" w:lineRule="exact"/>
        <w:rPr>
          <w:sz w:val="20"/>
          <w:szCs w:val="20"/>
          <w:color w:val="auto"/>
        </w:rPr>
      </w:pPr>
    </w:p>
    <w:p>
      <w:pPr>
        <w:ind w:left="752" w:right="20" w:hanging="752"/>
        <w:spacing w:after="0" w:line="233" w:lineRule="auto"/>
        <w:tabs>
          <w:tab w:leader="none" w:pos="75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by Ms. Roberts</w:t>
      </w:r>
      <w:r>
        <w:rPr>
          <w:rFonts w:ascii="Times New Roman" w:cs="Times New Roman" w:eastAsia="Times New Roman" w:hAnsi="Times New Roman"/>
          <w:sz w:val="22"/>
          <w:szCs w:val="22"/>
          <w:color w:val="auto"/>
        </w:rPr>
        <w:t xml:space="preserve">. In exchange for the consideration set forth herein, which Ms. Roberts acknowledges she would not otherwise be entitled to receive, Ms. Roberts hereby fully, forever, irrevocably and unconditionally releases, remises and discharges the Company, its affiliates, subsidiaries, parent companies, predecessors, and successors, and all of its and their respective past and present officers, directors, stockholders, investors, partners, members, managers, employees, agents, representatives, plan administrators, attorneys, insurers and fiduciaries (each in their individual and corporate capacities) (collectively, the “Released Parties”)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she ever had or now has against any or all of the Released Parties, whether known or unknown, including, but not limited to, any and all claims arising out of or relating to her employment with and/or separation from the Company, including, but not limited to, all claims under Title VII of the Civil Rights Act of 1964, 42 U.S.C. § 2000e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of 1990,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29 U.S.C. §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Genetic Information Nondiscrimination Act of 2008, 42 U.S.C. § 2000ff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Worker Adjustment and Retraining Notification</w:t>
      </w:r>
    </w:p>
    <w:p>
      <w:pPr>
        <w:spacing w:after="0" w:line="394" w:lineRule="exact"/>
        <w:rPr>
          <w:rFonts w:ascii="Times New Roman" w:cs="Times New Roman" w:eastAsia="Times New Roman" w:hAnsi="Times New Roman"/>
          <w:sz w:val="22"/>
          <w:szCs w:val="22"/>
          <w:color w:val="auto"/>
        </w:rPr>
      </w:pPr>
    </w:p>
    <w:p>
      <w:pPr>
        <w:ind w:left="5272" w:hanging="126"/>
        <w:spacing w:after="0"/>
        <w:tabs>
          <w:tab w:leader="none" w:pos="527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2"/>
          </w:cols>
          <w:pgMar w:left="628" w:top="328" w:right="239" w:bottom="1440" w:gutter="0" w:footer="0" w:header="0"/>
        </w:sectPr>
      </w:pPr>
    </w:p>
    <w:bookmarkStart w:id="131" w:name="page132"/>
    <w:bookmarkEnd w:id="131"/>
    <w:p>
      <w:pPr>
        <w:ind w:left="752"/>
        <w:spacing w:after="0" w:line="243" w:lineRule="auto"/>
        <w:rPr>
          <w:sz w:val="20"/>
          <w:szCs w:val="20"/>
          <w:color w:val="auto"/>
        </w:rPr>
      </w:pPr>
      <w:r>
        <w:rPr>
          <w:rFonts w:ascii="Times New Roman" w:cs="Times New Roman" w:eastAsia="Times New Roman" w:hAnsi="Times New Roman"/>
          <w:sz w:val="21"/>
          <w:szCs w:val="21"/>
          <w:color w:val="auto"/>
        </w:rPr>
        <w:t xml:space="preserve">Act (“WARN”), 29 U.S.C. § 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Executive Order 11246, Executive Order 11141, the Fair Credit Reporting Act, 15 U.S.C. § 1681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and the Employee Retirement Income Security Act of 1974 (“ERISA”), 29 U.S.C. § 1001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all as amended; all claims arising out of the Massachusetts Fair Employment Practices Act, Mass. Gen. Laws ch. 151B,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Massachusetts Wage Act, Mass. Gen. Laws ch. 149, § 148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(Massachusetts law regarding payment of wages and overtime), the Massachusetts Civil Rights Act, Mass. Gen. Laws ch. 12, §§ 11H and 11I, the Massachusetts Equal Rights Act, Mass. Gen. Laws. ch. 93, § 102 and Mass. Gen. Laws ch. 214, § 1C, the Massachusetts Labor and Industries Act, Mass. Gen. Laws ch. 149,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Mass. Gen. Laws ch. 214, § 1B (Massachusetts right of privacy law), the Massachusetts Maternity Leave Act, Mass. Gen. Laws ch. 149, § 105D, and the Massachusetts Small Necessities Leave Act, Mass. Gen. Laws ch. 149, § 52D, all as amended;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non-vested ownership interest in the Company, contractual or otherwise; all state and federal whistleblower claims to the maximum extent permitted by law; and any claim or damage arising out of her employment with and/or separation from the Company (including a claim for retaliation) under any common law theory or any federal, state or local statute or ordinance not expressly referenced above; provided, however, that (a) nothing in this Agreement prevents Ms. Roberts from filing a charge with, cooperating with, or participating in any proceeding before the Equal Employment Opportunity Commission or a state fair employment practices agency (except that she acknowledges that she may not recover any monetary benefits in connection with any such claim, charge or proceeding, and explicitly waives any rights or claims to any payment, benefit, attorneys’ fees or other remedial relief in connection with any such claim, charge or proceeding and agrees that if any such complaint, charge, or proceeding is filed on her behalf, she shall take all reasonable steps necessary to refuse any damages or individualized relief in connection therewith), and (b) nothing herein shall prevent Ms. Roberts from bringing claims to enforce this Agreement. Further, nothing herein shall release any rights Ms. Roberts may have under the Company’s certificate of incorporation, by-laws, insurance and/or any indemnification agreement between her and the Company (and/or otherwise under law) for indemnification as an officer of the Company for her service to the Company (recognizing that such indemnification is not guaranteed by this Agreement and shall be governed by the instrument or law, if any, providing for such indemnification), or prevent Ms. Roberts from asserting or enforcing any rights she may have under ERISA or other pertinent statute to vested ownership, pension or 401(K) benefits or interests.</w:t>
      </w:r>
    </w:p>
    <w:p>
      <w:pPr>
        <w:spacing w:after="0" w:line="175" w:lineRule="exact"/>
        <w:rPr>
          <w:sz w:val="20"/>
          <w:szCs w:val="20"/>
          <w:color w:val="auto"/>
        </w:rPr>
      </w:pPr>
    </w:p>
    <w:p>
      <w:pPr>
        <w:ind w:left="752" w:right="320" w:hanging="752"/>
        <w:spacing w:after="0" w:line="233" w:lineRule="auto"/>
        <w:tabs>
          <w:tab w:leader="none" w:pos="7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by the Company</w:t>
      </w:r>
      <w:r>
        <w:rPr>
          <w:rFonts w:ascii="Times New Roman" w:cs="Times New Roman" w:eastAsia="Times New Roman" w:hAnsi="Times New Roman"/>
          <w:sz w:val="22"/>
          <w:szCs w:val="22"/>
          <w:color w:val="auto"/>
        </w:rPr>
        <w:t>. In exchange for the consideration set forth herein, the Company hereby fully, forever, irrevocably and unconditionally releases, remises and discharges Ms. Roberts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whether known or unknown, that it ever had or now has against Ms. Roberts, including, but not limited to, any and all claims arising out of or relating to Ms. Roberts’s employment with and/or separation from the Company; provided, however, that notwithstanding the foregoing, nothing in this release (a) releases Ms. Roberts from her continuing obligations as set forth in Section 5 below, (b) shall prevent the Company from bringing claims to enforce this Agreement, or (c) releases Ms. Roberts from any claims for fraud or embezzlement, or from any civil claims based on any acts and/or omissions that satisfy the elements of a criminal offense, or from any claims arising out of any deliberate misconduct by her that results or resulted in material injury to the Company.</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5272" w:hanging="126"/>
        <w:spacing w:after="0"/>
        <w:tabs>
          <w:tab w:leader="none" w:pos="5272"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12"/>
          </w:cols>
          <w:pgMar w:left="628" w:top="328" w:right="259" w:bottom="1440" w:gutter="0" w:footer="0" w:header="0"/>
        </w:sectPr>
      </w:pPr>
    </w:p>
    <w:bookmarkStart w:id="132" w:name="page133"/>
    <w:bookmarkEnd w:id="132"/>
    <w:p>
      <w:pPr>
        <w:ind w:left="752" w:hanging="752"/>
        <w:spacing w:after="0" w:line="235"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Ms. Roberts acknowledges and reaffirms her obligation to keep confidential and not to use or disclose, during the Transition Period or thereafter, any and all non-public information concerning the Company that she acquires or acquired during the course of her employment with the Company, including, but not limited to, any non-public information concerning the Company’s business affairs, business prospects, and financial condition. Ms. Roberts further acknowledges her ongoing obligations set forth in the Invention and Non-Disclosure Agreement previously executed in connection with her employment by the Company, which continue in full force and effect, with the sole exception of the post-employment restrictions set forth in paragraph 6(a) of the Invention and Non-Disclosure Agreement.</w:t>
      </w:r>
    </w:p>
    <w:p>
      <w:pPr>
        <w:spacing w:after="0" w:line="179" w:lineRule="exact"/>
        <w:rPr>
          <w:rFonts w:ascii="Times New Roman" w:cs="Times New Roman" w:eastAsia="Times New Roman" w:hAnsi="Times New Roman"/>
          <w:sz w:val="22"/>
          <w:szCs w:val="22"/>
          <w:color w:val="auto"/>
        </w:rPr>
      </w:pPr>
    </w:p>
    <w:p>
      <w:pPr>
        <w:ind w:left="752" w:hanging="752"/>
        <w:spacing w:after="0" w:line="244"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Unemployment</w:t>
      </w:r>
      <w:r>
        <w:rPr>
          <w:rFonts w:ascii="Times New Roman" w:cs="Times New Roman" w:eastAsia="Times New Roman" w:hAnsi="Times New Roman"/>
          <w:sz w:val="22"/>
          <w:szCs w:val="22"/>
          <w:color w:val="auto"/>
        </w:rPr>
        <w:t>. The Company agrees not to contest any application Ms. Roberts may make for unemployment benefits following the Separation Date; provided, however, that the Company will not provide any false information to any government entity or fail to correct false information.</w:t>
      </w:r>
    </w:p>
    <w:p>
      <w:pPr>
        <w:spacing w:after="0" w:line="173" w:lineRule="exact"/>
        <w:rPr>
          <w:rFonts w:ascii="Times New Roman" w:cs="Times New Roman" w:eastAsia="Times New Roman" w:hAnsi="Times New Roman"/>
          <w:sz w:val="22"/>
          <w:szCs w:val="22"/>
          <w:color w:val="auto"/>
        </w:rPr>
      </w:pPr>
    </w:p>
    <w:p>
      <w:pPr>
        <w:ind w:left="752" w:right="40" w:hanging="752"/>
        <w:spacing w:after="0" w:line="235"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Ms. Roberts agrees that she will, on the Separation Date or earlier if requested by the Company, return to the Company all keys, files, records (and copies thereof), equipment (including, but not limited to, computer hardware, software and printers, wireless handheld devices, cellular phones, etc.), Company identification and any other Company-owned property in her possession or control and that she will leave intact all electronic Company documents, including but not limited to those that she developed or helped to develop during her employment. Ms. Roberts further agrees that she will, on the Separation Date or earlier if requested by the Company, cancel all accounts for her benefit, if any, in the Company’s name, including but not limited to, credit cards, telephone charge cards, cellular phone and/or wireless data accounts and computer accounts.</w:t>
      </w:r>
    </w:p>
    <w:p>
      <w:pPr>
        <w:spacing w:after="0" w:line="179" w:lineRule="exact"/>
        <w:rPr>
          <w:rFonts w:ascii="Times New Roman" w:cs="Times New Roman" w:eastAsia="Times New Roman" w:hAnsi="Times New Roman"/>
          <w:sz w:val="22"/>
          <w:szCs w:val="22"/>
          <w:color w:val="auto"/>
        </w:rPr>
      </w:pPr>
    </w:p>
    <w:p>
      <w:pPr>
        <w:ind w:left="752" w:right="20" w:hanging="752"/>
        <w:spacing w:after="0" w:line="239"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shall be binding upon the Parties and may not be abandoned, supplemented, changed or modified in any manner, orally or otherwise, except by an instrument in writing of concurrent or subsequent date signed by duly authorized representatives of the Parties. This Agreement is binding upon and shall inure to the benefit of the Parties and their respective agents, assigns, heirs, executors, successors and administrators.</w:t>
      </w:r>
    </w:p>
    <w:p>
      <w:pPr>
        <w:spacing w:after="0" w:line="180" w:lineRule="exact"/>
        <w:rPr>
          <w:rFonts w:ascii="Times New Roman" w:cs="Times New Roman" w:eastAsia="Times New Roman" w:hAnsi="Times New Roman"/>
          <w:sz w:val="22"/>
          <w:szCs w:val="22"/>
          <w:color w:val="auto"/>
        </w:rPr>
      </w:pPr>
    </w:p>
    <w:p>
      <w:pPr>
        <w:ind w:left="752" w:right="60" w:hanging="752"/>
        <w:spacing w:after="0" w:line="244"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Rights.</w:t>
      </w:r>
      <w:r>
        <w:rPr>
          <w:rFonts w:ascii="Times New Roman" w:cs="Times New Roman" w:eastAsia="Times New Roman" w:hAnsi="Times New Roman"/>
          <w:sz w:val="22"/>
          <w:szCs w:val="22"/>
          <w:color w:val="auto"/>
        </w:rPr>
        <w:t xml:space="preserve"> No delay or omission by either Party in exercising any rights under this Agreement shall operate as a waiver of that or any other right. A waiver or consent given by either Party on any one occasion shall be effective only in that instance and shall not be construed as a bar to or waiver of any right on any other occasion.</w:t>
      </w:r>
    </w:p>
    <w:p>
      <w:pPr>
        <w:spacing w:after="0" w:line="173" w:lineRule="exact"/>
        <w:rPr>
          <w:rFonts w:ascii="Times New Roman" w:cs="Times New Roman" w:eastAsia="Times New Roman" w:hAnsi="Times New Roman"/>
          <w:sz w:val="22"/>
          <w:szCs w:val="22"/>
          <w:color w:val="auto"/>
        </w:rPr>
      </w:pPr>
    </w:p>
    <w:p>
      <w:pPr>
        <w:ind w:left="752" w:right="40" w:hanging="752"/>
        <w:spacing w:after="0" w:line="244"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Should any provision of this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Agreement.</w:t>
      </w:r>
    </w:p>
    <w:p>
      <w:pPr>
        <w:spacing w:after="0" w:line="173" w:lineRule="exact"/>
        <w:rPr>
          <w:rFonts w:ascii="Times New Roman" w:cs="Times New Roman" w:eastAsia="Times New Roman" w:hAnsi="Times New Roman"/>
          <w:sz w:val="22"/>
          <w:szCs w:val="22"/>
          <w:color w:val="auto"/>
        </w:rPr>
      </w:pPr>
    </w:p>
    <w:p>
      <w:pPr>
        <w:ind w:left="752" w:hanging="752"/>
        <w:spacing w:after="0" w:line="235" w:lineRule="auto"/>
        <w:tabs>
          <w:tab w:leader="none" w:pos="752"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Ms. Roberts agrees to cooperate fully with the Company, to the extent permitted by law, in the investigation, defense or prosecution of any claims or actions now in existence or that may be brought in the future against the Company by any third party or by or on behalf of the Company against any third party. Ms. Roberts agrees that her full cooperation in connection with such claims or actions will include being available to meet with the Company’s counsel, at reasonable times and locations designated by the Company, to prepare for discovery, any mediation, arbitration, trial, administrative hearing or other proceeding, and to act as a witness when requested by the Company. Ms. Roberts agrees that, to the extent permitted by law, she will notify the Company promptly in the event that she is served with a subpoena or in the event that she is asked to</w:t>
      </w:r>
    </w:p>
    <w:p>
      <w:pPr>
        <w:spacing w:after="0" w:line="395" w:lineRule="exact"/>
        <w:rPr>
          <w:rFonts w:ascii="Times New Roman" w:cs="Times New Roman" w:eastAsia="Times New Roman" w:hAnsi="Times New Roman"/>
          <w:sz w:val="22"/>
          <w:szCs w:val="22"/>
          <w:color w:val="auto"/>
        </w:rPr>
      </w:pPr>
    </w:p>
    <w:p>
      <w:pPr>
        <w:ind w:left="5272" w:hanging="126"/>
        <w:spacing w:after="0"/>
        <w:tabs>
          <w:tab w:leader="none" w:pos="5272"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12"/>
          </w:cols>
          <w:pgMar w:left="628" w:top="328" w:right="259" w:bottom="1440" w:gutter="0" w:footer="0" w:header="0"/>
        </w:sectPr>
      </w:pPr>
    </w:p>
    <w:bookmarkStart w:id="133" w:name="page134"/>
    <w:bookmarkEnd w:id="133"/>
    <w:p>
      <w:pPr>
        <w:ind w:left="752"/>
        <w:spacing w:after="0"/>
        <w:rPr>
          <w:sz w:val="20"/>
          <w:szCs w:val="20"/>
          <w:color w:val="auto"/>
        </w:rPr>
      </w:pPr>
      <w:r>
        <w:rPr>
          <w:rFonts w:ascii="Times New Roman" w:cs="Times New Roman" w:eastAsia="Times New Roman" w:hAnsi="Times New Roman"/>
          <w:sz w:val="22"/>
          <w:szCs w:val="22"/>
          <w:color w:val="auto"/>
        </w:rPr>
        <w:t>provide a third party with information concerning any actual or potential complaint or claim against the</w:t>
      </w:r>
    </w:p>
    <w:p>
      <w:pPr>
        <w:spacing w:after="0" w:line="14" w:lineRule="exact"/>
        <w:rPr>
          <w:sz w:val="20"/>
          <w:szCs w:val="20"/>
          <w:color w:val="auto"/>
        </w:rPr>
      </w:pPr>
    </w:p>
    <w:p>
      <w:pPr>
        <w:ind w:left="752" w:right="40"/>
        <w:spacing w:after="0" w:line="233" w:lineRule="auto"/>
        <w:rPr>
          <w:sz w:val="20"/>
          <w:szCs w:val="20"/>
          <w:color w:val="auto"/>
        </w:rPr>
      </w:pPr>
      <w:r>
        <w:rPr>
          <w:rFonts w:ascii="Times New Roman" w:cs="Times New Roman" w:eastAsia="Times New Roman" w:hAnsi="Times New Roman"/>
          <w:sz w:val="22"/>
          <w:szCs w:val="22"/>
          <w:color w:val="auto"/>
        </w:rPr>
        <w:t>Company. Nothing herein shall be construed as restricting Ms. Roberts’ right to truthfully testify in any proceeding in which she is subpoenaed to do so. The Company will (a) compensate Ms. Roberts at a reasonable hourly rate for any time she is required to spend to comply with any request by the Company for cooperation hereunder, provided that the Company shall not pay Ms. Roberts for time spent providing testimony in any arbitration, trial, administrative hearing or other proceeding, and (b) reimburse Ms. Roberts for all reasonable and documented out-of-pocket costs that she incurs to comply with this paragraph.</w:t>
      </w:r>
    </w:p>
    <w:p>
      <w:pPr>
        <w:spacing w:after="0" w:line="177" w:lineRule="exact"/>
        <w:rPr>
          <w:sz w:val="20"/>
          <w:szCs w:val="20"/>
          <w:color w:val="auto"/>
        </w:rPr>
      </w:pPr>
    </w:p>
    <w:p>
      <w:pPr>
        <w:ind w:left="752" w:right="420" w:hanging="752"/>
        <w:spacing w:after="0" w:line="258" w:lineRule="auto"/>
        <w:tabs>
          <w:tab w:leader="none" w:pos="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Agreement.</w:t>
      </w:r>
      <w:r>
        <w:rPr>
          <w:rFonts w:ascii="Times New Roman" w:cs="Times New Roman" w:eastAsia="Times New Roman" w:hAnsi="Times New Roman"/>
          <w:sz w:val="22"/>
          <w:szCs w:val="22"/>
          <w:color w:val="auto"/>
        </w:rPr>
        <w:t xml:space="preserve"> This Agreement is not and shall not in any way be construed as an admission of liability or wrongdoing on the part of either Party.</w:t>
      </w:r>
    </w:p>
    <w:p>
      <w:pPr>
        <w:spacing w:after="0" w:line="158" w:lineRule="exact"/>
        <w:rPr>
          <w:rFonts w:ascii="Times New Roman" w:cs="Times New Roman" w:eastAsia="Times New Roman" w:hAnsi="Times New Roman"/>
          <w:sz w:val="22"/>
          <w:szCs w:val="22"/>
          <w:color w:val="auto"/>
        </w:rPr>
      </w:pPr>
    </w:p>
    <w:p>
      <w:pPr>
        <w:ind w:left="752" w:right="340" w:hanging="752"/>
        <w:spacing w:after="0" w:line="244" w:lineRule="auto"/>
        <w:tabs>
          <w:tab w:leader="none" w:pos="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for Consideration</w:t>
      </w:r>
      <w:r>
        <w:rPr>
          <w:rFonts w:ascii="Times New Roman" w:cs="Times New Roman" w:eastAsia="Times New Roman" w:hAnsi="Times New Roman"/>
          <w:sz w:val="22"/>
          <w:szCs w:val="22"/>
          <w:color w:val="auto"/>
        </w:rPr>
        <w:t>. To be eligible to receive the Severance Benefits, Ms. Roberts must sign and return this Agreement on or before June 13, 2015, and the Additional Release no earlier than the Separation Date, but no later than twenty-one (21) days thereafter.</w:t>
      </w:r>
    </w:p>
    <w:p>
      <w:pPr>
        <w:spacing w:after="0" w:line="173" w:lineRule="exact"/>
        <w:rPr>
          <w:rFonts w:ascii="Times New Roman" w:cs="Times New Roman" w:eastAsia="Times New Roman" w:hAnsi="Times New Roman"/>
          <w:sz w:val="22"/>
          <w:szCs w:val="22"/>
          <w:color w:val="auto"/>
        </w:rPr>
      </w:pPr>
    </w:p>
    <w:p>
      <w:pPr>
        <w:ind w:left="752" w:hanging="752"/>
        <w:spacing w:after="0" w:line="244" w:lineRule="auto"/>
        <w:tabs>
          <w:tab w:leader="none" w:pos="75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xml:space="preserve"> Ms. Roberts acknowledges that she has been given twenty-one (21) days following her receipt of this Agreement to consider this Agreement, and twenty-one (21) days following the Separation Date to consider the Additional Release, and that the Company is hereby advising her to consult with an attorney of her own choosing prior to signing this Agreement and the Additional Release. Ms. Roberts understands that she may revoke this Agreement for a period of seven (7) days after she signs it by notifying the Company in writing, and this Agreement shall not be effective or enforceable until the expiration of this seven (7) day revocation period. Likewise, Ms. Roberts understands that she may revoke the Additional Release for a period of seven (7) days after she signs it, and the Additional Release shall not be effective or enforceable until the expiration of that seven (7) day revocation</w:t>
      </w:r>
    </w:p>
    <w:p>
      <w:pPr>
        <w:spacing w:after="0" w:line="4" w:lineRule="exact"/>
        <w:rPr>
          <w:rFonts w:ascii="Times New Roman" w:cs="Times New Roman" w:eastAsia="Times New Roman" w:hAnsi="Times New Roman"/>
          <w:sz w:val="21"/>
          <w:szCs w:val="21"/>
          <w:color w:val="auto"/>
        </w:rPr>
      </w:pPr>
    </w:p>
    <w:p>
      <w:pPr>
        <w:ind w:left="752" w:right="4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period. Ms. Roberts understands and agrees that by entering into this Agreement and the Additional Release, she will be waiving any and all rights or claims she might have under the Age Discrimination in Employment Act, as amended by the Older Workers Benefit Protection Act, and that she will be eligible to receive consideration beyond that to which she was previously entitled.</w:t>
      </w:r>
    </w:p>
    <w:p>
      <w:pPr>
        <w:spacing w:after="0" w:line="177" w:lineRule="exact"/>
        <w:rPr>
          <w:rFonts w:ascii="Times New Roman" w:cs="Times New Roman" w:eastAsia="Times New Roman" w:hAnsi="Times New Roman"/>
          <w:sz w:val="21"/>
          <w:szCs w:val="21"/>
          <w:color w:val="auto"/>
        </w:rPr>
      </w:pPr>
    </w:p>
    <w:p>
      <w:pPr>
        <w:ind w:left="752" w:hanging="752"/>
        <w:spacing w:after="0" w:line="236" w:lineRule="auto"/>
        <w:tabs>
          <w:tab w:leader="none" w:pos="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Assent</w:t>
      </w:r>
      <w:r>
        <w:rPr>
          <w:rFonts w:ascii="Times New Roman" w:cs="Times New Roman" w:eastAsia="Times New Roman" w:hAnsi="Times New Roman"/>
          <w:sz w:val="22"/>
          <w:szCs w:val="22"/>
          <w:color w:val="auto"/>
        </w:rPr>
        <w:t>. Ms. Roberts affirms that no other promises or agreements of any kind have been made to or with her by any person or entity whatsoever to cause her to sign this Agreement, and that she fully understands the meaning and intent of this Agreement. Ms. Roberts acknowledges that she had an opportunity to fully discuss and review the terms of this Agreement with an attorney of her own choosing prior to signing this Agreement. Ms. Roberts further states and represents that she has carefully read this Agreement, understands the contents herein, freely and voluntarily assents to all of the terms and conditions hereof and signs her name of her own free act.</w:t>
      </w:r>
    </w:p>
    <w:p>
      <w:pPr>
        <w:spacing w:after="0" w:line="182" w:lineRule="exact"/>
        <w:rPr>
          <w:rFonts w:ascii="Times New Roman" w:cs="Times New Roman" w:eastAsia="Times New Roman" w:hAnsi="Times New Roman"/>
          <w:sz w:val="22"/>
          <w:szCs w:val="22"/>
          <w:color w:val="auto"/>
        </w:rPr>
      </w:pPr>
    </w:p>
    <w:p>
      <w:pPr>
        <w:ind w:left="752" w:right="60" w:hanging="752"/>
        <w:spacing w:after="0" w:line="246" w:lineRule="auto"/>
        <w:tabs>
          <w:tab w:leader="none" w:pos="75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Provision.</w:t>
      </w:r>
      <w:r>
        <w:rPr>
          <w:rFonts w:ascii="Times New Roman" w:cs="Times New Roman" w:eastAsia="Times New Roman" w:hAnsi="Times New Roman"/>
          <w:sz w:val="21"/>
          <w:szCs w:val="21"/>
          <w:color w:val="auto"/>
        </w:rPr>
        <w:t xml:space="preserve"> In connection with the Severance Benefits and any other monetary payments to be provided to Ms. Roberts pursuant to this Agreement, the Company shall withhold and remit to the tax authorities the amounts required under applicable law, and Ms. Roberts shall be responsible for all applicable taxes with respect to such Severance Benefits and other payments under applicable law. The Parties intend that the payments and benefits provided for under this Agreement shall be either exempt from or compliant with Section 409A of the Internal Revenue</w:t>
      </w:r>
    </w:p>
    <w:p>
      <w:pPr>
        <w:spacing w:after="0" w:line="1" w:lineRule="exact"/>
        <w:rPr>
          <w:rFonts w:ascii="Times New Roman" w:cs="Times New Roman" w:eastAsia="Times New Roman" w:hAnsi="Times New Roman"/>
          <w:sz w:val="21"/>
          <w:szCs w:val="21"/>
          <w:color w:val="auto"/>
        </w:rPr>
      </w:pPr>
    </w:p>
    <w:p>
      <w:pPr>
        <w:ind w:left="752"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 Notwithstanding the foregoing, Ms. Roberts acknowledges that she is not relying upon advice or representation of the Company with respect to the tax treatment of any of the Severance Benefits or other payments.</w:t>
      </w:r>
    </w:p>
    <w:p>
      <w:pPr>
        <w:spacing w:after="0" w:line="178" w:lineRule="exact"/>
        <w:rPr>
          <w:rFonts w:ascii="Times New Roman" w:cs="Times New Roman" w:eastAsia="Times New Roman" w:hAnsi="Times New Roman"/>
          <w:sz w:val="21"/>
          <w:szCs w:val="21"/>
          <w:color w:val="auto"/>
        </w:rPr>
      </w:pPr>
    </w:p>
    <w:p>
      <w:pPr>
        <w:ind w:left="752" w:right="380" w:hanging="752"/>
        <w:spacing w:after="0" w:line="258" w:lineRule="auto"/>
        <w:tabs>
          <w:tab w:leader="none" w:pos="75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and the Additional Release shall be interpreted and construed by the laws of the Commonwealth of Massachusetts, without regard to conflict of laws provisions.</w:t>
      </w:r>
    </w:p>
    <w:p>
      <w:pPr>
        <w:spacing w:after="0" w:line="374" w:lineRule="exact"/>
        <w:rPr>
          <w:rFonts w:ascii="Times New Roman" w:cs="Times New Roman" w:eastAsia="Times New Roman" w:hAnsi="Times New Roman"/>
          <w:sz w:val="22"/>
          <w:szCs w:val="22"/>
          <w:color w:val="auto"/>
        </w:rPr>
      </w:pPr>
    </w:p>
    <w:p>
      <w:pPr>
        <w:ind w:left="5272" w:hanging="126"/>
        <w:spacing w:after="0"/>
        <w:tabs>
          <w:tab w:leader="none" w:pos="5272"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12"/>
          </w:cols>
          <w:pgMar w:left="628" w:top="328" w:right="259" w:bottom="1440" w:gutter="0" w:footer="0" w:header="0"/>
        </w:sectPr>
      </w:pPr>
    </w:p>
    <w:bookmarkStart w:id="134" w:name="page135"/>
    <w:bookmarkEnd w:id="134"/>
    <w:p>
      <w:pPr>
        <w:ind w:left="752" w:right="60"/>
        <w:spacing w:after="0" w:line="238" w:lineRule="auto"/>
        <w:rPr>
          <w:sz w:val="20"/>
          <w:szCs w:val="20"/>
          <w:color w:val="auto"/>
        </w:rPr>
      </w:pPr>
      <w:r>
        <w:rPr>
          <w:rFonts w:ascii="Times New Roman" w:cs="Times New Roman" w:eastAsia="Times New Roman" w:hAnsi="Times New Roman"/>
          <w:sz w:val="22"/>
          <w:szCs w:val="22"/>
          <w:color w:val="auto"/>
        </w:rPr>
        <w:t>Ms. Roberts hereby irrevocably submits to the jurisdiction of the courts of the Commonwealth of Massachusetts, or if appropriate, a federal court located in the Commonwealth of Massachusetts (which courts, for purposes of this Agreement and the Additional Release, are the only courts of competent jurisdiction), over any suit, action or other proceeding arising out of, under, or in connection with this Agreement or the Additional Release or the subject matter thereof.</w:t>
      </w:r>
    </w:p>
    <w:p>
      <w:pPr>
        <w:spacing w:after="0" w:line="177" w:lineRule="exact"/>
        <w:rPr>
          <w:sz w:val="20"/>
          <w:szCs w:val="20"/>
          <w:color w:val="auto"/>
        </w:rPr>
      </w:pPr>
    </w:p>
    <w:p>
      <w:pPr>
        <w:ind w:left="752" w:hanging="752"/>
        <w:spacing w:after="0" w:line="234" w:lineRule="auto"/>
        <w:tabs>
          <w:tab w:leader="none" w:pos="75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upon its effective date, contains and constitutes (together with the Additional Release at such time as it becomes effective and enforceable) the entire understanding and agreement between the Parties hereto with respect to Ms. Roberts’s employment with and separation from the Company, severance benefits and the settlement of claims against the Company, and cancels all previous oral and written negotiations, agreements, commitments and writings in connection therewith. For purposes of clarity, this Agreement supersedes and cancels any prior employment agreements or arrangements Ms. Roberts may have entered into with the Company, including, without limitation, the Employment Agreement (which, for the avoidance of doubt, shall be of no force or effect following the date this Agreement becomes effective and enforceable), provided, however, that nothing in this Section shall modify, cancel or supersede Ms. Roberts’s obligations set forth in Section 5 above.</w:t>
      </w:r>
    </w:p>
    <w:p>
      <w:pPr>
        <w:spacing w:after="0" w:line="184" w:lineRule="exact"/>
        <w:rPr>
          <w:rFonts w:ascii="Times New Roman" w:cs="Times New Roman" w:eastAsia="Times New Roman" w:hAnsi="Times New Roman"/>
          <w:sz w:val="22"/>
          <w:szCs w:val="22"/>
          <w:color w:val="auto"/>
        </w:rPr>
      </w:pPr>
    </w:p>
    <w:p>
      <w:pPr>
        <w:ind w:left="752" w:right="320" w:hanging="752"/>
        <w:spacing w:after="0" w:line="262" w:lineRule="auto"/>
        <w:tabs>
          <w:tab w:leader="none" w:pos="752"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and the Additional Release will be executed in duplicate such that each Party will retain a fully-executed original and each original may be executed in two (2) signature counterparts, each of which shall constitute an original, but all of which taken together shall constitute but one and the same instrument.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3" w:lineRule="exact"/>
        <w:rPr>
          <w:rFonts w:ascii="Times New Roman" w:cs="Times New Roman" w:eastAsia="Times New Roman" w:hAnsi="Times New Roman"/>
          <w:sz w:val="21"/>
          <w:szCs w:val="21"/>
          <w:color w:val="auto"/>
        </w:rPr>
      </w:pPr>
    </w:p>
    <w:p>
      <w:pPr>
        <w:ind w:left="5272" w:hanging="126"/>
        <w:spacing w:after="0"/>
        <w:tabs>
          <w:tab w:leader="none" w:pos="5272"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67310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72"/>
          </w:cols>
          <w:pgMar w:left="628" w:top="328" w:right="2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96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IN WITNESS WHEREOF, the Parties have set their hands and seals to this Agreement as of the date(s) written below.</w:t>
            </w:r>
          </w:p>
        </w:tc>
      </w:tr>
      <w:tr>
        <w:trPr>
          <w:trHeight w:val="891"/>
        </w:trPr>
        <w:tc>
          <w:tcPr>
            <w:tcW w:w="4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Cerulean Pharma Inc.</w:t>
            </w:r>
          </w:p>
        </w:tc>
        <w:tc>
          <w:tcPr>
            <w:tcW w:w="20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6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 Christopher D. T. Guiffre</w:t>
            </w:r>
          </w:p>
        </w:tc>
        <w:tc>
          <w:tcPr>
            <w:tcW w:w="672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Date:  May 26, 2015</w:t>
            </w:r>
          </w:p>
        </w:tc>
      </w:tr>
      <w:tr>
        <w:trPr>
          <w:trHeight w:val="209"/>
        </w:trPr>
        <w:tc>
          <w:tcPr>
            <w:tcW w:w="20" w:type="dxa"/>
            <w:vAlign w:val="bottom"/>
          </w:tcPr>
          <w:p>
            <w:pPr>
              <w:spacing w:after="0"/>
              <w:rPr>
                <w:sz w:val="18"/>
                <w:szCs w:val="18"/>
                <w:color w:val="auto"/>
              </w:rPr>
            </w:pPr>
          </w:p>
        </w:tc>
        <w:tc>
          <w:tcPr>
            <w:tcW w:w="5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By:</w:t>
            </w:r>
          </w:p>
        </w:tc>
        <w:tc>
          <w:tcPr>
            <w:tcW w:w="4240" w:type="dxa"/>
            <w:vAlign w:val="bottom"/>
            <w:tcBorders>
              <w:top w:val="single" w:sz="8" w:color="auto"/>
            </w:tcBorders>
          </w:tcPr>
          <w:p>
            <w:pPr>
              <w:ind w:left="220"/>
              <w:spacing w:after="0" w:line="209" w:lineRule="exact"/>
              <w:rPr>
                <w:sz w:val="20"/>
                <w:szCs w:val="20"/>
                <w:color w:val="auto"/>
              </w:rPr>
            </w:pPr>
            <w:r>
              <w:rPr>
                <w:rFonts w:ascii="Times New Roman" w:cs="Times New Roman" w:eastAsia="Times New Roman" w:hAnsi="Times New Roman"/>
                <w:sz w:val="22"/>
                <w:szCs w:val="22"/>
                <w:color w:val="auto"/>
              </w:rPr>
              <w:t>Christopher D. T. Guiffre</w:t>
            </w:r>
          </w:p>
        </w:tc>
        <w:tc>
          <w:tcPr>
            <w:tcW w:w="2080" w:type="dxa"/>
            <w:vAlign w:val="bottom"/>
          </w:tcPr>
          <w:p>
            <w:pPr>
              <w:spacing w:after="0"/>
              <w:rPr>
                <w:sz w:val="18"/>
                <w:szCs w:val="18"/>
                <w:color w:val="auto"/>
              </w:rPr>
            </w:pPr>
          </w:p>
        </w:tc>
        <w:tc>
          <w:tcPr>
            <w:tcW w:w="4640" w:type="dxa"/>
            <w:vAlign w:val="bottom"/>
            <w:tcBorders>
              <w:top w:val="single" w:sz="8" w:color="auto"/>
            </w:tcBorders>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President and Chief Executive Officer</w:t>
            </w:r>
          </w:p>
        </w:tc>
        <w:tc>
          <w:tcPr>
            <w:tcW w:w="208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17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2"/>
          <w:szCs w:val="22"/>
          <w:i w:val="1"/>
          <w:iCs w:val="1"/>
          <w:color w:val="auto"/>
        </w:rPr>
        <w:t>I hereby agree to the terms and conditions set forth above. I further understand that the Severance Benefits are conditioned upon my timely execution, return and non-revocation of the Additional Release.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Karen Roberts</w:t>
      </w:r>
    </w:p>
    <w:p>
      <w:pPr>
        <w:spacing w:after="0" w:line="206" w:lineRule="exact"/>
        <w:rPr>
          <w:sz w:val="20"/>
          <w:szCs w:val="20"/>
          <w:color w:val="auto"/>
        </w:rPr>
      </w:pPr>
    </w:p>
    <w:p>
      <w:pPr>
        <w:ind w:left="760"/>
        <w:spacing w:after="0"/>
        <w:tabs>
          <w:tab w:leader="none" w:pos="6160" w:val="left"/>
          <w:tab w:leader="none" w:pos="6840" w:val="left"/>
        </w:tabs>
        <w:rPr>
          <w:sz w:val="20"/>
          <w:szCs w:val="20"/>
          <w:color w:val="auto"/>
        </w:rPr>
      </w:pPr>
      <w:r>
        <w:rPr>
          <w:rFonts w:ascii="Times New Roman" w:cs="Times New Roman" w:eastAsia="Times New Roman" w:hAnsi="Times New Roman"/>
          <w:sz w:val="22"/>
          <w:szCs w:val="22"/>
          <w:color w:val="auto"/>
        </w:rPr>
        <w:t>/s/ Karen L. Roberts</w:t>
      </w:r>
      <w:r>
        <w:rPr>
          <w:sz w:val="20"/>
          <w:szCs w:val="20"/>
          <w:color w:val="auto"/>
        </w:rPr>
        <w:tab/>
      </w: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May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980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8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328" w:right="159" w:bottom="1440" w:gutter="0" w:footer="0" w:header="0"/>
        </w:sectPr>
      </w:pPr>
    </w:p>
    <w:bookmarkStart w:id="136" w:name="page137"/>
    <w:bookmarkEnd w:id="136"/>
    <w:p>
      <w:pPr>
        <w:jc w:val="center"/>
        <w:ind w:right="-11"/>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RELEASE OF CLAIMS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72" w:hanging="772"/>
        <w:spacing w:after="0" w:line="242" w:lineRule="auto"/>
        <w:tabs>
          <w:tab w:leader="none" w:pos="772"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by Ms. Roberts</w:t>
      </w:r>
      <w:r>
        <w:rPr>
          <w:rFonts w:ascii="Times New Roman" w:cs="Times New Roman" w:eastAsia="Times New Roman" w:hAnsi="Times New Roman"/>
          <w:sz w:val="21"/>
          <w:szCs w:val="21"/>
          <w:color w:val="auto"/>
        </w:rPr>
        <w:t xml:space="preserve">. In exchange for the consideration set forth herein and in the Agreement to which this Additional Release of Claims (the “Additional Release”) is attached as Attachment A, which Ms. Roberts acknowledges she would not otherwise be entitled to receive, Ms. Roberts hereby fully, forever, irrevocably and unconditionally releases, remises and discharges the Company, its affiliates, subsidiaries, parent companies, predecessors, and successors, and all of its and their respective past and present officers, directors, stockholders, investors, partners, members, managers, employees, agents, representatives, plan administrators, attorneys, insurers and fiduciaries (each in their individual and corporate capacities) (collectively, the “Released Parties”)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she ever had or now has against any or all of the Released Parties, whether known or unknown, including, but not limited to, any and all claims arising out of or relating to her employment with and/or separation from the Company, including, but not limited to, all claims under Title VII of the Civil Rights Act of 1964, 42 U.S.C. § 2000e </w:t>
      </w:r>
      <w:r>
        <w:rPr>
          <w:rFonts w:ascii="Times New Roman" w:cs="Times New Roman" w:eastAsia="Times New Roman" w:hAnsi="Times New Roman"/>
          <w:sz w:val="21"/>
          <w:szCs w:val="21"/>
          <w:u w:val="single" w:color="auto"/>
          <w:color w:val="auto"/>
        </w:rPr>
        <w:t>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seq.</w:t>
      </w:r>
      <w:r>
        <w:rPr>
          <w:rFonts w:ascii="Times New Roman" w:cs="Times New Roman" w:eastAsia="Times New Roman" w:hAnsi="Times New Roman"/>
          <w:sz w:val="21"/>
          <w:szCs w:val="21"/>
          <w:color w:val="auto"/>
        </w:rPr>
        <w:t xml:space="preserve">, the Americans With Disabilities Act of 1990, 42 U.S.C. § 12101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Age Discrimination in Employment Act, 29 U.S.C. § 621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Genetic Information Nondiscrimination Act of 2008, 42 U.S.C. § 2000ff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Family and Medical Leave Act, 29 U.S.C. § 2601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Worker Adjustment and Retraining Notification Act (“WARN”), 29 U.S.C. § 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Executive Order 11246, Executive Order 11141, the Fair Credit Reporting Act, 15 U.S.C. § 1681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and the Employee Retirement Income Security Act of 1974 (“ERISA”), 29 U.S.C. § 1001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all as amended; all claims arising out of the Massachusetts Fair Employment Practices Act, Mass. Gen. Laws ch. 151B,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Massachusetts Wage Act, Mass. Gen. Laws ch. 149, § 148 </w:t>
      </w:r>
      <w:r>
        <w:rPr>
          <w:rFonts w:ascii="Times New Roman" w:cs="Times New Roman" w:eastAsia="Times New Roman" w:hAnsi="Times New Roman"/>
          <w:sz w:val="21"/>
          <w:szCs w:val="21"/>
          <w:u w:val="single" w:color="auto"/>
          <w:color w:val="auto"/>
        </w:rPr>
        <w:t>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seq.</w:t>
      </w:r>
      <w:r>
        <w:rPr>
          <w:rFonts w:ascii="Times New Roman" w:cs="Times New Roman" w:eastAsia="Times New Roman" w:hAnsi="Times New Roman"/>
          <w:sz w:val="21"/>
          <w:szCs w:val="21"/>
          <w:color w:val="auto"/>
        </w:rPr>
        <w:t xml:space="preserve"> (Massachusetts law regarding payment of wages and overtime), the Massachusetts Civil Rights Act, Mass. Gen. Laws ch. 12, §§ 11H and 11I, the Massachusetts Equal Rights Act, Mass. Gen. Laws. ch. 93, § 102 and Mass. Gen. Laws ch. 214, § 1C, the Massachusetts Labor and Industries Act, Mass. Gen. Laws ch. 149, §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Mass. Gen. Laws ch. 214, § 1B (Massachusetts right of privacy law), the Massachusetts Maternity Leave Act, Mass. Gen. Laws ch. 149, § 105D, and the Massachusetts Small Necessities Leave Act, Mass. Gen. Laws ch. 149, § 52D, all as amended; all common law claims including, but not limited to, actions in defamation, intentional infliction of emotional distress, misrepresentation, fraud, wrongful discharge, and breach of contract; all claims to any non-vested ownership interest in the Company, contractual or otherwise; all state and federal whistleblower claims to the maximum extent permitted by law; and any claim or damage arising out of her employment with and/or separation from the Company (including a claim for retaliation) under any common law theory or any federal, state or local statute or ordinance not expressly referenced above; provided, however, that (a) nothing in this Additional Release prevents Ms. Roberts from filing a charge with, cooperating with, or participating in any proceeding before the Equal Employment Opportunity Commission or a state fair employment practices agency (except that she acknowledges that she may not recover any monetary benefits in connection with any such claim, charge or proceeding, and explicitly waives any rights or claims to any payment, benefit, attorneys’ fees or other remedial relief in connection with any such claim, charge or proceeding and agrees that if any such complaint, charge, or proceeding is filed on her behalf, she shall take all reasonable steps necessary to refuse any damages or individualized relief in connection therewith), and (b) nothing herein shall prevent Ms. Roberts from bringing claims to enforce the Agreement or this Additional Release. Further, nothing herein shall release any rights Ms. Roberts may have under the Company’s certificate of</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03" w:lineRule="exact"/>
        <w:rPr>
          <w:rFonts w:ascii="Times New Roman" w:cs="Times New Roman" w:eastAsia="Times New Roman" w:hAnsi="Times New Roman"/>
          <w:sz w:val="21"/>
          <w:szCs w:val="21"/>
          <w:color w:val="auto"/>
        </w:rPr>
      </w:pPr>
    </w:p>
    <w:p>
      <w:pPr>
        <w:ind w:left="5652" w:hanging="126"/>
        <w:spacing w:after="0"/>
        <w:tabs>
          <w:tab w:leader="none" w:pos="565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24" w:right="239" w:bottom="1440" w:gutter="0" w:footer="0" w:header="0"/>
        </w:sectPr>
      </w:pPr>
    </w:p>
    <w:bookmarkStart w:id="137" w:name="page138"/>
    <w:bookmarkEnd w:id="137"/>
    <w:p>
      <w:pPr>
        <w:ind w:left="772" w:right="340"/>
        <w:spacing w:after="0" w:line="238" w:lineRule="auto"/>
        <w:rPr>
          <w:sz w:val="20"/>
          <w:szCs w:val="20"/>
          <w:color w:val="auto"/>
        </w:rPr>
      </w:pPr>
      <w:r>
        <w:rPr>
          <w:rFonts w:ascii="Times New Roman" w:cs="Times New Roman" w:eastAsia="Times New Roman" w:hAnsi="Times New Roman"/>
          <w:sz w:val="22"/>
          <w:szCs w:val="22"/>
          <w:color w:val="auto"/>
        </w:rPr>
        <w:t>incorporation, by-laws, insurance and/or any indemnification agreement between her and Company (and/or otherwise under law) for indemnification as an officer of the Company for her service to the Company (recognizing that such indemnification is not guaranteed by this Additional Release and shall be governed by the instrument or law, if any, providing for such indemnification), or prevent Ms. Roberts from asserting or enforcing any rights she may have under ERISA or other pertinent statute to vested ownership, pension or 401(K) benefits or interests.</w:t>
      </w:r>
    </w:p>
    <w:p>
      <w:pPr>
        <w:spacing w:after="0" w:line="177" w:lineRule="exact"/>
        <w:rPr>
          <w:sz w:val="20"/>
          <w:szCs w:val="20"/>
          <w:color w:val="auto"/>
        </w:rPr>
      </w:pPr>
    </w:p>
    <w:p>
      <w:pPr>
        <w:ind w:left="772" w:right="40" w:hanging="772"/>
        <w:spacing w:after="0" w:line="233" w:lineRule="auto"/>
        <w:tabs>
          <w:tab w:leader="none" w:pos="77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by the Company</w:t>
      </w:r>
      <w:r>
        <w:rPr>
          <w:rFonts w:ascii="Times New Roman" w:cs="Times New Roman" w:eastAsia="Times New Roman" w:hAnsi="Times New Roman"/>
          <w:sz w:val="22"/>
          <w:szCs w:val="22"/>
          <w:color w:val="auto"/>
        </w:rPr>
        <w:t>. In exchange for the consideration set forth herein, the Company hereby fully, forever, irrevocably and unconditionally releases, remises and discharges Ms. Roberts from any and all claims, complaints, demands, actions, causes of action, suits, rights, debts, sums of money, costs, accounts, reckonings, covenants, contracts, agreements, promises, doings, omissions, damages, executions, obligations, liabilities, and expenses (including attorneys’ fees and costs), of every kind and nature, whether known or unknown, that it ever had or now has against Ms. Roberts, including, but not limited to, any and all claims arising out of or relating to Ms. Roberts’s employment with and/or separation from the Company; provided, however, that notwithstanding the foregoing, nothing in this release (a) releases Ms. Roberts from her continuing obligations as set forth in Section 5 of the Agreement, (b) shall prevent the Company from bringing claims to enforce the Agreement or this Additional Release, or (c) releases Ms. Roberts from any claims for fraud or embezzlement, or from any civil claims based on any acts and/or omissions that satisfy the elements of a criminal offense, or from any claims arising out of any deliberate misconduct by her that results or resulted in material injury to the Company.</w:t>
      </w:r>
    </w:p>
    <w:p>
      <w:pPr>
        <w:spacing w:after="0" w:line="186" w:lineRule="exact"/>
        <w:rPr>
          <w:rFonts w:ascii="Times New Roman" w:cs="Times New Roman" w:eastAsia="Times New Roman" w:hAnsi="Times New Roman"/>
          <w:sz w:val="22"/>
          <w:szCs w:val="22"/>
          <w:color w:val="auto"/>
        </w:rPr>
      </w:pPr>
    </w:p>
    <w:p>
      <w:pPr>
        <w:ind w:left="772" w:right="120" w:hanging="772"/>
        <w:spacing w:after="0" w:line="238" w:lineRule="auto"/>
        <w:tabs>
          <w:tab w:leader="none" w:pos="77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Ms. Roberts acknowledges that she has been reimbursed by the Company for all business expenses incurred in conjunction with the performance of her employment and that no other reimbursements are owed to her. Ms. Roberts acknowledges that she has received all compensation due to her from the Company, including, but not limited to, all wages, bonuses and accrued, unused vacation time, and that she is not eligible or entitled to receive any additional payments or consideration from the Company beyond that provided for in Section 2 of the Agreement.</w:t>
      </w:r>
    </w:p>
    <w:p>
      <w:pPr>
        <w:spacing w:after="0" w:line="177" w:lineRule="exact"/>
        <w:rPr>
          <w:rFonts w:ascii="Times New Roman" w:cs="Times New Roman" w:eastAsia="Times New Roman" w:hAnsi="Times New Roman"/>
          <w:sz w:val="22"/>
          <w:szCs w:val="22"/>
          <w:color w:val="auto"/>
        </w:rPr>
      </w:pPr>
    </w:p>
    <w:p>
      <w:pPr>
        <w:ind w:left="772" w:hanging="772"/>
        <w:spacing w:after="0" w:line="235" w:lineRule="auto"/>
        <w:tabs>
          <w:tab w:leader="none" w:pos="77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Ms. Roberts confirms that she has returned to the Company all keys, files, records (and copies thereof), equipment (including, but not limited to, computer hardware, software and printers, wireless handheld devices, cellular phones, etc.), Company identification and any other Company-owned property in her possession or control and that she has left intact all electronic Company documents, including but not limited to those that she developed or helped to develop during her employment. Ms. Roberts further confirms that she has cancelled all accounts for her benefit, if any, in the Company’s name, including but not limited to, credit cards, telephone charge cards, cellular phone and/or wireless data accounts and computer accounts.</w:t>
      </w:r>
    </w:p>
    <w:p>
      <w:pPr>
        <w:spacing w:after="0" w:line="183" w:lineRule="exact"/>
        <w:rPr>
          <w:rFonts w:ascii="Times New Roman" w:cs="Times New Roman" w:eastAsia="Times New Roman" w:hAnsi="Times New Roman"/>
          <w:sz w:val="22"/>
          <w:szCs w:val="22"/>
          <w:color w:val="auto"/>
        </w:rPr>
      </w:pPr>
    </w:p>
    <w:p>
      <w:pPr>
        <w:ind w:left="772" w:hanging="772"/>
        <w:spacing w:after="0" w:line="234" w:lineRule="auto"/>
        <w:tabs>
          <w:tab w:leader="none" w:pos="77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Ms. Roberts acknowledges that she has been given twenty-one (21) days following the Separation Date (together with the seven (7) day revocation period described in the next sentence, the “Review Period”) to consider this Additional Release, and that the Company has advised her in writing to consult with an attorney of her own choosing prior to signing this Additional Release. Ms. Roberts understands that she may revoke this Additional Release for a period of seven (7) days after she signs it by notifying the Company in writing, and the Additional Release shall not be effective or enforceable until the expiration of this seven (7) day revocation period. Ms. Roberts understands and agrees that by entering into this Additional Release, she is waiving any and all rights or claims she might have under the Age Discrimination in Employment Act, as amended by the Older Workers Benefit Protection Act, and that she has received consideration beyond that to which she was previously entitled. In the event the Review Period begins in one taxable year for Ms. Roberts and ends in the following taxable year, any payments contingent upon Ms. Roberts entering into the Additional Release will be</w:t>
      </w:r>
    </w:p>
    <w:p>
      <w:pPr>
        <w:spacing w:after="0" w:line="393" w:lineRule="exact"/>
        <w:rPr>
          <w:rFonts w:ascii="Times New Roman" w:cs="Times New Roman" w:eastAsia="Times New Roman" w:hAnsi="Times New Roman"/>
          <w:sz w:val="22"/>
          <w:szCs w:val="22"/>
          <w:color w:val="auto"/>
        </w:rPr>
      </w:pPr>
    </w:p>
    <w:p>
      <w:pPr>
        <w:ind w:left="5592" w:hanging="120"/>
        <w:spacing w:after="0"/>
        <w:tabs>
          <w:tab w:leader="none" w:pos="55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28" w:right="259" w:bottom="1440" w:gutter="0" w:footer="0" w:header="0"/>
        </w:sectPr>
      </w:pPr>
    </w:p>
    <w:bookmarkStart w:id="138" w:name="page139"/>
    <w:bookmarkEnd w:id="138"/>
    <w:p>
      <w:pPr>
        <w:ind w:left="780" w:right="460"/>
        <w:spacing w:after="0" w:line="258" w:lineRule="auto"/>
        <w:rPr>
          <w:sz w:val="20"/>
          <w:szCs w:val="20"/>
          <w:color w:val="auto"/>
        </w:rPr>
      </w:pPr>
      <w:r>
        <w:rPr>
          <w:rFonts w:ascii="Times New Roman" w:cs="Times New Roman" w:eastAsia="Times New Roman" w:hAnsi="Times New Roman"/>
          <w:sz w:val="22"/>
          <w:szCs w:val="22"/>
          <w:color w:val="auto"/>
        </w:rPr>
        <w:t>made or commence to be paid on the first regular payroll date in the following taxable year that falls after the date the Additional Release becomes effective and enforceable.</w:t>
      </w:r>
    </w:p>
    <w:p>
      <w:pPr>
        <w:spacing w:after="0" w:line="158" w:lineRule="exact"/>
        <w:rPr>
          <w:sz w:val="20"/>
          <w:szCs w:val="20"/>
          <w:color w:val="auto"/>
        </w:rPr>
      </w:pPr>
    </w:p>
    <w:p>
      <w:pPr>
        <w:ind w:left="780" w:right="80" w:hanging="772"/>
        <w:spacing w:after="0" w:line="236" w:lineRule="auto"/>
        <w:tabs>
          <w:tab w:leader="none" w:pos="7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Assent</w:t>
      </w:r>
      <w:r>
        <w:rPr>
          <w:rFonts w:ascii="Times New Roman" w:cs="Times New Roman" w:eastAsia="Times New Roman" w:hAnsi="Times New Roman"/>
          <w:sz w:val="22"/>
          <w:szCs w:val="22"/>
          <w:color w:val="auto"/>
        </w:rPr>
        <w:t>. Ms. Roberts affirms that no other promises or agreements of any kind have been made to or with her by any person or entity whatsoever to cause her to sign this Additional Release, and that she fully understands the meaning and intent of this Additional Release. Ms. Roberts states and represents that she has had an opportunity to fully discuss and review the terms of this Additional Release with an attorney. Ms. Roberts further states and represents that she has carefully read this Additional Release, understands the contents herein, freely and voluntarily assents to all of the terms and conditions hereof, and signs her name of her own free act.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Cerulean Pharma,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I hereby provide this Additional Release as of the date below and acknowledge that the execution of this Additional Release is in further consideration of the Severance Benefits, to which I acknowledge I would not be entitled if I did not enter into this Additional Release. I intend that this Additional Release become a binding agreement between the Company and me if I do not revoke my acceptance in seven (7) days.</w:t>
      </w:r>
    </w:p>
    <w:p>
      <w:pPr>
        <w:sectPr>
          <w:pgSz w:w="11900" w:h="16838" w:orient="portrait"/>
          <w:cols w:equalWidth="0" w:num="1">
            <w:col w:w="11420"/>
          </w:cols>
          <w:pgMar w:left="240" w:top="328" w:right="239" w:bottom="1440" w:gutter="0" w:footer="0" w:header="0"/>
        </w:sectPr>
      </w:pP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_____________________________ Karen Roberts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7100"/>
          </w:cols>
          <w:pgMar w:left="240" w:top="328" w:right="2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- 11 -</w:t>
      </w:r>
    </w:p>
    <w:p>
      <w:pPr>
        <w:sectPr>
          <w:pgSz w:w="11900" w:h="16838" w:orient="portrait"/>
          <w:cols w:equalWidth="0" w:num="1">
            <w:col w:w="11420"/>
          </w:cols>
          <w:pgMar w:left="240" w:top="328" w:right="23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17" w:lineRule="exact"/>
        <w:rPr>
          <w:sz w:val="20"/>
          <w:szCs w:val="20"/>
          <w:color w:val="auto"/>
        </w:rPr>
      </w:pPr>
    </w:p>
    <w:p>
      <w:pPr>
        <w:ind w:left="1020" w:hanging="494"/>
        <w:spacing w:after="0"/>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20" w:hanging="438"/>
        <w:spacing w:after="0" w:line="266" w:lineRule="auto"/>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20" w:right="340" w:hanging="438"/>
        <w:spacing w:after="0" w:line="266" w:lineRule="auto"/>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2060" w:hanging="494"/>
        <w:spacing w:after="0" w:line="266" w:lineRule="auto"/>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20" w:right="100" w:hanging="438"/>
        <w:spacing w:after="0" w:line="282" w:lineRule="auto"/>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Beloff, certify that:</w:t>
      </w:r>
    </w:p>
    <w:p>
      <w:pPr>
        <w:spacing w:after="0" w:line="117" w:lineRule="exact"/>
        <w:rPr>
          <w:sz w:val="20"/>
          <w:szCs w:val="20"/>
          <w:color w:val="auto"/>
        </w:rPr>
      </w:pPr>
    </w:p>
    <w:p>
      <w:pPr>
        <w:ind w:left="1020" w:hanging="494"/>
        <w:spacing w:after="0"/>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20" w:hanging="438"/>
        <w:spacing w:after="0" w:line="266" w:lineRule="auto"/>
        <w:tabs>
          <w:tab w:leader="none" w:pos="2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20" w:right="340" w:hanging="438"/>
        <w:spacing w:after="0" w:line="266" w:lineRule="auto"/>
        <w:tabs>
          <w:tab w:leader="none" w:pos="2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2060" w:hanging="494"/>
        <w:spacing w:after="0" w:line="266" w:lineRule="auto"/>
        <w:tabs>
          <w:tab w:leader="none" w:pos="10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20" w:right="100" w:hanging="438"/>
        <w:spacing w:after="0" w:line="282" w:lineRule="auto"/>
        <w:tabs>
          <w:tab w:leader="none" w:pos="21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June 30, 2015,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6,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June 30, 2015, as filed with the Securities and Exchange Commission on the date hereof (the “Report”), the undersigned, Gregg Beloff, Chief Financial Officer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6,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o"/>
      <w:numFmt w:val="bullet"/>
      <w:start w:val="1"/>
    </w:lvl>
  </w:abstractNum>
  <w:abstractNum w:abstractNumId="2">
    <w:nsid w:val="885E1B"/>
    <w:multiLevelType w:val="hybridMultilevel"/>
    <w:lvl w:ilvl="0">
      <w:lvlJc w:val="left"/>
      <w:lvlText w:val="%1."/>
      <w:numFmt w:val="decimal"/>
      <w:start w:val="1"/>
    </w:lvl>
  </w:abstractNum>
  <w:abstractNum w:abstractNumId="3">
    <w:nsid w:val="76272110"/>
    <w:multiLevelType w:val="hybridMultilevel"/>
    <w:lvl w:ilvl="0">
      <w:lvlJc w:val="left"/>
      <w:lvlText w:val="%1."/>
      <w:numFmt w:val="decimal"/>
      <w:start w:val="2"/>
    </w:lvl>
  </w:abstractNum>
  <w:abstractNum w:abstractNumId="4">
    <w:nsid w:val="4C04A8AF"/>
    <w:multiLevelType w:val="hybridMultilevel"/>
    <w:lvl w:ilvl="0">
      <w:lvlJc w:val="left"/>
      <w:lvlText w:val="%1."/>
      <w:numFmt w:val="decimal"/>
      <w:start w:val="3"/>
    </w:lvl>
  </w:abstractNum>
  <w:abstractNum w:abstractNumId="5">
    <w:nsid w:val="1716703B"/>
    <w:multiLevelType w:val="hybridMultilevel"/>
    <w:lvl w:ilvl="0">
      <w:lvlJc w:val="left"/>
      <w:lvlText w:val="%1."/>
      <w:numFmt w:val="decimal"/>
      <w:start w:val="4"/>
    </w:lvl>
  </w:abstractNum>
  <w:abstractNum w:abstractNumId="6">
    <w:nsid w:val="14E17E33"/>
    <w:multiLevelType w:val="hybridMultilevel"/>
    <w:lvl w:ilvl="0">
      <w:lvlJc w:val="left"/>
      <w:lvlText w:val="%1."/>
      <w:numFmt w:val="decimal"/>
      <w:start w:val="5"/>
    </w:lvl>
  </w:abstractNum>
  <w:abstractNum w:abstractNumId="7">
    <w:nsid w:val="3222E7CD"/>
    <w:multiLevelType w:val="hybridMultilevel"/>
    <w:lvl w:ilvl="0">
      <w:lvlJc w:val="left"/>
      <w:lvlText w:val="%1."/>
      <w:numFmt w:val="decimal"/>
      <w:start w:val="6"/>
    </w:lvl>
  </w:abstractNum>
  <w:abstractNum w:abstractNumId="8">
    <w:nsid w:val="74DE0EE3"/>
    <w:multiLevelType w:val="hybridMultilevel"/>
    <w:lvl w:ilvl="0">
      <w:lvlJc w:val="left"/>
      <w:lvlText w:val="%1."/>
      <w:numFmt w:val="decimal"/>
      <w:start w:val="7"/>
    </w:lvl>
  </w:abstractNum>
  <w:abstractNum w:abstractNumId="9">
    <w:nsid w:val="68EBC550"/>
    <w:multiLevelType w:val="hybridMultilevel"/>
    <w:lvl w:ilvl="0">
      <w:lvlJc w:val="left"/>
      <w:lvlText w:val="%1."/>
      <w:numFmt w:val="decimal"/>
      <w:start w:val="8"/>
    </w:lvl>
  </w:abstractNum>
  <w:abstractNum w:abstractNumId="10">
    <w:nsid w:val="2DF6D648"/>
    <w:multiLevelType w:val="hybridMultilevel"/>
    <w:lvl w:ilvl="0">
      <w:lvlJc w:val="left"/>
      <w:lvlText w:val="%1."/>
      <w:numFmt w:val="decimal"/>
      <w:start w:val="9"/>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lvl w:ilvl="1">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1)"/>
      <w:numFmt w:val="lowerRoman"/>
      <w:start w:val="2"/>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1."/>
      <w:numFmt w:val="decimal"/>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1."/>
      <w:numFmt w:val="decimal"/>
      <w:start w:val="4"/>
    </w:lvl>
  </w:abstractNum>
  <w:abstractNum w:abstractNumId="49">
    <w:nsid w:val="51088277"/>
    <w:multiLevelType w:val="hybridMultilevel"/>
    <w:lvl w:ilvl="0">
      <w:lvlJc w:val="left"/>
      <w:lvlText w:val="%1."/>
      <w:numFmt w:val="decimal"/>
      <w:start w:val="6"/>
    </w:lvl>
  </w:abstractNum>
  <w:abstractNum w:abstractNumId="50">
    <w:nsid w:val="1CA0C5FA"/>
    <w:multiLevelType w:val="hybridMultilevel"/>
    <w:lvl w:ilvl="0">
      <w:lvlJc w:val="left"/>
      <w:lvlText w:val="%1."/>
      <w:numFmt w:val="decimal"/>
      <w:start w:val="10"/>
    </w:lvl>
  </w:abstractNum>
  <w:abstractNum w:abstractNumId="51">
    <w:nsid w:val="53584BCB"/>
    <w:multiLevelType w:val="hybridMultilevel"/>
    <w:lvl w:ilvl="0">
      <w:lvlJc w:val="left"/>
      <w:lvlText w:val="(%1)"/>
      <w:numFmt w:val="lowerRoman"/>
      <w:start w:val="2"/>
    </w:lvl>
  </w:abstractNum>
  <w:abstractNum w:abstractNumId="52">
    <w:nsid w:val="415E286C"/>
    <w:multiLevelType w:val="hybridMultilevel"/>
    <w:lvl w:ilvl="0">
      <w:lvlJc w:val="left"/>
      <w:lvlText w:val="%1."/>
      <w:numFmt w:val="decimal"/>
      <w:start w:val="13"/>
    </w:lvl>
  </w:abstractNum>
  <w:abstractNum w:abstractNumId="53">
    <w:nsid w:val="7C58FD05"/>
    <w:multiLevelType w:val="hybridMultilevel"/>
    <w:lvl w:ilvl="0">
      <w:lvlJc w:val="left"/>
      <w:lvlText w:val="(%1)"/>
      <w:numFmt w:val="lowerLetter"/>
      <w:start w:val="8"/>
    </w:lvl>
  </w:abstractNum>
  <w:abstractNum w:abstractNumId="54">
    <w:nsid w:val="23D86AAC"/>
    <w:multiLevelType w:val="hybridMultilevel"/>
    <w:lvl w:ilvl="0">
      <w:lvlJc w:val="left"/>
      <w:lvlText w:val="(%1)"/>
      <w:numFmt w:val="lowerLetter"/>
      <w:start w:val="1"/>
    </w:lvl>
  </w:abstractNum>
  <w:abstractNum w:abstractNumId="55">
    <w:nsid w:val="45E6D486"/>
    <w:multiLevelType w:val="hybridMultilevel"/>
    <w:lvl w:ilvl="0">
      <w:lvlJc w:val="left"/>
      <w:lvlText w:val="(%1)"/>
      <w:numFmt w:val="lowerLetter"/>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1)"/>
      <w:numFmt w:val="lowerLetter"/>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1)"/>
      <w:numFmt w:val="lowerRoman"/>
      <w:start w:val="2"/>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1)"/>
      <w:numFmt w:val="lowerLetter"/>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1)"/>
      <w:numFmt w:val="lowerLetter"/>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1)"/>
      <w:numFmt w:val="lowerLetter"/>
      <w:start w:val="1"/>
    </w:lvl>
  </w:abstractNum>
  <w:abstractNum w:abstractNumId="72">
    <w:nsid w:val="3DB012B3"/>
    <w:multiLevelType w:val="hybridMultilevel"/>
    <w:lvl w:ilvl="0">
      <w:lvlJc w:val="left"/>
      <w:lvlText w:val="(%1)"/>
      <w:numFmt w:val="lowerLetter"/>
      <w:start w:val="2"/>
    </w:lvl>
  </w:abstractNum>
  <w:abstractNum w:abstractNumId="73">
    <w:nsid w:val="2708C9AF"/>
    <w:multiLevelType w:val="hybridMultilevel"/>
    <w:lvl w:ilvl="0">
      <w:lvlJc w:val="left"/>
      <w:lvlText w:val="(%1)"/>
      <w:numFmt w:val="lowerLetter"/>
      <w:start w:val="6"/>
    </w:lvl>
  </w:abstractNum>
  <w:abstractNum w:abstractNumId="74">
    <w:nsid w:val="5B25ACE2"/>
    <w:multiLevelType w:val="hybridMultilevel"/>
    <w:lvl w:ilvl="0">
      <w:lvlJc w:val="left"/>
      <w:lvlText w:val="(%1)"/>
      <w:numFmt w:val="lowerLetter"/>
      <w:start w:val="1"/>
    </w:lvl>
  </w:abstractNum>
  <w:abstractNum w:abstractNumId="75">
    <w:nsid w:val="175DFCF0"/>
    <w:multiLevelType w:val="hybridMultilevel"/>
    <w:lvl w:ilvl="0">
      <w:lvlJc w:val="left"/>
      <w:lvlText w:val="."/>
      <w:numFmt w:val="bullet"/>
      <w:start w:val="1"/>
    </w:lvl>
    <w:lvl w:ilvl="1">
      <w:lvlJc w:val="left"/>
      <w:lvlText w:val="(%2)"/>
      <w:numFmt w:val="lowerLetter"/>
      <w:start w:val="1"/>
    </w:lvl>
  </w:abstractNum>
  <w:abstractNum w:abstractNumId="76">
    <w:nsid w:val="4F97E3E4"/>
    <w:multiLevelType w:val="hybridMultilevel"/>
    <w:lvl w:ilvl="0">
      <w:lvlJc w:val="left"/>
      <w:lvlText w:val="(%1)"/>
      <w:numFmt w:val="lowerLetter"/>
      <w:start w:val="3"/>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1)"/>
      <w:numFmt w:val="lowerLetter"/>
      <w:start w:val="1"/>
    </w:lvl>
    <w:lvl w:ilvl="1">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1)"/>
      <w:numFmt w:val="lowerRoman"/>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1)"/>
      <w:numFmt w:val="lowerLetter"/>
      <w:start w:val="1"/>
    </w:lvl>
  </w:abstractNum>
  <w:abstractNum w:abstractNumId="96">
    <w:nsid w:val="2157F6BC"/>
    <w:multiLevelType w:val="hybridMultilevel"/>
    <w:lvl w:ilvl="0">
      <w:lvlJc w:val="left"/>
      <w:lvlText w:val="(%1)"/>
      <w:numFmt w:val="lowerRoman"/>
      <w:start w:val="2"/>
    </w:lvl>
  </w:abstractNum>
  <w:abstractNum w:abstractNumId="97">
    <w:nsid w:val="704E1DD5"/>
    <w:multiLevelType w:val="hybridMultilevel"/>
    <w:lvl w:ilvl="0">
      <w:lvlJc w:val="left"/>
      <w:lvlText w:val="(%1)"/>
      <w:numFmt w:val="lowerLetter"/>
      <w:start w:val="3"/>
    </w:lvl>
  </w:abstractNum>
  <w:abstractNum w:abstractNumId="98">
    <w:nsid w:val="57D2F10E"/>
    <w:multiLevelType w:val="hybridMultilevel"/>
    <w:lvl w:ilvl="0">
      <w:lvlJc w:val="left"/>
      <w:lvlText w:val="(%1)"/>
      <w:numFmt w:val="lowerLetter"/>
      <w:start w:val="35"/>
    </w:lvl>
    <w:lvl w:ilvl="1">
      <w:lvlJc w:val="left"/>
      <w:lvlText w:val="(%2)"/>
      <w:numFmt w:val="lowerLetter"/>
      <w:start w:val="4"/>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
      <w:numFmt w:val="bullet"/>
      <w:start w:val="1"/>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1)"/>
      <w:numFmt w:val="lowerLetter"/>
      <w:start w:val="1"/>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1)"/>
      <w:numFmt w:val="lowerLetter"/>
      <w:start w:val="1"/>
    </w:lvl>
    <w:lvl w:ilvl="1">
      <w:lvlJc w:val="left"/>
      <w:lvlText w:val="(%2)"/>
      <w:numFmt w:val="lowerRoman"/>
      <w:start w:val="1"/>
    </w:lvl>
  </w:abstractNum>
  <w:abstractNum w:abstractNumId="121">
    <w:nsid w:val="57C7D42D"/>
    <w:multiLevelType w:val="hybridMultilevel"/>
    <w:lvl w:ilvl="0">
      <w:lvlJc w:val="left"/>
      <w:lvlText w:val="%1"/>
      <w:numFmt w:val="lowerLetter"/>
      <w:start w:val="1"/>
    </w:lvl>
    <w:lvl w:ilvl="1">
      <w:lvlJc w:val="left"/>
      <w:lvlText w:val="(%2)"/>
      <w:numFmt w:val="lowerRoman"/>
      <w:start w:val="8"/>
    </w:lvl>
  </w:abstractNum>
  <w:abstractNum w:abstractNumId="122">
    <w:nsid w:val="312167AD"/>
    <w:multiLevelType w:val="hybridMultilevel"/>
    <w:lvl w:ilvl="0">
      <w:lvlJc w:val="left"/>
      <w:lvlText w:val="(%1)"/>
      <w:numFmt w:val="lowerLetter"/>
      <w:start w:val="3"/>
    </w:lvl>
    <w:lvl w:ilvl="1">
      <w:lvlJc w:val="left"/>
      <w:lvlText w:val="%2"/>
      <w:numFmt w:val="lowerRoman"/>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
      <w:numFmt w:val="bullet"/>
      <w:start w:val="1"/>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
      <w:numFmt w:val="bullet"/>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
      <w:numFmt w:val="bullet"/>
      <w:start w:val="1"/>
    </w:lvl>
  </w:abstractNum>
  <w:abstractNum w:abstractNumId="134">
    <w:nsid w:val="3FC32E20"/>
    <w:multiLevelType w:val="hybridMultilevel"/>
    <w:lvl w:ilvl="0">
      <w:lvlJc w:val="left"/>
      <w:lvlText w:val="(%1)"/>
      <w:numFmt w:val="lowerLetter"/>
      <w:start w:val="2"/>
    </w:lvl>
    <w:lvl w:ilvl="1">
      <w:lvlJc w:val="left"/>
      <w:lvlText w:val="(%2)"/>
      <w:numFmt w:val="lowerRoman"/>
      <w:start w:val="1"/>
    </w:lvl>
  </w:abstractNum>
  <w:abstractNum w:abstractNumId="135">
    <w:nsid w:val="49C0E823"/>
    <w:multiLevelType w:val="hybridMultilevel"/>
    <w:lvl w:ilvl="0">
      <w:lvlJc w:val="left"/>
      <w:lvlText w:val="(%1)"/>
      <w:numFmt w:val="upperLetter"/>
      <w:start w:val="1"/>
    </w:lvl>
  </w:abstractNum>
  <w:abstractNum w:abstractNumId="136">
    <w:nsid w:val="14D53685"/>
    <w:multiLevelType w:val="hybridMultilevel"/>
    <w:lvl w:ilvl="0">
      <w:lvlJc w:val="left"/>
      <w:lvlText w:val="(%1)"/>
      <w:numFmt w:val="lowerRoman"/>
      <w:start w:val="3"/>
    </w:lvl>
  </w:abstractNum>
  <w:abstractNum w:abstractNumId="137">
    <w:nsid w:val="230F856C"/>
    <w:multiLevelType w:val="hybridMultilevel"/>
    <w:lvl w:ilvl="0">
      <w:lvlJc w:val="left"/>
      <w:lvlText w:val="(%1)"/>
      <w:numFmt w:val="lowerRoman"/>
      <w:start w:val="4"/>
    </w:lvl>
  </w:abstractNum>
  <w:abstractNum w:abstractNumId="138">
    <w:nsid w:val="6EAA85FB"/>
    <w:multiLevelType w:val="hybridMultilevel"/>
    <w:lvl w:ilvl="0">
      <w:lvlJc w:val="left"/>
      <w:lvlText w:val="(%1)"/>
      <w:numFmt w:val="upperLetter"/>
      <w:start w:val="27"/>
    </w:lvl>
  </w:abstractNum>
  <w:abstractNum w:abstractNumId="139">
    <w:nsid w:val="3F06ECB2"/>
    <w:multiLevelType w:val="hybridMultilevel"/>
    <w:lvl w:ilvl="0">
      <w:lvlJc w:val="left"/>
      <w:lvlText w:val="(%1)"/>
      <w:numFmt w:val="lowerRoman"/>
      <w:start w:val="1"/>
    </w:lvl>
  </w:abstractNum>
  <w:abstractNum w:abstractNumId="140">
    <w:nsid w:val="3B594807"/>
    <w:multiLevelType w:val="hybridMultilevel"/>
    <w:lvl w:ilvl="0">
      <w:lvlJc w:val="left"/>
      <w:lvlText w:val="(%1)"/>
      <w:numFmt w:val="upperLetter"/>
      <w:start w:val="28"/>
    </w:lvl>
  </w:abstractNum>
  <w:abstractNum w:abstractNumId="141">
    <w:nsid w:val="6CAA2304"/>
    <w:multiLevelType w:val="hybridMultilevel"/>
    <w:lvl w:ilvl="0">
      <w:lvlJc w:val="left"/>
      <w:lvlText w:val="."/>
      <w:numFmt w:val="bullet"/>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1."/>
      <w:numFmt w:val="decimal"/>
      <w:start w:val="9"/>
    </w:lvl>
  </w:abstractNum>
  <w:abstractNum w:abstractNumId="145">
    <w:nsid w:val="579328B9"/>
    <w:multiLevelType w:val="hybridMultilevel"/>
    <w:lvl w:ilvl="0">
      <w:lvlJc w:val="left"/>
      <w:lvlText w:val="%1."/>
      <w:numFmt w:val="decimal"/>
      <w:start w:val="21"/>
    </w:lvl>
  </w:abstractNum>
  <w:abstractNum w:abstractNumId="146">
    <w:nsid w:val="5D205E20"/>
    <w:multiLevelType w:val="hybridMultilevel"/>
    <w:lvl w:ilvl="0">
      <w:lvlJc w:val="left"/>
      <w:lvlText w:val="%1."/>
      <w:numFmt w:val="decimal"/>
      <w:start w:val="1"/>
    </w:lvl>
  </w:abstractNum>
  <w:abstractNum w:abstractNumId="147">
    <w:nsid w:val="11CCA8BA"/>
    <w:multiLevelType w:val="hybridMultilevel"/>
    <w:lvl w:ilvl="0">
      <w:lvlJc w:val="left"/>
      <w:lvlText w:val="%1."/>
      <w:numFmt w:val="decimal"/>
      <w:start w:val="4"/>
    </w:lvl>
  </w:abstractNum>
  <w:abstractNum w:abstractNumId="148">
    <w:nsid w:val="4D32AB86"/>
    <w:multiLevelType w:val="hybridMultilevel"/>
    <w:lvl w:ilvl="0">
      <w:lvlJc w:val="left"/>
      <w:lvlText w:val="%1."/>
      <w:numFmt w:val="decimal"/>
      <w:start w:val="9"/>
    </w:lvl>
  </w:abstractNum>
  <w:abstractNum w:abstractNumId="149">
    <w:nsid w:val="3F07ACC3"/>
    <w:multiLevelType w:val="hybridMultilevel"/>
    <w:lvl w:ilvl="0">
      <w:lvlJc w:val="left"/>
      <w:lvlText w:val="%1."/>
      <w:numFmt w:val="decimal"/>
      <w:start w:val="15"/>
    </w:lvl>
  </w:abstractNum>
  <w:abstractNum w:abstractNumId="150">
    <w:nsid w:val="6B47F63E"/>
    <w:multiLevelType w:val="hybridMultilevel"/>
    <w:lvl w:ilvl="0">
      <w:lvlJc w:val="left"/>
      <w:lvlText w:val="%1."/>
      <w:numFmt w:val="decimal"/>
      <w:start w:val="16"/>
    </w:lvl>
  </w:abstractNum>
  <w:abstractNum w:abstractNumId="151">
    <w:nsid w:val="5CB44A05"/>
    <w:multiLevelType w:val="hybridMultilevel"/>
    <w:lvl w:ilvl="0">
      <w:lvlJc w:val="left"/>
      <w:lvlText w:val="%1."/>
      <w:numFmt w:val="decimal"/>
      <w:start w:val="20"/>
    </w:lvl>
  </w:abstractNum>
  <w:abstractNum w:abstractNumId="152">
    <w:nsid w:val="16CF80F1"/>
    <w:multiLevelType w:val="hybridMultilevel"/>
    <w:lvl w:ilvl="0">
      <w:lvlJc w:val="left"/>
      <w:lvlText w:val="•"/>
      <w:numFmt w:val="bullet"/>
      <w:start w:val="1"/>
    </w:lvl>
    <w:lvl w:ilvl="1">
      <w:lvlJc w:val="left"/>
      <w:lvlText w:val="-"/>
      <w:numFmt w:val="bullet"/>
      <w:start w:val="1"/>
    </w:lvl>
  </w:abstractNum>
  <w:abstractNum w:abstractNumId="153">
    <w:nsid w:val="1C695DEC"/>
    <w:multiLevelType w:val="hybridMultilevel"/>
    <w:lvl w:ilvl="0">
      <w:lvlJc w:val="left"/>
      <w:lvlText w:val="•"/>
      <w:numFmt w:val="bullet"/>
      <w:start w:val="1"/>
    </w:lvl>
  </w:abstractNum>
  <w:abstractNum w:abstractNumId="154">
    <w:nsid w:val="3FCFAED9"/>
    <w:multiLevelType w:val="hybridMultilevel"/>
    <w:lvl w:ilvl="0">
      <w:lvlJc w:val="left"/>
      <w:lvlText w:val="%1."/>
      <w:numFmt w:val="decimal"/>
      <w:start w:val="1"/>
    </w:lvl>
  </w:abstractNum>
  <w:abstractNum w:abstractNumId="155">
    <w:nsid w:val="F85686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156">
    <w:nsid w:val="11B1CC3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
      <w:numFmt w:val="bullet"/>
      <w:start w:val="1"/>
    </w:lvl>
  </w:abstractNum>
  <w:abstractNum w:abstractNumId="157">
    <w:nsid w:val="2E22FBB7"/>
    <w:multiLevelType w:val="hybridMultilevel"/>
    <w:lvl w:ilvl="0">
      <w:lvlJc w:val="left"/>
      <w:lvlText w:val="(%1)"/>
      <w:numFmt w:val="lowerLetter"/>
      <w:start w:val="3"/>
    </w:lvl>
  </w:abstractNum>
  <w:abstractNum w:abstractNumId="158">
    <w:nsid w:val="29934699"/>
    <w:multiLevelType w:val="hybridMultilevel"/>
    <w:lvl w:ilvl="0">
      <w:lvlJc w:val="left"/>
      <w:lvlText w:val="%1."/>
      <w:numFmt w:val="decimal"/>
      <w:start w:val="3"/>
    </w:lvl>
    <w:lvl w:ilvl="1">
      <w:lvlJc w:val="left"/>
      <w:lvlText w:val="-"/>
      <w:numFmt w:val="bullet"/>
      <w:start w:val="1"/>
    </w:lvl>
  </w:abstractNum>
  <w:abstractNum w:abstractNumId="159">
    <w:nsid w:val="77485850"/>
    <w:multiLevelType w:val="hybridMultilevel"/>
    <w:lvl w:ilvl="0">
      <w:lvlJc w:val="left"/>
      <w:lvlText w:val="%1."/>
      <w:numFmt w:val="decimal"/>
      <w:start w:val="4"/>
    </w:lvl>
    <w:lvl w:ilvl="1">
      <w:lvlJc w:val="left"/>
      <w:lvlText w:val="-"/>
      <w:numFmt w:val="bullet"/>
      <w:start w:val="1"/>
    </w:lvl>
  </w:abstractNum>
  <w:abstractNum w:abstractNumId="160">
    <w:nsid w:val="744939A3"/>
    <w:multiLevelType w:val="hybridMultilevel"/>
    <w:lvl w:ilvl="0">
      <w:lvlJc w:val="left"/>
      <w:lvlText w:val="%1."/>
      <w:numFmt w:val="decimal"/>
      <w:start w:val="5"/>
    </w:lvl>
    <w:lvl w:ilvl="1">
      <w:lvlJc w:val="left"/>
      <w:lvlText w:val="-"/>
      <w:numFmt w:val="bullet"/>
      <w:start w:val="1"/>
    </w:lvl>
  </w:abstractNum>
  <w:abstractNum w:abstractNumId="161">
    <w:nsid w:val="4FA0D2E3"/>
    <w:multiLevelType w:val="hybridMultilevel"/>
    <w:lvl w:ilvl="0">
      <w:lvlJc w:val="left"/>
      <w:lvlText w:val="%1."/>
      <w:numFmt w:val="decimal"/>
      <w:start w:val="12"/>
    </w:lvl>
    <w:lvl w:ilvl="1">
      <w:lvlJc w:val="left"/>
      <w:lvlText w:val="-"/>
      <w:numFmt w:val="bullet"/>
      <w:start w:val="1"/>
    </w:lvl>
  </w:abstractNum>
  <w:abstractNum w:abstractNumId="162">
    <w:nsid w:val="6B1D2C14"/>
    <w:multiLevelType w:val="hybridMultilevel"/>
    <w:lvl w:ilvl="0">
      <w:lvlJc w:val="left"/>
      <w:lvlText w:val="%1."/>
      <w:numFmt w:val="decimal"/>
      <w:start w:val="18"/>
    </w:lvl>
    <w:lvl w:ilvl="1">
      <w:lvlJc w:val="left"/>
      <w:lvlText w:val="-"/>
      <w:numFmt w:val="bullet"/>
      <w:start w:val="1"/>
    </w:lvl>
  </w:abstractNum>
  <w:abstractNum w:abstractNumId="163">
    <w:nsid w:val="68B867D3"/>
    <w:multiLevelType w:val="hybridMultilevel"/>
    <w:lvl w:ilvl="0">
      <w:lvlJc w:val="left"/>
      <w:lvlText w:val="%1."/>
      <w:numFmt w:val="decimal"/>
      <w:start w:val="1"/>
    </w:lvl>
    <w:lvl w:ilvl="1">
      <w:lvlJc w:val="left"/>
      <w:lvlText w:val="-"/>
      <w:numFmt w:val="bullet"/>
      <w:start w:val="1"/>
    </w:lvl>
  </w:abstractNum>
  <w:abstractNum w:abstractNumId="164">
    <w:nsid w:val="3F7F5DD9"/>
    <w:multiLevelType w:val="hybridMultilevel"/>
    <w:lvl w:ilvl="0">
      <w:lvlJc w:val="left"/>
      <w:lvlText w:val="%1."/>
      <w:numFmt w:val="decimal"/>
      <w:start w:val="2"/>
    </w:lvl>
    <w:lvl w:ilvl="1">
      <w:lvlJc w:val="left"/>
      <w:lvlText w:val="-"/>
      <w:numFmt w:val="bullet"/>
      <w:start w:val="1"/>
    </w:lvl>
  </w:abstractNum>
  <w:abstractNum w:abstractNumId="165">
    <w:nsid w:val="2AE05A34"/>
    <w:multiLevelType w:val="hybridMultilevel"/>
    <w:lvl w:ilvl="0">
      <w:lvlJc w:val="left"/>
      <w:lvlText w:val="%1."/>
      <w:numFmt w:val="decimal"/>
      <w:start w:val="6"/>
    </w:lvl>
  </w:abstractNum>
  <w:abstractNum w:abstractNumId="166">
    <w:nsid w:val="32794FF7"/>
    <w:multiLevelType w:val="hybridMultilevel"/>
    <w:lvl w:ilvl="0">
      <w:lvlJc w:val="left"/>
      <w:lvlText w:val="%1."/>
      <w:numFmt w:val="decimal"/>
      <w:start w:val="1"/>
    </w:lvl>
    <w:lvl w:ilvl="1">
      <w:lvlJc w:val="left"/>
      <w:lvlText w:val="%2."/>
      <w:numFmt w:val="lowerLetter"/>
      <w:start w:val="1"/>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2019-12-29T16:09:13Z</dcterms:created>
  <dcterms:modified xsi:type="dcterms:W3CDTF">2019-12-29T16:09:13Z</dcterms:modified>
</cp:coreProperties>
</file>