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40" w:after="283"/>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31, 2022 </w:t>
      </w:r>
    </w:p>
    <w:p>
      <w:pPr>
        <w:pStyle w:val="TextBody"/>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Commission File Number: 001-36395</w:t>
      </w:r>
    </w:p>
    <w:p>
      <w:pPr>
        <w:pStyle w:val="TextBody"/>
        <w:spacing w:before="0" w:after="0"/>
        <w:jc w:val="center"/>
        <w:rPr/>
      </w:pPr>
      <w:r>
        <w:rPr/>
        <w:drawing>
          <wp:inline distT="0" distB="63500" distL="0" distR="0">
            <wp:extent cx="2247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93345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tbl>
      <w:tblPr>
        <w:tblW w:w="6032" w:type="dxa"/>
        <w:jc w:val="center"/>
        <w:tblInd w:w="0" w:type="dxa"/>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60" w:after="283"/>
        <w:ind w:left="0" w:right="0" w:firstLine="360"/>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May 10, 2022, 84,711,346 shares of the Registrant’s Common Stock, par value $0.0001,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and continue as a going concern;</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submit and obtain United States Food and Drug Administration, or FDA, or foreign regulatory authority approval and commercialize our products candidates on projected timelines or budgets, or at all;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Inability to demonstrate sufficient safety and efficacy of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ability of third parties on which we rely to timely supply and manufacture our commercial product and our clinical trial supplies, including their components as well as the finished product, in the quantities needed in accordance with current good manufacturing practices, our specifications and other applicable requirements;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terms and conditions of our strategic collaborations, including our out-license agreements for commercialization of XACIATO™ and Ovaprene®;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 decision by a commercial collaborator to discontinue its interest in our product or product candidate or to terminate our license agreement, or the failure of such license agreement to become fully effective;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Difficulties with establishing and maintaining collaborations relating to the development and/or commercialization of our product candidates on a timely basis or on acceptable terms, or at all;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 change in the FDA's prior determination that the Center for Devices and Radiological Health would lead the review of a premarket application for potential marketing approval of Ovaprene;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Federal Food, Drug, and Cosmetic Act, or the FDA's 505(b)(2) pathway;</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Adverse differences between preliminary, interim or topline clinical study data reported by us and final study results;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Failure to monetize our portfolio candidates through licenses, partnerships or other types of commercialization agreements, or on our own;</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and our product candidates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Our payment and other obligations under our in-license and acquisition agreements for XACIATO and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less competitive or obsolete;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impact of the macroeconomic conditions, geopolitical events, the COVID-19 pandemic and any future pandemic, epidemic, or similar public health threat or natural disasters on our business, operations and financial condition, or on those of third parties on which we rely;</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Cyber-attacks, security breaches or similar events compromising our technology systems or the technology systems of third parties on which we rely;</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those product candidates to competition from other formulations using the same active ingredients;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Dependence on grant funding for pre-clinical development of DARE-LARC1;</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that differ from investors' expectations for such results;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Price and volume fluctuations in the stock market, and in our stock in particular, which could cause investors to experience losses and subject us to securities class-action litigation;</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Development of unexpected safety concerns related to our product or product candidates, or third-party products or product candidates that share similar characteristics or drug substances;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Strict government regulations on our business, including various fraud and abuse laws, including, without limitation, the U.S. federal Anti-Kickback Statute, the U.S. federal False Claims Act and the U.S. Foreign Corrupt Practices Act;</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Regulations governing the production or marketing of XACIATO and any future products; and</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3">
              <w:r>
                <w:rPr>
                  <w:rStyle w:val="InternetLink"/>
                  <w:rFonts w:ascii="Arial;sans-serif" w:hAnsi="Arial;sans-serif"/>
                  <w:b/>
                  <w:color w:val="0000FF"/>
                  <w:sz w:val="20"/>
                  <w:u w:val="single"/>
                </w:rPr>
                <w:t>PART I. FINANCIAL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3">
              <w:r>
                <w:rPr>
                  <w:rStyle w:val="InternetLink"/>
                  <w:rFonts w:ascii="Arial;sans-serif" w:hAnsi="Arial;sans-serif"/>
                  <w:b w:val="false"/>
                  <w:color w:val="0000FF"/>
                  <w:sz w:val="20"/>
                  <w:u w:val="single"/>
                </w:rPr>
                <w:t>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67">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67">
              <w:r>
                <w:rPr>
                  <w:rStyle w:val="InternetLink"/>
                  <w:rFonts w:ascii="Arial;sans-serif" w:hAnsi="Arial;sans-serif"/>
                  <w:b w:val="false"/>
                  <w:color w:val="0000FF"/>
                  <w:sz w:val="20"/>
                  <w:u w:val="single"/>
                </w:rPr>
                <w:t>22</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91">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91">
              <w:r>
                <w:rPr>
                  <w:rStyle w:val="InternetLink"/>
                  <w:rFonts w:ascii="Arial;sans-serif" w:hAnsi="Arial;sans-serif"/>
                  <w:b w:val="false"/>
                  <w:color w:val="0000FF"/>
                  <w:sz w:val="20"/>
                  <w:u w:val="single"/>
                </w:rPr>
                <w:t>33</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94">
              <w:r>
                <w:rPr>
                  <w:rStyle w:val="InternetLink"/>
                  <w:rFonts w:ascii="Arial;sans-serif" w:hAnsi="Arial;sans-serif"/>
                  <w:b w:val="false"/>
                  <w:color w:val="0000FF"/>
                  <w:sz w:val="20"/>
                  <w:u w:val="single"/>
                </w:rPr>
                <w:t>Controls and Procedures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94">
              <w:r>
                <w:rPr>
                  <w:rStyle w:val="InternetLink"/>
                  <w:rFonts w:ascii="Arial;sans-serif" w:hAnsi="Arial;sans-serif"/>
                  <w:b w:val="false"/>
                  <w:color w:val="0000FF"/>
                  <w:sz w:val="20"/>
                  <w:u w:val="single"/>
                </w:rPr>
                <w:t>33</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97">
              <w:r>
                <w:rPr>
                  <w:rStyle w:val="InternetLink"/>
                  <w:rFonts w:ascii="Arial;sans-serif" w:hAnsi="Arial;sans-serif"/>
                  <w:b/>
                  <w:color w:val="0000FF"/>
                  <w:sz w:val="20"/>
                  <w:u w:val="single"/>
                </w:rPr>
                <w:t>PART II. 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00">
              <w:r>
                <w:rPr>
                  <w:rStyle w:val="InternetLink"/>
                  <w:rFonts w:ascii="Arial;sans-serif" w:hAnsi="Arial;sans-serif"/>
                  <w:b w:val="false"/>
                  <w:color w:val="0000FF"/>
                  <w:sz w:val="20"/>
                  <w:u w:val="single"/>
                </w:rPr>
                <w:t>Legal Proceedings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00">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03">
              <w:r>
                <w:rPr>
                  <w:rStyle w:val="InternetLink"/>
                  <w:rFonts w:ascii="Arial;sans-serif" w:hAnsi="Arial;sans-serif"/>
                  <w:b w:val="false"/>
                  <w:color w:val="0000FF"/>
                  <w:sz w:val="20"/>
                  <w:u w:val="single"/>
                </w:rPr>
                <w:t>Risk Factors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03">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06">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06">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09">
              <w:r>
                <w:rPr>
                  <w:rStyle w:val="InternetLink"/>
                  <w:rFonts w:ascii="Arial;sans-serif" w:hAnsi="Arial;sans-serif"/>
                  <w:b w:val="false"/>
                  <w:color w:val="0000FF"/>
                  <w:sz w:val="20"/>
                  <w:u w:val="single"/>
                </w:rPr>
                <w:t>Defaults Upon Senior Securities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09">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12">
              <w:r>
                <w:rPr>
                  <w:rStyle w:val="InternetLink"/>
                  <w:rFonts w:ascii="Arial;sans-serif" w:hAnsi="Arial;sans-serif"/>
                  <w:b w:val="false"/>
                  <w:color w:val="0000FF"/>
                  <w:sz w:val="20"/>
                  <w:u w:val="single"/>
                </w:rPr>
                <w:t>Mine Safety Disclosures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12">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15">
              <w:r>
                <w:rPr>
                  <w:rStyle w:val="InternetLink"/>
                  <w:rFonts w:ascii="Arial;sans-serif" w:hAnsi="Arial;sans-serif"/>
                  <w:b w:val="false"/>
                  <w:color w:val="0000FF"/>
                  <w:sz w:val="20"/>
                  <w:u w:val="single"/>
                </w:rPr>
                <w:t>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15">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18">
              <w:r>
                <w:rPr>
                  <w:rStyle w:val="InternetLink"/>
                  <w:rFonts w:ascii="Arial;sans-serif" w:hAnsi="Arial;sans-serif"/>
                  <w:b w:val="false"/>
                  <w:color w:val="0000FF"/>
                  <w:sz w:val="20"/>
                  <w:u w:val="single"/>
                </w:rPr>
                <w:t>Exhibits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18">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cc494c450e145729b0695b37b951a0a_121">
              <w:r>
                <w:rPr>
                  <w:rStyle w:val="InternetLink"/>
                  <w:rFonts w:ascii="Arial;sans-serif" w:hAnsi="Arial;sans-serif"/>
                  <w:b w:val="false"/>
                  <w:color w:val="0000FF"/>
                  <w:sz w:val="20"/>
                  <w:u w:val="single"/>
                </w:rPr>
                <w:t>SIGNATURES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cc494c450e145729b0695b37b951a0a_121">
              <w:r>
                <w:rPr>
                  <w:rStyle w:val="InternetLink"/>
                  <w:rFonts w:ascii="Arial;sans-serif" w:hAnsi="Arial;sans-serif"/>
                  <w:b w:val="false"/>
                  <w:color w:val="0000FF"/>
                  <w:sz w:val="20"/>
                  <w:u w:val="single"/>
                </w:rPr>
                <w:t>37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ind w:left="0" w:right="0" w:hanging="1260"/>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CellMar>
          <w:top w:w="28" w:type="dxa"/>
          <w:left w:w="28" w:type="dxa"/>
          <w:bottom w:w="28" w:type="dxa"/>
          <w:right w:w="28" w:type="dxa"/>
        </w:tblCellMar>
      </w:tblPr>
      <w:tblGrid>
        <w:gridCol w:w="2674"/>
        <w:gridCol w:w="2150"/>
        <w:gridCol w:w="2115"/>
        <w:gridCol w:w="211"/>
        <w:gridCol w:w="1126"/>
        <w:gridCol w:w="109"/>
        <w:gridCol w:w="109"/>
        <w:gridCol w:w="109"/>
        <w:gridCol w:w="109"/>
        <w:gridCol w:w="211"/>
        <w:gridCol w:w="1126"/>
        <w:gridCol w:w="156"/>
      </w:tblGrid>
      <w:tr>
        <w:trPr/>
        <w:tc>
          <w:tcPr>
            <w:tcW w:w="2674"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2021</w:t>
            </w:r>
          </w:p>
        </w:tc>
      </w:tr>
      <w:tr>
        <w:trPr/>
        <w:tc>
          <w:tcPr>
            <w:tcW w:w="6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39,316,911 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51,674,087 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1,145,317 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6,770,426 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2,476,612 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47,817,188 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55,296,016 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485,120 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49,186,582 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55,807,177 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2,103,083 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3,136,244 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9,731,363 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10,542,983 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270,546 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16,052,856 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license revenue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3" w:type="dxa"/>
            <w:gridSpan w:val="3"/>
            <w:tcBorders/>
            <w:shd w:fill="auto" w:val="cle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long-term</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17,052,856 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7)</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120,000,000 shares authorized; 83,944,119 shares issued and outstanding at March 31, 2022 and December 31, 2021</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149,560,211 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149,027,802 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(118,525,572)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(110,126,902)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30,878,910 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38,754,321 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49,186,582 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55,807,177 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pPr>
      <w:r>
        <w:rPr>
          <w:rFonts w:ascii="Arial;sans-serif" w:hAnsi="Arial;sans-serif"/>
          <w:b/>
          <w:color w:val="000000"/>
          <w:sz w:val="20"/>
        </w:rPr>
        <w:t>Daré Bioscience</w:t>
      </w:r>
      <w:r>
        <w:rPr>
          <w:rFonts w:ascii="Times New Roman;sans-serif" w:hAnsi="Times New Roman;sans-serif"/>
          <w:b w:val="false"/>
          <w:color w:val="000000"/>
          <w:sz w:val="20"/>
        </w:rPr>
        <w:t xml:space="preserve">, </w:t>
      </w:r>
      <w:r>
        <w:rPr>
          <w:rFonts w:ascii="Arial;sans-serif" w:hAnsi="Arial;sans-serif"/>
          <w:b/>
          <w:color w:val="000000"/>
          <w:sz w:val="20"/>
        </w:rPr>
        <w:t>Inc</w:t>
      </w:r>
      <w:r>
        <w:rPr>
          <w:rFonts w:ascii="Times New Roman;sans-serif" w:hAnsi="Times New Roman;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w:t>
      </w:r>
      <w:r>
        <w:rPr>
          <w:color w:val="000000"/>
        </w:rPr>
        <w:t xml:space="preserve"> </w:t>
      </w:r>
      <w:r>
        <w:rPr>
          <w:rFonts w:ascii="Arial;sans-serif" w:hAnsi="Arial;sans-serif"/>
          <w:b/>
          <w:color w:val="000000"/>
          <w:sz w:val="20"/>
        </w:rPr>
        <w:t>Loss</w:t>
      </w:r>
    </w:p>
    <w:p>
      <w:pPr>
        <w:pStyle w:val="TextBody"/>
        <w:spacing w:lineRule="auto" w:line="288" w:before="0" w:after="0"/>
        <w:jc w:val="center"/>
        <w:rPr/>
      </w:pPr>
      <w:r>
        <w:rPr>
          <w:rFonts w:ascii="Times New Roman;sans-serif" w:hAnsi="Times New Roman;sans-serif"/>
          <w:b w:val="false"/>
          <w:color w:val="000000"/>
          <w:sz w:val="20"/>
        </w:rPr>
        <w:t>(</w:t>
      </w:r>
      <w:r>
        <w:rPr>
          <w:rFonts w:ascii="Arial;sans-serif" w:hAnsi="Arial;sans-serif"/>
          <w:b/>
          <w:color w:val="000000"/>
          <w:sz w:val="20"/>
        </w:rPr>
        <w:t>Unaudited</w:t>
      </w:r>
      <w:r>
        <w:rPr>
          <w:rFonts w:ascii="Times New Roman;sans-serif" w:hAnsi="Times New Roman;sans-serif"/>
          <w:b w:val="false"/>
          <w:color w:val="000000"/>
          <w:sz w:val="20"/>
        </w:rPr>
        <w:t>)</w:t>
      </w:r>
    </w:p>
    <w:tbl>
      <w:tblPr>
        <w:tblW w:w="8799" w:type="dxa"/>
        <w:jc w:val="left"/>
        <w:tblInd w:w="0" w:type="dxa"/>
        <w:tblCellMar>
          <w:top w:w="28" w:type="dxa"/>
          <w:left w:w="28" w:type="dxa"/>
          <w:bottom w:w="28" w:type="dxa"/>
          <w:right w:w="28" w:type="dxa"/>
        </w:tblCellMar>
      </w:tblPr>
      <w:tblGrid>
        <w:gridCol w:w="1879"/>
        <w:gridCol w:w="1653"/>
        <w:gridCol w:w="1657"/>
        <w:gridCol w:w="211"/>
        <w:gridCol w:w="1081"/>
        <w:gridCol w:w="109"/>
        <w:gridCol w:w="109"/>
        <w:gridCol w:w="109"/>
        <w:gridCol w:w="109"/>
        <w:gridCol w:w="211"/>
        <w:gridCol w:w="1081"/>
        <w:gridCol w:w="109"/>
        <w:gridCol w:w="109"/>
        <w:gridCol w:w="109"/>
        <w:gridCol w:w="109"/>
        <w:gridCol w:w="154"/>
      </w:tblGrid>
      <w:tr>
        <w:trPr/>
        <w:tc>
          <w:tcPr>
            <w:tcW w:w="1879"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4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5,805,462 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7,693,534 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(7,693,534)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 payable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(8,407,820)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(7,330,485)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83,944,119 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44,502,582 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193" w:type="dxa"/>
        <w:jc w:val="center"/>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93"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2022</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149,027,802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(154,973)</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(110,126,902)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38,754,321</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149,560,211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(164,123)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(118,525,572)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30,878,910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tbl>
      <w:tblPr>
        <w:tblW w:w="10878" w:type="dxa"/>
        <w:jc w:val="left"/>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126"/>
        <w:gridCol w:w="109"/>
        <w:gridCol w:w="109"/>
        <w:gridCol w:w="109"/>
        <w:gridCol w:w="109"/>
        <w:gridCol w:w="259"/>
        <w:gridCol w:w="925"/>
        <w:gridCol w:w="137"/>
        <w:gridCol w:w="109"/>
        <w:gridCol w:w="109"/>
        <w:gridCol w:w="109"/>
        <w:gridCol w:w="211"/>
        <w:gridCol w:w="1126"/>
        <w:gridCol w:w="109"/>
        <w:gridCol w:w="109"/>
        <w:gridCol w:w="109"/>
        <w:gridCol w:w="109"/>
        <w:gridCol w:w="211"/>
        <w:gridCol w:w="1021"/>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78"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2021</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2020</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41,596,253</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70,366,293</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(91,388)</w:t>
            </w:r>
          </w:p>
        </w:tc>
        <w:tc>
          <w:tcPr>
            <w:tcW w:w="1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(71,430,797)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(1,151,733)</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Issuance of common stock, net of issuance costs </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5,664,069 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11,323,573 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11,324,140 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2021</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47,312,822</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4,731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82,106,172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(98,229)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(78,754,441)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3,258,233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pPr>
      <w:r>
        <w:rPr>
          <w:rFonts w:ascii="Arial;sans-serif" w:hAnsi="Arial;sans-serif"/>
          <w:b/>
          <w:color w:val="000000"/>
          <w:sz w:val="20"/>
        </w:rPr>
        <w:t>(Unaudited)</w:t>
      </w:r>
      <w:r>
        <w:rPr>
          <w:color w:val="000000"/>
        </w:rPr>
        <w:t> </w:t>
      </w:r>
    </w:p>
    <w:tbl>
      <w:tblPr>
        <w:tblW w:w="10205" w:type="dxa"/>
        <w:jc w:val="left"/>
        <w:tblInd w:w="0" w:type="dxa"/>
        <w:tblCellMar>
          <w:top w:w="28" w:type="dxa"/>
          <w:left w:w="28" w:type="dxa"/>
          <w:bottom w:w="28" w:type="dxa"/>
          <w:right w:w="28" w:type="dxa"/>
        </w:tblCellMar>
      </w:tblPr>
      <w:tblGrid>
        <w:gridCol w:w="2549"/>
        <w:gridCol w:w="2213"/>
        <w:gridCol w:w="2226"/>
        <w:gridCol w:w="211"/>
        <w:gridCol w:w="1126"/>
        <w:gridCol w:w="109"/>
        <w:gridCol w:w="109"/>
        <w:gridCol w:w="109"/>
        <w:gridCol w:w="109"/>
        <w:gridCol w:w="211"/>
        <w:gridCol w:w="1076"/>
        <w:gridCol w:w="157"/>
      </w:tblGrid>
      <w:tr>
        <w:trPr/>
        <w:tc>
          <w:tcPr>
            <w:tcW w:w="2549"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(24,224)</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notes payable and accrued interest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158,333 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(4,293,814)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(128,086)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450,298 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(837,191)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(892,123)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(8,377,015)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proceeds from issuance of common stock </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11,324,140 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warrants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11,374,540 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(12,357,176)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2,990,684 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4,669,467 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39,316,911 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7,660,151 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Forgiveness of Paycheck Protection Program note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308,533 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6988"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spacing w:before="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began assembling its diverse portfolio in 2017 through acquisitions, exclusive in-licenses and other collaborations. The Company's programs target unmet needs in women's health in the areas of contraception, fertility, and vaginal and sexual health, and aim to expand treatment options, enhance outcomes and improve ease of use for women.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generated any revenue. The Company’s primary operations have consisted of, and are expected to continue to consist primarily of, research and development activities to advance its product candidates through clinical development and regulatory approval.</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first product, XACIATO™ (clindamycin phosphate vaginal gel, 2%), was approved by the FDA in December 2021, as a single-dose prescription medication for the treatment of bacterial vaginosis in female patients 12 years of age and older. In March 2022, the Company entered into an exclusive global license agreement with an affiliate of Organon &amp; Co., Organon International GmbH, or Organon, to commercialize XACIATO. XACIATO is expected to be available commercially in the United States in the fourth quarter of 2022.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includes drug and drug/device product candidates and potential product candidates in various stages of development, from pre-clinical to advanced clinical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2021, or the 2021 10-K.</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2022, the Company had an accumulated deficit of approximately $118.5 million, cash and cash equivalents of approximately $39.3 million, and working capital of approximately $31.4 million. For the three months ended March 31, 2022, the Company incurred a net loss of approximately $8.4 million and had negative cash flow from operations of approximately $12.3 million.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expects its primary uses of capital to be staff-related expenses, the cost of clinical trials and regulatory activities related to its product candidates, costs associated with contract manufacturing services and third-party clinical research and development services, payments due to third-parties under the Company's in-license and acquisition agreements including upon the occurrence of commercial milestones for XACIATO and development milestones for the Company’s product candidates, legal expenses, other regulatory expenses and general overhead costs. The Company’s future funding requirements could also include significant costs related to commercialization of its product candidates, if approved, depending on the type, nature and terms of commercial collaborations the Company establishes.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expects its expenses, and in particular its research and development expenses, to increase significantly in 2022 compared to 2021 as the Company continues to develop and seek to bring to market its product candidates, with a focus on its product candidates that have reached the human clinical study development phase.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one FDA-approved product, XACIATO, and has generated no revenue. Commercial launch of XACIATO in the U.S. by the Company's licensee, Organon, is expected in the fourth quarter of 2022. Under the terms of its license agreement with Organon, the Company will receive a $10.0 million non-refundable and non-creditable payment following the effective date of the license agreement and will be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The Company has devoted significant resources to building its portfolio of product candidates and to research and development activities related to these product candidates. The Company or its licensees must obtain regulatory approvals to market and sell any of its product candidates in the future and to market and sell XACIATO anywhere outside the U.S. The Company will need to generate sufficient safety and efficacy data on each of its product candidates in order to apply for regulatory approvals and for such assets to be attractive assets to potential strategic collaborators to license or to acquire, and for the Company to generate revenue through license fees, royalties on net revenues and commercial milestones related to such product candidates.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successfully execute its current strategy. The Company may continue to seek to raise capital through the sale of shares of its common stock under its ATM sales agreement or through other types of equity transactions. However, when the Company can effect such sales and the amount of shares the Company can sell depends on a variety of factors including, among others, market conditions, the trading price of its common stock, its determination as to the appropriate sources of funding for its operations, and the number of authorized shares of common stock that are available for issuance, which is approximately 27 million as of the date hereof. For the foreseeable future, the Company will evaluate and may pursue a variety of capital raising options on an on-going basis, including equity and debt financings, government or other grant funding, collaborations and strategic alliances or other similar types of arrangements, to cover its operating expenses, and the cost of any license or other acquisition of new product candidates or technologies. The amount and timing of the Company's capital needs have been and will continue to depend highly on many factors, including the product development programs the Company chooses to pursue, the pace and results of its clinical development efforts, and the nature and extent of expansion of its product candidate portfolio, if any. If the Company raises capital through collaborations, strategic alliances or other similar types of arrangements, it may have to relinquish, on terms that are not favorable to the Company, rights to some of its technologies or product candidates the Company would otherwise seek to develop or commercialize.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that capital will be available when needed or that, if available, it will be obtained on terms favorable to the Company and its stockholders.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1 to the consolidated financial statements included in the 2021 10-K. Since the date of those consolidated financial statements, there have been no material changes to the Company’s significant accounting policies.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March 31, 2022 and December 31, 2021. There were no financial assets or liabilities that were remeasured using a quoted price in active markets for identical assets (Level 2) or using unobservable inputs (Level 3) as of March 31, 2022 or December 31, 2021.</w:t>
      </w:r>
    </w:p>
    <w:tbl>
      <w:tblPr>
        <w:tblW w:w="8250" w:type="dxa"/>
        <w:jc w:val="center"/>
        <w:tblInd w:w="0" w:type="dxa"/>
        <w:tblCellMar>
          <w:top w:w="28" w:type="dxa"/>
          <w:left w:w="28" w:type="dxa"/>
          <w:bottom w:w="28" w:type="dxa"/>
          <w:right w:w="28" w:type="dxa"/>
        </w:tblCellMar>
      </w:tblPr>
      <w:tblGrid>
        <w:gridCol w:w="1043"/>
        <w:gridCol w:w="916"/>
        <w:gridCol w:w="921"/>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36,330,411 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36,330,411 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49,666,064 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49,666,064 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ind w:left="0" w:right="0" w:hanging="180"/>
        <w:jc w:val="both"/>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lineRule="auto" w:line="276" w:before="20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spacing w:lineRule="auto" w:line="288" w:before="160" w:after="283"/>
        <w:ind w:left="0" w:right="0" w:firstLine="720"/>
        <w:jc w:val="both"/>
        <w:rPr/>
      </w:pPr>
      <w:r>
        <w:rPr>
          <w:rFonts w:ascii="Arial;sans-serif" w:hAnsi="Arial;sans-serif"/>
          <w:b w:val="false"/>
          <w:color w:val="000000"/>
          <w:sz w:val="20"/>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w:t>
      </w:r>
      <w:r>
        <w:rPr>
          <w:color w:val="000000"/>
        </w:rPr>
        <w:t> </w:t>
      </w:r>
      <w:r>
        <w:rPr>
          <w:rFonts w:ascii="Arial;sans-serif" w:hAnsi="Arial;sans-serif"/>
          <w:b w:val="false"/>
          <w:color w:val="000000"/>
          <w:sz w:val="20"/>
        </w:rPr>
        <w:t>performance obligations. The Company then recognizes as revenue the amount of the transaction price allocated to the respective performance obligation when (or as) the performance obligation is satisfied.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spacing w:lineRule="auto" w:line="288" w:before="160" w:after="283"/>
        <w:ind w:left="0" w:right="0" w:firstLine="720"/>
        <w:jc w:val="both"/>
        <w:rPr/>
      </w:pPr>
      <w:r>
        <w:rPr>
          <w:rFonts w:ascii="Arial;sans-serif" w:hAnsi="Arial;sans-serif"/>
          <w:b w:val="false"/>
          <w:i/>
          <w:color w:val="000000"/>
          <w:sz w:val="20"/>
        </w:rPr>
        <w:t>Collaboration Revenues</w:t>
      </w:r>
      <w:r>
        <w:rPr>
          <w:rFonts w:ascii="Arial;sans-serif" w:hAnsi="Arial;sans-serif"/>
          <w:b/>
          <w:i/>
          <w:color w:val="000000"/>
          <w:sz w:val="20"/>
        </w:rPr>
        <w:t xml:space="preserve">. </w:t>
      </w:r>
      <w:r>
        <w:rPr>
          <w:rFonts w:ascii="Arial;sans-serif" w:hAnsi="Arial;sans-serif"/>
          <w:b w:val="false"/>
          <w:color w:val="000000"/>
          <w:sz w:val="20"/>
        </w:rPr>
        <w:t>The Company enters into collaboration and licensing agreements under which it out-licenses certain rights 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w:t>
      </w:r>
    </w:p>
    <w:p>
      <w:pPr>
        <w:pStyle w:val="TextBody"/>
        <w:spacing w:lineRule="auto" w:line="288" w:before="160" w:after="283"/>
        <w:ind w:left="0" w:right="0" w:firstLine="720"/>
        <w:jc w:val="both"/>
        <w:rPr/>
      </w:pPr>
      <w:r>
        <w:rPr>
          <w:rFonts w:ascii="Arial;sans-serif" w:hAnsi="Arial;sans-serif"/>
          <w:b w:val="false"/>
          <w:i/>
          <w:color w:val="000000"/>
          <w:sz w:val="20"/>
        </w:rPr>
        <w:t xml:space="preserve">License Fees. </w:t>
      </w:r>
      <w:r>
        <w:rPr>
          <w:rFonts w:ascii="Arial;sans-serif" w:hAnsi="Arial;sans-serif"/>
          <w:b w:val="false"/>
          <w:color w:val="000000"/>
          <w:sz w:val="20"/>
        </w:rPr>
        <w:t xml:space="preserve">If the license to the Company’s intellectual property is determined to be distinct from the other performance obligations 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w:t>
      </w:r>
    </w:p>
    <w:p>
      <w:pPr>
        <w:pStyle w:val="TextBody"/>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 xml:space="preserve">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w:t>
      </w:r>
    </w:p>
    <w:p>
      <w:pPr>
        <w:pStyle w:val="TextBody"/>
        <w:spacing w:lineRule="auto" w:line="288" w:before="160" w:after="283"/>
        <w:ind w:left="0" w:right="0" w:firstLine="720"/>
        <w:jc w:val="both"/>
        <w:rPr/>
      </w:pPr>
      <w:r>
        <w:rPr>
          <w:rFonts w:ascii="Arial;sans-serif" w:hAnsi="Arial;sans-serif"/>
          <w:b w:val="false"/>
          <w:i/>
          <w:color w:val="000000"/>
          <w:sz w:val="20"/>
        </w:rPr>
        <w:t xml:space="preserve">Product Supply. </w:t>
      </w:r>
      <w:r>
        <w:rPr>
          <w:rFonts w:ascii="Arial;sans-serif" w:hAnsi="Arial;sans-serif"/>
          <w:b w:val="false"/>
          <w:color w:val="000000"/>
          <w:sz w:val="20"/>
        </w:rPr>
        <w:t xml:space="preserve">Arrangements that include a promise for future supply of product for commercial supply at the licensee’s discretion 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not recognized any revenue associated with product supply arrangements. </w:t>
      </w:r>
    </w:p>
    <w:p>
      <w:pPr>
        <w:pStyle w:val="TextBody"/>
        <w:spacing w:before="0" w:after="0"/>
        <w:ind w:left="0" w:right="0" w:firstLine="720"/>
        <w:rPr/>
      </w:pPr>
      <w:r>
        <w:rPr/>
      </w:r>
    </w:p>
    <w:p>
      <w:pPr>
        <w:pStyle w:val="TextBody"/>
        <w:spacing w:lineRule="auto" w:line="288" w:before="0" w:after="0"/>
        <w:ind w:left="0" w:right="0" w:firstLine="720"/>
        <w:jc w:val="both"/>
        <w:rPr/>
      </w:pPr>
      <w:r>
        <w:rPr>
          <w:rFonts w:ascii="Arial;sans-serif" w:hAnsi="Arial;sans-serif"/>
          <w:b w:val="false"/>
          <w:i/>
          <w:color w:val="000000"/>
          <w:sz w:val="20"/>
        </w:rPr>
        <w:t>Milestones.</w:t>
      </w:r>
      <w:r>
        <w:rPr>
          <w:color w:val="000000"/>
        </w:rPr>
        <w:t xml:space="preserve"> </w:t>
      </w:r>
      <w:r>
        <w:rPr>
          <w:rFonts w:ascii="Arial;sans-serif" w:hAnsi="Arial;sans-serif"/>
          <w:b w:val="false"/>
          <w:color w:val="000000"/>
          <w:sz w:val="20"/>
        </w:rPr>
        <w:t>At the inception of each arrangement in which the Company is a licensor and that includes developmental, regulatory or 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To date, the Company has not recognized any milestone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2022, the Company entered into an exclusive license agreement with Organon pursuant to which Organon will obtain exclusive worldwide rights to develop, manufacture and commercialize XACIATO and other future intravaginal or urological products for human use formulated with clindamycin that rely on intellectual property controlled by the Company. The effective date of the agreement will occur following the satisfaction of closing conditions that include receipt of all applicable approvals, or the expiration or termination of all applicable waiting periods, required under applicable antitrust laws, including the Hart-Scott-Rodino Antitrust Improvements Act of 1976, as amended. </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Organon license agreement:</w:t>
      </w:r>
    </w:p>
    <w:p>
      <w:pPr>
        <w:pStyle w:val="TextBody"/>
        <w:spacing w:lineRule="auto" w:line="288" w:before="200" w:after="200"/>
        <w:ind w:left="0" w:right="0" w:firstLine="720"/>
        <w:jc w:val="both"/>
        <w:rPr/>
      </w:pPr>
      <w:r>
        <w:rPr>
          <w:rFonts w:ascii="Arial;sans-serif" w:hAnsi="Arial;sans-serif"/>
          <w:b w:val="false"/>
          <w:i/>
          <w:color w:val="000000"/>
          <w:sz w:val="20"/>
        </w:rPr>
        <w:t>Upfront Payment</w:t>
      </w:r>
      <w:r>
        <w:rPr>
          <w:rFonts w:ascii="Arial;sans-serif" w:hAnsi="Arial;sans-serif"/>
          <w:b w:val="false"/>
          <w:color w:val="000000"/>
          <w:sz w:val="20"/>
        </w:rPr>
        <w:t>. The Company will receive a $10.0 million non-refundable and non-creditable payment following the effective date of the agreement.</w:t>
      </w:r>
    </w:p>
    <w:p>
      <w:pPr>
        <w:pStyle w:val="TextBody"/>
        <w:spacing w:lineRule="auto" w:line="288" w:before="200" w:after="200"/>
        <w:ind w:left="0" w:right="0" w:firstLine="720"/>
        <w:jc w:val="both"/>
        <w:rPr/>
      </w:pPr>
      <w:r>
        <w:rPr>
          <w:rFonts w:ascii="Arial;sans-serif" w:hAnsi="Arial;sans-serif"/>
          <w:b w:val="false"/>
          <w:i/>
          <w:color w:val="000000"/>
          <w:sz w:val="20"/>
        </w:rPr>
        <w:t>Royalty and Milestone Payments.</w:t>
      </w:r>
      <w:r>
        <w:rPr>
          <w:color w:val="000000"/>
        </w:rPr>
        <w:t xml:space="preserve"> </w:t>
      </w:r>
      <w:r>
        <w:rPr>
          <w:rFonts w:ascii="Arial;sans-serif" w:hAnsi="Arial;sans-serif"/>
          <w:b w:val="false"/>
          <w:color w:val="000000"/>
          <w:sz w:val="20"/>
        </w:rPr>
        <w:t xml:space="preserve">The Company will be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 </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pStyle w:val="TextBody"/>
        <w:spacing w:lineRule="auto" w:line="288" w:before="200" w:after="200"/>
        <w:ind w:left="0" w:right="0" w:firstLine="720"/>
        <w:jc w:val="both"/>
        <w:rPr/>
      </w:pPr>
      <w:r>
        <w:rPr>
          <w:rFonts w:ascii="Arial;sans-serif" w:hAnsi="Arial;sans-serif"/>
          <w:b w:val="false"/>
          <w:i/>
          <w:color w:val="000000"/>
          <w:sz w:val="20"/>
        </w:rPr>
        <w:t>Regulatory Interactions and Product Supply.</w:t>
      </w:r>
      <w:r>
        <w:rPr>
          <w:color w:val="000000"/>
        </w:rPr>
        <w:t xml:space="preserve"> </w:t>
      </w:r>
      <w:r>
        <w:rPr>
          <w:rFonts w:ascii="Arial;sans-serif" w:hAnsi="Arial;sans-serif"/>
          <w:b w:val="false"/>
          <w:color w:val="000000"/>
          <w:sz w:val="20"/>
        </w:rPr>
        <w:t xml:space="preserve">The Company will be responsible for regulatory interactions and for providing product supply on an interim basis until Organon assumes such responsibilities. Until such time, Organon will purchase all of its product requirements of XACIATO from the Company at a transfer price equal to the Company's manufacturing costs plus a single-digit percentage markup. </w:t>
      </w:r>
    </w:p>
    <w:p>
      <w:pPr>
        <w:pStyle w:val="TextBody"/>
        <w:spacing w:lineRule="auto" w:line="288" w:before="200" w:after="200"/>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pStyle w:val="TextBody"/>
        <w:spacing w:lineRule="auto" w:line="288" w:before="200" w:after="200"/>
        <w:ind w:left="0" w:right="0" w:firstLine="720"/>
        <w:jc w:val="both"/>
        <w:rPr/>
      </w:pPr>
      <w:r>
        <w:rPr>
          <w:rFonts w:ascii="Arial;sans-serif" w:hAnsi="Arial;sans-serif"/>
          <w:b w:val="false"/>
          <w:i/>
          <w:color w:val="000000"/>
          <w:sz w:val="20"/>
        </w:rPr>
        <w:t>Other</w:t>
      </w:r>
      <w:r>
        <w:rPr>
          <w:rFonts w:ascii="Arial;sans-serif" w:hAnsi="Arial;sans-serif"/>
          <w:b w:val="false"/>
          <w:color w:val="000000"/>
          <w:sz w:val="20"/>
        </w:rPr>
        <w:t>. The terms of the agreement provide Organon exclusive worldwide rights of first negotiation for specified potential future products of the Company.</w:t>
      </w:r>
    </w:p>
    <w:p>
      <w:pPr>
        <w:pStyle w:val="TextBody"/>
        <w:spacing w:lineRule="auto" w:line="417"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Bayer, in its sole discretion, has the right to make the license effective by paying the Company an additional $20.0 million, referred to as the Clinical Trial and Manufacturing Activities Fee. Such license would be exclusive with regard to the commercialization of Ovaprene for human contraception in the U.S. and co-exclusive with the Company with regard to development.</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March 31, 2022, neither of the foregoing had occurred. The $1.0 million payment is recorded as long-term deferred license revenue in the Company's condensed consolidated balance sheet at March 31, 2022 and December 31, 2021.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Bayer license agreement:</w:t>
      </w:r>
    </w:p>
    <w:p>
      <w:pPr>
        <w:pStyle w:val="TextBody"/>
        <w:spacing w:lineRule="auto" w:line="288" w:before="200" w:after="283"/>
        <w:ind w:left="0" w:right="0" w:firstLine="720"/>
        <w:jc w:val="both"/>
        <w:rPr/>
      </w:pPr>
      <w:r>
        <w:rPr>
          <w:rFonts w:ascii="Arial;sans-serif" w:hAnsi="Arial;sans-serif"/>
          <w:b w:val="false"/>
          <w:i/>
          <w:color w:val="000000"/>
          <w:sz w:val="20"/>
        </w:rPr>
        <w:t>Milestone &amp; Royalty Payments</w:t>
      </w:r>
      <w:r>
        <w:rPr>
          <w:rFonts w:ascii="Arial;sans-serif" w:hAnsi="Arial;sans-serif"/>
          <w:b w:val="false"/>
          <w:color w:val="000000"/>
          <w:sz w:val="20"/>
        </w:rPr>
        <w:t>.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spacing w:lineRule="auto" w:line="288" w:before="200" w:after="283"/>
        <w:ind w:left="0" w:right="0" w:firstLine="720"/>
        <w:jc w:val="both"/>
        <w:rPr/>
      </w:pPr>
      <w:r>
        <w:rPr>
          <w:rFonts w:ascii="Arial;sans-serif" w:hAnsi="Arial;sans-serif"/>
          <w:b w:val="false"/>
          <w:i/>
          <w:color w:val="000000"/>
          <w:sz w:val="20"/>
        </w:rPr>
        <w:t>Efforts.</w:t>
      </w:r>
      <w:r>
        <w:rPr>
          <w:color w:val="000000"/>
        </w:rPr>
        <w:t xml:space="preserve"> </w:t>
      </w:r>
      <w:r>
        <w:rPr>
          <w:rFonts w:ascii="Arial;sans-serif" w:hAnsi="Arial;sans-serif"/>
          <w:b w:val="false"/>
          <w:color w:val="000000"/>
          <w:sz w:val="20"/>
        </w:rPr>
        <w:t>The Company is responsible for the pivotal trial for Ovaprene and for its development and regulatory activities and has product supply obligations. After payment of the Clinical Trial and Manufacturing Activities Fee, Bayer will be responsible for the commercialization of Ovaprene for human contraception in the U.S.</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The initial term of the agreement, which is subject to automatic renewal terms, continues until the later of (a) the expiration of 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Clinical Trial and Manufacturing Activities Fee if and when due.</w:t>
      </w:r>
    </w:p>
    <w:p>
      <w:pPr>
        <w:pStyle w:val="TextBody"/>
        <w:spacing w:lineRule="auto" w:line="417"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spacing w:lineRule="auto" w:line="417" w:before="200" w:after="283"/>
        <w:ind w:left="0" w:right="0" w:firstLine="720"/>
        <w:jc w:val="both"/>
        <w:rPr>
          <w:rFonts w:ascii="Arial;sans-serif" w:hAnsi="Arial;sans-serif"/>
          <w:b/>
          <w:color w:val="000000"/>
          <w:sz w:val="20"/>
        </w:rPr>
      </w:pPr>
      <w:r>
        <w:rPr>
          <w:rFonts w:ascii="Arial;sans-serif" w:hAnsi="Arial;sans-serif"/>
          <w:b/>
          <w:color w:val="000000"/>
          <w:sz w:val="20"/>
        </w:rPr>
        <w:t>Hammock/MilanaPharm Assignment and License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Each of the Assignment Agreement and License Amendment was amended in December 2019 and the License Agreement was further amended in September 2021 and March 2022.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License Amendment, as amended:</w:t>
      </w:r>
    </w:p>
    <w:p>
      <w:pPr>
        <w:pStyle w:val="TextBody"/>
        <w:spacing w:lineRule="auto" w:line="288" w:before="120" w:after="283"/>
        <w:ind w:left="0" w:right="0" w:firstLine="720"/>
        <w:jc w:val="both"/>
        <w:rPr/>
      </w:pPr>
      <w:r>
        <w:rPr>
          <w:rFonts w:ascii="Arial;sans-serif" w:hAnsi="Arial;sans-serif"/>
          <w:b w:val="false"/>
          <w:i/>
          <w:color w:val="000000"/>
          <w:sz w:val="20"/>
        </w:rPr>
        <w:t>License Fees.</w:t>
      </w:r>
      <w:r>
        <w:rPr>
          <w:color w:val="000000"/>
        </w:rPr>
        <w:t xml:space="preserve"> </w:t>
      </w:r>
      <w:r>
        <w:rPr>
          <w:rFonts w:ascii="Arial;sans-serif" w:hAnsi="Arial;sans-serif"/>
          <w:b w:val="false"/>
          <w:color w:val="000000"/>
          <w:sz w:val="20"/>
        </w:rPr>
        <w:t>A total of $235,000 in license fees were payable to MilanaPharm, the final installment of which was $110,000 paid in 2020.</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 xml:space="preserve">The Company paid MilanaPharm $300,000 in the aggregate upon achievement of certain clinical and regulatory development milestones, $50,000 of which was paid in 2020 and $250,000 of which was paid in 2021. The Company may also pay MilanaPharm up to $500,000 upon the first commercial sale in the United States of the first licensed product for each vaginal use and urological use, and up to $250,000 upon the first commercial sale in the United States of successive licensed products for vaginal or urological use. In addition, upon achievement of $50.0 million in cumulative worldwide net sales of licensed products, the Company must pay $1.0 million to MilanaPharm. </w:t>
      </w:r>
    </w:p>
    <w:p>
      <w:pPr>
        <w:pStyle w:val="TextBody"/>
        <w:spacing w:lineRule="auto" w:line="288" w:before="120" w:after="283"/>
        <w:ind w:left="0" w:right="0" w:firstLine="720"/>
        <w:jc w:val="both"/>
        <w:rPr/>
      </w:pPr>
      <w:r>
        <w:rPr>
          <w:rFonts w:ascii="Arial;sans-serif" w:hAnsi="Arial;sans-serif"/>
          <w:b w:val="false"/>
          <w:i/>
          <w:color w:val="000000"/>
          <w:sz w:val="20"/>
        </w:rPr>
        <w:t>Foreign Sublicense Income.</w:t>
      </w:r>
      <w:r>
        <w:rPr>
          <w:color w:val="000000"/>
        </w:rPr>
        <w:t xml:space="preserve"> </w:t>
      </w:r>
      <w:r>
        <w:rPr>
          <w:rFonts w:ascii="Arial;sans-serif" w:hAnsi="Arial;sans-serif"/>
          <w:b w:val="false"/>
          <w:color w:val="000000"/>
          <w:sz w:val="20"/>
        </w:rPr>
        <w:t>The Company will pay MilanaPharm a low double-digit percentage of all income received by the Company or its affiliates in connection with any sublicense granted to a third party for use outside of the United States, subject to certain exclusions.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 xml:space="preserve">During the royalty term, the Company will pay MilanaPharm high single-digit to low double-digit royalties 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the Company to exercise the licenses granted to it under the MilanaPharm License Agreement or that are strategically important or could add value to a licensed product or process in a manner expected to materially generate or increase sales. </w:t>
      </w:r>
    </w:p>
    <w:p>
      <w:pPr>
        <w:pStyle w:val="TextBody"/>
        <w:spacing w:lineRule="auto" w:line="288" w:before="120" w:after="283"/>
        <w:ind w:left="0" w:right="0" w:firstLine="720"/>
        <w:jc w:val="both"/>
        <w:rPr/>
      </w:pPr>
      <w:r>
        <w:rPr>
          <w:rFonts w:ascii="Arial;sans-serif" w:hAnsi="Arial;sans-serif"/>
          <w:b w:val="false"/>
          <w:i/>
          <w:color w:val="000000"/>
          <w:sz w:val="20"/>
        </w:rPr>
        <w:t xml:space="preserve">Efforts. </w:t>
      </w:r>
      <w:r>
        <w:rPr>
          <w:rFonts w:ascii="Arial;sans-serif" w:hAnsi="Arial;sans-serif"/>
          <w:b w:val="false"/>
          <w:color w:val="000000"/>
          <w:sz w:val="20"/>
        </w:rPr>
        <w:t>The Company must use commercially reasonable efforts and resources to (1) develop and commercialize at least one 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pStyle w:val="TextBody"/>
        <w:spacing w:lineRule="auto" w:line="288" w:before="120" w:after="283"/>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Unless earlier terminated, the license term continues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Assignment Agreement, as amended:</w:t>
      </w:r>
    </w:p>
    <w:p>
      <w:pPr>
        <w:pStyle w:val="TextBody"/>
        <w:spacing w:lineRule="auto" w:line="288" w:before="120" w:after="283"/>
        <w:ind w:left="0" w:right="0" w:firstLine="720"/>
        <w:jc w:val="both"/>
        <w:rPr/>
      </w:pPr>
      <w:r>
        <w:rPr>
          <w:rFonts w:ascii="Arial;sans-serif" w:hAnsi="Arial;sans-serif"/>
          <w:b w:val="false"/>
          <w:i/>
          <w:color w:val="000000"/>
          <w:sz w:val="20"/>
        </w:rPr>
        <w:t>Assignment; Technology Transfer</w:t>
      </w:r>
      <w:r>
        <w:rPr>
          <w:rFonts w:ascii="Arial;sans-serif" w:hAnsi="Arial;sans-serif"/>
          <w:b w:val="false"/>
          <w:color w:val="000000"/>
          <w:sz w:val="20"/>
        </w:rPr>
        <w:t xml:space="preserve">. 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 </w:t>
      </w:r>
    </w:p>
    <w:p>
      <w:pPr>
        <w:pStyle w:val="TextBody"/>
        <w:spacing w:lineRule="auto" w:line="288" w:before="120" w:after="283"/>
        <w:ind w:left="0" w:right="0" w:firstLine="720"/>
        <w:jc w:val="both"/>
        <w:rPr/>
      </w:pPr>
      <w:r>
        <w:rPr>
          <w:rFonts w:ascii="Arial;sans-serif" w:hAnsi="Arial;sans-serif"/>
          <w:b w:val="false"/>
          <w:i/>
          <w:color w:val="000000"/>
          <w:sz w:val="20"/>
        </w:rPr>
        <w:t>Fees</w:t>
      </w:r>
      <w:r>
        <w:rPr>
          <w:rFonts w:ascii="Arial;sans-serif" w:hAnsi="Arial;sans-serif"/>
          <w:b w:val="false"/>
          <w:color w:val="000000"/>
          <w:sz w:val="20"/>
        </w:rPr>
        <w:t xml:space="preserve">. A total of $512,500 in fees were payable to Hammock, the final installment of which was $137,500 paid in 2020. </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The Company will pay Hammock up to $1.1 million in the aggregate upon achievement of certain clinical and regulatory development milestones, $100,000 of which was paid in 2020 and $750,000 of which was paid in 2021. The remaining milestone does not relate to a bacterial vaginosis product.</w:t>
      </w:r>
    </w:p>
    <w:p>
      <w:pPr>
        <w:pStyle w:val="TextBody"/>
        <w:spacing w:lineRule="auto" w:line="288" w:before="120" w:after="283"/>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The Assignment Agreement will terminate upon the later of (1) completion of the parties' technology transfer plan, and (2) payment to Hammock of the last of the milestone payments.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 xml:space="preserve">ADVA-Tec License Agreement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the Company to seek a PMA from the FDA and will provide the Company with clinical trial and commercial supplies of Ovaprene, either directly or through a CMO, on commercially reasonable terms.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license agreement, in addition to an exclusive license to ADVA-Tec's and its affiliates' intellectual property rights for all uses of Ovaprene as a human contraceptive device, the Company has a right of first refusal to license these patents and patent applications for additional indications.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ADVA-Tec license agreement:</w:t>
      </w:r>
    </w:p>
    <w:p>
      <w:pPr>
        <w:pStyle w:val="TextBody"/>
        <w:spacing w:lineRule="auto" w:line="288" w:before="20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The Company will pay to ADVA-Tec: (1) up to $14.6 million in the aggregate based on the achievement of specified development and regulatory milestones, $200,000 of which was paid in 2021; and (2) up to $20.0 million in the aggregate based on the achievement of certain worldwide net sales milestones. The remaining development and regulatory milestones include: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pStyle w:val="TextBody"/>
        <w:spacing w:lineRule="auto" w:line="288" w:before="20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xml:space="preserve">. After the commercial launch of Ovaprene, the Company will pay to ADVA-Tec royalties based on aggregate annual net sales of Ovaprene in specified regions, at a royalty rate that will vary between 1% and 10% and will increase based on various net sales thresholds. </w:t>
      </w:r>
    </w:p>
    <w:p>
      <w:pPr>
        <w:pStyle w:val="TextBody"/>
        <w:spacing w:lineRule="auto" w:line="288" w:before="200" w:after="283"/>
        <w:ind w:left="0" w:right="0" w:firstLine="720"/>
        <w:jc w:val="both"/>
        <w:rPr/>
      </w:pPr>
      <w:r>
        <w:rPr>
          <w:rFonts w:ascii="Arial;sans-serif" w:hAnsi="Arial;sans-serif"/>
          <w:b w:val="false"/>
          <w:i/>
          <w:color w:val="000000"/>
          <w:sz w:val="20"/>
        </w:rPr>
        <w:t>Term</w:t>
      </w:r>
      <w:r>
        <w:rPr>
          <w:rFonts w:ascii="Arial;sans-serif" w:hAnsi="Arial;sans-serif"/>
          <w:b w:val="false"/>
          <w:color w:val="000000"/>
          <w:sz w:val="20"/>
        </w:rPr>
        <w:t>. Unless earlier terminated, the license the Company received under the agreement continues on a country-by-country basis 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pStyle w:val="TextBody"/>
        <w:spacing w:lineRule="auto" w:line="417" w:before="20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SST license and collaboration agreement:</w:t>
      </w:r>
    </w:p>
    <w:p>
      <w:pPr>
        <w:pStyle w:val="TextBody"/>
        <w:spacing w:lineRule="auto" w:line="288" w:before="120" w:after="283"/>
        <w:ind w:left="0" w:right="0" w:firstLine="720"/>
        <w:jc w:val="both"/>
        <w:rPr/>
      </w:pPr>
      <w:r>
        <w:rPr>
          <w:rFonts w:ascii="Arial;sans-serif" w:hAnsi="Arial;sans-serif"/>
          <w:b w:val="false"/>
          <w:i/>
          <w:color w:val="000000"/>
          <w:sz w:val="20"/>
        </w:rPr>
        <w:t>Invention Ownership.</w:t>
      </w:r>
      <w:r>
        <w:rPr>
          <w:color w:val="000000"/>
        </w:rPr>
        <w:t xml:space="preserve"> </w:t>
      </w:r>
      <w:r>
        <w:rPr>
          <w:rFonts w:ascii="Arial;sans-serif" w:hAnsi="Arial;sans-serif"/>
          <w:b w:val="false"/>
          <w:color w:val="000000"/>
          <w:sz w:val="20"/>
        </w:rPr>
        <w:t>The Company retains rights to inventions made by its employees, SST retains rights to inventions made by its employees, and each party owns a 50% undivided interest in all joint inventions.</w:t>
      </w:r>
    </w:p>
    <w:p>
      <w:pPr>
        <w:pStyle w:val="TextBody"/>
        <w:spacing w:lineRule="auto" w:line="288" w:before="120" w:after="283"/>
        <w:ind w:left="0" w:right="0" w:firstLine="720"/>
        <w:jc w:val="both"/>
        <w:rPr/>
      </w:pPr>
      <w:r>
        <w:rPr>
          <w:rFonts w:ascii="Arial;sans-serif" w:hAnsi="Arial;sans-serif"/>
          <w:b w:val="false"/>
          <w:i/>
          <w:color w:val="000000"/>
          <w:sz w:val="20"/>
        </w:rPr>
        <w:t>Joint Development Committee.</w:t>
      </w:r>
      <w:r>
        <w:rPr>
          <w:color w:val="000000"/>
        </w:rPr>
        <w:t xml:space="preserve"> </w:t>
      </w:r>
      <w:r>
        <w:rPr>
          <w:rFonts w:ascii="Arial;sans-serif" w:hAnsi="Arial;sans-serif"/>
          <w:b w:val="false"/>
          <w:color w:val="000000"/>
          <w:sz w:val="20"/>
        </w:rPr>
        <w:t>The parties will collaborate through a joint development committee that will determine the strategic objectives for, and generally oversee, the development efforts of both parties under the agreement.</w:t>
      </w:r>
    </w:p>
    <w:p>
      <w:pPr>
        <w:pStyle w:val="TextBody"/>
        <w:spacing w:lineRule="auto" w:line="288" w:before="120" w:after="283"/>
        <w:ind w:left="0" w:right="0" w:firstLine="720"/>
        <w:jc w:val="both"/>
        <w:rPr/>
      </w:pPr>
      <w:r>
        <w:rPr>
          <w:rFonts w:ascii="Arial;sans-serif" w:hAnsi="Arial;sans-serif"/>
          <w:b w:val="false"/>
          <w:i/>
          <w:color w:val="000000"/>
          <w:sz w:val="20"/>
        </w:rPr>
        <w:t>Development.</w:t>
      </w:r>
      <w:r>
        <w:rPr>
          <w:color w:val="000000"/>
        </w:rPr>
        <w:t xml:space="preserve"> </w:t>
      </w:r>
      <w:r>
        <w:rPr>
          <w:rFonts w:ascii="Arial;sans-serif" w:hAnsi="Arial;sans-serif"/>
          <w:b w:val="false"/>
          <w:color w:val="000000"/>
          <w:sz w:val="20"/>
        </w:rPr>
        <w:t>The Company must use commercially reasonable efforts to develop the Licensed Products in the Field of Use in 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SST will be eligible to receive tiered royalties based on percentages of annual net sales of Licensed Products in the single digits to the mid double digits, subject to customary royalty reductions and offsets, and a percentage of sublicense revenue.</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SST will be eligible to receive payments (1) ranging from $0.5 million to $18.0 million in the aggregate on 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The Company’s license continues on a country-by-country basis until the later of 10 years from the date of the first commercial 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pStyle w:val="TextBody"/>
        <w:spacing w:lineRule="auto" w:line="288" w:before="200" w:after="283"/>
        <w:ind w:left="0" w:right="0" w:firstLine="720"/>
        <w:jc w:val="both"/>
        <w:rPr/>
      </w:pPr>
      <w:r>
        <w:rPr>
          <w:rFonts w:ascii="Arial;sans-serif" w:hAnsi="Arial;sans-serif"/>
          <w:b w:val="false"/>
          <w:i/>
          <w:color w:val="000000"/>
          <w:sz w:val="20"/>
        </w:rPr>
        <w:t>Termination.</w:t>
      </w:r>
      <w:r>
        <w:rPr>
          <w:color w:val="000000"/>
        </w:rPr>
        <w:t xml:space="preserve"> </w:t>
      </w:r>
      <w:r>
        <w:rPr>
          <w:rFonts w:ascii="Arial;sans-serif" w:hAnsi="Arial;sans-serif"/>
          <w:b w:val="false"/>
          <w:color w:val="000000"/>
          <w:sz w:val="20"/>
        </w:rPr>
        <w:t>In addition to customary termination rights for both parties: (1) prior to receipt of approval by a regulatory authority 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pStyle w:val="TextBody"/>
        <w:spacing w:lineRule="auto" w:line="288" w:before="240" w:after="283"/>
        <w:ind w:left="0" w:right="0" w:firstLine="720"/>
        <w:rPr>
          <w:rFonts w:ascii="Arial;sans-serif" w:hAnsi="Arial;sans-serif"/>
          <w:b/>
          <w:color w:val="000000"/>
          <w:sz w:val="20"/>
        </w:rPr>
      </w:pPr>
      <w:r>
        <w:rPr>
          <w:rFonts w:ascii="Arial;sans-serif" w:hAnsi="Arial;sans-serif"/>
          <w:b/>
          <w:color w:val="000000"/>
          <w:sz w:val="20"/>
        </w:rPr>
        <w:t>Catalent JNP License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pStyle w:val="TextBody"/>
        <w:spacing w:lineRule="auto" w:line="288" w:before="120" w:after="283"/>
        <w:ind w:left="0" w:right="0" w:firstLine="720"/>
        <w:jc w:val="both"/>
        <w:rPr/>
      </w:pPr>
      <w:r>
        <w:rPr>
          <w:rFonts w:ascii="Arial;sans-serif" w:hAnsi="Arial;sans-serif"/>
          <w:b w:val="false"/>
          <w:i/>
          <w:color w:val="000000"/>
          <w:sz w:val="20"/>
        </w:rPr>
        <w:t>Upfront Fee.</w:t>
      </w:r>
      <w:r>
        <w:rPr>
          <w:color w:val="000000"/>
        </w:rPr>
        <w:t xml:space="preserve"> </w:t>
      </w:r>
      <w:r>
        <w:rPr>
          <w:rFonts w:ascii="Arial;sans-serif" w:hAnsi="Arial;sans-serif"/>
          <w:b w:val="false"/>
          <w:color w:val="000000"/>
          <w:sz w:val="20"/>
        </w:rPr>
        <w:t>The Company paid a $250,000 non-creditable upfront license fee to Catalent in connection with the execution of the agreement.</w:t>
      </w:r>
    </w:p>
    <w:p>
      <w:pPr>
        <w:pStyle w:val="TextBody"/>
        <w:spacing w:lineRule="auto" w:line="288" w:before="120" w:after="283"/>
        <w:ind w:left="0" w:right="0" w:firstLine="720"/>
        <w:jc w:val="both"/>
        <w:rPr/>
      </w:pPr>
      <w:r>
        <w:rPr>
          <w:rFonts w:ascii="Arial;sans-serif" w:hAnsi="Arial;sans-serif"/>
          <w:b w:val="false"/>
          <w:i/>
          <w:color w:val="000000"/>
          <w:sz w:val="20"/>
        </w:rPr>
        <w:t>Annual Maintenance Fee.</w:t>
      </w:r>
      <w:r>
        <w:rPr>
          <w:color w:val="000000"/>
        </w:rPr>
        <w:t xml:space="preserve"> </w:t>
      </w:r>
      <w:r>
        <w:rPr>
          <w:rFonts w:ascii="Arial;sans-serif" w:hAnsi="Arial;sans-serif"/>
          <w:b w:val="false"/>
          <w:color w:val="000000"/>
          <w:sz w:val="20"/>
        </w:rPr>
        <w:t>The Company will pay an annual license maintenance fee to Catalent on each anniversary of the date of the agreement, the amount of which will be $50,000 for the first two years and $100,000 thereafter, and which will be creditable against royalties and other payments due to Catalent in the same calendar year but may not be carried forward to any other year. The Company made the first payments in April 2019.</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The Company must make potential future development and sales milestone payments of (1) up to $13.5 million in the aggregate upon achieving certain clinical and regulatory milestones, $1.0 million of which became payable in the third quarter of 2021, and in accordance with the license agreement, the amount payable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pStyle w:val="TextBody"/>
        <w:spacing w:lineRule="auto" w:line="288" w:before="20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During the royalty term, the Company will pay Catalent mid-single-digit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pStyle w:val="TextBody"/>
        <w:spacing w:lineRule="auto" w:line="288" w:before="200" w:after="283"/>
        <w:ind w:left="0" w:right="0" w:firstLine="720"/>
        <w:jc w:val="both"/>
        <w:rPr/>
      </w:pPr>
      <w:r>
        <w:rPr>
          <w:rFonts w:ascii="Arial;sans-serif" w:hAnsi="Arial;sans-serif"/>
          <w:b w:val="false"/>
          <w:i/>
          <w:color w:val="000000"/>
          <w:sz w:val="20"/>
        </w:rPr>
        <w:t xml:space="preserve">Efforts. </w:t>
      </w:r>
      <w:r>
        <w:rPr>
          <w:rFonts w:ascii="Arial;sans-serif" w:hAnsi="Arial;sans-serif"/>
          <w:b w:val="false"/>
          <w:color w:val="000000"/>
          <w:sz w:val="20"/>
        </w:rPr>
        <w:t>The Company must use commercially reasonable efforts to develop and make at least one product or process available to the public, which efforts include achieving specific diligence requirements by specific dates specified in the agreement.</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Unless earlier terminated, the term of the agreement will continue on a country-by-country basis until the later of (1) the 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pStyle w:val="TextBody"/>
        <w:spacing w:lineRule="auto" w:line="288" w:before="240" w:after="283"/>
        <w:ind w:left="0" w:right="0" w:firstLine="720"/>
        <w:rPr>
          <w:rFonts w:ascii="Arial;sans-serif" w:hAnsi="Arial;sans-serif"/>
          <w:b/>
          <w:color w:val="000000"/>
          <w:sz w:val="20"/>
        </w:rPr>
      </w:pPr>
      <w:r>
        <w:rPr>
          <w:rFonts w:ascii="Arial;sans-serif" w:hAnsi="Arial;sans-serif"/>
          <w:b/>
          <w:color w:val="000000"/>
          <w:sz w:val="20"/>
        </w:rPr>
        <w:t>Adare Development and Option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 Solutions (formerly known as Adare Pharmaceuticals and Orbis Biosciences, and which the Company refers to as Adare), for the development of long-acting injectable etonogestrel contraceptive with 6- and 12-month durations (now known as ADARE-204 and ADARE-214, respectively). The agreement provides the Company with an option to negotiate an exclusive license agreement for the programs if the Company funds the conduct of specified development work by Adare.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(formerly, Microchips Biotech, Inc.), or MBI, to secure the rights to develop a long-acting reversible contraception method that a woman can turn on or off herself, according to her own needs. This candidate is now known as DARE-LARC1.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the closing of the acquisition, the Company issued an aggregate of approximately 3.0 million shares of its common stock to the holders of shares of MBI's capital stock outstanding immediately prior to the effective time of the merger. The transaction was valued at $2.4 million, based on the fair value of the approximately 3.0 million shares issued at $0.79 per share, which was the closing price per share of the Company's common stock on the date of closing. The shares were issued in exchange for MBI’s cash and cash equivalents of $6.1 million, less net liabilities of $3.5 million and transaction costs of $202,000, which was allocated based on the relative fair value of the assets acquired and the liabilities assumed.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also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In June 2021, a total of $1.25 million of that potential additional consideration became payable upon the achievement of certain of the funding and product development milestone events, $1.0 million of which was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in cash to the stockholders’ representative in accordance with the terms of the merger agreement in satisfaction of the $1.25 million in milestone payments associated with milestones achieved in June 2021. See Note 7.</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The Company must make contingent payments to certain Pear Tree licensors and former stockholders of Pear Tree that become payable upon achievement of specified clinical, regulatory and commercial milestones, which may be paid, in the Company’s sole discretion, in cash or shares of the Company’s common stock.</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xml:space="preserve">. Subject to royalty reductions and offsets, (a) the former stockholders of Pear Tree will be eligible to receive tiered royalties based on percentages of net sales of certain products and a percentage of sublicense revenue and (b) certain Pear Tree licensors will be eligible to receive royalties based on percentages of net sales of certain products and a percentage of sublicense revenue.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October 2021 ATM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2021, the Company entered into a sales agreement with SVB Leerink LLC to sell shares of its common stock from time to time through an "at-the-market," or ATM, equity offering program under which SVB Leerink acts as the Company's agent. The Company agreed to pay a commission equal to 3%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this sales agreement, and any subsequent prospectus supplement filed with the SEC related to this ATM equity offering program.</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2022, the Company sold no shares under this agreement.</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April 2021 ATM Sales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2021, the Company entered into a sales agreement with SVB Leerink LLC to sell shares of its common stock from time to time through an ATM, equity offering program under which SVB Leerink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2022, the Company sold no shares under this agreement.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2018 ATM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2018 the Company entered into a common stock sales agreement with H.C. Wainwright &amp; Co., LLC, or Wainwright, relating to the offering and sale of shares of its common stock from time to time in an ATM equity offering program through Wainwright, acting as sales agent. Under the agreement, Wainwright was entitled to a commission at a fixed commission rate equal to 3.0% of the gross proceeds per share sold under the agreement. In March 2021, the Company provided notice to Wainwright to terminate the agreement, and the agreement terminated in April 2021.</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Equity Line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 The Company incurred legal, accounting, and other fees related to the Purchase Agreement of approximately $374,000. These costs were amortized and expensed as shares were sold under the Purchase Agreement. As of December 31, 2021, the Company had sold and Lincoln Park had purchased $15.0 million of the Company's common stock under the Purchase Agreement, there were no unamortized costs, and no more shares of common stock may be sold by the Company to Lincoln Park under the Purchase Agreement.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spacing w:lineRule="auto" w:line="288" w:before="120" w:after="283"/>
        <w:ind w:left="0" w:right="0" w:firstLine="720"/>
        <w:jc w:val="both"/>
        <w:rPr/>
      </w:pPr>
      <w:r>
        <w:rPr>
          <w:rFonts w:ascii="Arial;sans-serif" w:hAnsi="Arial;sans-serif"/>
          <w:b w:val="false"/>
          <w:color w:val="000000"/>
          <w:sz w:val="20"/>
        </w:rPr>
        <w:t>In February 2018, the Company closed an underwritten public offering in connection with which the Company issued to the investors in that offering warrants exercisable through February 2023 and that initially had an exercise price of $3.00 per share.</w:t>
      </w:r>
      <w:r>
        <w:rPr>
          <w:color w:val="000000"/>
        </w:rPr>
        <w:t xml:space="preserve"> </w:t>
      </w:r>
      <w:r>
        <w:rPr>
          <w:rFonts w:ascii="Arial;sans-serif" w:hAnsi="Arial;sans-serif"/>
          <w:b w:val="false"/>
          <w:color w:val="000000"/>
          <w:sz w:val="20"/>
        </w:rPr>
        <w:t xml:space="preserve">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was recorded in equity as of the grant date. The Company early adopted ASU 2017-11 as of January 1, 2018 and recorded the fair value of the warrants as equity.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2022, no warrants were exercised. During the three months ended March 31, 2021, warrants to purchase 52,500 shares of common stock were exercised for gross proceeds of $50,000. As of March 31, 2022, the Company had the following warrants outstanding:</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tbl>
      <w:tblPr>
        <w:tblW w:w="5093" w:type="dxa"/>
        <w:jc w:val="center"/>
        <w:tblInd w:w="0" w:type="dxa"/>
        <w:tblCellMar>
          <w:top w:w="28" w:type="dxa"/>
          <w:left w:w="28" w:type="dxa"/>
          <w:bottom w:w="28" w:type="dxa"/>
          <w:right w:w="28" w:type="dxa"/>
        </w:tblCellMar>
      </w:tblPr>
      <w:tblGrid>
        <w:gridCol w:w="679"/>
        <w:gridCol w:w="596"/>
        <w:gridCol w:w="599"/>
        <w:gridCol w:w="109"/>
        <w:gridCol w:w="109"/>
        <w:gridCol w:w="109"/>
        <w:gridCol w:w="199"/>
        <w:gridCol w:w="199"/>
        <w:gridCol w:w="199"/>
        <w:gridCol w:w="199"/>
        <w:gridCol w:w="199"/>
        <w:gridCol w:w="205"/>
        <w:gridCol w:w="109"/>
        <w:gridCol w:w="109"/>
        <w:gridCol w:w="109"/>
        <w:gridCol w:w="399"/>
        <w:gridCol w:w="399"/>
        <w:gridCol w:w="567"/>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 Underlying</w:t>
              <w:br/>
              <w:t>Outstanding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04/04/2026</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1,374,515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02/15/2023</w:t>
            </w:r>
          </w:p>
        </w:tc>
      </w:tr>
      <w:tr>
        <w:trPr/>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1,381,015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There was no stock-based compensation related to the ESPP for the three months ended March 31, 2022 or March 31, 2021.</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maintains the Amended and Restated 2014 Stock Incentive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2022, the number of authorized shares increased by 2,000,000 to 2,201,855.</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Amended 2014 Plan and related information for the three months ended March 31, 2022. The exercise price of all options granted during the three months ended March 31, 2022 was equal to the market value of the Company’s common stock on the date of grant. As of March 31, 2022, unamortized stock-based compensation expense of approximately $5.3 million will be amortized over a weighted average period of 2.98 years. At March 31, 2022, 642,175 shares of common stock were available for future awards granted under the Amended 2014 Plan.</w:t>
      </w:r>
    </w:p>
    <w:tbl>
      <w:tblPr>
        <w:tblW w:w="6598" w:type="dxa"/>
        <w:jc w:val="center"/>
        <w:tblInd w:w="0" w:type="dxa"/>
        <w:tblCellMar>
          <w:top w:w="28" w:type="dxa"/>
          <w:left w:w="28" w:type="dxa"/>
          <w:bottom w:w="28" w:type="dxa"/>
          <w:right w:w="28" w:type="dxa"/>
        </w:tblCellMar>
      </w:tblPr>
      <w:tblGrid>
        <w:gridCol w:w="1140"/>
        <w:gridCol w:w="1003"/>
        <w:gridCol w:w="1006"/>
        <w:gridCol w:w="510"/>
        <w:gridCol w:w="511"/>
        <w:gridCol w:w="511"/>
        <w:gridCol w:w="109"/>
        <w:gridCol w:w="109"/>
        <w:gridCol w:w="109"/>
        <w:gridCol w:w="370"/>
        <w:gridCol w:w="950"/>
        <w:gridCol w:w="270"/>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4,717,602 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1,759,692 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(200,012)</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6,277,282 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2022</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2,597,775 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rPr>
          <w:rFonts w:ascii="Arial;sans-serif" w:hAnsi="Arial;sans-serif"/>
          <w:b/>
          <w:i/>
          <w:color w:val="000000"/>
          <w:sz w:val="20"/>
        </w:rPr>
      </w:pPr>
      <w:r>
        <w:rPr>
          <w:rFonts w:ascii="Arial;sans-serif" w:hAnsi="Arial;sans-serif"/>
          <w:b/>
          <w:i/>
          <w:color w:val="000000"/>
          <w:sz w:val="20"/>
        </w:rPr>
        <w:t>Compensation Expense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is as follows:</w:t>
      </w:r>
    </w:p>
    <w:tbl>
      <w:tblPr>
        <w:tblW w:w="5650" w:type="dxa"/>
        <w:jc w:val="center"/>
        <w:tblInd w:w="0" w:type="dxa"/>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40" w:after="283"/>
        <w:ind w:left="0" w:right="0" w:firstLine="720"/>
        <w:rPr>
          <w:rFonts w:ascii="Arial;sans-serif" w:hAnsi="Arial;sans-serif"/>
          <w:b w:val="false"/>
          <w:color w:val="000000"/>
          <w:sz w:val="20"/>
        </w:rPr>
      </w:pPr>
      <w:r>
        <w:rPr>
          <w:rFonts w:ascii="Arial;sans-serif" w:hAnsi="Arial;sans-serif"/>
          <w:b w:val="false"/>
          <w:color w:val="000000"/>
          <w:sz w:val="20"/>
        </w:rPr>
        <w:t>The assumptions used in the Black-Scholes option-pricing model for stock options granted to employees and to directors in respect of board services during the three months ended March 31, 2022 are as follows:</w:t>
      </w:r>
    </w:p>
    <w:tbl>
      <w:tblPr>
        <w:tblW w:w="6499" w:type="dxa"/>
        <w:jc w:val="center"/>
        <w:tblInd w:w="0" w:type="dxa"/>
        <w:tblCellMar>
          <w:top w:w="28" w:type="dxa"/>
          <w:left w:w="28" w:type="dxa"/>
          <w:bottom w:w="28" w:type="dxa"/>
          <w:right w:w="28" w:type="dxa"/>
        </w:tblCellMar>
      </w:tblPr>
      <w:tblGrid>
        <w:gridCol w:w="1503"/>
        <w:gridCol w:w="1321"/>
        <w:gridCol w:w="1331"/>
        <w:gridCol w:w="109"/>
        <w:gridCol w:w="109"/>
        <w:gridCol w:w="109"/>
        <w:gridCol w:w="584"/>
        <w:gridCol w:w="584"/>
        <w:gridCol w:w="586"/>
        <w:gridCol w:w="109"/>
        <w:gridCol w:w="154"/>
      </w:tblGrid>
      <w:tr>
        <w:trPr/>
        <w:tc>
          <w:tcPr>
            <w:tcW w:w="1503"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Forfeiture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of options granted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for two years such that the term now expires on August 31, 2024.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MBI, a wholly owned subsidiary the Company acquired in November 2019, leases general office space in Lexington, Massachusetts and warehouse space in Billerica, Massachusetts. The Lexington lease commenced on July 1, 2013. In February 2022, the Company entered into an amendment to extend the term of the lease for three years such that the term now expires on December 31, 2025, subject to the landlord's right to terminate the lease on December 31, 2023. The Billerica lease commenced on October 1, 2016 and terminated on March 31, 2022. </w:t>
      </w:r>
    </w:p>
    <w:p>
      <w:pPr>
        <w:pStyle w:val="TextBody"/>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At March 31, 2022, the Company reported operating lease ROU assets of approximately $1.2 million in other non-current assets, and approximately $294,000 and $913,000, respectively, in current portion of lease liabilities and lease liabilities long-term on the condensed consolidated balance sheet.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Total operating lease costs were approximately $169,000 and $135,000 for the three months ended March 31, 2022 and March 31, 2021, respectively. Operating lease costs consist of monthly lease payments expense, common area maintenance and other repair and maintenance costs and are included in general and administrative expenses in the condensed consolidated statements of operations.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 was approximately $123,000 and $112,000 for the three months ended March 31, 2022 and March 31, 2021, respectively. These amounts are included in operating activities in the condensed consolidated statements of cash flows. Further, at March 31, 2022, operating leases had a weighted average remaining lease term of 3.13 years.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2022, future minimum lease payments under the Company's operating leases are as follows:</w:t>
      </w:r>
    </w:p>
    <w:tbl>
      <w:tblPr>
        <w:tblW w:w="5031" w:type="dxa"/>
        <w:jc w:val="center"/>
        <w:tblInd w:w="0" w:type="dxa"/>
        <w:tblCellMar>
          <w:top w:w="28" w:type="dxa"/>
          <w:left w:w="28" w:type="dxa"/>
          <w:bottom w:w="28" w:type="dxa"/>
          <w:right w:w="28" w:type="dxa"/>
        </w:tblCellMar>
      </w:tblPr>
      <w:tblGrid>
        <w:gridCol w:w="1321"/>
        <w:gridCol w:w="1159"/>
        <w:gridCol w:w="1165"/>
        <w:gridCol w:w="211"/>
        <w:gridCol w:w="1021"/>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future minimum lease payments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accreted interest</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1,208,000 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7.    COMMITMENTS AND CONTINGENCIES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CRADA with NICHD for the Pivotal Phase 3 Study of 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 contractor Health Decisions Inc., a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will be responsible for the other costs related to the conduct of the Ovaprene Phase 3. In accordance with the payment schedule under the CRADA, the Company has made aggregate payments of $5.0 million of the total amount payable to NICHD, $3.5 million of which was paid during the first quarter of 2022. At March 31, 2022, the remaining amount of the Company's payment obligation under the CRADA was $0.5 million.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Contingent Consideration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in Note 3 above, in connection with the acquisition of MBI, the Company agreed to pay additional consideration of up to $46.5 million to the former stockholders of MBI contingent upon the achievement of specified funding, product development and regulatory milestones. In June 2021, $1.25 million of that potential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to the stockholders’ representative in accordance with the terms of the merger agreement in satisfaction of the $1.25 million in milestone payments associated with milestones achieved in June 2021.</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240" w:after="283"/>
        <w:rPr/>
      </w:pPr>
      <w:r>
        <w:rPr>
          <w:rFonts w:ascii="Arial;sans-serif" w:hAnsi="Arial;sans-serif"/>
          <w:b/>
          <w:i/>
          <w:color w:val="000000"/>
          <w:sz w:val="20"/>
        </w:rPr>
        <w:t>Note</w:t>
      </w:r>
      <w:r>
        <w:rPr>
          <w:color w:val="000000"/>
          <w:highlight w:val="white"/>
        </w:rPr>
        <w:t xml:space="preserve"> </w:t>
      </w:r>
      <w:r>
        <w:rPr>
          <w:rFonts w:ascii="Arial;sans-serif" w:hAnsi="Arial;sans-serif"/>
          <w:b/>
          <w:i/>
          <w:color w:val="000000"/>
          <w:sz w:val="20"/>
          <w:highlight w:val="white"/>
        </w:rPr>
        <w:t>Payable</w:t>
      </w:r>
    </w:p>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8.    GRANT AWARDS</w:t>
      </w:r>
    </w:p>
    <w:p>
      <w:pPr>
        <w:pStyle w:val="TextBody"/>
        <w:spacing w:lineRule="auto" w:line="288" w:before="360" w:after="283"/>
        <w:jc w:val="both"/>
        <w:rPr>
          <w:rFonts w:ascii="Arial;sans-serif" w:hAnsi="Arial;sans-serif"/>
          <w:b/>
          <w:i/>
          <w:color w:val="000000"/>
          <w:sz w:val="20"/>
        </w:rPr>
      </w:pPr>
      <w:r>
        <w:rPr>
          <w:rFonts w:ascii="Arial;sans-serif" w:hAnsi="Arial;sans-serif"/>
          <w:b/>
          <w:i/>
          <w:color w:val="000000"/>
          <w:sz w:val="20"/>
        </w:rPr>
        <w:t>NICHD Non-Dilutive Grant Funding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NICHD to support the development of Ovaprene, DARE-PTB1 and DARE-LARC1.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2018 through 2021, the Company received approximately $1.9 million of non-dilutive grant funding from NICHD for clinical development efforts supporting Ovaprene. All funds under the final notice of award had been disbursed as of December 31, 2021.</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2020, the Company received a notice of award of a grant from NICHD to support the development of DARE-PTB1. The award in the amount of $300,000 was for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for costs related to the NICHD award of approximately $17,000 during the three months ended March 31, 2022. At March 31, 2022, the Company recorded a receivable of approximately $19,000 for expenses incurred through such date that it believes are eligible for reimbursement under the grant.</w:t>
      </w:r>
    </w:p>
    <w:p>
      <w:pPr>
        <w:pStyle w:val="TextBody"/>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DARE-LARC1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September 2021, the Company received a notice of award of a grant from NICHD to support the development of DARE-LARC1. The award in the amount of approximately $300,000 is to be used to explore device insertion and removal in non-clinical studies, which is to occur during the period of September 2021 through August 2022.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recorded credits to research and development expense of approximately $165,000 for costs related to the NICHD award during the three months ended March 31, 2022. At March 31, 2022, the Company recorded a receivable of approximately $173,000 for expenses incurred through such date that it believes is eligible for reimbursement under the grant.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DARE-LARC1 Non-Dilutive Grant Funding</w:t>
      </w:r>
    </w:p>
    <w:p>
      <w:pPr>
        <w:pStyle w:val="TextBody"/>
        <w:spacing w:lineRule="auto" w:line="288" w:before="240" w:after="283"/>
        <w:ind w:left="0" w:right="0" w:firstLine="720"/>
        <w:rPr>
          <w:rFonts w:ascii="Arial;sans-serif" w:hAnsi="Arial;sans-serif"/>
          <w:b/>
          <w:color w:val="000000"/>
          <w:sz w:val="20"/>
        </w:rPr>
      </w:pPr>
      <w:r>
        <w:rPr>
          <w:rFonts w:ascii="Arial;sans-serif" w:hAnsi="Arial;sans-serif"/>
          <w:b/>
          <w:color w:val="000000"/>
          <w:sz w:val="20"/>
        </w:rPr>
        <w:t xml:space="preserve">MBI Grant Agreement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wholly-owned subsidiary, MBI, was awarded $5.4 million to support the development of DARE-LARC1 under a grant agreement with the Bill &amp; Melinda Gates Foundation, or the Foundation. The funding period under this agreement ended on June 30, 2021. Expenses eligible for funding were incurred, tracked and reported to the Foundation. MBI received aggregate payments under this agreement of approximately $5.4 million. At June 30, 2021, all payments under this agreement associated with research and development expenses for DARE-LARC1 had been incurred and reported to the Foundation.</w:t>
      </w:r>
    </w:p>
    <w:p>
      <w:pPr>
        <w:pStyle w:val="TextBody"/>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The Company received an initial payment of $11.45 million in July 2021. Additional payments are contingent upon the DARE-LARC1 program’s achievement of specified development and reporting milestones. At March 31, 2022, approximately $9.7 million of deferred grant funding liability under this agreement was recorded in the Company's condensed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NET LOSS PER SHARE</w:t>
      </w:r>
    </w:p>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net loss per common share for the period indicated because of their anti-dilutive effect:</w:t>
      </w:r>
    </w:p>
    <w:tbl>
      <w:tblPr>
        <w:tblW w:w="6644" w:type="dxa"/>
        <w:jc w:val="center"/>
        <w:tblInd w:w="0" w:type="dxa"/>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154"/>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6,277,282 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4,311,291 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1,856,143 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7,658,297 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6,167,434 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10.    SUBSEQUENT EVENTS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Sales of Common Stock</w:t>
      </w:r>
    </w:p>
    <w:p>
      <w:pPr>
        <w:pStyle w:val="TextBody"/>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Between April 1, 2022 and May 10, 2022, the Company sold an aggregate of approximately 751,000 shares of common stock for net proceeds of approximately $1.2 million under its ATM equity offering program. </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Commencement of Phase 1/2 Clinical Study of DARE-HRT1</w:t>
      </w:r>
    </w:p>
    <w:p>
      <w:pPr>
        <w:pStyle w:val="TextBody"/>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2022, the Company announced commencement of its Phase 1/2 clinical study of DARE-HRT1. The open-label study will evaluate the pharmacokinetics (PK) of two versions of DARE-HRT1 in approximately 20 healthy, post-menopausal women over approximately three consecutive months of use. The study will also collect safety, usability, acceptability and symptom-relief data. The study is being conducted by the Company's wholly owned subsidiary in Australia.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2021 included in our Annual Report on Form 10-K for the year ended December 31, 2021, or our 2021 10-K, filed with the Securities and Exchange Commission, or SEC, on March 31, 2022. Past operating results are not necessarily indicative of results that may occur in future periods.</w:t>
      </w:r>
    </w:p>
    <w:p>
      <w:pPr>
        <w:pStyle w:val="TextBody"/>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2021 10-K, and in our subsequent filings with the SEC, including any discussed in Part II, Item 1A of this report under the heading “Risk Factors,” which are incorporated herein by reference.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XACIATO™ is a trademark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exclusive global license agreement with an affiliate of Organon &amp; Co., Organon International GmbH, or Organon, to commercialize XACIATO. XACIATO is expected to be available commercially in the United States in the fourth quarter of 2022.</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pipeline includes diverse programs that target unmet needs in women's health in the areas of contraception, fertility and vaginal and sexual health and aim to expand treatment options, enhance outcomes and improve ease of use for women. We are primarily focused on progressing the development of our existing product candidates. We are also exploring opportunities to expand our portfolio by leveraging assets to which we hold rights or obtaining rights to new assets, with continued focus solely on women's health. Our current portfolio includes two product candidates in advanced clinical development:</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Ovaprene</w:t>
      </w:r>
      <w:r>
        <w:rPr>
          <w:rFonts w:ascii="Arial;sans-serif" w:hAnsi="Arial;sans-serif"/>
          <w:b w:val="false"/>
          <w:color w:val="000000"/>
          <w:sz w:val="20"/>
        </w:rPr>
        <w:t>, a hormone-free, monthly contraceptive; and</w:t>
      </w:r>
    </w:p>
    <w:p>
      <w:pPr>
        <w:pStyle w:val="TextBody"/>
        <w:spacing w:lineRule="auto" w:line="288" w:before="0" w:after="120"/>
        <w:ind w:left="0" w:right="0" w:hanging="360"/>
        <w:jc w:val="both"/>
        <w:rPr/>
      </w:pPr>
      <w:r>
        <w:rPr>
          <w:color w:val="000000"/>
        </w:rPr>
        <w:t>•</w:t>
      </w:r>
      <w:r>
        <w:rPr>
          <w:rFonts w:ascii="Arial;sans-serif" w:hAnsi="Arial;sans-serif"/>
          <w:b/>
          <w:color w:val="000000"/>
          <w:sz w:val="20"/>
        </w:rPr>
        <w:t>Sildenafil Cream, 3.6%</w:t>
      </w:r>
      <w:r>
        <w:rPr>
          <w:rFonts w:ascii="Arial;sans-serif" w:hAnsi="Arial;sans-serif"/>
          <w:b w:val="false"/>
          <w:color w:val="000000"/>
          <w:sz w:val="20"/>
        </w:rPr>
        <w:t>, a proprietary cream formulation of sildenafil for topical administration to the vulva and vagina for treatment of female sexual arousal disorder, or FSAD.</w:t>
      </w:r>
    </w:p>
    <w:p>
      <w:pPr>
        <w:pStyle w:val="TextBody"/>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Our portfolio also includes four product candidates in Phase 1 clinical development or that we believe are Phase 1-ready:</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DARE-HRT1</w:t>
      </w:r>
      <w:r>
        <w:rPr>
          <w:rFonts w:ascii="Arial;sans-serif" w:hAnsi="Arial;sans-serif"/>
          <w:b w:val="false"/>
          <w:color w:val="000000"/>
          <w:sz w:val="20"/>
        </w:rPr>
        <w:t>, a combination bio-identical estradiol and progesterone intravaginal ring, or IVR, for the treatment of menopausal symptoms, including vasomotor symptoms, as part of hormone therapy following menopause;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DARE-VVA1</w:t>
      </w:r>
      <w:r>
        <w:rPr>
          <w:rFonts w:ascii="Arial;sans-serif" w:hAnsi="Arial;sans-serif"/>
          <w:b w:val="false"/>
          <w:color w:val="000000"/>
          <w:sz w:val="20"/>
        </w:rPr>
        <w:t>, a vaginally delivered formulation of tamoxifen to treat vulvar vaginal atrophy as an option for women with hormone-receptor positive breast cancer;</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DARE-FRT1</w:t>
      </w:r>
      <w:r>
        <w:rPr>
          <w:rFonts w:ascii="Arial;sans-serif" w:hAnsi="Arial;sans-serif"/>
          <w:b w:val="false"/>
          <w:color w:val="000000"/>
          <w:sz w:val="20"/>
        </w:rPr>
        <w:t>, an intravaginal ring containing bio-identical progesterone for broader luteal phase support as part of an in vitro fertilization treatment plan; and</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DARE-PTB1</w:t>
      </w:r>
      <w:r>
        <w:rPr>
          <w:rFonts w:ascii="Arial;sans-serif" w:hAnsi="Arial;sans-serif"/>
          <w:b w:val="false"/>
          <w:color w:val="000000"/>
          <w:sz w:val="20"/>
        </w:rPr>
        <w:t>, an intravaginal ring containing bio-identical progesterone for the prevention of preterm birth.</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portfolio includes these pre-clinical stage potential product candidates:</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delivering levonorgestrel with a woman-centered design that has the potential to be a long-acting, yet convenient and user-controlled contraceptive option;</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ADARE-204 and ADARE-214</w:t>
      </w:r>
      <w:r>
        <w:rPr>
          <w:rFonts w:ascii="Arial;sans-serif" w:hAnsi="Arial;sans-serif"/>
          <w:b w:val="false"/>
          <w:color w:val="000000"/>
          <w:sz w:val="20"/>
        </w:rPr>
        <w:t>, injectable formulations of etonogestrel designed to provide contraception over 6-month and 12-month periods, respectively;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non-hormonal contraception for both men and women by targeting the CatSper ion channel.</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have consisted of research and development activities to advance our portfolio of product candidates through clinical development and regulatory approval. We expect our research and development expenses will continue to represent the majority of our operating expenses for at least the next twelve months. For the remainder of 2022, we expect to continue to focus our resources on advancement of Ovaprene and Sildenafil Cream, 3.6%, and our other product candidates that have reached the human clinical study development phase.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pStyle w:val="TextBody"/>
        <w:spacing w:lineRule="auto" w:line="288" w:before="120" w:after="283"/>
        <w:ind w:left="0" w:right="0" w:firstLine="720"/>
        <w:jc w:val="both"/>
        <w:rPr/>
      </w:pPr>
      <w:r>
        <w:rPr>
          <w:rFonts w:ascii="Arial;sans-serif" w:hAnsi="Arial;sans-serif"/>
          <w:b w:val="false"/>
          <w:color w:val="000000"/>
          <w:sz w:val="20"/>
        </w:rPr>
        <w:t>To date, we have not generated any revenue</w:t>
      </w:r>
      <w:r>
        <w:rPr>
          <w:rFonts w:ascii="Arial;sans-serif" w:hAnsi="Arial;sans-serif"/>
          <w:b/>
          <w:color w:val="000000"/>
          <w:sz w:val="20"/>
        </w:rPr>
        <w:t xml:space="preserve">. </w:t>
      </w:r>
      <w:r>
        <w:rPr>
          <w:rFonts w:ascii="Arial;sans-serif" w:hAnsi="Arial;sans-serif"/>
          <w:b w:val="false"/>
          <w:color w:val="000000"/>
          <w:sz w:val="20"/>
        </w:rPr>
        <w:t>We are subject to several risks common to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success of third parties in the marketing, sale and distribution of our products, competition from substitute products and larger companies, compliance with government regulations, protection of proprietary technology, and product liability.</w:t>
      </w:r>
    </w:p>
    <w:p>
      <w:pPr>
        <w:pStyle w:val="TextBody"/>
        <w:spacing w:lineRule="auto" w:line="288" w:before="120" w:after="283"/>
        <w:ind w:left="0" w:right="0" w:firstLine="720"/>
        <w:jc w:val="both"/>
        <w:rPr/>
      </w:pPr>
      <w:r>
        <w:rPr>
          <w:rFonts w:ascii="Arial;sans-serif" w:hAnsi="Arial;sans-serif"/>
          <w:b w:val="false"/>
          <w:color w:val="000000"/>
          <w:sz w:val="20"/>
        </w:rPr>
        <w:t xml:space="preserve">The COVID-19 pandemic remains an evolving and uncertain risk to our business, operating results, financial condition and stock price. To date, we believe the pandemic contributed to a slower than expected initial pace of enrollment in our Phase 2b clinical study of Sildenafil Cream, 3.6% and delays in commencement of clinical studies and nonclinical testing for more than one of our earlier stage clinical programs, but has not had a material adverse effect on our business as a whole.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our 2021 10-K titled, </w:t>
      </w:r>
      <w:r>
        <w:rPr>
          <w:rFonts w:ascii="Arial;sans-serif" w:hAnsi="Arial;sans-serif"/>
          <w:b w:val="false"/>
          <w:i/>
          <w:color w:val="000000"/>
          <w:sz w:val="20"/>
        </w:rPr>
        <w:t>The COVID-19 pandemic has negatively impacted our business and, in the future, may materially and adversely affect our business, financial condition and results and stock price, including by increasing the cost and timelines for our clinical development programs.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XACIATO</w:t>
      </w:r>
    </w:p>
    <w:p>
      <w:pPr>
        <w:pStyle w:val="TextBody"/>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In March 2022, we entered into an exclusive license agreement with Organon pursuant to which Organon will obtain exclusive worldwide rights to develop, manufacture and commercialize XACIATO. The effective date of the agreement will occur following the satisfaction of closing conditions that include receipt of all applicable approvals, or the expiration or termination of all applicable waiting periods, required under applicable antitrust laws, including the Hart-Scott-Rodino Antitrust Improvements Act of 1976, as amended. We will receive a $10.0 million non-refundable and non-creditable payment from Organon following the effective date of the agreement, which is expected to occur in the second quarter of 2022, and we are entitled to receive a $2.5 million milestone payment following the first commercial sale of a licensed product in the United States. XACIATO is expected to be available commercially in the U.S. in the fourth quarter of 2022. We will also be eligible to receive future potential milestone payments of up to $180.0 million and tiered double-digit royalties based on net sales.</w:t>
      </w:r>
    </w:p>
    <w:p>
      <w:pPr>
        <w:pStyle w:val="TextBody"/>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agreement, we will be responsible for regulatory interactions and for providing product supply on an interim basis until Organon assumes such responsibilities. Until such time, Organon will purchase all of its product requirements of XACIATO from us at a transfer price equal to our manufacturing costs plus a single-digit percentage markup. We will fulfill our commercial supply obligations through the contract manufacturer that provided clinical supplies of XACIATO for our pivotal Phase 3 DARE-BVFREE clinical study of XACIATO. We will not be responsible for other costs of commercializing XACIATO. </w:t>
      </w:r>
    </w:p>
    <w:p>
      <w:pPr>
        <w:pStyle w:val="TextBody"/>
        <w:spacing w:lineRule="auto" w:line="268" w:before="0" w:after="0"/>
        <w:rPr>
          <w:rFonts w:ascii="Arial;sans-serif" w:hAnsi="Arial;sans-serif"/>
          <w:b/>
          <w:color w:val="000000"/>
          <w:sz w:val="20"/>
        </w:rPr>
      </w:pPr>
      <w:r>
        <w:rPr>
          <w:rFonts w:ascii="Arial;sans-serif" w:hAnsi="Arial;sans-serif"/>
          <w:b/>
          <w:color w:val="000000"/>
          <w:sz w:val="20"/>
        </w:rPr>
        <w:t>Our Pipeline: Clinical-Stage Programs</w:t>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Ovaprene</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In January 2022, we initiated an Investigational Device Exemption, or IDE, review process with the FDA for a multi-center, non-comparative, pivotal Phase 3 clinical study of the safety and efficacy of Ovaprene to prevent pregnancy. Our IDE submission was subsequently converted to an IDE pre-submission so that the FDA could engage in a collaborative discussion with us regarding items that must be addressed prior to enrollment of any subjects in the Phase 3 study. This process is ongoing and we believe it will allow us to finalize the protocol and design of the study as the registration study to support a future PMA submission. Based on communications with the FDA, in terms of study sample size and duration, we expect that at least 200 subjects completing 12 months of Ovaprene use will be adequate. We are targeting commencement of the Phase 3 study during 2022.</w:t>
      </w:r>
    </w:p>
    <w:p>
      <w:pPr>
        <w:pStyle w:val="TextBody"/>
        <w:spacing w:before="0" w:after="0"/>
        <w:ind w:left="0" w:right="0" w:firstLine="720"/>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planned Phase 3 clinical study will be conducted under our Cooperative Research and Development Agreement, or CRADA, with the U.S. Department of Health and Human Services, as represented by the Eunice Kennedy Shriver National Institute of Child Health and Human Development, or the NICHD, part of the National Institutes of Health,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in payments to NICHD to be applied toward the costs of conducting the Phase 3 study of which a total of $5.0 million has been paid. NICHD will be responsible for the other costs related to the conduct of the Phase 3 study and will manage the payment of expenses to contract research organization Health Decisions Inc., the clinical sites, and other parties involved with the study. If the Phase 3 study is successful, we expect the data to support a pre-market approval submission to the FDA, as well as regulatory filings in Europe and other countries worldwide, to allow for marketing approvals of Ovaprene.</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Sildenafil Cream, 3.6%</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ongoing Phase 2b RESPOND clinical study of Sildenafil Cream, 3.6% in women with FSAD is designed to evaluate Sildenafil Cream, 3.6% compared to placebo cream over 12 weeks of dosing in the participants’ home setting following both a non-drug and placebo run-in period. The primary efficacy endpoint of the study is a composite endpoint that includes patient-reported improvement in genital sensations of arousal and reduction in distress associated with FSAD. The study is expected to randomize 400 to 590 subjects into the double-blind dosing period at 40 to 50 clinical sites in the U.S. to ensure a total of 300 (150:150) to 440 (220:220) subjects complete the 12-week double-blind dosing period. The final size of the study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We anticipate that the planned interim analysis will be conducted in 2022, after which we should be able to provide an updated timeframe for announcement of topline data from this trial. </w:t>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DARE-HRT1</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we announced initiation of our Phase 1/2 clinical study of DARE-HRT1. The open-label study will evaluate the pharmacokinetics (PK) of two versions of DARE-HRT1 (estradiol 80 µg/progesterone 4 mg IVR and estradiol 160 µg/progesterone 8 mg IVR) in approximately 20 healthy, post-menopausal women over approximately three consecutive months of use. The study will also collect safety, usability, acceptability and symptom-relief data. The study is being conducted by our wholly owned subsidiary in Australia. In 2021, we reported positive topline data from a Phase 1 clinical study that evaluated the PK of the same two versions of DARE-HRT1 over 28 days. We anticipate reporting topline data from the Phase 1/2 study in the fourth quarter of 2022. </w:t>
      </w:r>
    </w:p>
    <w:p>
      <w:pPr>
        <w:pStyle w:val="TextBody"/>
        <w:spacing w:lineRule="auto" w:line="288" w:before="200" w:after="283"/>
        <w:ind w:left="0" w:right="0" w:firstLine="720"/>
        <w:rPr>
          <w:rFonts w:ascii="Arial;sans-serif" w:hAnsi="Arial;sans-serif"/>
          <w:b/>
          <w:i/>
          <w:color w:val="000000"/>
          <w:sz w:val="20"/>
          <w:u w:val="single"/>
        </w:rPr>
      </w:pPr>
      <w:r>
        <w:rPr>
          <w:rFonts w:ascii="Arial;sans-serif" w:hAnsi="Arial;sans-serif"/>
          <w:b/>
          <w:i/>
          <w:color w:val="000000"/>
          <w:sz w:val="20"/>
          <w:u w:val="single"/>
        </w:rPr>
        <w:t>DARE-VVA1</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September 2021, we announced initiation of our Phase 1/2 clinical study of DARE-VVA1. The randomized, multi-center, double-blind, parallel-arm, placebo-controlled, dose-ranging study is designed to evaluate the safety, tolerability, PK, and pharmacodynamics (PD) of DARE-VVA1 in postmenopausal participants with moderate to severe VVA and is being conducted by our wholly owned Australian subsidiary. We expect the study will enroll approximately 40 postmenopausal women with VVA, including a cohort of women with a history of hormone-receptor positive breast cancer, at approximately three study sites. Eligible participants will be randomly allocated to one of the five treatment groups (approximately 8 participants per group) that will evaluate four dose levels (1 mg, 5 mg, 10 mg, and 20 mg) and a placebo. Following a screening visit, DARE-VVA1 will be self-administered intravaginally once a day for the first two weeks, and then twice a week for the following six weeks for a total treatment period of 56 days. In each treatment group, participants will have serial blood sampling for PK analysis and undergo safety evaluations and preliminary assessments of effectiveness. Following the completion of the treatment period, participants will attend a safety follow-up visit. The primary endpoints of the study will evaluate the safety and tolerability of DARE-VVA1 by vaginal administration and determine the plasma PK of DARE-VVA1 after intravaginal application. Secondary endpoints will evaluate the preliminary efficacy and PD of DARE-VVA1 in terms of the most bothersome symptom and changes in vaginal cytology and pH. We anticipate reporting topline data from the study in the second half of 2022. </w:t>
      </w:r>
    </w:p>
    <w:p>
      <w:pPr>
        <w:pStyle w:val="TextBody"/>
        <w:spacing w:lineRule="auto" w:line="276" w:before="160" w:after="283"/>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DARE-FRT1 and DARE-PTB1</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conducting development activities in preparation for Phase 1 clinical studies of DARE-FRT1 and DARE-PTB1. We do not expect to commence clinical development of these product candidates in 2022.</w:t>
      </w:r>
    </w:p>
    <w:p>
      <w:pPr>
        <w:pStyle w:val="TextBody"/>
        <w:spacing w:lineRule="auto" w:line="288" w:before="160" w:after="283"/>
        <w:ind w:left="0" w:right="0" w:firstLine="720"/>
        <w:jc w:val="both"/>
        <w:rPr/>
      </w:pPr>
      <w:r>
        <w:rPr>
          <w:rFonts w:ascii="Arial;sans-serif" w:hAnsi="Arial;sans-serif"/>
          <w:b w:val="false"/>
          <w:color w:val="000000"/>
          <w:sz w:val="20"/>
        </w:rPr>
        <w:t>Our</w:t>
      </w:r>
      <w:r>
        <w:rPr>
          <w:color w:val="000000"/>
          <w:highlight w:val="white"/>
        </w:rPr>
        <w:t xml:space="preserve"> </w:t>
      </w:r>
      <w:r>
        <w:rPr>
          <w:rFonts w:ascii="Arial;sans-serif" w:hAnsi="Arial;sans-serif"/>
          <w:b w:val="false"/>
          <w:color w:val="000000"/>
          <w:sz w:val="20"/>
          <w:highlight w:val="white"/>
        </w:rPr>
        <w:t>currently anticipated timelines and aggregate costs for the development of our product candidates could be delayed and could increase as a result of the COVID-19 pandemic, or otherwise. See the risk factor titled,</w:t>
      </w:r>
      <w:r>
        <w:rPr>
          <w:color w:val="000000"/>
        </w:rPr>
        <w:t xml:space="preserve"> </w:t>
      </w:r>
      <w:r>
        <w:rPr>
          <w:rFonts w:ascii="Arial;sans-serif" w:hAnsi="Arial;sans-serif"/>
          <w:b w:val="false"/>
          <w:i/>
          <w:color w:val="000000"/>
          <w:sz w:val="20"/>
        </w:rPr>
        <w:t xml:space="preserve">The COVID-19 pandemic has negatively impacted our business and, in the future, may materially and adversely affect our business, financial condition and results and stock price, including by increasing the cost and timelines for our clinical development programs, </w:t>
      </w:r>
      <w:r>
        <w:rPr>
          <w:rFonts w:ascii="Arial;sans-serif" w:hAnsi="Arial;sans-serif"/>
          <w:b w:val="false"/>
          <w:color w:val="000000"/>
          <w:sz w:val="20"/>
        </w:rPr>
        <w:t xml:space="preserve">in Part I, Item 1A, Risk Factors of our 2021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Recent Events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Global License Agreement with Organon to Commercialize XACIATO</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2022, we entered into an exclusive license agreement with Organon, pursuant to which Organon will obtain exclusive worldwide rights to develop, manufacture and commercialize XACIATO. See “Strategic Agreements for Product Commercialization – Organon License Agreement“ in Part I, Item 1. Business of our 2021 10-K for a description of the terms of the license agreement. As discussed above, we will receive a $10.0 million non-refundable and non-creditable payment from Organon following the effective date of the agreement, which is expected to occur in the second quarter of 2022, and we are entitled to receive a $2.5 million milestone payment following the first commercial sale of a licensed product in the United States, which is expected to occur in the fourth quarter of 2022. We currently cannot predict with any reasonable certainty the timing or amount of other potential payments from Organon under the license agreement in future periods. </w:t>
      </w:r>
    </w:p>
    <w:p>
      <w:pPr>
        <w:pStyle w:val="TextBody"/>
        <w:spacing w:lineRule="auto" w:line="288" w:before="240" w:after="200"/>
        <w:jc w:val="both"/>
        <w:rPr>
          <w:rFonts w:ascii="Arial;sans-serif" w:hAnsi="Arial;sans-serif"/>
          <w:b/>
          <w:i/>
          <w:color w:val="000000"/>
          <w:sz w:val="20"/>
        </w:rPr>
      </w:pPr>
      <w:r>
        <w:rPr>
          <w:rFonts w:ascii="Arial;sans-serif" w:hAnsi="Arial;sans-serif"/>
          <w:b/>
          <w:i/>
          <w:color w:val="000000"/>
          <w:sz w:val="20"/>
        </w:rPr>
        <w:t>Initiation of Phase 1/2 Clinical Study of DARE-HRT1</w:t>
      </w:r>
    </w:p>
    <w:p>
      <w:pPr>
        <w:pStyle w:val="TextBody"/>
        <w:spacing w:lineRule="auto" w:line="276"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above, in April 2022, we announced initiation of our Phase 1/2 clinical study of DARE-HRT1 in Australia. </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Financial Overview</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Revenue</w:t>
      </w:r>
    </w:p>
    <w:p>
      <w:pPr>
        <w:pStyle w:val="TextBody"/>
        <w:spacing w:lineRule="auto" w:line="288" w:before="200" w:after="283"/>
        <w:ind w:left="0" w:right="0" w:firstLine="720"/>
        <w:jc w:val="both"/>
        <w:rPr/>
      </w:pPr>
      <w:r>
        <w:rPr>
          <w:rFonts w:ascii="Arial;sans-serif" w:hAnsi="Arial;sans-serif"/>
          <w:b w:val="false"/>
          <w:color w:val="000000"/>
          <w:sz w:val="20"/>
        </w:rPr>
        <w:t>To date we have not generated any revenue.</w:t>
      </w:r>
      <w:r>
        <w:rPr>
          <w:color w:val="000000"/>
        </w:rPr>
        <w:t xml:space="preserve"> </w:t>
      </w:r>
      <w:r>
        <w:rPr>
          <w:rFonts w:ascii="Arial;sans-serif" w:hAnsi="Arial;sans-serif"/>
          <w:b w:val="false"/>
          <w:color w:val="000000"/>
          <w:sz w:val="20"/>
        </w:rPr>
        <w:t>In the future, we may generate revenue from royalties and commercial milestones based on the net sales of XACIATO, from product sales of other approved products, if any, and from license fees, milestone payments, research and 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product candidates in a timely manner, or to receive regulatory approval for such product candidates, our ability to generate future revenue and our results of operations would be materially adversely affected.</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trial sites and consultants that conduct research and development and regulatory affairs activities on our behalf;</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laboratory and vendor expenses related to the execution of nonclinical studies and clinical trials;</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 xml:space="preserve">contract manufacturing expenses, primarily for the production of clinical supplies; </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we incur, or the incurrence of which we deem probable; and</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internal costs associated with activities performed by our research and development organization and generally benefit multiple programs.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2021, our research and development expenses consisted primarily of costs associated with the continued development of XACIATO, Ovaprene and Sildenafil Cream, 3.6% and during the first quarter of 2022, our research and development expenses consisted primarily of costs associated with the continued development of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License Fees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fees consist of up-front license fees and annual license fees due under our in-licensing arrangements.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General and Administrative Expense</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1 to our financial statements contained in our 2021 10-K, and Note 2 to our unaudited condensed consolidated financial statements contained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240" w:after="200"/>
        <w:rPr>
          <w:rFonts w:ascii="Arial;sans-serif" w:hAnsi="Arial;sans-serif"/>
          <w:b/>
          <w:i/>
          <w:color w:val="000000"/>
          <w:sz w:val="20"/>
        </w:rPr>
      </w:pPr>
      <w:r>
        <w:rPr>
          <w:rFonts w:ascii="Arial;sans-serif" w:hAnsi="Arial;sans-serif"/>
          <w:b/>
          <w:i/>
          <w:color w:val="000000"/>
          <w:sz w:val="20"/>
        </w:rPr>
        <w:t>Comparison of Three Months Ended March 31, 2022 and 2021 (Unaudited)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dollars:</w:t>
      </w:r>
    </w:p>
    <w:tbl>
      <w:tblPr>
        <w:tblW w:w="10084" w:type="dxa"/>
        <w:jc w:val="center"/>
        <w:tblInd w:w="0" w:type="dxa"/>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345"/>
        <w:gridCol w:w="346"/>
        <w:gridCol w:w="286"/>
        <w:gridCol w:w="109"/>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5,805,462 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(7,693,534)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59200 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(8,407,820)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(7,330,485)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Arial;sans-serif" w:hAnsi="Arial;sans-serif"/>
          <w:b/>
          <w:i/>
          <w:color w:val="000000"/>
          <w:sz w:val="20"/>
        </w:rPr>
      </w:pPr>
      <w:r>
        <w:rPr>
          <w:rFonts w:ascii="Arial;sans-serif" w:hAnsi="Arial;sans-serif"/>
          <w:b/>
          <w:i/>
          <w:color w:val="000000"/>
          <w:sz w:val="20"/>
        </w:rPr>
        <w:t>Revenues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recognize any revenues for either of the three months ended March 31, 2022 or 2021.</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$0.6 million in general and administrative expenses for the three months ended March 31, 2022 as compared to the three months ended March 31, 2021 was primarily attributable to increases in (i) professional services expense of approximately $351,000, (ii) stock-based compensation expense of approximately 108,000, (iii) personnel costs of approximately $101,000, and (iv) commercial-readiness expenses of approximately $92,000. Such increases were partially offset by a decrease in rent and facilities expenses of $80,000 attributable to the allocation of a portion of rent and facilities expense included in general and administrative in 2021 to research and development in 2022.</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an increase in general and administrative expenses of approximately 20% in 2022 compared to 2021 primarily due to increased personnel expenses and other general corporate overhead. Our general and administrative expenses in 2021 were approximately $8.4 million. Our 2022 general and administrative expenses will include costs related to commercial-readiness activities and obtaining commercial supplies of XACIATO from our contract manufacturer. Following commercial launch of XACIATO, we expect our general and administrative expenses will include payments by us to a third-party licensor, including royalty payments at rates in the high single-digit to low double-digits based on annual net sales of XACIATO. In 2022, in connection with commercialization of XACIATO in the U.S., these payments may include a milestone payment in the mid six-figures and royalty payments on net sales at a high single digit royalty rate.</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approximately $0.1 million in research and development expenses for the three months ended March 31, 2022 as compared to the three months ended March 31, 2021 was primarily attributable to increased costs for two of our clinical-stage product candidates, Sildenafil Cream 3.6% and Ovaprene, with approximately $1.6 million related to the ongoing Sildenafil Cream, 3.6% Phase 2b RESPOND clinical trial and manufacturing and regulatory affairs activities for Ovaprene. Also contributing to the increase were increases in (a) personnel costs of approximately $248,000, (b) rent and facilities expenses of $171,000 attributable to the allocation of a portion of rent and facilities expense included in general and administrative in 2021 to research and development in 2022, and (c) stock-based compensation expense of approximately $59,000. Such increases were partially offset by (i) a decrease in development costs of approximately $873,000 as a result of the completion of the Phase 3 clinical trial for XACIATO in December 2020, (ii) a decrease in costs related to development activities for our Phase 1 and Phase 1-ready programs of approximately $843,000, and (iii) a decrease in costs related to development activities for our preclinical programs of approximately $271,000.</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previously reported, we expect research and development expenses to increase significantly in 2022 as we continue to develop our product candidates. Our research and development expenses in 2021 were approximately $30.6 million. If we advance our programs as currently planned, our research and development expenses for 2022 could be more than double our research and development expenses for 2021. Our 2022 research and development expenses could include up to $4.0 million in milestone payments payable by us to third parties under license and acquisition agreements related to certain of our product candidates, up to $1.0 million of which we may elect to pay in shares of our common stock. As discussed below in the section titled “Liquidity and Capital Resources,” we will need to raise substantial additional capital to continue to fund our operations and successfully execute our current operating plan. The pace and extent of our research and development activities and, therefore, our research and development spend, will depend on our cash resources. We expect our research and development spend to vary across our fiscal quarters. In regard to Sildenafil Cream, 3.6%, we anticipate that the costs of the Phase 2b RESPOND clinical trial will be approximately $20.0 million, approximately $9.5 million of which was recorded in prior fiscal years.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fees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each of the three months ended March 31, 2022 and March 31, 2021, we accrued $25,000 of the $100,000 annual license maintenance fee payable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unaudited condensed consolidated financial statements contained in this report.</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Other income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$1,776 in other income for the three months ended March 31, 2022 as compared to the three months ended March 31, 2021 was primarily due to an increase in interest earned on cash balances in the current period.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jc w:val="both"/>
        <w:rPr>
          <w:rFonts w:ascii="Arial;sans-serif" w:hAnsi="Arial;sans-serif"/>
          <w:b/>
          <w:i/>
          <w:color w:val="000000"/>
          <w:sz w:val="20"/>
        </w:rPr>
      </w:pPr>
      <w:r>
        <w:rPr>
          <w:rFonts w:ascii="Arial;sans-serif" w:hAnsi="Arial;sans-serif"/>
          <w:b/>
          <w:i/>
          <w:color w:val="000000"/>
          <w:sz w:val="20"/>
        </w:rPr>
        <w:t>Gain on extinguishment of note payable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$369,887 recorded as a gain on extinguishment of note payable and debt forgiveness income in the first quarter of 2021 represents the forgiveness of all the principal and accrued interest of the loan we obtained under the Paycheck Protection Program, or the PPP, of the Coronavirus Aid, Relief, and Economic Security Act, administered by the U.S. Small Business Administration.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as we seek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March 31, 2022, our accumulated deficit was approximately $118.5 million, our cash and cash equivalents were approximately $39.3 million, and our working capital was approximately $31.4 million. We incurred a loss from operations of approximately $8.4 million, and had negative cash flow from operations of approximately $12.3 million during the three months ended March 31, 2022.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third-parties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above, we expect our expenses, and in particular our research and development expenses, to increase significantly in 2022 compared to 2021 as we continue to develop and seek to bring to market our product candidates, with a focus on our product candidates that have reached the human clinical study development phase. Under the terms of our license agreement with Organon, Organon will purchase all of its product requirements of XACIATO from us at a price equal to our manufacturing costs plus a single digit percentage markup. As a result, we do not anticipate our costs of providing XACIATO commercial supplies will have a material impact on our cash resources and requirements.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and predominantly from sales of shares of our common stock. During the three months ended March 31, 2022, we did not generate any proceeds from sales of our common stock. Subsequent to March 31, 2022 and through May 10, 2022 we received approximately $1.2 million in net proceeds from ATM sales of shares of our common stock.</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will need to raise substantial additional capital to continue to fund our operations and to successfully execute our current business strategy. During 2022, we may receive up to $12.5 million under our license agreement for XACIATO and up to $8.0 million in additional funding for pre-clinical development of DARE-LARC1 under our June 2021 grant agreement, and we will continue to seek to raise capital through the sale of shares of our common stock under our ATM sales agreements, however, when we effect such sales and the amount of shares we can sell depends on a variety of factors including, among others, market conditions, the trading price of our common stock, our determination as to the appropriate sources of funding for our operations, and the number of authorized shares of common stock available for issuance, which is approximately 27 million as of the date hereof. For the foreseeable future, we will evaluate and may pursue a variety of capital raising options on an on-going basis, including equity and debt financings, government or other grant funding, collaborations and strategic alliances or other similar types of arrangements, to cover our operating expenses, and the cost of any license or other acquisition of new product candidates or technologies. The amount and timing of our capital needs have been and will continue to depend highly on many factors, including the product development programs we choose to pursue, the pace and results of our clinical development efforts, and the nature and extent of expansion of our product candidate portfolio, if any.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pStyle w:val="TextBody"/>
        <w:spacing w:lineRule="auto" w:line="288" w:before="160" w:after="283"/>
        <w:ind w:left="0" w:right="0" w:firstLine="720"/>
        <w:jc w:val="both"/>
        <w:rPr/>
      </w:pPr>
      <w:r>
        <w:rPr>
          <w:rFonts w:ascii="Arial;sans-serif" w:hAnsi="Arial;sans-serif"/>
          <w:b w:val="false"/>
          <w:color w:val="000000"/>
          <w:sz w:val="20"/>
        </w:rPr>
        <w:t xml:space="preserve">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2021 10-K titled </w:t>
      </w:r>
      <w:r>
        <w:rPr>
          <w:rFonts w:ascii="Arial;sans-serif" w:hAnsi="Arial;sans-serif"/>
          <w:b w:val="false"/>
          <w:i/>
          <w:color w:val="000000"/>
          <w:sz w:val="20"/>
        </w:rPr>
        <w:t>We will need to raise additional capital to continue our operations and execute our business strategy</w:t>
      </w:r>
      <w:r>
        <w:rPr>
          <w:rFonts w:ascii="Arial;sans-serif" w:hAnsi="Arial;sans-serif"/>
          <w:b w:val="false"/>
          <w:color w:val="000000"/>
          <w:sz w:val="20"/>
        </w:rPr>
        <w: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889" w:type="dxa"/>
        <w:jc w:val="center"/>
        <w:tblInd w:w="0" w:type="dxa"/>
        <w:tblCellMar>
          <w:top w:w="28" w:type="dxa"/>
          <w:left w:w="28" w:type="dxa"/>
          <w:bottom w:w="28" w:type="dxa"/>
          <w:right w:w="28" w:type="dxa"/>
        </w:tblCellMar>
      </w:tblPr>
      <w:tblGrid>
        <w:gridCol w:w="2034"/>
        <w:gridCol w:w="1781"/>
        <w:gridCol w:w="1795"/>
        <w:gridCol w:w="211"/>
        <w:gridCol w:w="1186"/>
        <w:gridCol w:w="109"/>
        <w:gridCol w:w="109"/>
        <w:gridCol w:w="109"/>
        <w:gridCol w:w="109"/>
        <w:gridCol w:w="211"/>
        <w:gridCol w:w="1081"/>
        <w:gridCol w:w="154"/>
      </w:tblGrid>
      <w:tr>
        <w:trPr/>
        <w:tc>
          <w:tcPr>
            <w:tcW w:w="2034"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(12,343,473)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(8,377,015)</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11,374,540 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(12,357,176)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Arial;sans-serif" w:hAnsi="Arial;sans-serif"/>
          <w:b/>
          <w:i/>
          <w:color w:val="000000"/>
          <w:sz w:val="20"/>
        </w:rPr>
      </w:pPr>
      <w:r>
        <w:rPr>
          <w:rFonts w:ascii="Arial;sans-serif" w:hAnsi="Arial;sans-serif"/>
          <w:b/>
          <w:i/>
          <w:color w:val="000000"/>
          <w:sz w:val="20"/>
        </w:rPr>
        <w:t>Net cash used in operating activities</w:t>
      </w:r>
    </w:p>
    <w:p>
      <w:pPr>
        <w:pStyle w:val="TextBody"/>
        <w:spacing w:lineRule="auto" w:line="288" w:before="200" w:after="240"/>
        <w:ind w:left="0" w:right="0" w:firstLine="720"/>
        <w:jc w:val="both"/>
        <w:rPr/>
      </w:pPr>
      <w:r>
        <w:rPr>
          <w:rFonts w:ascii="Arial;sans-serif" w:hAnsi="Arial;sans-serif"/>
          <w:b w:val="false"/>
          <w:color w:val="000000"/>
          <w:sz w:val="20"/>
        </w:rPr>
        <w:t>Cash used in operating activities for the three months ended March 31, 2022 included the net loss of $8.4 million, decreased by non-cash stock-based compensation expense of approximately $0.5 million. Components providing operating cash were an increase in accrued expenses of approximately $0.4 million and an increase in accounts payable of approximately $0.7 million</w:t>
      </w:r>
      <w:r>
        <w:rPr>
          <w:rFonts w:ascii="Arial;sans-serif" w:hAnsi="Arial;sans-serif"/>
          <w:b/>
          <w:color w:val="000000"/>
          <w:sz w:val="20"/>
        </w:rPr>
        <w:t xml:space="preserve">. </w:t>
      </w:r>
      <w:r>
        <w:rPr>
          <w:rFonts w:ascii="Arial;sans-serif" w:hAnsi="Arial;sans-serif"/>
          <w:b w:val="false"/>
          <w:color w:val="000000"/>
          <w:sz w:val="20"/>
        </w:rPr>
        <w:t>Components reducing operating cash were an increase in prepaid expenses of approximately $4.3 million, a decrease in deferred grant funding of approximately $0.8 million, and an increase in other receivables of approximately $0.6 million.</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three months ended March 31, 2021 included the net loss of $7.3 million, decreased by non-cash stock-based compensation expense of approximately $0.4 million and increased by the non-cash gain on the extinguishment of the note payable and accrued interest of approximately $0.4 million related to our PPP loan. Components providing operating cash were an increase in accounts payable of approximately $0.5 million, a decrease in prepaid expenses of approximately $0.2 million, and a decrease in other receivables of approximately $0.2 million. Components reducing operating cash were a decrease in deferred grant funding of approximately $0.9 million and a decrease in accrued expenses of approximately $0.8 million, and an increase in other non-current assets of approximately $0.1 million.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investing activities for three months ended March 31, 2022 was approximately $4,600. </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No cash was provided by or used in investing activities for the three months ended March 31, 2021.</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No cash was provided by financing activities for the three months ended March 31, 2022. </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three months ended March 31, 2021 consisted of approximately $11.4 million in the aggregate from sales of shares of our common stock under our ATM sales agreement and our equity line after fees and expenses and upon the exercise of warrants during the period.</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agreed to make royalty and milestone payments under the license and development agreements related to XACIATO, Ovaprene, and Sildenafil Cream, 3.6%, and under other agreements related to our other clinical and preclinical candidates. For further discussion of these potential payments, see Note 3 to our unaudited condensed consolidated financial statements contained in this report.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March 31, 2022 at the reasonable assurance level.</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An investment in shares of our common stock involves a high degree of risk. You should carefully consider the risks and uncertainties described in our 2021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2021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CellMar>
          <w:top w:w="28" w:type="dxa"/>
          <w:left w:w="28" w:type="dxa"/>
          <w:bottom w:w="28" w:type="dxa"/>
          <w:right w:w="28" w:type="dxa"/>
        </w:tblCellMar>
      </w:tblPr>
      <w:tblGrid>
        <w:gridCol w:w="312"/>
        <w:gridCol w:w="273"/>
        <w:gridCol w:w="275"/>
        <w:gridCol w:w="109"/>
        <w:gridCol w:w="109"/>
        <w:gridCol w:w="109"/>
        <w:gridCol w:w="1408"/>
        <w:gridCol w:w="1124"/>
        <w:gridCol w:w="1128"/>
        <w:gridCol w:w="109"/>
        <w:gridCol w:w="109"/>
        <w:gridCol w:w="109"/>
        <w:gridCol w:w="200"/>
        <w:gridCol w:w="200"/>
        <w:gridCol w:w="201"/>
        <w:gridCol w:w="117"/>
        <w:gridCol w:w="117"/>
        <w:gridCol w:w="117"/>
        <w:gridCol w:w="184"/>
        <w:gridCol w:w="184"/>
        <w:gridCol w:w="134"/>
        <w:gridCol w:w="117"/>
        <w:gridCol w:w="117"/>
        <w:gridCol w:w="117"/>
        <w:gridCol w:w="236"/>
        <w:gridCol w:w="236"/>
        <w:gridCol w:w="237"/>
        <w:gridCol w:w="109"/>
        <w:gridCol w:w="109"/>
        <w:gridCol w:w="109"/>
        <w:gridCol w:w="272"/>
        <w:gridCol w:w="272"/>
        <w:gridCol w:w="273"/>
        <w:gridCol w:w="109"/>
        <w:gridCol w:w="109"/>
        <w:gridCol w:w="109"/>
        <w:gridCol w:w="302"/>
        <w:gridCol w:w="302"/>
        <w:gridCol w:w="442"/>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101_10q033122.htm">
              <w:r>
                <w:rPr>
                  <w:rStyle w:val="InternetLink"/>
                  <w:rFonts w:ascii="Arial;sans-serif" w:hAnsi="Arial;sans-serif"/>
                  <w:b w:val="false"/>
                  <w:color w:val="0000FF"/>
                  <w:sz w:val="20"/>
                  <w:u w:val="single"/>
                </w:rPr>
                <w:t>Exclusive license agreement by and between Organon International GmbH and Daré Bioscience, Inc., dated as of March 31,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102_10q033122.htm">
              <w:r>
                <w:rPr>
                  <w:rStyle w:val="InternetLink"/>
                  <w:rFonts w:ascii="Arial;sans-serif" w:hAnsi="Arial;sans-serif"/>
                  <w:b w:val="false"/>
                  <w:color w:val="0000FF"/>
                  <w:sz w:val="20"/>
                  <w:u w:val="single"/>
                </w:rPr>
                <w:t>Consent, Waiver and Stand-By License Agreement, dated March 30, 2022, by and among TriLogic Pharma, LLC, and MilanaPharm LLC, Dare Bioscience, Inc., and Organon International GmbH.</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_102noneedirectorcomppol.htm">
              <w:r>
                <w:rPr>
                  <w:rStyle w:val="InternetLink"/>
                  <w:rFonts w:ascii="Arial;sans-serif" w:hAnsi="Arial;sans-serif"/>
                  <w:b w:val="false"/>
                  <w:color w:val="0000FF"/>
                  <w:sz w:val="20"/>
                  <w:u w:val="single"/>
                </w:rPr>
                <w:t>Amended &amp; Restated Non-Employee Director Compensation Policy (as amended through January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_20220331.htm">
              <w:r>
                <w:rPr>
                  <w:rStyle w:val="InternetLink"/>
                  <w:rFonts w:ascii="Arial;sans-serif" w:hAnsi="Arial;sans-serif"/>
                  <w:b w:val="false"/>
                  <w:color w:val="0000FF"/>
                  <w:sz w:val="20"/>
                  <w:u w:val="single"/>
                </w:rPr>
                <w:t>Certification of principal executive officer pursuant to Rule 13a-14(a)/15d-14(a) of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_20220331.htm">
              <w:r>
                <w:rPr>
                  <w:rStyle w:val="InternetLink"/>
                  <w:rFonts w:ascii="Arial;sans-serif" w:hAnsi="Arial;sans-serif"/>
                  <w:b w:val="false"/>
                  <w:color w:val="0000FF"/>
                  <w:sz w:val="20"/>
                  <w:u w:val="single"/>
                </w:rPr>
                <w:t>Certification of principal financial officer pursuant to Rule 13a-14(a)/15d-14(a) of the Securities Exchange Act of 1934, as amended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_20220331.htm">
              <w:r>
                <w:rPr>
                  <w:rStyle w:val="InternetLink"/>
                  <w:rFonts w:ascii="Arial;sans-serif" w:hAnsi="Arial;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2_20220331.htm">
              <w:r>
                <w:rPr>
                  <w:rStyle w:val="InternetLink"/>
                  <w:rFonts w:ascii="Arial;sans-serif" w:hAnsi="Arial;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8" w:type="dxa"/>
            <w:gridSpan w:val="3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Portions of this exhibit have been redacted in compliance with Regulation S-K Item 601(b)(10). The omitted information is not material and is the type that we treat as private or confidential.</w:t>
            </w:r>
          </w:p>
        </w:tc>
      </w:tr>
      <w:tr>
        <w:trPr/>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8"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4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149" w:type="dxa"/>
        <w:jc w:val="left"/>
        <w:tblInd w:w="0" w:type="dxa"/>
        <w:tblCellMar>
          <w:top w:w="28" w:type="dxa"/>
          <w:left w:w="28" w:type="dxa"/>
          <w:bottom w:w="28" w:type="dxa"/>
          <w:right w:w="28" w:type="dxa"/>
        </w:tblCellMar>
      </w:tblPr>
      <w:tblGrid>
        <w:gridCol w:w="662"/>
        <w:gridCol w:w="581"/>
        <w:gridCol w:w="587"/>
        <w:gridCol w:w="134"/>
        <w:gridCol w:w="134"/>
        <w:gridCol w:w="136"/>
        <w:gridCol w:w="1146"/>
        <w:gridCol w:w="1146"/>
        <w:gridCol w:w="1623"/>
      </w:tblGrid>
      <w:tr>
        <w:trPr/>
        <w:tc>
          <w:tcPr>
            <w:tcW w:w="662"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12,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12,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0"/>
        <w:rPr/>
      </w:pPr>
      <w:r>
        <w:rPr/>
      </w:r>
    </w:p>
    <w:p>
      <w:pPr>
        <w:pStyle w:val="TextBody"/>
        <w:spacing w:before="0" w:after="240"/>
        <w:jc w:val="center"/>
        <w:rPr/>
      </w:pPr>
      <w:r>
        <w:rPr/>
      </w:r>
    </w:p>
    <w:p>
      <w:pPr>
        <w:pStyle w:val="TextBody"/>
        <w:spacing w:before="0" w:after="240"/>
        <w:jc w:val="both"/>
        <w:rPr/>
      </w:pPr>
      <w:r>
        <w:rPr/>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CERTAIN INFORMATION HAS BEEN OMITTED FROM THIS EXHIBIT BECAUSE IT IS BOTH NOT MATERIAL AND IS THE TYPE THAT THE REGISTRANT TREATS AS PRIVATE OR CONFIDENTIAL. IN THIS EXHIBIT, “[***]” INDICATES WHERE SUCH INFORMATION HAS BEEN OMITTED.</w:t>
      </w:r>
    </w:p>
    <w:p>
      <w:pPr>
        <w:pStyle w:val="TextBody"/>
        <w:spacing w:before="0" w:after="240"/>
        <w:jc w:val="both"/>
        <w:rPr/>
      </w:pPr>
      <w:r>
        <w:rPr/>
      </w:r>
    </w:p>
    <w:p>
      <w:pPr>
        <w:pStyle w:val="TextBody"/>
        <w:spacing w:before="0" w:after="240"/>
        <w:jc w:val="both"/>
        <w:rPr/>
      </w:pPr>
      <w:r>
        <w:rPr/>
      </w:r>
    </w:p>
    <w:p>
      <w:pPr>
        <w:pStyle w:val="TextBody"/>
        <w:spacing w:lineRule="auto" w:line="240" w:before="0" w:after="240"/>
        <w:jc w:val="center"/>
        <w:rPr>
          <w:rFonts w:ascii="Times New Roman;sans-serif" w:hAnsi="Times New Roman;sans-serif"/>
          <w:b/>
          <w:color w:val="000000"/>
          <w:sz w:val="36"/>
        </w:rPr>
      </w:pPr>
      <w:r>
        <w:rPr>
          <w:rFonts w:ascii="Times New Roman;sans-serif" w:hAnsi="Times New Roman;sans-serif"/>
          <w:b/>
          <w:color w:val="000000"/>
          <w:sz w:val="36"/>
        </w:rPr>
        <w:t>EXCLUSIVE LICENSE AGREEMENT</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36"/>
        </w:rPr>
      </w:pPr>
      <w:r>
        <w:rPr>
          <w:rFonts w:ascii="Times New Roman;sans-serif" w:hAnsi="Times New Roman;sans-serif"/>
          <w:b/>
          <w:color w:val="000000"/>
          <w:sz w:val="36"/>
        </w:rPr>
        <w:t>by and between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36"/>
        </w:rPr>
      </w:pPr>
      <w:r>
        <w:rPr>
          <w:rFonts w:ascii="Times New Roman;sans-serif" w:hAnsi="Times New Roman;sans-serif"/>
          <w:b/>
          <w:color w:val="000000"/>
          <w:sz w:val="36"/>
        </w:rPr>
        <w:t>ORGANON INTERNATIONAL GMBH</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36"/>
        </w:rPr>
      </w:pPr>
      <w:r>
        <w:rPr>
          <w:rFonts w:ascii="Times New Roman;sans-serif" w:hAnsi="Times New Roman;sans-serif"/>
          <w:b/>
          <w:color w:val="000000"/>
          <w:sz w:val="36"/>
        </w:rPr>
        <w:t>and</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36"/>
        </w:rPr>
      </w:pPr>
      <w:r>
        <w:rPr>
          <w:rFonts w:ascii="Times New Roman;sans-serif" w:hAnsi="Times New Roman;sans-serif"/>
          <w:b/>
          <w:color w:val="000000"/>
          <w:sz w:val="36"/>
        </w:rPr>
        <w:t>DARÉ BIOSCIENCE, INC.</w:t>
      </w:r>
    </w:p>
    <w:p>
      <w:pPr>
        <w:pStyle w:val="TextBody"/>
        <w:spacing w:before="0" w:after="240"/>
        <w:jc w:val="both"/>
        <w:rPr/>
      </w:pPr>
      <w:r>
        <w:rPr/>
      </w:r>
    </w:p>
    <w:p>
      <w:pPr>
        <w:pStyle w:val="TextBody"/>
        <w:spacing w:before="0" w:after="240"/>
        <w:jc w:val="center"/>
        <w:rPr/>
      </w:pPr>
      <w:r>
        <w:rPr/>
      </w:r>
      <w:r>
        <w:br w:type="page"/>
      </w:r>
    </w:p>
    <w:p>
      <w:pPr>
        <w:pStyle w:val="TextBody"/>
        <w:spacing w:before="0" w:after="24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88975"/>
                <wp:effectExtent l="0" t="0" r="0" b="0"/>
                <wp:wrapNone/>
                <wp:docPr id="44" name="Frame43"/>
                <a:graphic xmlns:a="http://schemas.openxmlformats.org/drawingml/2006/main">
                  <a:graphicData uri="http://schemas.microsoft.com/office/word/2010/wordprocessingShape">
                    <wps:wsp>
                      <wps:cNvSpPr txBox="1"/>
                      <wps:spPr>
                        <a:xfrm>
                          <a:off x="0" y="0"/>
                          <a:ext cx="6480175" cy="688975"/>
                        </a:xfrm>
                        <a:prstGeom prst="rect"/>
                      </wps:spPr>
                      <wps:txb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25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EXCLUSIVE LICENSE AGREEMENT</w:t>
      </w:r>
    </w:p>
    <w:p>
      <w:pPr>
        <w:pStyle w:val="TextBody"/>
        <w:spacing w:lineRule="auto" w:line="240" w:before="0" w:after="240"/>
        <w:jc w:val="both"/>
        <w:rPr/>
      </w:pPr>
      <w:r>
        <w:rPr>
          <w:rFonts w:ascii="Times New Roman;sans-serif" w:hAnsi="Times New Roman;sans-serif"/>
          <w:b w:val="false"/>
          <w:color w:val="000000"/>
          <w:sz w:val="22"/>
        </w:rPr>
        <w:t>This Exclusive License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entered as of March 31, 2022 (the “</w:t>
      </w:r>
      <w:r>
        <w:rPr>
          <w:rFonts w:ascii="Times New Roman;sans-serif" w:hAnsi="Times New Roman;sans-serif"/>
          <w:b/>
          <w:color w:val="000000"/>
          <w:sz w:val="22"/>
        </w:rPr>
        <w:t>Execution Date</w:t>
      </w:r>
      <w:r>
        <w:rPr>
          <w:color w:val="000000"/>
        </w:rPr>
        <w:t>”</w:t>
      </w:r>
      <w:r>
        <w:rPr>
          <w:rFonts w:ascii="Times New Roman;sans-serif" w:hAnsi="Times New Roman;sans-serif"/>
          <w:b w:val="false"/>
          <w:color w:val="000000"/>
          <w:sz w:val="22"/>
        </w:rPr>
        <w:t>) by and between Organon International GmbH, a limited liability company organized and existing under the laws of Switzerland (“</w:t>
      </w:r>
      <w:r>
        <w:rPr>
          <w:rFonts w:ascii="Times New Roman;sans-serif" w:hAnsi="Times New Roman;sans-serif"/>
          <w:b/>
          <w:color w:val="000000"/>
          <w:sz w:val="22"/>
        </w:rPr>
        <w:t>Organon</w:t>
      </w:r>
      <w:r>
        <w:rPr>
          <w:color w:val="000000"/>
        </w:rPr>
        <w:t>”</w:t>
      </w:r>
      <w:r>
        <w:rPr>
          <w:rFonts w:ascii="Times New Roman;sans-serif" w:hAnsi="Times New Roman;sans-serif"/>
          <w:b w:val="false"/>
          <w:color w:val="000000"/>
          <w:sz w:val="22"/>
        </w:rPr>
        <w:t>) and Daré Bioscience, Inc., a corporation organized and existing under the laws of Delaware (“</w:t>
      </w:r>
      <w:r>
        <w:rPr>
          <w:rFonts w:ascii="Times New Roman;sans-serif" w:hAnsi="Times New Roman;sans-serif"/>
          <w:b/>
          <w:color w:val="000000"/>
          <w:sz w:val="22"/>
        </w:rPr>
        <w:t>Daré</w:t>
      </w:r>
      <w:r>
        <w:rPr>
          <w:color w:val="000000"/>
        </w:rPr>
        <w:t>”</w:t>
      </w:r>
      <w:r>
        <w:rPr>
          <w:rFonts w:ascii="Times New Roman;sans-serif" w:hAnsi="Times New Roman;sans-serif"/>
          <w:b w:val="false"/>
          <w:color w:val="000000"/>
          <w:sz w:val="22"/>
        </w:rPr>
        <w:t>).</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40" w:before="0" w:after="2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Daré has developed or Controls Daré Know-How (as hereinafter defined) and Daré Patents (as hereinafter defined);</w:t>
      </w:r>
    </w:p>
    <w:p>
      <w:pPr>
        <w:pStyle w:val="TextBody"/>
        <w:spacing w:lineRule="auto" w:line="240" w:before="0" w:after="2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Organon and Daré desire to enter into a collaboration to develop, manufacture, commercialize and otherwise exploit Licensed Products (as hereinafter defined) upon the terms and conditions set forth herein;</w:t>
      </w:r>
    </w:p>
    <w:p>
      <w:pPr>
        <w:pStyle w:val="TextBody"/>
        <w:spacing w:lineRule="auto" w:line="240" w:before="0" w:after="24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Organon desires to obtain an exclusive license under the Daré Patents and Daré Know-How, and Daré desires to grant such a license, all upon the terms and conditions set forth herein; and</w:t>
      </w:r>
    </w:p>
    <w:p>
      <w:pPr>
        <w:pStyle w:val="TextBody"/>
        <w:spacing w:lineRule="auto" w:line="240" w:before="0" w:after="24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 xml:space="preserve">until Organon establishes the capability to manufacture or have manufactured the Licensed Products, the Parties desire Daré to supply Licensed Products to Organon for its resale and distribution upon the terms and conditions of the Supply and Distribution Agreement (as hereinafter defined). </w:t>
      </w:r>
    </w:p>
    <w:p>
      <w:pPr>
        <w:pStyle w:val="TextBody"/>
        <w:spacing w:lineRule="auto" w:line="240" w:before="0" w:after="24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foregoing premises and the mutual covenants contained herein, the receipt and sufficiency of which are hereby acknowledged, Daré and Organon hereby agree as follows:</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1DEFINITIONS.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Unless specifically set forth to the contrary herein, the following terms, whether used in the singular or plural, shall have the respective meanings set forth below.</w:t>
      </w:r>
    </w:p>
    <w:p>
      <w:pPr>
        <w:pStyle w:val="TextBody"/>
        <w:spacing w:lineRule="auto" w:line="240" w:before="0" w:after="240"/>
        <w:ind w:left="0" w:right="0" w:hanging="720"/>
        <w:jc w:val="both"/>
        <w:rPr/>
      </w:pPr>
      <w:r>
        <w:rPr>
          <w:rFonts w:ascii="Times New Roman;sans-serif" w:hAnsi="Times New Roman;sans-serif"/>
          <w:b/>
          <w:color w:val="000000"/>
          <w:sz w:val="22"/>
        </w:rPr>
        <w:t>1.1</w:t>
      </w:r>
      <w:r>
        <w:rPr>
          <w:color w:val="000000"/>
        </w:rPr>
        <w:t>“</w:t>
      </w:r>
      <w:r>
        <w:rPr>
          <w:rFonts w:ascii="Times New Roman;sans-serif" w:hAnsi="Times New Roman;sans-serif"/>
          <w:b/>
          <w:color w:val="000000"/>
          <w:sz w:val="22"/>
        </w:rPr>
        <w:t>Act</w:t>
      </w:r>
      <w:r>
        <w:rPr>
          <w:color w:val="000000"/>
        </w:rPr>
        <w:t xml:space="preserve">” </w:t>
      </w:r>
      <w:r>
        <w:rPr>
          <w:rFonts w:ascii="Times New Roman;sans-serif" w:hAnsi="Times New Roman;sans-serif"/>
          <w:b w:val="false"/>
          <w:color w:val="000000"/>
          <w:sz w:val="22"/>
        </w:rPr>
        <w:t>means, as applicable, the United States Federal Food, Drug and Cosmetic Act, 21 U.S.C. §§ 301 et seq., or the Public Health Service Act, 42 U.S.C. §§ 262 et seq., as amended from time to time.</w:t>
      </w:r>
    </w:p>
    <w:p>
      <w:pPr>
        <w:pStyle w:val="TextBody"/>
        <w:spacing w:lineRule="auto" w:line="240" w:before="0" w:after="240"/>
        <w:ind w:left="0" w:right="0" w:hanging="720"/>
        <w:jc w:val="both"/>
        <w:rPr/>
      </w:pPr>
      <w:r>
        <w:rPr>
          <w:rFonts w:ascii="Times New Roman;sans-serif" w:hAnsi="Times New Roman;sans-serif"/>
          <w:b/>
          <w:color w:val="000000"/>
          <w:sz w:val="22"/>
        </w:rPr>
        <w:t>1.2</w:t>
      </w:r>
      <w:r>
        <w:rPr>
          <w:color w:val="000000"/>
        </w:rPr>
        <w:t>“</w:t>
      </w:r>
      <w:r>
        <w:rPr>
          <w:rFonts w:ascii="Times New Roman;sans-serif" w:hAnsi="Times New Roman;sans-serif"/>
          <w:b/>
          <w:color w:val="000000"/>
          <w:sz w:val="22"/>
        </w:rPr>
        <w:t>Adverse Event</w:t>
      </w:r>
      <w:r>
        <w:rPr>
          <w:color w:val="000000"/>
        </w:rPr>
        <w:t xml:space="preserve">” </w:t>
      </w:r>
      <w:r>
        <w:rPr>
          <w:rFonts w:ascii="Times New Roman;sans-serif" w:hAnsi="Times New Roman;sans-serif"/>
          <w:b w:val="false"/>
          <w:color w:val="000000"/>
          <w:sz w:val="22"/>
        </w:rPr>
        <w:t>means any untoward medical occurrence in a human clinical trial subject or in a patient who is administered a Licensed Product, whether or not having a causal relationship with such Licensed Product, including, without limitation, any unfavorable and unintended sign (including, without limitation, abnormal laboratory findings of clinical concern), symptom or disease temporally associated with the use of such Licensed Product.</w:t>
      </w:r>
    </w:p>
    <w:p>
      <w:pPr>
        <w:pStyle w:val="TextBody"/>
        <w:spacing w:lineRule="auto" w:line="240" w:before="0" w:after="240"/>
        <w:ind w:left="0" w:right="0" w:hanging="720"/>
        <w:jc w:val="both"/>
        <w:rPr/>
      </w:pPr>
      <w:r>
        <w:rPr>
          <w:rFonts w:ascii="Times New Roman;sans-serif" w:hAnsi="Times New Roman;sans-serif"/>
          <w:b/>
          <w:color w:val="000000"/>
          <w:sz w:val="22"/>
        </w:rPr>
        <w:t>1.3</w:t>
      </w: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Person that controls, is controlled by or is under common control with a Party, but only for so long as such control exists. For the purposes of this definition, the word “control” (including, with correlative meaning, the terms “controlled by” or “under common control with”) means the actual power, either directly or indirectly through one or more intermediaries, to direct the management and policies of such Person, whether by the ownership of more than fifty percent (50%) of the voting stock of such entity, or by contract or otherwise. The Parties acknowledge that in the case of certain entities organized under the laws of certain countries outside of the United States, the maximum percentage ownership permitted by law for a foreign investor may be equal to or less than fifty percent (50%), and that in such case such lower percentage shall be substituted in the preceding sentence, provided that such foreign investor has the power to direct the management or policies of such entity.</w:t>
      </w:r>
    </w:p>
    <w:p>
      <w:pPr>
        <w:pStyle w:val="TextBody"/>
        <w:spacing w:lineRule="auto" w:line="240" w:before="0" w:after="240"/>
        <w:ind w:left="0" w:right="0" w:hanging="720"/>
        <w:jc w:val="both"/>
        <w:rPr/>
      </w:pPr>
      <w:r>
        <w:rPr>
          <w:rFonts w:ascii="Times New Roman;sans-serif" w:hAnsi="Times New Roman;sans-serif"/>
          <w:b/>
          <w:color w:val="000000"/>
          <w:sz w:val="22"/>
        </w:rPr>
        <w:t>1.4</w:t>
      </w:r>
      <w:r>
        <w:rPr>
          <w:color w:val="000000"/>
        </w:rPr>
        <w:t>“</w:t>
      </w:r>
      <w:r>
        <w:rPr>
          <w:rFonts w:ascii="Times New Roman;sans-serif" w:hAnsi="Times New Roman;sans-serif"/>
          <w:b/>
          <w:color w:val="000000"/>
          <w:sz w:val="22"/>
        </w:rPr>
        <w:t>Agreement</w:t>
      </w:r>
      <w:r>
        <w:rPr>
          <w:color w:val="000000"/>
        </w:rPr>
        <w:t xml:space="preserve">” </w:t>
      </w:r>
      <w:r>
        <w:rPr>
          <w:rFonts w:ascii="Times New Roman;sans-serif" w:hAnsi="Times New Roman;sans-serif"/>
          <w:b w:val="false"/>
          <w:color w:val="000000"/>
          <w:sz w:val="22"/>
        </w:rPr>
        <w:t>has the meaning given such term in the preamble to this document.</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24890"/>
                <wp:effectExtent l="0" t="0" r="0" b="0"/>
                <wp:wrapNone/>
                <wp:docPr id="45" name="Frame4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1.5</w:t>
      </w:r>
      <w:r>
        <w:rPr>
          <w:color w:val="000000"/>
        </w:rPr>
        <w:t>“</w:t>
      </w:r>
      <w:r>
        <w:rPr>
          <w:rFonts w:ascii="Times New Roman;sans-serif" w:hAnsi="Times New Roman;sans-serif"/>
          <w:b/>
          <w:color w:val="000000"/>
          <w:sz w:val="22"/>
        </w:rPr>
        <w:t>Alliance Manager</w:t>
      </w:r>
      <w:r>
        <w:rPr>
          <w:color w:val="000000"/>
        </w:rPr>
        <w:t xml:space="preserve">” </w:t>
      </w:r>
      <w:r>
        <w:rPr>
          <w:rFonts w:ascii="Times New Roman;sans-serif" w:hAnsi="Times New Roman;sans-serif"/>
          <w:b w:val="false"/>
          <w:color w:val="000000"/>
          <w:sz w:val="22"/>
        </w:rPr>
        <w:t>has the meaning set forth in Section 2.4.1.</w:t>
      </w:r>
    </w:p>
    <w:p>
      <w:pPr>
        <w:pStyle w:val="TextBody"/>
        <w:spacing w:lineRule="auto" w:line="240" w:before="0" w:after="240"/>
        <w:ind w:left="0" w:right="0" w:hanging="720"/>
        <w:jc w:val="both"/>
        <w:rPr/>
      </w:pPr>
      <w:r>
        <w:rPr>
          <w:rFonts w:ascii="Times New Roman;sans-serif" w:hAnsi="Times New Roman;sans-serif"/>
          <w:b/>
          <w:color w:val="000000"/>
          <w:sz w:val="22"/>
        </w:rPr>
        <w:t>1.6</w:t>
      </w:r>
      <w:r>
        <w:rPr>
          <w:color w:val="000000"/>
        </w:rPr>
        <w:t>“</w:t>
      </w:r>
      <w:r>
        <w:rPr>
          <w:rFonts w:ascii="Times New Roman;sans-serif" w:hAnsi="Times New Roman;sans-serif"/>
          <w:b/>
          <w:color w:val="000000"/>
          <w:sz w:val="22"/>
        </w:rPr>
        <w:t>Antibiotic</w:t>
      </w:r>
      <w:r>
        <w:rPr>
          <w:color w:val="000000"/>
        </w:rPr>
        <w:t xml:space="preserve">” </w:t>
      </w:r>
      <w:r>
        <w:rPr>
          <w:rFonts w:ascii="Times New Roman;sans-serif" w:hAnsi="Times New Roman;sans-serif"/>
          <w:b w:val="false"/>
          <w:color w:val="000000"/>
          <w:sz w:val="22"/>
        </w:rPr>
        <w:t>means the active pharmaceutical ingredient of a product that has received Marketing Authorization in the United States as of the Effective Date, that is indicated for use in bacterial vaginosis on its label, and that is within the [***] drug class.</w:t>
      </w:r>
      <w:r>
        <w:rPr>
          <w:color w:val="000000"/>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1.7</w:t>
      </w:r>
      <w:r>
        <w:rPr>
          <w:color w:val="000000"/>
        </w:rPr>
        <w:t>“</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means any Applicable Laws regarding corruption, bribery, ethical business conduct, money laundering, political contributions, gifts and gratuities, or lawful expenses to Public Officials or private persons, agency relationships, commissions, lobbying, books and records, and financial controls, including the United States Foreign Corrupt Practices Act, 15 U.S.C. § 78-dd-1, et seq., the United Kingdom Bribery Act 2010, the Criminal Law and Anti-Unfair Competition Law of the People’s Republic of China, and laws implementing the Convention on Combating Bribery of Foreign Public Officials in International Business Transactions; each as may be amended or supplemented from time to time.</w:t>
      </w:r>
    </w:p>
    <w:p>
      <w:pPr>
        <w:pStyle w:val="TextBody"/>
        <w:spacing w:lineRule="auto" w:line="240" w:before="0" w:after="240"/>
        <w:ind w:left="0" w:right="0" w:hanging="720"/>
        <w:jc w:val="both"/>
        <w:rPr/>
      </w:pPr>
      <w:r>
        <w:rPr>
          <w:rFonts w:ascii="Times New Roman;sans-serif" w:hAnsi="Times New Roman;sans-serif"/>
          <w:b/>
          <w:color w:val="000000"/>
          <w:sz w:val="22"/>
        </w:rPr>
        <w:t>1.8</w:t>
      </w:r>
      <w:r>
        <w:rPr>
          <w:color w:val="000000"/>
        </w:rPr>
        <w:t>“</w:t>
      </w:r>
      <w:r>
        <w:rPr>
          <w:rFonts w:ascii="Times New Roman;sans-serif" w:hAnsi="Times New Roman;sans-serif"/>
          <w:b/>
          <w:color w:val="000000"/>
          <w:sz w:val="22"/>
        </w:rPr>
        <w:t>Antitrust Clearance Date</w:t>
      </w:r>
      <w:r>
        <w:rPr>
          <w:color w:val="000000"/>
        </w:rPr>
        <w:t xml:space="preserve">” </w:t>
      </w:r>
      <w:r>
        <w:rPr>
          <w:rFonts w:ascii="Times New Roman;sans-serif" w:hAnsi="Times New Roman;sans-serif"/>
          <w:b w:val="false"/>
          <w:color w:val="000000"/>
          <w:sz w:val="22"/>
        </w:rPr>
        <w:t xml:space="preserve">means the earliest date on which all applicable waiting periods and approvals required under Antitrust Laws with respect to the transactions contemplated under this Agreement have expired or have been terminated (in the case of waiting periods) or been received (in the case of approvals), in each case, without the imposition of any conditions. </w:t>
      </w:r>
    </w:p>
    <w:p>
      <w:pPr>
        <w:pStyle w:val="TextBody"/>
        <w:spacing w:lineRule="auto" w:line="240" w:before="0" w:after="240"/>
        <w:ind w:left="0" w:right="0" w:hanging="720"/>
        <w:jc w:val="both"/>
        <w:rPr/>
      </w:pPr>
      <w:r>
        <w:rPr>
          <w:rFonts w:ascii="Times New Roman;sans-serif" w:hAnsi="Times New Roman;sans-serif"/>
          <w:b/>
          <w:color w:val="000000"/>
          <w:sz w:val="22"/>
        </w:rPr>
        <w:t>1.9</w:t>
      </w:r>
      <w:r>
        <w:rPr>
          <w:color w:val="000000"/>
        </w:rPr>
        <w:t>“</w:t>
      </w:r>
      <w:r>
        <w:rPr>
          <w:rFonts w:ascii="Times New Roman;sans-serif" w:hAnsi="Times New Roman;sans-serif"/>
          <w:b/>
          <w:color w:val="000000"/>
          <w:sz w:val="22"/>
        </w:rPr>
        <w:t>Antitrust Filing</w:t>
      </w:r>
      <w:r>
        <w:rPr>
          <w:color w:val="000000"/>
        </w:rPr>
        <w:t xml:space="preserve">” </w:t>
      </w:r>
      <w:r>
        <w:rPr>
          <w:rFonts w:ascii="Times New Roman;sans-serif" w:hAnsi="Times New Roman;sans-serif"/>
          <w:b w:val="false"/>
          <w:color w:val="000000"/>
          <w:sz w:val="22"/>
        </w:rPr>
        <w:t>means filings by the Parties with the United States Federal Trade Commission and the United States Department of Justice and any applicable Governmental Authority in each other country or jurisdiction where antitrust clearance is required under any Antitrust Laws with respect to the transactions contemplated under this Agreement, together with all required documentary attachments thereto.</w:t>
      </w:r>
    </w:p>
    <w:p>
      <w:pPr>
        <w:pStyle w:val="TextBody"/>
        <w:spacing w:lineRule="auto" w:line="240" w:before="0" w:after="240"/>
        <w:ind w:left="0" w:right="0" w:hanging="720"/>
        <w:jc w:val="both"/>
        <w:rPr/>
      </w:pPr>
      <w:r>
        <w:rPr>
          <w:rFonts w:ascii="Times New Roman;sans-serif" w:hAnsi="Times New Roman;sans-serif"/>
          <w:b/>
          <w:color w:val="000000"/>
          <w:sz w:val="22"/>
        </w:rPr>
        <w:t>1.10</w:t>
      </w:r>
      <w:r>
        <w:rPr>
          <w:color w:val="000000"/>
        </w:rPr>
        <w:t>“</w:t>
      </w:r>
      <w:r>
        <w:rPr>
          <w:rFonts w:ascii="Times New Roman;sans-serif" w:hAnsi="Times New Roman;sans-serif"/>
          <w:b/>
          <w:color w:val="000000"/>
          <w:sz w:val="22"/>
        </w:rPr>
        <w:t>Antitrust Laws</w:t>
      </w:r>
      <w:r>
        <w:rPr>
          <w:color w:val="000000"/>
        </w:rPr>
        <w:t xml:space="preserve">” </w:t>
      </w:r>
      <w:r>
        <w:rPr>
          <w:rFonts w:ascii="Times New Roman;sans-serif" w:hAnsi="Times New Roman;sans-serif"/>
          <w:b w:val="false"/>
          <w:color w:val="000000"/>
          <w:sz w:val="22"/>
        </w:rPr>
        <w:t>means any and all Applicable Laws, including HSR Act, designed to prohibit, restrict, or regulate actions for the purpose or effect of monopolization or restraint of trade.</w:t>
      </w:r>
    </w:p>
    <w:p>
      <w:pPr>
        <w:pStyle w:val="TextBody"/>
        <w:spacing w:lineRule="auto" w:line="240" w:before="0" w:after="240"/>
        <w:ind w:left="0" w:right="0" w:hanging="720"/>
        <w:jc w:val="both"/>
        <w:rPr/>
      </w:pPr>
      <w:r>
        <w:rPr>
          <w:rFonts w:ascii="Times New Roman;sans-serif" w:hAnsi="Times New Roman;sans-serif"/>
          <w:b/>
          <w:color w:val="000000"/>
          <w:sz w:val="22"/>
        </w:rPr>
        <w:t>1.11</w:t>
      </w:r>
      <w:r>
        <w:rPr>
          <w:color w:val="000000"/>
        </w:rPr>
        <w:t>“</w:t>
      </w:r>
      <w:r>
        <w:rPr>
          <w:rFonts w:ascii="Times New Roman;sans-serif" w:hAnsi="Times New Roman;sans-serif"/>
          <w:b/>
          <w:color w:val="000000"/>
          <w:sz w:val="22"/>
        </w:rPr>
        <w:t>Applicable Laws</w:t>
      </w:r>
      <w:r>
        <w:rPr>
          <w:color w:val="000000"/>
        </w:rPr>
        <w:t xml:space="preserve">” </w:t>
      </w:r>
      <w:r>
        <w:rPr>
          <w:rFonts w:ascii="Times New Roman;sans-serif" w:hAnsi="Times New Roman;sans-serif"/>
          <w:b w:val="false"/>
          <w:color w:val="000000"/>
          <w:sz w:val="22"/>
        </w:rPr>
        <w:t>means applicable laws, statutes, ordinances, rules, regulations, guidances and orders of any Governmental Authority (including court orders) having jurisdiction over or related to the subject item.</w:t>
      </w:r>
    </w:p>
    <w:p>
      <w:pPr>
        <w:pStyle w:val="TextBody"/>
        <w:spacing w:lineRule="auto" w:line="240" w:before="0" w:after="240"/>
        <w:ind w:left="0" w:right="0" w:hanging="720"/>
        <w:jc w:val="both"/>
        <w:rPr/>
      </w:pPr>
      <w:r>
        <w:rPr>
          <w:rFonts w:ascii="Times New Roman;sans-serif" w:hAnsi="Times New Roman;sans-serif"/>
          <w:b/>
          <w:color w:val="000000"/>
          <w:sz w:val="22"/>
        </w:rPr>
        <w:t>1.12</w:t>
      </w:r>
      <w:r>
        <w:rPr>
          <w:color w:val="000000"/>
        </w:rPr>
        <w:t>“</w:t>
      </w:r>
      <w:r>
        <w:rPr>
          <w:rFonts w:ascii="Times New Roman;sans-serif" w:hAnsi="Times New Roman;sans-serif"/>
          <w:b/>
          <w:color w:val="000000"/>
          <w:sz w:val="22"/>
        </w:rPr>
        <w:t>Assignment Date</w:t>
      </w:r>
      <w:r>
        <w:rPr>
          <w:color w:val="000000"/>
        </w:rPr>
        <w:t xml:space="preserve">” </w:t>
      </w:r>
      <w:r>
        <w:rPr>
          <w:rFonts w:ascii="Times New Roman;sans-serif" w:hAnsi="Times New Roman;sans-serif"/>
          <w:b w:val="false"/>
          <w:color w:val="000000"/>
          <w:sz w:val="22"/>
        </w:rPr>
        <w:t>has the meaning set forth in Section 3.2.4.</w:t>
      </w:r>
    </w:p>
    <w:p>
      <w:pPr>
        <w:pStyle w:val="TextBody"/>
        <w:spacing w:lineRule="auto" w:line="240" w:before="0" w:after="240"/>
        <w:ind w:left="0" w:right="0" w:hanging="720"/>
        <w:jc w:val="both"/>
        <w:rPr/>
      </w:pPr>
      <w:r>
        <w:rPr>
          <w:rFonts w:ascii="Times New Roman;sans-serif" w:hAnsi="Times New Roman;sans-serif"/>
          <w:b/>
          <w:color w:val="000000"/>
          <w:sz w:val="22"/>
        </w:rPr>
        <w:t>1.13</w:t>
      </w: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means a day, other than a Saturday or a Sunday, on which banking institutions in New York, New York are open for business.</w:t>
      </w:r>
    </w:p>
    <w:p>
      <w:pPr>
        <w:pStyle w:val="TextBody"/>
        <w:spacing w:lineRule="auto" w:line="240" w:before="0" w:after="240"/>
        <w:ind w:left="0" w:right="0" w:hanging="720"/>
        <w:jc w:val="both"/>
        <w:rPr/>
      </w:pPr>
      <w:r>
        <w:rPr>
          <w:rFonts w:ascii="Times New Roman;sans-serif" w:hAnsi="Times New Roman;sans-serif"/>
          <w:b/>
          <w:color w:val="000000"/>
          <w:sz w:val="22"/>
        </w:rPr>
        <w:t>1.14</w:t>
      </w:r>
      <w:r>
        <w:rPr>
          <w:color w:val="000000"/>
        </w:rPr>
        <w:t>“</w:t>
      </w:r>
      <w:r>
        <w:rPr>
          <w:rFonts w:ascii="Times New Roman;sans-serif" w:hAnsi="Times New Roman;sans-serif"/>
          <w:b/>
          <w:color w:val="000000"/>
          <w:sz w:val="22"/>
        </w:rPr>
        <w:t>Calendar Quarter</w:t>
      </w:r>
      <w:r>
        <w:rPr>
          <w:color w:val="000000"/>
        </w:rPr>
        <w:t xml:space="preserve">” </w:t>
      </w:r>
      <w:r>
        <w:rPr>
          <w:rFonts w:ascii="Times New Roman;sans-serif" w:hAnsi="Times New Roman;sans-serif"/>
          <w:b w:val="false"/>
          <w:color w:val="000000"/>
          <w:sz w:val="22"/>
        </w:rPr>
        <w:t>means the respective periods of three (3) consecutive calendar months ending on March 31, June 30, September 30 and December 31.</w:t>
      </w:r>
    </w:p>
    <w:p>
      <w:pPr>
        <w:pStyle w:val="TextBody"/>
        <w:spacing w:lineRule="auto" w:line="240" w:before="0" w:after="240"/>
        <w:ind w:left="0" w:right="0" w:hanging="720"/>
        <w:jc w:val="both"/>
        <w:rPr/>
      </w:pPr>
      <w:r>
        <w:rPr>
          <w:rFonts w:ascii="Times New Roman;sans-serif" w:hAnsi="Times New Roman;sans-serif"/>
          <w:b/>
          <w:color w:val="000000"/>
          <w:sz w:val="22"/>
        </w:rPr>
        <w:t>1.15</w:t>
      </w:r>
      <w:r>
        <w:rPr>
          <w:color w:val="000000"/>
        </w:rPr>
        <w:t>“</w:t>
      </w:r>
      <w:r>
        <w:rPr>
          <w:rFonts w:ascii="Times New Roman;sans-serif" w:hAnsi="Times New Roman;sans-serif"/>
          <w:b/>
          <w:color w:val="000000"/>
          <w:sz w:val="22"/>
        </w:rPr>
        <w:t>Calendar Year</w:t>
      </w:r>
      <w:r>
        <w:rPr>
          <w:color w:val="000000"/>
        </w:rPr>
        <w:t xml:space="preserve">” </w:t>
      </w:r>
      <w:r>
        <w:rPr>
          <w:rFonts w:ascii="Times New Roman;sans-serif" w:hAnsi="Times New Roman;sans-serif"/>
          <w:b w:val="false"/>
          <w:color w:val="000000"/>
          <w:sz w:val="22"/>
        </w:rPr>
        <w:t>means each successive period of twelve (12) months commencing on January 1 and ending on December 31.</w:t>
      </w:r>
    </w:p>
    <w:p>
      <w:pPr>
        <w:pStyle w:val="TextBody"/>
        <w:spacing w:lineRule="auto" w:line="240" w:before="0" w:after="240"/>
        <w:ind w:left="0" w:right="0" w:hanging="720"/>
        <w:jc w:val="both"/>
        <w:rPr/>
      </w:pPr>
      <w:r>
        <w:rPr>
          <w:rFonts w:ascii="Times New Roman;sans-serif" w:hAnsi="Times New Roman;sans-serif"/>
          <w:b/>
          <w:color w:val="000000"/>
          <w:sz w:val="22"/>
        </w:rPr>
        <w:t>1.16</w:t>
      </w:r>
      <w:r>
        <w:rPr>
          <w:color w:val="000000"/>
        </w:rPr>
        <w:t>“</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means, with respect to a Party, the occurrence, in a single transaction or in a series of related transactions, of any one or more of the following events:</w:t>
      </w:r>
    </w:p>
    <w:p>
      <w:pPr>
        <w:pStyle w:val="TextBody"/>
        <w:spacing w:lineRule="auto" w:line="240" w:before="0" w:after="240"/>
        <w:ind w:left="0" w:right="0" w:hanging="720"/>
        <w:jc w:val="both"/>
        <w:rPr/>
      </w:pPr>
      <w:r>
        <w:rPr>
          <w:rFonts w:ascii="Times New Roman;sans-serif" w:hAnsi="Times New Roman;sans-serif"/>
          <w:b/>
          <w:color w:val="000000"/>
          <w:sz w:val="22"/>
        </w:rPr>
        <w:t>1.16.1</w:t>
      </w:r>
      <w:r>
        <w:rPr>
          <w:rFonts w:ascii="Times New Roman;sans-serif" w:hAnsi="Times New Roman;sans-serif"/>
          <w:b w:val="false"/>
          <w:color w:val="000000"/>
          <w:sz w:val="22"/>
        </w:rPr>
        <w:t>any Exchange Act Person becomes the Owner, directly or indirectly, of securities of such Party representing more than [***]% of the combined voting power of such Party’s then outstanding securities, other than by virtue of a merger, consolidation or similar transaction;</w:t>
      </w:r>
    </w:p>
    <w:p>
      <w:pPr>
        <w:pStyle w:val="TextBody"/>
        <w:spacing w:lineRule="auto" w:line="240" w:before="0" w:after="240"/>
        <w:ind w:left="0" w:right="0" w:hanging="720"/>
        <w:jc w:val="both"/>
        <w:rPr/>
      </w:pPr>
      <w:r>
        <w:rPr>
          <w:rFonts w:ascii="Times New Roman;sans-serif" w:hAnsi="Times New Roman;sans-serif"/>
          <w:b/>
          <w:color w:val="000000"/>
          <w:sz w:val="22"/>
        </w:rPr>
        <w:t>1.16.2</w:t>
      </w:r>
      <w:r>
        <w:rPr>
          <w:rFonts w:ascii="Times New Roman;sans-serif" w:hAnsi="Times New Roman;sans-serif"/>
          <w:b w:val="false"/>
          <w:color w:val="000000"/>
          <w:sz w:val="22"/>
        </w:rPr>
        <w:t xml:space="preserve">there is consummated a merger, consolidation or similar transaction involving (directly or indirectly) such Party or an Affiliate of such Party and, immediately after the consummation of such merger, consolidation or similar transaction, the stockholders of such Party (or such Affiliate of such Party) immediately prior thereto do not Own,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24890"/>
                <wp:effectExtent l="0" t="0" r="0" b="0"/>
                <wp:wrapNone/>
                <wp:docPr id="46" name="Frame4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directly or indirectly, outstanding voting securities representing more than [***]% of the combined outstanding voting power of the surviving Person in such merger, consolidation or similar transaction or more than [***]% of the combined outstanding voting power of a parent of the surviving Person in such merger, consolidation or similar transaction; or</w:t>
      </w:r>
    </w:p>
    <w:p>
      <w:pPr>
        <w:pStyle w:val="TextBody"/>
        <w:spacing w:lineRule="auto" w:line="240" w:before="0" w:after="240"/>
        <w:ind w:left="0" w:right="0" w:hanging="720"/>
        <w:jc w:val="both"/>
        <w:rPr/>
      </w:pPr>
      <w:r>
        <w:rPr>
          <w:rFonts w:ascii="Times New Roman;sans-serif" w:hAnsi="Times New Roman;sans-serif"/>
          <w:b/>
          <w:color w:val="000000"/>
          <w:sz w:val="22"/>
        </w:rPr>
        <w:t>1.16.3</w:t>
      </w:r>
      <w:r>
        <w:rPr>
          <w:rFonts w:ascii="Times New Roman;sans-serif" w:hAnsi="Times New Roman;sans-serif"/>
          <w:b w:val="false"/>
          <w:color w:val="000000"/>
          <w:sz w:val="22"/>
        </w:rPr>
        <w:t>there is consummated a sale, lease, exclusive license or other disposition of all or substantially all of the consolidated assets of such Party (or the direct or indirect parent entity of such Party) to an Exchange Act Person.</w:t>
      </w:r>
    </w:p>
    <w:p>
      <w:pPr>
        <w:pStyle w:val="TextBody"/>
        <w:spacing w:lineRule="auto" w:line="240" w:before="0" w:after="240"/>
        <w:ind w:left="0" w:right="0" w:hanging="720"/>
        <w:jc w:val="both"/>
        <w:rPr/>
      </w:pPr>
      <w:r>
        <w:rPr>
          <w:rFonts w:ascii="Times New Roman;sans-serif" w:hAnsi="Times New Roman;sans-serif"/>
          <w:b/>
          <w:color w:val="000000"/>
          <w:sz w:val="22"/>
        </w:rPr>
        <w:t>1.17</w:t>
      </w:r>
      <w:r>
        <w:rPr>
          <w:color w:val="000000"/>
        </w:rPr>
        <w:t>“</w:t>
      </w:r>
      <w:r>
        <w:rPr>
          <w:rFonts w:ascii="Times New Roman;sans-serif" w:hAnsi="Times New Roman;sans-serif"/>
          <w:b/>
          <w:color w:val="000000"/>
          <w:sz w:val="22"/>
        </w:rPr>
        <w:t>Clinical Trial</w:t>
      </w:r>
      <w:r>
        <w:rPr>
          <w:color w:val="000000"/>
        </w:rPr>
        <w:t xml:space="preserve">” </w:t>
      </w:r>
      <w:r>
        <w:rPr>
          <w:rFonts w:ascii="Times New Roman;sans-serif" w:hAnsi="Times New Roman;sans-serif"/>
          <w:b w:val="false"/>
          <w:color w:val="000000"/>
          <w:sz w:val="22"/>
        </w:rPr>
        <w:t xml:space="preserve">means a Phase I Clinical Trial, Phase II Clinical Trial, Phase III Clinical Trial, or post-Marketing Authorization human clinical trial. </w:t>
      </w:r>
    </w:p>
    <w:p>
      <w:pPr>
        <w:pStyle w:val="TextBody"/>
        <w:spacing w:lineRule="auto" w:line="240" w:before="0" w:after="240"/>
        <w:ind w:left="0" w:right="0" w:hanging="720"/>
        <w:jc w:val="both"/>
        <w:rPr/>
      </w:pPr>
      <w:r>
        <w:rPr>
          <w:rFonts w:ascii="Times New Roman;sans-serif" w:hAnsi="Times New Roman;sans-serif"/>
          <w:b/>
          <w:color w:val="000000"/>
          <w:sz w:val="22"/>
        </w:rPr>
        <w:t>1.18</w:t>
      </w:r>
      <w:r>
        <w:rPr>
          <w:color w:val="000000"/>
        </w:rPr>
        <w:t>“</w:t>
      </w:r>
      <w:r>
        <w:rPr>
          <w:rFonts w:ascii="Times New Roman;sans-serif" w:hAnsi="Times New Roman;sans-serif"/>
          <w:b/>
          <w:color w:val="000000"/>
          <w:sz w:val="22"/>
        </w:rPr>
        <w:t>Closing Condition</w:t>
      </w:r>
      <w:r>
        <w:rPr>
          <w:color w:val="000000"/>
        </w:rPr>
        <w:t xml:space="preserve">” </w:t>
      </w:r>
      <w:r>
        <w:rPr>
          <w:rFonts w:ascii="Times New Roman;sans-serif" w:hAnsi="Times New Roman;sans-serif"/>
          <w:b w:val="false"/>
          <w:color w:val="000000"/>
          <w:sz w:val="22"/>
        </w:rPr>
        <w:t>has the meaning set forth in Section 11.4.</w:t>
      </w:r>
    </w:p>
    <w:p>
      <w:pPr>
        <w:pStyle w:val="TextBody"/>
        <w:spacing w:lineRule="auto" w:line="240" w:before="0" w:after="240"/>
        <w:ind w:left="0" w:right="0" w:hanging="720"/>
        <w:jc w:val="both"/>
        <w:rPr/>
      </w:pPr>
      <w:r>
        <w:rPr>
          <w:rFonts w:ascii="Times New Roman;sans-serif" w:hAnsi="Times New Roman;sans-serif"/>
          <w:b/>
          <w:color w:val="000000"/>
          <w:sz w:val="22"/>
        </w:rPr>
        <w:t>1.19</w:t>
      </w:r>
      <w:r>
        <w:rPr>
          <w:color w:val="000000"/>
        </w:rPr>
        <w:t>“</w:t>
      </w:r>
      <w:r>
        <w:rPr>
          <w:rFonts w:ascii="Times New Roman;sans-serif" w:hAnsi="Times New Roman;sans-serif"/>
          <w:b/>
          <w:color w:val="000000"/>
          <w:sz w:val="22"/>
        </w:rPr>
        <w:t>Clindamycin Product</w:t>
      </w:r>
      <w:r>
        <w:rPr>
          <w:color w:val="000000"/>
        </w:rPr>
        <w:t xml:space="preserve">” </w:t>
      </w:r>
      <w:r>
        <w:rPr>
          <w:rFonts w:ascii="Times New Roman;sans-serif" w:hAnsi="Times New Roman;sans-serif"/>
          <w:b w:val="false"/>
          <w:color w:val="000000"/>
          <w:sz w:val="22"/>
        </w:rPr>
        <w:t>means (a) a thermosetting vaginal gel formulated with clindamycin phosphate two percent (2%) that is the subject of the Daré Marketing Authorization, [***] and (b) any other product formulated with clindamycin [***].</w:t>
      </w:r>
    </w:p>
    <w:p>
      <w:pPr>
        <w:pStyle w:val="TextBody"/>
        <w:spacing w:lineRule="auto" w:line="240" w:before="0" w:after="240"/>
        <w:ind w:left="0" w:right="0" w:hanging="720"/>
        <w:jc w:val="both"/>
        <w:rPr/>
      </w:pPr>
      <w:r>
        <w:rPr>
          <w:rFonts w:ascii="Times New Roman;sans-serif" w:hAnsi="Times New Roman;sans-serif"/>
          <w:b/>
          <w:color w:val="000000"/>
          <w:sz w:val="22"/>
        </w:rPr>
        <w:t>1.20</w:t>
      </w: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has the meaning set forth in Section 10.6.10.</w:t>
      </w:r>
    </w:p>
    <w:p>
      <w:pPr>
        <w:pStyle w:val="TextBody"/>
        <w:spacing w:lineRule="auto" w:line="240" w:before="0" w:after="240"/>
        <w:ind w:left="0" w:right="0" w:hanging="720"/>
        <w:jc w:val="both"/>
        <w:rPr/>
      </w:pPr>
      <w:r>
        <w:rPr>
          <w:rFonts w:ascii="Times New Roman;sans-serif" w:hAnsi="Times New Roman;sans-serif"/>
          <w:b/>
          <w:color w:val="000000"/>
          <w:sz w:val="22"/>
        </w:rPr>
        <w:t>1.21</w:t>
      </w:r>
      <w:r>
        <w:rPr>
          <w:color w:val="000000"/>
        </w:rPr>
        <w:t>“</w:t>
      </w:r>
      <w:r>
        <w:rPr>
          <w:rFonts w:ascii="Times New Roman;sans-serif" w:hAnsi="Times New Roman;sans-serif"/>
          <w:b/>
          <w:color w:val="000000"/>
          <w:sz w:val="22"/>
        </w:rPr>
        <w:t>Combination Product</w:t>
      </w:r>
      <w:r>
        <w:rPr>
          <w:color w:val="000000"/>
        </w:rPr>
        <w:t xml:space="preserve">” </w:t>
      </w:r>
      <w:r>
        <w:rPr>
          <w:rFonts w:ascii="Times New Roman;sans-serif" w:hAnsi="Times New Roman;sans-serif"/>
          <w:b w:val="false"/>
          <w:color w:val="000000"/>
          <w:sz w:val="22"/>
        </w:rPr>
        <w:t>means a Licensed Product that contains (a) clindamycin [***] together with (b) [***], an “</w:t>
      </w:r>
      <w:r>
        <w:rPr>
          <w:rFonts w:ascii="Times New Roman;sans-serif" w:hAnsi="Times New Roman;sans-serif"/>
          <w:b/>
          <w:color w:val="000000"/>
          <w:sz w:val="22"/>
        </w:rPr>
        <w:t>Other Product</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1.22</w:t>
      </w:r>
      <w:r>
        <w:rPr>
          <w:color w:val="000000"/>
        </w:rPr>
        <w:t>“</w:t>
      </w:r>
      <w:r>
        <w:rPr>
          <w:rFonts w:ascii="Times New Roman;sans-serif" w:hAnsi="Times New Roman;sans-serif"/>
          <w:b/>
          <w:color w:val="000000"/>
          <w:sz w:val="22"/>
        </w:rPr>
        <w:t>Commercialization</w:t>
      </w:r>
      <w:r>
        <w:rPr>
          <w:color w:val="000000"/>
        </w:rPr>
        <w:t xml:space="preserve">” </w:t>
      </w:r>
      <w:r>
        <w:rPr>
          <w:rFonts w:ascii="Times New Roman;sans-serif" w:hAnsi="Times New Roman;sans-serif"/>
          <w:b w:val="false"/>
          <w:color w:val="000000"/>
          <w:sz w:val="22"/>
        </w:rPr>
        <w:t>means with respect to a product in a country, any and all activities that are undertaken after receipt of Marketing Authorization for the product in such country and that relate to the pricing or reimbursement (including obtaining and maintaining the establishment of prices for such product that can be charged or reimbursed in regulatory jurisdictions where the applicable Regulatory Authorities approve or determine the price or reimbursement of pharmaceutical products but that are not necessary for obtaining Marketing Authorization), marketing, promoting, distributing, importing for sale, offering for sale, selling, or otherwise disposing of the product in such country, including post-Marketing Authorization human clinical trials that are voluntarily undertaken and are not mandated by a Regulatory Authority as a condition of receiving or maintaining Marketing Authorization. “</w:t>
      </w:r>
      <w:r>
        <w:rPr>
          <w:rFonts w:ascii="Times New Roman;sans-serif" w:hAnsi="Times New Roman;sans-serif"/>
          <w:b/>
          <w:color w:val="000000"/>
          <w:sz w:val="22"/>
        </w:rPr>
        <w:t>Commercialize</w:t>
      </w:r>
      <w:r>
        <w:rPr>
          <w:color w:val="000000"/>
        </w:rPr>
        <w:t xml:space="preserve">” </w:t>
      </w:r>
      <w:r>
        <w:rPr>
          <w:rFonts w:ascii="Times New Roman;sans-serif" w:hAnsi="Times New Roman;sans-serif"/>
          <w:b w:val="false"/>
          <w:color w:val="000000"/>
          <w:sz w:val="22"/>
        </w:rPr>
        <w:t xml:space="preserve">has correlative meaning. </w:t>
      </w:r>
    </w:p>
    <w:p>
      <w:pPr>
        <w:pStyle w:val="TextBody"/>
        <w:spacing w:lineRule="auto" w:line="240" w:before="0" w:after="240"/>
        <w:ind w:left="0" w:right="0" w:hanging="720"/>
        <w:jc w:val="both"/>
        <w:rPr/>
      </w:pPr>
      <w:r>
        <w:rPr>
          <w:rFonts w:ascii="Times New Roman;sans-serif" w:hAnsi="Times New Roman;sans-serif"/>
          <w:b/>
          <w:color w:val="000000"/>
          <w:sz w:val="22"/>
        </w:rPr>
        <w:t>1.23</w:t>
      </w:r>
      <w:r>
        <w:rPr>
          <w:color w:val="000000"/>
        </w:rPr>
        <w:t>“</w:t>
      </w:r>
      <w:r>
        <w:rPr>
          <w:rFonts w:ascii="Times New Roman;sans-serif" w:hAnsi="Times New Roman;sans-serif"/>
          <w:b/>
          <w:color w:val="000000"/>
          <w:sz w:val="22"/>
        </w:rPr>
        <w:t>Commercially Reasonable Efforts</w:t>
      </w:r>
      <w:r>
        <w:rPr>
          <w:color w:val="000000"/>
        </w:rPr>
        <w:t xml:space="preserve">” </w:t>
      </w:r>
      <w:r>
        <w:rPr>
          <w:rFonts w:ascii="Times New Roman;sans-serif" w:hAnsi="Times New Roman;sans-serif"/>
          <w:b w:val="false"/>
          <w:color w:val="000000"/>
          <w:sz w:val="22"/>
        </w:rPr>
        <w:t>means, (a) with respect to the efforts to be expended by Daré to accomplish a specified objective, such efforts to accomplish such objective that are substantially equivalent to that which [***] would normally use to accomplish that objective under similar circumstances (b) with respect to the efforts to be expended by Organon with respect to an objective relating to a Licensed Product, such efforts to accomplish such objective that are substantially equivalent to those efforts and resources commonly used by [***]</w:t>
      </w:r>
      <w:r>
        <w:rPr>
          <w:color w:val="000000"/>
        </w:rPr>
        <w:t xml:space="preserve"> </w:t>
      </w:r>
      <w:r>
        <w:rPr>
          <w:rFonts w:ascii="Times New Roman;sans-serif" w:hAnsi="Times New Roman;sans-serif"/>
          <w:b w:val="false"/>
          <w:color w:val="000000"/>
          <w:sz w:val="22"/>
        </w:rPr>
        <w:t>for another pharmaceutical product that is at a similar stage in its development or product life and is of similar market potential as the Licensed Product, taking into account [***], and (c) with respect to the efforts to be expended by each Party under Section 11.2.3, each Party shall comply, as promptly as possible, with any reasonable requests for information by the applicable Governmental Authorities. Commercially Reasonable Efforts shall be determined, with regard to subparts (a) and (b) in this Section 1.23, on a country-by-country basis, and it is anticipated that the level of effort will be different for different countries. [***].</w:t>
      </w:r>
    </w:p>
    <w:p>
      <w:pPr>
        <w:pStyle w:val="TextBody"/>
        <w:spacing w:lineRule="auto" w:line="240" w:before="0" w:after="240"/>
        <w:ind w:left="0" w:right="0" w:hanging="720"/>
        <w:jc w:val="both"/>
        <w:rPr/>
      </w:pPr>
      <w:r>
        <w:rPr>
          <w:rFonts w:ascii="Times New Roman;sans-serif" w:hAnsi="Times New Roman;sans-serif"/>
          <w:b/>
          <w:color w:val="000000"/>
          <w:sz w:val="22"/>
        </w:rPr>
        <w:t>1.24</w:t>
      </w:r>
      <w:r>
        <w:rPr>
          <w:color w:val="000000"/>
        </w:rPr>
        <w:t>“</w:t>
      </w:r>
      <w:r>
        <w:rPr>
          <w:rFonts w:ascii="Times New Roman;sans-serif" w:hAnsi="Times New Roman;sans-serif"/>
          <w:b/>
          <w:color w:val="000000"/>
          <w:sz w:val="22"/>
        </w:rPr>
        <w:t>Competing Program</w:t>
      </w:r>
      <w:r>
        <w:rPr>
          <w:color w:val="000000"/>
        </w:rPr>
        <w:t xml:space="preserve">” </w:t>
      </w:r>
      <w:r>
        <w:rPr>
          <w:rFonts w:ascii="Times New Roman;sans-serif" w:hAnsi="Times New Roman;sans-serif"/>
          <w:b w:val="false"/>
          <w:color w:val="000000"/>
          <w:sz w:val="22"/>
        </w:rPr>
        <w:t>has the meaning set forth in Section 3.8.1(c).</w:t>
      </w:r>
    </w:p>
    <w:p>
      <w:pPr>
        <w:pStyle w:val="TextBody"/>
        <w:spacing w:lineRule="auto" w:line="240" w:before="0" w:after="240"/>
        <w:ind w:left="0" w:right="0" w:hanging="720"/>
        <w:jc w:val="both"/>
        <w:rPr/>
      </w:pPr>
      <w:r>
        <w:rPr>
          <w:rFonts w:ascii="Times New Roman;sans-serif" w:hAnsi="Times New Roman;sans-serif"/>
          <w:b/>
          <w:color w:val="000000"/>
          <w:sz w:val="22"/>
        </w:rPr>
        <w:t>1.25</w:t>
      </w:r>
      <w:r>
        <w:rPr>
          <w:color w:val="000000"/>
        </w:rPr>
        <w:t>“</w:t>
      </w:r>
      <w:r>
        <w:rPr>
          <w:rFonts w:ascii="Times New Roman;sans-serif" w:hAnsi="Times New Roman;sans-serif"/>
          <w:b/>
          <w:color w:val="000000"/>
          <w:sz w:val="22"/>
        </w:rPr>
        <w:t>Competitive Product</w:t>
      </w:r>
      <w:r>
        <w:rPr>
          <w:color w:val="000000"/>
        </w:rPr>
        <w:t xml:space="preserve">” </w:t>
      </w:r>
      <w:r>
        <w:rPr>
          <w:rFonts w:ascii="Times New Roman;sans-serif" w:hAnsi="Times New Roman;sans-serif"/>
          <w:b w:val="false"/>
          <w:color w:val="000000"/>
          <w:sz w:val="22"/>
        </w:rPr>
        <w:t>means, with respect to a particular Licensed Product in a country, a product sold by Daré, its Affiliate or any Third Party (other than a Sublicensee) in such country that (a) is [***], (b) contains clindamycin, (c) is for treatment or prevention of bacterial vaginosis, (d) is the subject of a Marketing Authorization granted in such country after the Effective Date, and (e) has a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24890"/>
                <wp:effectExtent l="0" t="0" r="0" b="0"/>
                <wp:wrapNone/>
                <wp:docPr id="47" name="Frame46"/>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1.26</w:t>
      </w:r>
      <w:r>
        <w:rPr>
          <w:color w:val="000000"/>
        </w:rPr>
        <w:t>“</w:t>
      </w:r>
      <w:r>
        <w:rPr>
          <w:rFonts w:ascii="Times New Roman;sans-serif" w:hAnsi="Times New Roman;sans-serif"/>
          <w:b/>
          <w:color w:val="000000"/>
          <w:sz w:val="22"/>
        </w:rPr>
        <w:t>Control</w:t>
      </w:r>
      <w:r>
        <w:rPr>
          <w:color w:val="000000"/>
        </w:rPr>
        <w:t>”</w:t>
      </w:r>
      <w:r>
        <w:rPr>
          <w:rFonts w:ascii="Times New Roman;sans-serif" w:hAnsi="Times New Roman;sans-serif"/>
          <w:b w:val="false"/>
          <w:color w:val="000000"/>
          <w:sz w:val="22"/>
        </w:rPr>
        <w:t>, “</w:t>
      </w:r>
      <w:r>
        <w:rPr>
          <w:rFonts w:ascii="Times New Roman;sans-serif" w:hAnsi="Times New Roman;sans-serif"/>
          <w:b/>
          <w:color w:val="000000"/>
          <w:sz w:val="22"/>
        </w:rPr>
        <w:t>Controls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Controlled</w:t>
      </w:r>
      <w:r>
        <w:rPr>
          <w:color w:val="000000"/>
        </w:rPr>
        <w:t xml:space="preserve"> </w:t>
      </w:r>
      <w:r>
        <w:rPr>
          <w:rFonts w:ascii="Times New Roman;sans-serif" w:hAnsi="Times New Roman;sans-serif"/>
          <w:b/>
          <w:color w:val="000000"/>
          <w:sz w:val="22"/>
        </w:rPr>
        <w:t>by</w:t>
      </w:r>
      <w:r>
        <w:rPr>
          <w:color w:val="000000"/>
        </w:rPr>
        <w:t xml:space="preserve">” </w:t>
      </w:r>
      <w:r>
        <w:rPr>
          <w:rFonts w:ascii="Times New Roman;sans-serif" w:hAnsi="Times New Roman;sans-serif"/>
          <w:b w:val="false"/>
          <w:color w:val="000000"/>
          <w:sz w:val="22"/>
        </w:rPr>
        <w:t xml:space="preserve">means, with respect to any item of or right under Daré Patents or Daré Know-How, the tangible possession of such items, or the legal authority or right (whether by ownership or license, other than pursuant to this Agreement), or the ability of a Party to grant access to, or a license or sublicense of, or right to use, such items or right, in each case as provided for herein and as applicable, without violating the terms of any agreement or other arrangement with any Third Party existing at the time such Party would be required hereunder to grant the other Party such right to use, access or license or sublicense, and without requiring consent from a Third Party. </w:t>
      </w:r>
    </w:p>
    <w:p>
      <w:pPr>
        <w:pStyle w:val="TextBody"/>
        <w:spacing w:lineRule="auto" w:line="240" w:before="0" w:after="240"/>
        <w:ind w:left="0" w:right="0" w:hanging="720"/>
        <w:jc w:val="both"/>
        <w:rPr/>
      </w:pPr>
      <w:r>
        <w:rPr>
          <w:rFonts w:ascii="Times New Roman;sans-serif" w:hAnsi="Times New Roman;sans-serif"/>
          <w:b/>
          <w:color w:val="000000"/>
          <w:sz w:val="22"/>
        </w:rPr>
        <w:t>1.27</w:t>
      </w:r>
      <w:r>
        <w:rPr>
          <w:color w:val="000000"/>
        </w:rPr>
        <w:t>“</w:t>
      </w:r>
      <w:r>
        <w:rPr>
          <w:rFonts w:ascii="Times New Roman;sans-serif" w:hAnsi="Times New Roman;sans-serif"/>
          <w:b/>
          <w:color w:val="000000"/>
          <w:sz w:val="22"/>
        </w:rPr>
        <w:t>Convicted Individual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Convicted Entity</w:t>
      </w:r>
      <w:r>
        <w:rPr>
          <w:color w:val="000000"/>
        </w:rPr>
        <w:t xml:space="preserve">” </w:t>
      </w:r>
      <w:r>
        <w:rPr>
          <w:rFonts w:ascii="Times New Roman;sans-serif" w:hAnsi="Times New Roman;sans-serif"/>
          <w:b w:val="false"/>
          <w:color w:val="000000"/>
          <w:sz w:val="22"/>
        </w:rPr>
        <w:t>has the meaning set forth in Section 7.2.14.</w:t>
      </w:r>
    </w:p>
    <w:p>
      <w:pPr>
        <w:pStyle w:val="TextBody"/>
        <w:spacing w:lineRule="auto" w:line="240" w:before="0" w:after="240"/>
        <w:ind w:left="0" w:right="0" w:hanging="720"/>
        <w:jc w:val="both"/>
        <w:rPr/>
      </w:pPr>
      <w:r>
        <w:rPr>
          <w:rFonts w:ascii="Times New Roman;sans-serif" w:hAnsi="Times New Roman;sans-serif"/>
          <w:b/>
          <w:color w:val="000000"/>
          <w:sz w:val="22"/>
        </w:rPr>
        <w:t>1.28</w:t>
      </w:r>
      <w:r>
        <w:rPr>
          <w:color w:val="000000"/>
        </w:rPr>
        <w:t>“</w:t>
      </w:r>
      <w:r>
        <w:rPr>
          <w:rFonts w:ascii="Times New Roman;sans-serif" w:hAnsi="Times New Roman;sans-serif"/>
          <w:b/>
          <w:color w:val="000000"/>
          <w:sz w:val="22"/>
        </w:rPr>
        <w:t>Covered Recipient</w:t>
      </w:r>
      <w:r>
        <w:rPr>
          <w:color w:val="000000"/>
        </w:rPr>
        <w:t xml:space="preserve">” </w:t>
      </w:r>
      <w:r>
        <w:rPr>
          <w:rFonts w:ascii="Times New Roman;sans-serif" w:hAnsi="Times New Roman;sans-serif"/>
          <w:b w:val="false"/>
          <w:color w:val="000000"/>
          <w:sz w:val="22"/>
        </w:rPr>
        <w:t>has the meaning set forth in Section 3.4.4.</w:t>
      </w:r>
    </w:p>
    <w:p>
      <w:pPr>
        <w:pStyle w:val="TextBody"/>
        <w:spacing w:lineRule="auto" w:line="240" w:before="0" w:after="240"/>
        <w:ind w:left="0" w:right="0" w:hanging="720"/>
        <w:jc w:val="both"/>
        <w:rPr/>
      </w:pPr>
      <w:r>
        <w:rPr>
          <w:rFonts w:ascii="Times New Roman;sans-serif" w:hAnsi="Times New Roman;sans-serif"/>
          <w:b/>
          <w:color w:val="000000"/>
          <w:sz w:val="22"/>
        </w:rPr>
        <w:t>1.29</w:t>
      </w:r>
      <w:r>
        <w:rPr>
          <w:color w:val="000000"/>
        </w:rPr>
        <w:t>“</w:t>
      </w:r>
      <w:r>
        <w:rPr>
          <w:rFonts w:ascii="Times New Roman;sans-serif" w:hAnsi="Times New Roman;sans-serif"/>
          <w:b/>
          <w:color w:val="000000"/>
          <w:sz w:val="22"/>
        </w:rPr>
        <w:t>Daré</w:t>
      </w:r>
      <w:r>
        <w:rPr>
          <w:color w:val="000000"/>
        </w:rPr>
        <w:t xml:space="preserve">” </w:t>
      </w:r>
      <w:r>
        <w:rPr>
          <w:rFonts w:ascii="Times New Roman;sans-serif" w:hAnsi="Times New Roman;sans-serif"/>
          <w:b w:val="false"/>
          <w:color w:val="000000"/>
          <w:sz w:val="22"/>
        </w:rPr>
        <w:t>has the meaning given such term in the preamble to this Agreement.</w:t>
      </w:r>
    </w:p>
    <w:p>
      <w:pPr>
        <w:pStyle w:val="TextBody"/>
        <w:spacing w:lineRule="auto" w:line="240" w:before="0" w:after="240"/>
        <w:ind w:left="0" w:right="0" w:hanging="720"/>
        <w:jc w:val="both"/>
        <w:rPr/>
      </w:pPr>
      <w:r>
        <w:rPr>
          <w:rFonts w:ascii="Times New Roman;sans-serif" w:hAnsi="Times New Roman;sans-serif"/>
          <w:b/>
          <w:color w:val="000000"/>
          <w:sz w:val="22"/>
        </w:rPr>
        <w:t>1.30</w:t>
      </w:r>
      <w:r>
        <w:rPr>
          <w:color w:val="000000"/>
        </w:rPr>
        <w:t>“</w:t>
      </w:r>
      <w:r>
        <w:rPr>
          <w:rFonts w:ascii="Times New Roman;sans-serif" w:hAnsi="Times New Roman;sans-serif"/>
          <w:b/>
          <w:color w:val="000000"/>
          <w:sz w:val="22"/>
        </w:rPr>
        <w:t>Daré Indemnitee</w:t>
      </w:r>
      <w:r>
        <w:rPr>
          <w:color w:val="000000"/>
        </w:rPr>
        <w:t xml:space="preserve">” </w:t>
      </w:r>
      <w:r>
        <w:rPr>
          <w:rFonts w:ascii="Times New Roman;sans-serif" w:hAnsi="Times New Roman;sans-serif"/>
          <w:b w:val="false"/>
          <w:color w:val="000000"/>
          <w:sz w:val="22"/>
        </w:rPr>
        <w:t xml:space="preserve">has the meaning set forth in Section 8.1. </w:t>
      </w:r>
    </w:p>
    <w:p>
      <w:pPr>
        <w:pStyle w:val="TextBody"/>
        <w:spacing w:lineRule="auto" w:line="240" w:before="0" w:after="240"/>
        <w:ind w:left="0" w:right="0" w:hanging="720"/>
        <w:jc w:val="both"/>
        <w:rPr/>
      </w:pPr>
      <w:r>
        <w:rPr>
          <w:rFonts w:ascii="Times New Roman;sans-serif" w:hAnsi="Times New Roman;sans-serif"/>
          <w:b/>
          <w:color w:val="000000"/>
          <w:sz w:val="22"/>
        </w:rPr>
        <w:t>1.31</w:t>
      </w:r>
      <w:r>
        <w:rPr>
          <w:color w:val="000000"/>
        </w:rPr>
        <w:t>“</w:t>
      </w:r>
      <w:r>
        <w:rPr>
          <w:rFonts w:ascii="Times New Roman;sans-serif" w:hAnsi="Times New Roman;sans-serif"/>
          <w:b/>
          <w:color w:val="000000"/>
          <w:sz w:val="22"/>
        </w:rPr>
        <w:t>Daré Know-How</w:t>
      </w:r>
      <w:r>
        <w:rPr>
          <w:color w:val="000000"/>
        </w:rPr>
        <w:t xml:space="preserve">” </w:t>
      </w:r>
      <w:r>
        <w:rPr>
          <w:rFonts w:ascii="Times New Roman;sans-serif" w:hAnsi="Times New Roman;sans-serif"/>
          <w:b w:val="false"/>
          <w:color w:val="000000"/>
          <w:sz w:val="22"/>
        </w:rPr>
        <w:t>means all information and materials, including discoveries, improvements, processes, methods, protocols, formulas, data, inventions (including Daré’s rights in Joint Agreement Information and Inventions), know-how, Gel Know-How, and trade secrets, patentable or otherwise, which during the term of this Agreement (a) are Controlled by Daré or any of its Affiliates, subject to Section 3.8, (b) are not generally known in the public domain and (c) are necessary or reasonably useful to Organon for Exploitation of a Clindamycin</w:t>
      </w:r>
      <w:r>
        <w:rPr>
          <w:color w:val="000000"/>
        </w:rPr>
        <w:t xml:space="preserve"> </w:t>
      </w:r>
      <w:r>
        <w:rPr>
          <w:rFonts w:ascii="Times New Roman;sans-serif" w:hAnsi="Times New Roman;sans-serif"/>
          <w:b w:val="false"/>
          <w:color w:val="000000"/>
          <w:sz w:val="22"/>
        </w:rPr>
        <w:t xml:space="preserve">Product in the Field; and in each case of (a) through (c), excluding information and materials, including discoveries, improvements, processes, methods, protocols, formulas, data, inventions, know-how, Gel Know-How, and trade secrets, patentable or otherwise, that is or are solely necessary or reasonably useful for the Exploitation of an active or therapeutic ingredient other than clindamycin. </w:t>
      </w:r>
    </w:p>
    <w:p>
      <w:pPr>
        <w:pStyle w:val="TextBody"/>
        <w:spacing w:lineRule="auto" w:line="240" w:before="0" w:after="240"/>
        <w:ind w:left="0" w:right="0" w:hanging="720"/>
        <w:jc w:val="both"/>
        <w:rPr/>
      </w:pPr>
      <w:r>
        <w:rPr>
          <w:rFonts w:ascii="Times New Roman;sans-serif" w:hAnsi="Times New Roman;sans-serif"/>
          <w:b/>
          <w:color w:val="000000"/>
          <w:sz w:val="22"/>
        </w:rPr>
        <w:t>1.32</w:t>
      </w:r>
      <w:r>
        <w:rPr>
          <w:color w:val="000000"/>
        </w:rPr>
        <w:t>“</w:t>
      </w:r>
      <w:r>
        <w:rPr>
          <w:rFonts w:ascii="Times New Roman;sans-serif" w:hAnsi="Times New Roman;sans-serif"/>
          <w:b/>
          <w:color w:val="000000"/>
          <w:sz w:val="22"/>
        </w:rPr>
        <w:t>Daré Marketing Authorizations</w:t>
      </w:r>
      <w:r>
        <w:rPr>
          <w:color w:val="000000"/>
        </w:rPr>
        <w:t xml:space="preserve">” </w:t>
      </w:r>
      <w:r>
        <w:rPr>
          <w:rFonts w:ascii="Times New Roman;sans-serif" w:hAnsi="Times New Roman;sans-serif"/>
          <w:b w:val="false"/>
          <w:color w:val="000000"/>
          <w:sz w:val="22"/>
        </w:rPr>
        <w:t>means (a) NDA 215650 approved by the FDA to Daré on December 7, 2021 for XACIATO, and (b) [***].</w:t>
      </w:r>
    </w:p>
    <w:p>
      <w:pPr>
        <w:pStyle w:val="TextBody"/>
        <w:spacing w:lineRule="auto" w:line="240" w:before="0" w:after="240"/>
        <w:ind w:left="0" w:right="0" w:hanging="720"/>
        <w:jc w:val="both"/>
        <w:rPr/>
      </w:pPr>
      <w:r>
        <w:rPr>
          <w:rFonts w:ascii="Times New Roman;sans-serif" w:hAnsi="Times New Roman;sans-serif"/>
          <w:b/>
          <w:color w:val="000000"/>
          <w:sz w:val="22"/>
        </w:rPr>
        <w:t>1.33</w:t>
      </w:r>
      <w:r>
        <w:rPr>
          <w:color w:val="000000"/>
        </w:rPr>
        <w:t>“</w:t>
      </w:r>
      <w:r>
        <w:rPr>
          <w:rFonts w:ascii="Times New Roman;sans-serif" w:hAnsi="Times New Roman;sans-serif"/>
          <w:b/>
          <w:color w:val="000000"/>
          <w:sz w:val="22"/>
        </w:rPr>
        <w:t>Daré Patents</w:t>
      </w:r>
      <w:r>
        <w:rPr>
          <w:color w:val="000000"/>
        </w:rPr>
        <w:t xml:space="preserve">” </w:t>
      </w:r>
      <w:r>
        <w:rPr>
          <w:rFonts w:ascii="Times New Roman;sans-serif" w:hAnsi="Times New Roman;sans-serif"/>
          <w:b w:val="false"/>
          <w:color w:val="000000"/>
          <w:sz w:val="22"/>
        </w:rPr>
        <w:t>means all Patents that are Controlled by Daré or any of its Affiliates at any time during the term of this Agreement, subject to Section 3.8, that are necessary or reasonably useful to Organon for Exploitation of a Clindamycin Product</w:t>
      </w:r>
      <w:r>
        <w:rPr>
          <w:color w:val="000000"/>
        </w:rPr>
        <w:t xml:space="preserve"> </w:t>
      </w:r>
      <w:r>
        <w:rPr>
          <w:rFonts w:ascii="Times New Roman;sans-serif" w:hAnsi="Times New Roman;sans-serif"/>
          <w:b w:val="false"/>
          <w:color w:val="000000"/>
          <w:sz w:val="22"/>
        </w:rPr>
        <w:t xml:space="preserve">in the Field. Daré Patents include (a) the Patents set forth on </w:t>
      </w:r>
      <w:r>
        <w:rPr>
          <w:rFonts w:ascii="Times New Roman;sans-serif" w:hAnsi="Times New Roman;sans-serif"/>
          <w:b w:val="false"/>
          <w:color w:val="000000"/>
          <w:sz w:val="22"/>
          <w:u w:val="single"/>
        </w:rPr>
        <w:t>Schedule 1.33</w:t>
      </w:r>
      <w:r>
        <w:rPr>
          <w:rFonts w:ascii="Times New Roman;sans-serif" w:hAnsi="Times New Roman;sans-serif"/>
          <w:b w:val="false"/>
          <w:color w:val="000000"/>
          <w:sz w:val="22"/>
        </w:rPr>
        <w:t xml:space="preserve">, (b) all Patents that claim priority to, or claim to a common priority as, any such Patents, in whole or in part, as of the Effective Date or at any time hereafter, and (c) all Patents licensed to Daré under the DTM Upstream License Agreement; and in the case of (a) and (b), excluding any Patents that are Controlled by Daré or any of its Affiliates [***]. </w:t>
      </w:r>
    </w:p>
    <w:p>
      <w:pPr>
        <w:pStyle w:val="TextBody"/>
        <w:spacing w:lineRule="auto" w:line="240" w:before="0" w:after="240"/>
        <w:ind w:left="0" w:right="0" w:hanging="720"/>
        <w:jc w:val="both"/>
        <w:rPr/>
      </w:pPr>
      <w:r>
        <w:rPr>
          <w:rFonts w:ascii="Times New Roman;sans-serif" w:hAnsi="Times New Roman;sans-serif"/>
          <w:b/>
          <w:color w:val="000000"/>
          <w:sz w:val="22"/>
        </w:rPr>
        <w:t>1.34</w:t>
      </w:r>
      <w:r>
        <w:rPr>
          <w:color w:val="000000"/>
        </w:rPr>
        <w:t>“</w:t>
      </w:r>
      <w:r>
        <w:rPr>
          <w:rFonts w:ascii="Times New Roman;sans-serif" w:hAnsi="Times New Roman;sans-serif"/>
          <w:b/>
          <w:color w:val="000000"/>
          <w:sz w:val="22"/>
        </w:rPr>
        <w:t>Daré Regulatory Materials</w:t>
      </w:r>
      <w:r>
        <w:rPr>
          <w:color w:val="000000"/>
        </w:rPr>
        <w:t xml:space="preserve">” </w:t>
      </w:r>
      <w:r>
        <w:rPr>
          <w:rFonts w:ascii="Times New Roman;sans-serif" w:hAnsi="Times New Roman;sans-serif"/>
          <w:b w:val="false"/>
          <w:color w:val="000000"/>
          <w:sz w:val="22"/>
        </w:rPr>
        <w:t>means all Regulatory Materials Controlled by Daré and its Affiliates related to the Daré Marketing Authorizations.</w:t>
      </w:r>
    </w:p>
    <w:p>
      <w:pPr>
        <w:pStyle w:val="TextBody"/>
        <w:spacing w:lineRule="auto" w:line="240" w:before="0" w:after="240"/>
        <w:ind w:left="0" w:right="0" w:hanging="720"/>
        <w:jc w:val="both"/>
        <w:rPr/>
      </w:pPr>
      <w:r>
        <w:rPr>
          <w:rFonts w:ascii="Times New Roman;sans-serif" w:hAnsi="Times New Roman;sans-serif"/>
          <w:b/>
          <w:color w:val="000000"/>
          <w:sz w:val="22"/>
        </w:rPr>
        <w:t>1.35</w:t>
      </w:r>
      <w:r>
        <w:rPr>
          <w:color w:val="000000"/>
        </w:rPr>
        <w:t>“</w:t>
      </w:r>
      <w:r>
        <w:rPr>
          <w:rFonts w:ascii="Times New Roman;sans-serif" w:hAnsi="Times New Roman;sans-serif"/>
          <w:b/>
          <w:color w:val="000000"/>
          <w:sz w:val="22"/>
        </w:rPr>
        <w:t>Data Package</w:t>
      </w:r>
      <w:r>
        <w:rPr>
          <w:color w:val="000000"/>
        </w:rPr>
        <w:t xml:space="preserve">” </w:t>
      </w:r>
      <w:r>
        <w:rPr>
          <w:rFonts w:ascii="Times New Roman;sans-serif" w:hAnsi="Times New Roman;sans-serif"/>
          <w:b w:val="false"/>
          <w:color w:val="000000"/>
          <w:sz w:val="22"/>
        </w:rPr>
        <w:t>has the meaning set forth in Section 3.7.1(a).</w:t>
      </w:r>
    </w:p>
    <w:p>
      <w:pPr>
        <w:pStyle w:val="TextBody"/>
        <w:spacing w:lineRule="auto" w:line="240" w:before="0" w:after="240"/>
        <w:ind w:left="0" w:right="0" w:hanging="720"/>
        <w:jc w:val="both"/>
        <w:rPr/>
      </w:pPr>
      <w:r>
        <w:rPr>
          <w:rFonts w:ascii="Times New Roman;sans-serif" w:hAnsi="Times New Roman;sans-serif"/>
          <w:b/>
          <w:color w:val="000000"/>
          <w:sz w:val="22"/>
        </w:rPr>
        <w:t>1.36</w:t>
      </w:r>
      <w:r>
        <w:rPr>
          <w:color w:val="000000"/>
        </w:rPr>
        <w:t>“</w:t>
      </w:r>
      <w:r>
        <w:rPr>
          <w:rFonts w:ascii="Times New Roman;sans-serif" w:hAnsi="Times New Roman;sans-serif"/>
          <w:b/>
          <w:color w:val="000000"/>
          <w:sz w:val="22"/>
        </w:rPr>
        <w:t>Debarred Entity</w:t>
      </w:r>
      <w:r>
        <w:rPr>
          <w:color w:val="000000"/>
        </w:rPr>
        <w:t xml:space="preserve">” </w:t>
      </w:r>
      <w:r>
        <w:rPr>
          <w:rFonts w:ascii="Times New Roman;sans-serif" w:hAnsi="Times New Roman;sans-serif"/>
          <w:b w:val="false"/>
          <w:color w:val="000000"/>
          <w:sz w:val="22"/>
        </w:rPr>
        <w:t>has the meaning set forth in Section 7.2.14.</w:t>
      </w:r>
    </w:p>
    <w:p>
      <w:pPr>
        <w:pStyle w:val="TextBody"/>
        <w:spacing w:lineRule="auto" w:line="240" w:before="0" w:after="240"/>
        <w:ind w:left="0" w:right="0" w:hanging="720"/>
        <w:jc w:val="both"/>
        <w:rPr/>
      </w:pPr>
      <w:r>
        <w:rPr>
          <w:rFonts w:ascii="Times New Roman;sans-serif" w:hAnsi="Times New Roman;sans-serif"/>
          <w:b/>
          <w:color w:val="000000"/>
          <w:sz w:val="22"/>
        </w:rPr>
        <w:t>1.37</w:t>
      </w:r>
      <w:r>
        <w:rPr>
          <w:color w:val="000000"/>
        </w:rPr>
        <w:t>“</w:t>
      </w:r>
      <w:r>
        <w:rPr>
          <w:rFonts w:ascii="Times New Roman;sans-serif" w:hAnsi="Times New Roman;sans-serif"/>
          <w:b/>
          <w:color w:val="000000"/>
          <w:sz w:val="22"/>
        </w:rPr>
        <w:t>Debarred Individual</w:t>
      </w:r>
      <w:r>
        <w:rPr>
          <w:color w:val="000000"/>
        </w:rPr>
        <w:t xml:space="preserve">” </w:t>
      </w:r>
      <w:r>
        <w:rPr>
          <w:rFonts w:ascii="Times New Roman;sans-serif" w:hAnsi="Times New Roman;sans-serif"/>
          <w:b w:val="false"/>
          <w:color w:val="000000"/>
          <w:sz w:val="22"/>
        </w:rPr>
        <w:t>has the meaning set forth in Section 7.2.14.</w:t>
      </w:r>
    </w:p>
    <w:p>
      <w:pPr>
        <w:pStyle w:val="TextBody"/>
        <w:spacing w:lineRule="auto" w:line="240" w:before="0" w:after="240"/>
        <w:ind w:left="0" w:right="0" w:hanging="720"/>
        <w:jc w:val="both"/>
        <w:rPr/>
      </w:pPr>
      <w:r>
        <w:rPr>
          <w:rFonts w:ascii="Times New Roman;sans-serif" w:hAnsi="Times New Roman;sans-serif"/>
          <w:b/>
          <w:color w:val="000000"/>
          <w:sz w:val="22"/>
        </w:rPr>
        <w:t>1.38</w:t>
      </w:r>
      <w:r>
        <w:rPr>
          <w:color w:val="000000"/>
        </w:rPr>
        <w:t>“</w:t>
      </w:r>
      <w:r>
        <w:rPr>
          <w:rFonts w:ascii="Times New Roman;sans-serif" w:hAnsi="Times New Roman;sans-serif"/>
          <w:b/>
          <w:color w:val="000000"/>
          <w:sz w:val="22"/>
        </w:rPr>
        <w:t>Development</w:t>
      </w:r>
      <w:r>
        <w:rPr>
          <w:color w:val="000000"/>
        </w:rPr>
        <w:t xml:space="preserve">” </w:t>
      </w:r>
      <w:r>
        <w:rPr>
          <w:rFonts w:ascii="Times New Roman;sans-serif" w:hAnsi="Times New Roman;sans-serif"/>
          <w:b w:val="false"/>
          <w:color w:val="000000"/>
          <w:sz w:val="22"/>
        </w:rPr>
        <w:t xml:space="preserve">means (a) pre-clinical and clinical research and drug development activities, (b) formulation, protocol design, test method development and stability testing, toxicology, pharmacokinetic, qualification and validation, manufacturing scale-up and process development and manufacturing of products for use in Clinical Trials, (c) conducting Clinical Trials, statistical analysis and report writing using data generated from Clinical Trials, preparation and submission of Regulatory Materials, seeking, obtaining and maintaining Marketing Authorizations (excluding pricing or governmental reimbursement approvals not necessary to legally market, distribute,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24890"/>
                <wp:effectExtent l="0" t="0" r="0" b="0"/>
                <wp:wrapNone/>
                <wp:docPr id="48" name="Frame47"/>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offer for sale or sell a product in a country), regulatory affairs with respect to the foregoing, including communicating with Regulatory Authorities, and satisfying post-marketing approval commitments, and (d) all other activities necessary or useful or otherwise requested or required by a Regulatory Authority or as a condition or in support of obtaining or maintaining any Marketing Authorization (excluding pricing or governmental reimbursement approvals not necessary to legally market, distribute, offer for sale or sell a product in a country). “</w:t>
      </w:r>
      <w:r>
        <w:rPr>
          <w:rFonts w:ascii="Times New Roman;sans-serif" w:hAnsi="Times New Roman;sans-serif"/>
          <w:b/>
          <w:color w:val="000000"/>
          <w:sz w:val="22"/>
        </w:rPr>
        <w:t>Develop</w:t>
      </w:r>
      <w:r>
        <w:rPr>
          <w:color w:val="000000"/>
        </w:rPr>
        <w:t xml:space="preserve">” </w:t>
      </w:r>
      <w:r>
        <w:rPr>
          <w:rFonts w:ascii="Times New Roman;sans-serif" w:hAnsi="Times New Roman;sans-serif"/>
          <w:b w:val="false"/>
          <w:color w:val="000000"/>
          <w:sz w:val="22"/>
        </w:rPr>
        <w:t xml:space="preserve">has correlative meaning. </w:t>
      </w:r>
    </w:p>
    <w:p>
      <w:pPr>
        <w:pStyle w:val="TextBody"/>
        <w:spacing w:lineRule="auto" w:line="240" w:before="0" w:after="240"/>
        <w:ind w:left="0" w:right="0" w:hanging="720"/>
        <w:jc w:val="both"/>
        <w:rPr/>
      </w:pPr>
      <w:r>
        <w:rPr>
          <w:rFonts w:ascii="Times New Roman;sans-serif" w:hAnsi="Times New Roman;sans-serif"/>
          <w:b/>
          <w:color w:val="000000"/>
          <w:sz w:val="22"/>
        </w:rPr>
        <w:t>1.39</w:t>
      </w:r>
      <w:r>
        <w:rPr>
          <w:color w:val="000000"/>
        </w:rPr>
        <w:t>“</w:t>
      </w:r>
      <w:r>
        <w:rPr>
          <w:rFonts w:ascii="Times New Roman;sans-serif" w:hAnsi="Times New Roman;sans-serif"/>
          <w:b/>
          <w:color w:val="000000"/>
          <w:sz w:val="22"/>
        </w:rPr>
        <w:t>Dispute</w:t>
      </w:r>
      <w:r>
        <w:rPr>
          <w:color w:val="000000"/>
        </w:rPr>
        <w:t xml:space="preserve">” </w:t>
      </w:r>
      <w:r>
        <w:rPr>
          <w:rFonts w:ascii="Times New Roman;sans-serif" w:hAnsi="Times New Roman;sans-serif"/>
          <w:b w:val="false"/>
          <w:color w:val="000000"/>
          <w:sz w:val="22"/>
        </w:rPr>
        <w:t>has the meaning set forth in Section 12.7.1.</w:t>
      </w:r>
    </w:p>
    <w:p>
      <w:pPr>
        <w:pStyle w:val="TextBody"/>
        <w:spacing w:lineRule="auto" w:line="240" w:before="0" w:after="240"/>
        <w:ind w:left="0" w:right="0" w:hanging="720"/>
        <w:jc w:val="both"/>
        <w:rPr/>
      </w:pPr>
      <w:r>
        <w:rPr>
          <w:rFonts w:ascii="Times New Roman;sans-serif" w:hAnsi="Times New Roman;sans-serif"/>
          <w:b/>
          <w:color w:val="000000"/>
          <w:sz w:val="22"/>
        </w:rPr>
        <w:t>1.40</w:t>
      </w:r>
      <w:r>
        <w:rPr>
          <w:color w:val="000000"/>
        </w:rPr>
        <w:t>“</w:t>
      </w:r>
      <w:r>
        <w:rPr>
          <w:rFonts w:ascii="Times New Roman;sans-serif" w:hAnsi="Times New Roman;sans-serif"/>
          <w:b/>
          <w:color w:val="000000"/>
          <w:sz w:val="22"/>
        </w:rPr>
        <w:t>DTM Upstream License Agreement</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Exclusive License Agreement</w:t>
      </w:r>
      <w:r>
        <w:rPr>
          <w:color w:val="000000"/>
        </w:rPr>
        <w:t xml:space="preserve"> </w:t>
      </w:r>
      <w:r>
        <w:rPr>
          <w:rFonts w:ascii="Times New Roman;sans-serif" w:hAnsi="Times New Roman;sans-serif"/>
          <w:b w:val="false"/>
          <w:color w:val="000000"/>
          <w:sz w:val="22"/>
        </w:rPr>
        <w:t>effective as of January 9, 2017, among Hammock Pharmaceuticals, Inc. (“</w:t>
      </w:r>
      <w:r>
        <w:rPr>
          <w:rFonts w:ascii="Times New Roman;sans-serif" w:hAnsi="Times New Roman;sans-serif"/>
          <w:b/>
          <w:color w:val="000000"/>
          <w:sz w:val="22"/>
        </w:rPr>
        <w:t>Hammock</w:t>
      </w:r>
      <w:r>
        <w:rPr>
          <w:color w:val="000000"/>
        </w:rPr>
        <w:t xml:space="preserve">” </w:t>
      </w:r>
      <w:r>
        <w:rPr>
          <w:rFonts w:ascii="Times New Roman;sans-serif" w:hAnsi="Times New Roman;sans-serif"/>
          <w:b w:val="false"/>
          <w:color w:val="000000"/>
          <w:sz w:val="22"/>
        </w:rPr>
        <w:t>now Daré by assignment to Daré effective as of December 5, 2018), TriLogic Pharma, LLC (“</w:t>
      </w:r>
      <w:r>
        <w:rPr>
          <w:rFonts w:ascii="Times New Roman;sans-serif" w:hAnsi="Times New Roman;sans-serif"/>
          <w:b/>
          <w:color w:val="000000"/>
          <w:sz w:val="22"/>
        </w:rPr>
        <w:t>TriLogic</w:t>
      </w:r>
      <w:r>
        <w:rPr>
          <w:color w:val="000000"/>
        </w:rPr>
        <w:t>”</w:t>
      </w:r>
      <w:r>
        <w:rPr>
          <w:rFonts w:ascii="Times New Roman;sans-serif" w:hAnsi="Times New Roman;sans-serif"/>
          <w:b w:val="false"/>
          <w:color w:val="000000"/>
          <w:sz w:val="22"/>
        </w:rPr>
        <w:t>) and MilanaPharm LLC (“</w:t>
      </w:r>
      <w:r>
        <w:rPr>
          <w:rFonts w:ascii="Times New Roman;sans-serif" w:hAnsi="Times New Roman;sans-serif"/>
          <w:b/>
          <w:color w:val="000000"/>
          <w:sz w:val="22"/>
        </w:rPr>
        <w:t>MilanaPharm</w:t>
      </w:r>
      <w:r>
        <w:rPr>
          <w:color w:val="000000"/>
        </w:rPr>
        <w:t>”</w:t>
      </w:r>
      <w:r>
        <w:rPr>
          <w:rFonts w:ascii="Times New Roman;sans-serif" w:hAnsi="Times New Roman;sans-serif"/>
          <w:b w:val="false"/>
          <w:color w:val="000000"/>
          <w:sz w:val="22"/>
        </w:rPr>
        <w:t xml:space="preserve">), as amended by that </w:t>
      </w:r>
      <w:r>
        <w:rPr>
          <w:rFonts w:ascii="Times New Roman;sans-serif" w:hAnsi="Times New Roman;sans-serif"/>
          <w:b w:val="false"/>
          <w:i/>
          <w:color w:val="000000"/>
          <w:sz w:val="22"/>
        </w:rPr>
        <w:t>First Amendment to License Agreement</w:t>
      </w:r>
      <w:r>
        <w:rPr>
          <w:color w:val="000000"/>
        </w:rPr>
        <w:t xml:space="preserve"> </w:t>
      </w:r>
      <w:r>
        <w:rPr>
          <w:rFonts w:ascii="Times New Roman;sans-serif" w:hAnsi="Times New Roman;sans-serif"/>
          <w:b w:val="false"/>
          <w:color w:val="000000"/>
          <w:sz w:val="22"/>
        </w:rPr>
        <w:t xml:space="preserve">effective as of December 5, 2018, and that </w:t>
      </w:r>
      <w:r>
        <w:rPr>
          <w:rFonts w:ascii="Times New Roman;sans-serif" w:hAnsi="Times New Roman;sans-serif"/>
          <w:b w:val="false"/>
          <w:i/>
          <w:color w:val="000000"/>
          <w:sz w:val="22"/>
        </w:rPr>
        <w:t>Amendment No. 2 to License Agreement</w:t>
      </w:r>
      <w:r>
        <w:rPr>
          <w:color w:val="000000"/>
        </w:rPr>
        <w:t xml:space="preserve"> </w:t>
      </w:r>
      <w:r>
        <w:rPr>
          <w:rFonts w:ascii="Times New Roman;sans-serif" w:hAnsi="Times New Roman;sans-serif"/>
          <w:b w:val="false"/>
          <w:color w:val="000000"/>
          <w:sz w:val="22"/>
        </w:rPr>
        <w:t xml:space="preserve">effective December 3, 2019, and that </w:t>
      </w:r>
      <w:r>
        <w:rPr>
          <w:rFonts w:ascii="Times New Roman;sans-serif" w:hAnsi="Times New Roman;sans-serif"/>
          <w:b w:val="false"/>
          <w:i/>
          <w:color w:val="000000"/>
          <w:sz w:val="22"/>
        </w:rPr>
        <w:t>Second Amendment to License Agreement</w:t>
      </w:r>
      <w:r>
        <w:rPr>
          <w:color w:val="000000"/>
        </w:rPr>
        <w:t xml:space="preserve"> </w:t>
      </w:r>
      <w:r>
        <w:rPr>
          <w:rFonts w:ascii="Times New Roman;sans-serif" w:hAnsi="Times New Roman;sans-serif"/>
          <w:b w:val="false"/>
          <w:color w:val="000000"/>
          <w:sz w:val="22"/>
        </w:rPr>
        <w:t>effective as of September 21, 2021.</w:t>
      </w:r>
    </w:p>
    <w:p>
      <w:pPr>
        <w:pStyle w:val="TextBody"/>
        <w:spacing w:lineRule="auto" w:line="240" w:before="0" w:after="240"/>
        <w:ind w:left="0" w:right="0" w:hanging="720"/>
        <w:jc w:val="both"/>
        <w:rPr/>
      </w:pPr>
      <w:r>
        <w:rPr>
          <w:rFonts w:ascii="Times New Roman;sans-serif" w:hAnsi="Times New Roman;sans-serif"/>
          <w:b/>
          <w:color w:val="000000"/>
          <w:sz w:val="22"/>
        </w:rPr>
        <w:t>1.41</w:t>
      </w:r>
      <w:r>
        <w:rPr>
          <w:color w:val="000000"/>
        </w:rPr>
        <w:t>“</w:t>
      </w:r>
      <w:r>
        <w:rPr>
          <w:rFonts w:ascii="Times New Roman;sans-serif" w:hAnsi="Times New Roman;sans-serif"/>
          <w:b/>
          <w:color w:val="000000"/>
          <w:sz w:val="22"/>
        </w:rPr>
        <w:t>Effective Date</w:t>
      </w:r>
      <w:r>
        <w:rPr>
          <w:color w:val="000000"/>
        </w:rPr>
        <w:t xml:space="preserve">” </w:t>
      </w:r>
      <w:r>
        <w:rPr>
          <w:rFonts w:ascii="Times New Roman;sans-serif" w:hAnsi="Times New Roman;sans-serif"/>
          <w:b w:val="false"/>
          <w:color w:val="000000"/>
          <w:sz w:val="22"/>
        </w:rPr>
        <w:t>has the meaning set forth in Section 11.1.</w:t>
      </w:r>
    </w:p>
    <w:p>
      <w:pPr>
        <w:pStyle w:val="TextBody"/>
        <w:spacing w:lineRule="auto" w:line="240" w:before="0" w:after="240"/>
        <w:ind w:left="0" w:right="0" w:hanging="720"/>
        <w:jc w:val="both"/>
        <w:rPr/>
      </w:pPr>
      <w:r>
        <w:rPr>
          <w:rFonts w:ascii="Times New Roman;sans-serif" w:hAnsi="Times New Roman;sans-serif"/>
          <w:b/>
          <w:color w:val="000000"/>
          <w:sz w:val="22"/>
        </w:rPr>
        <w:t>1.42</w:t>
      </w:r>
      <w:r>
        <w:rPr>
          <w:color w:val="000000"/>
        </w:rPr>
        <w:t>“</w:t>
      </w:r>
      <w:r>
        <w:rPr>
          <w:rFonts w:ascii="Times New Roman;sans-serif" w:hAnsi="Times New Roman;sans-serif"/>
          <w:b/>
          <w:color w:val="000000"/>
          <w:sz w:val="22"/>
        </w:rPr>
        <w:t>Excluded Claim</w:t>
      </w:r>
      <w:r>
        <w:rPr>
          <w:color w:val="000000"/>
        </w:rPr>
        <w:t xml:space="preserve">” </w:t>
      </w:r>
      <w:r>
        <w:rPr>
          <w:rFonts w:ascii="Times New Roman;sans-serif" w:hAnsi="Times New Roman;sans-serif"/>
          <w:b w:val="false"/>
          <w:color w:val="000000"/>
          <w:sz w:val="22"/>
        </w:rPr>
        <w:t>has the meaning set forth in Section 12.7.2.</w:t>
      </w:r>
    </w:p>
    <w:p>
      <w:pPr>
        <w:pStyle w:val="TextBody"/>
        <w:spacing w:lineRule="auto" w:line="240" w:before="0" w:after="240"/>
        <w:ind w:left="0" w:right="0" w:hanging="720"/>
        <w:jc w:val="both"/>
        <w:rPr/>
      </w:pPr>
      <w:r>
        <w:rPr>
          <w:rFonts w:ascii="Times New Roman;sans-serif" w:hAnsi="Times New Roman;sans-serif"/>
          <w:b/>
          <w:color w:val="000000"/>
          <w:sz w:val="22"/>
        </w:rPr>
        <w:t>1.43</w:t>
      </w:r>
      <w:r>
        <w:rPr>
          <w:color w:val="000000"/>
        </w:rPr>
        <w:t>“</w:t>
      </w:r>
      <w:r>
        <w:rPr>
          <w:rFonts w:ascii="Times New Roman;sans-serif" w:hAnsi="Times New Roman;sans-serif"/>
          <w:b/>
          <w:color w:val="000000"/>
          <w:sz w:val="22"/>
        </w:rPr>
        <w:t>Excluded Individual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Excluded Entity</w:t>
      </w:r>
      <w:r>
        <w:rPr>
          <w:color w:val="000000"/>
        </w:rPr>
        <w:t xml:space="preserve">” </w:t>
      </w:r>
      <w:r>
        <w:rPr>
          <w:rFonts w:ascii="Times New Roman;sans-serif" w:hAnsi="Times New Roman;sans-serif"/>
          <w:b w:val="false"/>
          <w:color w:val="000000"/>
          <w:sz w:val="22"/>
        </w:rPr>
        <w:t>has the meaning set forth in Section 7.2.14.</w:t>
      </w:r>
    </w:p>
    <w:p>
      <w:pPr>
        <w:pStyle w:val="TextBody"/>
        <w:spacing w:lineRule="auto" w:line="240" w:before="0" w:after="240"/>
        <w:ind w:left="0" w:right="0" w:hanging="720"/>
        <w:jc w:val="both"/>
        <w:rPr/>
      </w:pPr>
      <w:r>
        <w:rPr>
          <w:rFonts w:ascii="Times New Roman;sans-serif" w:hAnsi="Times New Roman;sans-serif"/>
          <w:b/>
          <w:color w:val="000000"/>
          <w:sz w:val="22"/>
        </w:rPr>
        <w:t>1.44</w:t>
      </w:r>
      <w:r>
        <w:rPr>
          <w:color w:val="000000"/>
        </w:rPr>
        <w:t>“</w:t>
      </w:r>
      <w:r>
        <w:rPr>
          <w:rFonts w:ascii="Times New Roman;sans-serif" w:hAnsi="Times New Roman;sans-serif"/>
          <w:b/>
          <w:color w:val="000000"/>
          <w:sz w:val="22"/>
        </w:rPr>
        <w:t>Exchange Act Person</w:t>
      </w:r>
      <w:r>
        <w:rPr>
          <w:color w:val="000000"/>
        </w:rPr>
        <w:t xml:space="preserve">” </w:t>
      </w:r>
      <w:r>
        <w:rPr>
          <w:rFonts w:ascii="Times New Roman;sans-serif" w:hAnsi="Times New Roman;sans-serif"/>
          <w:b w:val="false"/>
          <w:color w:val="000000"/>
          <w:sz w:val="22"/>
        </w:rPr>
        <w:t>means any Person or “group” (within the meaning of Section 13(d) or 14(d) of the Exchange Act of 1934, as amended), whether or not their securities are listed for trading on a securities exchange, except that “Exchange Act Person” shall not, with respect to a potential Change in Control of a Party include (a) such Party or any subsidiary of such Party, (b) any employee benefit plan of such Party or any subsidiary of such Party or any trustee or other fiduciary holding securities under an employee benefit plan of such Party or any subsidiary of such Party, (c) an underwriter temporarily holding securities pursuant to an offering of such securities, or (d) a Person Owned, directly or indirectly, by the stockholders of such Party in substantially the same proportions as their Ownership of stock of such Party.</w:t>
      </w:r>
    </w:p>
    <w:p>
      <w:pPr>
        <w:pStyle w:val="TextBody"/>
        <w:spacing w:lineRule="auto" w:line="240" w:before="0" w:after="240"/>
        <w:ind w:left="0" w:right="0" w:hanging="720"/>
        <w:jc w:val="both"/>
        <w:rPr/>
      </w:pPr>
      <w:r>
        <w:rPr>
          <w:rFonts w:ascii="Times New Roman;sans-serif" w:hAnsi="Times New Roman;sans-serif"/>
          <w:b/>
          <w:color w:val="000000"/>
          <w:sz w:val="22"/>
        </w:rPr>
        <w:t>1.45</w:t>
      </w:r>
      <w:r>
        <w:rPr>
          <w:color w:val="000000"/>
        </w:rPr>
        <w:t>“</w:t>
      </w:r>
      <w:r>
        <w:rPr>
          <w:rFonts w:ascii="Times New Roman;sans-serif" w:hAnsi="Times New Roman;sans-serif"/>
          <w:b/>
          <w:color w:val="000000"/>
          <w:sz w:val="22"/>
        </w:rPr>
        <w:t>Exploit</w:t>
      </w:r>
      <w:r>
        <w:rPr>
          <w:color w:val="000000"/>
        </w:rPr>
        <w:t xml:space="preserve">” </w:t>
      </w:r>
      <w:r>
        <w:rPr>
          <w:rFonts w:ascii="Times New Roman;sans-serif" w:hAnsi="Times New Roman;sans-serif"/>
          <w:b w:val="false"/>
          <w:color w:val="000000"/>
          <w:sz w:val="22"/>
        </w:rPr>
        <w:t>means to use, research, Develop, Manufacture, Commercialize or otherwise exploit. “</w:t>
      </w:r>
      <w:r>
        <w:rPr>
          <w:rFonts w:ascii="Times New Roman;sans-serif" w:hAnsi="Times New Roman;sans-serif"/>
          <w:b/>
          <w:color w:val="000000"/>
          <w:sz w:val="22"/>
        </w:rPr>
        <w:t>Exploitation</w:t>
      </w:r>
      <w:r>
        <w:rPr>
          <w:color w:val="000000"/>
        </w:rPr>
        <w:t xml:space="preserve">” </w:t>
      </w:r>
      <w:r>
        <w:rPr>
          <w:rFonts w:ascii="Times New Roman;sans-serif" w:hAnsi="Times New Roman;sans-serif"/>
          <w:b w:val="false"/>
          <w:color w:val="000000"/>
          <w:sz w:val="22"/>
        </w:rPr>
        <w:t xml:space="preserve">has correlative meaning. </w:t>
      </w:r>
    </w:p>
    <w:p>
      <w:pPr>
        <w:pStyle w:val="TextBody"/>
        <w:spacing w:lineRule="auto" w:line="240" w:before="0" w:after="240"/>
        <w:ind w:left="0" w:right="0" w:hanging="720"/>
        <w:jc w:val="both"/>
        <w:rPr/>
      </w:pPr>
      <w:r>
        <w:rPr>
          <w:rFonts w:ascii="Times New Roman;sans-serif" w:hAnsi="Times New Roman;sans-serif"/>
          <w:b/>
          <w:color w:val="000000"/>
          <w:sz w:val="22"/>
        </w:rPr>
        <w:t>1.46</w:t>
      </w:r>
      <w:r>
        <w:rPr>
          <w:color w:val="000000"/>
        </w:rPr>
        <w:t>“</w:t>
      </w:r>
      <w:r>
        <w:rPr>
          <w:rFonts w:ascii="Times New Roman;sans-serif" w:hAnsi="Times New Roman;sans-serif"/>
          <w:b/>
          <w:color w:val="000000"/>
          <w:sz w:val="22"/>
        </w:rPr>
        <w:t>Facility</w:t>
      </w:r>
      <w:r>
        <w:rPr>
          <w:color w:val="000000"/>
        </w:rPr>
        <w:t xml:space="preserve">” </w:t>
      </w:r>
      <w:r>
        <w:rPr>
          <w:rFonts w:ascii="Times New Roman;sans-serif" w:hAnsi="Times New Roman;sans-serif"/>
          <w:b w:val="false"/>
          <w:color w:val="000000"/>
          <w:sz w:val="22"/>
        </w:rPr>
        <w:t xml:space="preserve">means the facility(s) where any Licensed Product or active pharmaceutical ingredient therein is approved to be Manufactured by Daré or its Affiliate or its contract manufacturer under the Daré Marketing Authorizations as applicable, including [***]. </w:t>
      </w:r>
    </w:p>
    <w:p>
      <w:pPr>
        <w:pStyle w:val="TextBody"/>
        <w:spacing w:lineRule="auto" w:line="240" w:before="0" w:after="240"/>
        <w:ind w:left="0" w:right="0" w:hanging="720"/>
        <w:jc w:val="both"/>
        <w:rPr/>
      </w:pPr>
      <w:r>
        <w:rPr>
          <w:rFonts w:ascii="Times New Roman;sans-serif" w:hAnsi="Times New Roman;sans-serif"/>
          <w:b/>
          <w:color w:val="000000"/>
          <w:sz w:val="22"/>
        </w:rPr>
        <w:t>1.47</w:t>
      </w:r>
      <w:r>
        <w:rPr>
          <w:color w:val="000000"/>
        </w:rPr>
        <w:t>“</w:t>
      </w:r>
      <w:r>
        <w:rPr>
          <w:rFonts w:ascii="Times New Roman;sans-serif" w:hAnsi="Times New Roman;sans-serif"/>
          <w:b/>
          <w:color w:val="000000"/>
          <w:sz w:val="22"/>
        </w:rPr>
        <w:t>FDA</w:t>
      </w:r>
      <w:r>
        <w:rPr>
          <w:color w:val="000000"/>
        </w:rPr>
        <w:t xml:space="preserve">” </w:t>
      </w:r>
      <w:r>
        <w:rPr>
          <w:rFonts w:ascii="Times New Roman;sans-serif" w:hAnsi="Times New Roman;sans-serif"/>
          <w:b w:val="false"/>
          <w:color w:val="000000"/>
          <w:sz w:val="22"/>
        </w:rPr>
        <w:t xml:space="preserve">means the United States Food and Drug Administration and any successor governmental authority having substantially the same function. </w:t>
      </w:r>
    </w:p>
    <w:p>
      <w:pPr>
        <w:pStyle w:val="TextBody"/>
        <w:spacing w:lineRule="auto" w:line="240" w:before="0" w:after="240"/>
        <w:ind w:left="0" w:right="0" w:hanging="720"/>
        <w:jc w:val="both"/>
        <w:rPr/>
      </w:pPr>
      <w:r>
        <w:rPr>
          <w:rFonts w:ascii="Times New Roman;sans-serif" w:hAnsi="Times New Roman;sans-serif"/>
          <w:b/>
          <w:color w:val="000000"/>
          <w:sz w:val="22"/>
        </w:rPr>
        <w:t>1.48</w:t>
      </w:r>
      <w:r>
        <w:rPr>
          <w:color w:val="000000"/>
        </w:rPr>
        <w:t>“</w:t>
      </w:r>
      <w:r>
        <w:rPr>
          <w:rFonts w:ascii="Times New Roman;sans-serif" w:hAnsi="Times New Roman;sans-serif"/>
          <w:b/>
          <w:color w:val="000000"/>
          <w:sz w:val="22"/>
        </w:rPr>
        <w:t>Field</w:t>
      </w:r>
      <w:r>
        <w:rPr>
          <w:color w:val="000000"/>
        </w:rPr>
        <w:t xml:space="preserve">” </w:t>
      </w:r>
      <w:r>
        <w:rPr>
          <w:rFonts w:ascii="Times New Roman;sans-serif" w:hAnsi="Times New Roman;sans-serif"/>
          <w:b w:val="false"/>
          <w:color w:val="000000"/>
          <w:sz w:val="22"/>
        </w:rPr>
        <w:t>means the treatment, prevention, or supportive care of any human diseases, disorders, conditions, symptoms, or state of health or wellness in or through any intravaginal or urological applications, pathways or routes of administration.</w:t>
      </w:r>
    </w:p>
    <w:p>
      <w:pPr>
        <w:pStyle w:val="TextBody"/>
        <w:spacing w:lineRule="auto" w:line="240" w:before="0" w:after="240"/>
        <w:ind w:left="0" w:right="0" w:hanging="720"/>
        <w:jc w:val="both"/>
        <w:rPr/>
      </w:pPr>
      <w:r>
        <w:rPr>
          <w:rFonts w:ascii="Times New Roman;sans-serif" w:hAnsi="Times New Roman;sans-serif"/>
          <w:b/>
          <w:color w:val="000000"/>
          <w:sz w:val="22"/>
        </w:rPr>
        <w:t>1.49</w:t>
      </w:r>
      <w:r>
        <w:rPr>
          <w:color w:val="000000"/>
        </w:rPr>
        <w:t>“</w:t>
      </w:r>
      <w:r>
        <w:rPr>
          <w:rFonts w:ascii="Times New Roman;sans-serif" w:hAnsi="Times New Roman;sans-serif"/>
          <w:b/>
          <w:color w:val="000000"/>
          <w:sz w:val="22"/>
        </w:rPr>
        <w:t>First Commercial Sale</w:t>
      </w:r>
      <w:r>
        <w:rPr>
          <w:color w:val="000000"/>
        </w:rPr>
        <w:t xml:space="preserve">” </w:t>
      </w:r>
      <w:r>
        <w:rPr>
          <w:rFonts w:ascii="Times New Roman;sans-serif" w:hAnsi="Times New Roman;sans-serif"/>
          <w:b w:val="false"/>
          <w:color w:val="000000"/>
          <w:sz w:val="22"/>
        </w:rPr>
        <w:t>means, with respect to any Licensed Product in a country, the first sale, by a Related Party, for monetary value to a Third Party for use or consumption of such Licensed Product in such country after Marketing Authorization of the Licensed Product in such country, excluding, however, any sale or other distribution for use in a Clinical Trial, reasonable and customary promotional use (including samples), other Development purposes, early access programs (such as pursuant to treatment INDs or protocols, named patient programs or compassionate use programs) or any similar use.</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24890"/>
                <wp:effectExtent l="0" t="0" r="0" b="0"/>
                <wp:wrapNone/>
                <wp:docPr id="49" name="Frame48"/>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1.50</w:t>
      </w:r>
      <w:r>
        <w:rPr>
          <w:color w:val="000000"/>
        </w:rPr>
        <w:t>“</w:t>
      </w:r>
      <w:r>
        <w:rPr>
          <w:rFonts w:ascii="Times New Roman;sans-serif" w:hAnsi="Times New Roman;sans-serif"/>
          <w:b/>
          <w:color w:val="000000"/>
          <w:sz w:val="22"/>
        </w:rPr>
        <w:t>Gel Know-How</w:t>
      </w:r>
      <w:r>
        <w:rPr>
          <w:color w:val="000000"/>
        </w:rPr>
        <w:t xml:space="preserve">” </w:t>
      </w:r>
      <w:r>
        <w:rPr>
          <w:rFonts w:ascii="Times New Roman;sans-serif" w:hAnsi="Times New Roman;sans-serif"/>
          <w:b w:val="false"/>
          <w:color w:val="000000"/>
          <w:sz w:val="22"/>
        </w:rPr>
        <w:t>means all information and materials, including discoveries, improvements, processes, methods, protocols, formulas, data, inventions, know-how and trade secrets, patentable or otherwise, which are in the possession and Control of Daré relating to the exploitation of thermosetting gel.</w:t>
      </w:r>
    </w:p>
    <w:p>
      <w:pPr>
        <w:pStyle w:val="TextBody"/>
        <w:spacing w:lineRule="auto" w:line="240" w:before="0" w:after="240"/>
        <w:ind w:left="0" w:right="0" w:hanging="720"/>
        <w:jc w:val="both"/>
        <w:rPr/>
      </w:pPr>
      <w:r>
        <w:rPr>
          <w:rFonts w:ascii="Times New Roman;sans-serif" w:hAnsi="Times New Roman;sans-serif"/>
          <w:b/>
          <w:color w:val="000000"/>
          <w:sz w:val="22"/>
        </w:rPr>
        <w:t>1.51</w:t>
      </w:r>
      <w:r>
        <w:rPr>
          <w:color w:val="000000"/>
        </w:rPr>
        <w:t>“</w:t>
      </w:r>
      <w:r>
        <w:rPr>
          <w:rFonts w:ascii="Times New Roman;sans-serif" w:hAnsi="Times New Roman;sans-serif"/>
          <w:b/>
          <w:color w:val="000000"/>
          <w:sz w:val="22"/>
        </w:rPr>
        <w:t>Gel Product</w:t>
      </w:r>
      <w:r>
        <w:rPr>
          <w:color w:val="000000"/>
        </w:rPr>
        <w:t xml:space="preserve">” </w:t>
      </w:r>
      <w:r>
        <w:rPr>
          <w:rFonts w:ascii="Times New Roman;sans-serif" w:hAnsi="Times New Roman;sans-serif"/>
          <w:b w:val="false"/>
          <w:color w:val="000000"/>
          <w:sz w:val="22"/>
        </w:rPr>
        <w:t>means any compound or product, including any drug or device, (a) that is or contains a gel component that is the same or substantially similar to the gel component of any Licensed Product or (b) for which any Regulatory Authority relies, in whole or in part, on the Marketing Authorization, or on safety or efficacy data submitted in support of the Marketing Authorization, of any Licensed Product.</w:t>
      </w:r>
    </w:p>
    <w:p>
      <w:pPr>
        <w:pStyle w:val="TextBody"/>
        <w:spacing w:lineRule="auto" w:line="240" w:before="0" w:after="240"/>
        <w:ind w:left="0" w:right="0" w:hanging="720"/>
        <w:jc w:val="both"/>
        <w:rPr/>
      </w:pPr>
      <w:r>
        <w:rPr>
          <w:rFonts w:ascii="Times New Roman;sans-serif" w:hAnsi="Times New Roman;sans-serif"/>
          <w:b/>
          <w:color w:val="000000"/>
          <w:sz w:val="22"/>
        </w:rPr>
        <w:t>1.52</w:t>
      </w:r>
      <w:r>
        <w:rPr>
          <w:color w:val="000000"/>
        </w:rPr>
        <w:t>“</w:t>
      </w:r>
      <w:r>
        <w:rPr>
          <w:rFonts w:ascii="Times New Roman;sans-serif" w:hAnsi="Times New Roman;sans-serif"/>
          <w:b/>
          <w:color w:val="000000"/>
          <w:sz w:val="22"/>
        </w:rPr>
        <w:t>GLP</w:t>
      </w:r>
      <w:r>
        <w:rPr>
          <w:color w:val="000000"/>
        </w:rPr>
        <w:t xml:space="preserve">” </w:t>
      </w:r>
      <w:r>
        <w:rPr>
          <w:rFonts w:ascii="Times New Roman;sans-serif" w:hAnsi="Times New Roman;sans-serif"/>
          <w:b w:val="false"/>
          <w:color w:val="000000"/>
          <w:sz w:val="22"/>
        </w:rPr>
        <w:t>means the applicable then-current standards for laboratory activities for pharmaceuticals or biologicals, as set forth in the Act and any regulations or guidance documents promulgated thereunder, including 21 C.F.R. part 58, as amended from time to time, together with any similar standards of good laboratory practice as are required by any Regulatory Authority in the Territory.</w:t>
      </w:r>
    </w:p>
    <w:p>
      <w:pPr>
        <w:pStyle w:val="TextBody"/>
        <w:spacing w:lineRule="auto" w:line="240" w:before="0" w:after="240"/>
        <w:ind w:left="0" w:right="0" w:hanging="720"/>
        <w:jc w:val="both"/>
        <w:rPr/>
      </w:pPr>
      <w:r>
        <w:rPr>
          <w:rFonts w:ascii="Times New Roman;sans-serif" w:hAnsi="Times New Roman;sans-serif"/>
          <w:b/>
          <w:color w:val="000000"/>
          <w:sz w:val="22"/>
        </w:rPr>
        <w:t>1.53</w:t>
      </w:r>
      <w:r>
        <w:rPr>
          <w:color w:val="000000"/>
        </w:rPr>
        <w:t>“</w:t>
      </w:r>
      <w:r>
        <w:rPr>
          <w:rFonts w:ascii="Times New Roman;sans-serif" w:hAnsi="Times New Roman;sans-serif"/>
          <w:b/>
          <w:color w:val="000000"/>
          <w:sz w:val="22"/>
        </w:rPr>
        <w:t>GMP</w:t>
      </w:r>
      <w:r>
        <w:rPr>
          <w:color w:val="000000"/>
        </w:rPr>
        <w:t xml:space="preserve">” </w:t>
      </w:r>
      <w:r>
        <w:rPr>
          <w:rFonts w:ascii="Times New Roman;sans-serif" w:hAnsi="Times New Roman;sans-serif"/>
          <w:b w:val="false"/>
          <w:color w:val="000000"/>
          <w:sz w:val="22"/>
        </w:rPr>
        <w:t>means the applicable then-current standards for Manufacturing activities for pharmaceuticals, biologicals, or devices, as set forth in the Act and any regulations or guidance documents promulgated thereunder, as amended from time to time, together with any similar standards of good manufacturing practice as are required by any Regulatory Authority in the Territory.</w:t>
      </w:r>
    </w:p>
    <w:p>
      <w:pPr>
        <w:pStyle w:val="TextBody"/>
        <w:spacing w:lineRule="auto" w:line="240" w:before="0" w:after="240"/>
        <w:ind w:left="0" w:right="0" w:hanging="720"/>
        <w:jc w:val="both"/>
        <w:rPr/>
      </w:pPr>
      <w:r>
        <w:rPr>
          <w:rFonts w:ascii="Times New Roman;sans-serif" w:hAnsi="Times New Roman;sans-serif"/>
          <w:b/>
          <w:color w:val="000000"/>
          <w:sz w:val="22"/>
        </w:rPr>
        <w:t>1.54</w:t>
      </w: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representative, organization, unit, body or entity and any court or other tribunal); (d) multinational or supranational organization or body; or (e) individual, entity, or body, including any court, exercising, or entitled to exercise, any executive, legislative, judicial, administrative, regulatory, police, military or taxing authority or power of any nature.</w:t>
      </w:r>
    </w:p>
    <w:p>
      <w:pPr>
        <w:pStyle w:val="TextBody"/>
        <w:spacing w:lineRule="auto" w:line="240" w:before="0" w:after="240"/>
        <w:ind w:left="0" w:right="0" w:hanging="720"/>
        <w:jc w:val="both"/>
        <w:rPr/>
      </w:pPr>
      <w:r>
        <w:rPr>
          <w:rFonts w:ascii="Times New Roman;sans-serif" w:hAnsi="Times New Roman;sans-serif"/>
          <w:b/>
          <w:color w:val="000000"/>
          <w:sz w:val="22"/>
        </w:rPr>
        <w:t>1.55</w:t>
      </w:r>
      <w:r>
        <w:rPr>
          <w:color w:val="000000"/>
        </w:rPr>
        <w:t>“</w:t>
      </w:r>
      <w:r>
        <w:rPr>
          <w:rFonts w:ascii="Times New Roman;sans-serif" w:hAnsi="Times New Roman;sans-serif"/>
          <w:b/>
          <w:color w:val="000000"/>
          <w:sz w:val="22"/>
        </w:rPr>
        <w:t>GxP</w:t>
      </w:r>
      <w:r>
        <w:rPr>
          <w:color w:val="000000"/>
        </w:rPr>
        <w:t xml:space="preserve">” </w:t>
      </w:r>
      <w:r>
        <w:rPr>
          <w:rFonts w:ascii="Times New Roman;sans-serif" w:hAnsi="Times New Roman;sans-serif"/>
          <w:b w:val="false"/>
          <w:color w:val="000000"/>
          <w:sz w:val="22"/>
        </w:rPr>
        <w:t>means, collectively, all applicable good practice quality guidelines and regulations, encompassing such internationally recognized standards as GMP, Good Clinical Practice (GCP), GLP, Good Distribution Practice (GDP), and Good Review Practice (GRP), in each case (a) as such terms are defined from time to time by the FDA and other applicable Governmental Authorities pursuant to its regulations, guidelines or otherwise and (b) applicable from time to time to the Development or Manufacturing of a Licensed Product or any intermediate thereof pursuant to Applicable Law.</w:t>
      </w:r>
    </w:p>
    <w:p>
      <w:pPr>
        <w:pStyle w:val="TextBody"/>
        <w:spacing w:lineRule="auto" w:line="240" w:before="0" w:after="240"/>
        <w:ind w:left="0" w:right="0" w:hanging="720"/>
        <w:jc w:val="both"/>
        <w:rPr/>
      </w:pPr>
      <w:r>
        <w:rPr>
          <w:rFonts w:ascii="Times New Roman;sans-serif" w:hAnsi="Times New Roman;sans-serif"/>
          <w:b/>
          <w:color w:val="000000"/>
          <w:sz w:val="22"/>
        </w:rPr>
        <w:t>1.56</w:t>
      </w:r>
      <w:r>
        <w:rPr>
          <w:color w:val="000000"/>
        </w:rPr>
        <w:t>“</w:t>
      </w:r>
      <w:r>
        <w:rPr>
          <w:rFonts w:ascii="Times New Roman;sans-serif" w:hAnsi="Times New Roman;sans-serif"/>
          <w:b/>
          <w:color w:val="000000"/>
          <w:sz w:val="22"/>
        </w:rPr>
        <w:t>HSR Act</w:t>
      </w:r>
      <w:r>
        <w:rPr>
          <w:color w:val="000000"/>
        </w:rPr>
        <w:t xml:space="preserve">” </w:t>
      </w:r>
      <w:r>
        <w:rPr>
          <w:rFonts w:ascii="Times New Roman;sans-serif" w:hAnsi="Times New Roman;sans-serif"/>
          <w:b w:val="false"/>
          <w:color w:val="000000"/>
          <w:sz w:val="22"/>
        </w:rPr>
        <w:t>means the Hart-Scott-Rodino Antitrust Improvements Act of 1976, as amended, and any rules or regulations promulgated thereunder. </w:t>
      </w:r>
    </w:p>
    <w:p>
      <w:pPr>
        <w:pStyle w:val="TextBody"/>
        <w:spacing w:lineRule="auto" w:line="240" w:before="0" w:after="240"/>
        <w:ind w:left="0" w:right="0" w:hanging="720"/>
        <w:jc w:val="both"/>
        <w:rPr/>
      </w:pPr>
      <w:r>
        <w:rPr>
          <w:rFonts w:ascii="Times New Roman;sans-serif" w:hAnsi="Times New Roman;sans-serif"/>
          <w:b/>
          <w:color w:val="000000"/>
          <w:sz w:val="22"/>
        </w:rPr>
        <w:t>1.57</w:t>
      </w:r>
      <w:r>
        <w:rPr>
          <w:color w:val="000000"/>
        </w:rPr>
        <w:t>“</w:t>
      </w:r>
      <w:r>
        <w:rPr>
          <w:rFonts w:ascii="Times New Roman;sans-serif" w:hAnsi="Times New Roman;sans-serif"/>
          <w:b/>
          <w:color w:val="000000"/>
          <w:sz w:val="22"/>
        </w:rPr>
        <w:t>IND</w:t>
      </w:r>
      <w:r>
        <w:rPr>
          <w:color w:val="000000"/>
        </w:rPr>
        <w:t xml:space="preserve">” </w:t>
      </w:r>
      <w:r>
        <w:rPr>
          <w:rFonts w:ascii="Times New Roman;sans-serif" w:hAnsi="Times New Roman;sans-serif"/>
          <w:b w:val="false"/>
          <w:color w:val="000000"/>
          <w:sz w:val="22"/>
        </w:rPr>
        <w:t>means an investigational new drug application filed with the FDA or the equivalent application or filing filed with any equivalent agency or Governmental Authority outside the United States (including any supra-national entity such as in the European Union) for approval to commence Clinical Trials in such jurisdiction such as a clinical trial application or a clinical trial notification, and including all regulations at Title 21 of the Code of Federal Regulations Part 312 et seq. and equivalent foreign regulations.</w:t>
      </w:r>
    </w:p>
    <w:p>
      <w:pPr>
        <w:pStyle w:val="TextBody"/>
        <w:spacing w:lineRule="auto" w:line="240" w:before="0" w:after="240"/>
        <w:ind w:left="0" w:right="0" w:hanging="720"/>
        <w:jc w:val="both"/>
        <w:rPr/>
      </w:pPr>
      <w:r>
        <w:rPr>
          <w:rFonts w:ascii="Times New Roman;sans-serif" w:hAnsi="Times New Roman;sans-serif"/>
          <w:b/>
          <w:color w:val="000000"/>
          <w:sz w:val="22"/>
        </w:rPr>
        <w:t>1.58</w:t>
      </w:r>
      <w:r>
        <w:rPr>
          <w:color w:val="000000"/>
        </w:rPr>
        <w:t>“</w:t>
      </w:r>
      <w:r>
        <w:rPr>
          <w:rFonts w:ascii="Times New Roman;sans-serif" w:hAnsi="Times New Roman;sans-serif"/>
          <w:b/>
          <w:color w:val="000000"/>
          <w:sz w:val="22"/>
        </w:rPr>
        <w:t>Indemnified Party</w:t>
      </w:r>
      <w:r>
        <w:rPr>
          <w:color w:val="000000"/>
        </w:rPr>
        <w:t xml:space="preserve">” </w:t>
      </w:r>
      <w:r>
        <w:rPr>
          <w:rFonts w:ascii="Times New Roman;sans-serif" w:hAnsi="Times New Roman;sans-serif"/>
          <w:b w:val="false"/>
          <w:color w:val="000000"/>
          <w:sz w:val="22"/>
        </w:rPr>
        <w:t>has the meaning set forth in Section 8.3.1.</w:t>
      </w:r>
    </w:p>
    <w:p>
      <w:pPr>
        <w:pStyle w:val="TextBody"/>
        <w:spacing w:lineRule="auto" w:line="240" w:before="0" w:after="240"/>
        <w:ind w:left="0" w:right="0" w:hanging="720"/>
        <w:jc w:val="both"/>
        <w:rPr/>
      </w:pPr>
      <w:r>
        <w:rPr>
          <w:rFonts w:ascii="Times New Roman;sans-serif" w:hAnsi="Times New Roman;sans-serif"/>
          <w:b/>
          <w:color w:val="000000"/>
          <w:sz w:val="22"/>
        </w:rPr>
        <w:t>1.59</w:t>
      </w:r>
      <w:r>
        <w:rPr>
          <w:color w:val="000000"/>
        </w:rPr>
        <w:t>“</w:t>
      </w:r>
      <w:r>
        <w:rPr>
          <w:rFonts w:ascii="Times New Roman;sans-serif" w:hAnsi="Times New Roman;sans-serif"/>
          <w:b/>
          <w:color w:val="000000"/>
          <w:sz w:val="22"/>
        </w:rPr>
        <w:t>Indemnifying Party</w:t>
      </w:r>
      <w:r>
        <w:rPr>
          <w:color w:val="000000"/>
        </w:rPr>
        <w:t xml:space="preserve">” </w:t>
      </w:r>
      <w:r>
        <w:rPr>
          <w:rFonts w:ascii="Times New Roman;sans-serif" w:hAnsi="Times New Roman;sans-serif"/>
          <w:b w:val="false"/>
          <w:color w:val="000000"/>
          <w:sz w:val="22"/>
        </w:rPr>
        <w:t>has the meaning set forth in Section 8.3.1.</w:t>
      </w:r>
    </w:p>
    <w:p>
      <w:pPr>
        <w:pStyle w:val="TextBody"/>
        <w:spacing w:lineRule="auto" w:line="240" w:before="0" w:after="240"/>
        <w:ind w:left="0" w:right="0" w:hanging="720"/>
        <w:jc w:val="both"/>
        <w:rPr/>
      </w:pPr>
      <w:r>
        <w:rPr>
          <w:rFonts w:ascii="Times New Roman;sans-serif" w:hAnsi="Times New Roman;sans-serif"/>
          <w:b/>
          <w:color w:val="000000"/>
          <w:sz w:val="22"/>
        </w:rPr>
        <w:t>1.60</w:t>
      </w:r>
      <w:r>
        <w:rPr>
          <w:color w:val="000000"/>
        </w:rPr>
        <w:t>“</w:t>
      </w:r>
      <w:r>
        <w:rPr>
          <w:rFonts w:ascii="Times New Roman;sans-serif" w:hAnsi="Times New Roman;sans-serif"/>
          <w:b/>
          <w:color w:val="000000"/>
          <w:sz w:val="22"/>
        </w:rPr>
        <w:t>Information</w:t>
      </w:r>
      <w:r>
        <w:rPr>
          <w:color w:val="000000"/>
        </w:rPr>
        <w:t xml:space="preserve">” </w:t>
      </w:r>
      <w:r>
        <w:rPr>
          <w:rFonts w:ascii="Times New Roman;sans-serif" w:hAnsi="Times New Roman;sans-serif"/>
          <w:b w:val="false"/>
          <w:color w:val="000000"/>
          <w:sz w:val="22"/>
        </w:rPr>
        <w:t xml:space="preserve">means any and all information and data, including all Organon Know-How, all Daré Know-How, and all other scientific, Development, regulatory, Manufacturing, and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24890"/>
                <wp:effectExtent l="0" t="0" r="0" b="0"/>
                <wp:wrapNone/>
                <wp:docPr id="50" name="Frame49"/>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Commercialization information or data, whether communicated in writing or orally or by any other method, which is provided by one Party to the other Party in connection with this Agreement. Daré’s Information includes information and data relating to TriLogic or MilanaPharm in the DTM Upstream License Agreement and the terms of the DTM Upstream License Agreement. </w:t>
      </w:r>
    </w:p>
    <w:p>
      <w:pPr>
        <w:pStyle w:val="TextBody"/>
        <w:spacing w:lineRule="auto" w:line="240" w:before="0" w:after="240"/>
        <w:ind w:left="0" w:right="0" w:hanging="720"/>
        <w:jc w:val="both"/>
        <w:rPr/>
      </w:pPr>
      <w:r>
        <w:rPr>
          <w:rFonts w:ascii="Times New Roman;sans-serif" w:hAnsi="Times New Roman;sans-serif"/>
          <w:b/>
          <w:color w:val="000000"/>
          <w:sz w:val="22"/>
        </w:rPr>
        <w:t>1.61</w:t>
      </w:r>
      <w:r>
        <w:rPr>
          <w:color w:val="000000"/>
        </w:rPr>
        <w:t>“</w:t>
      </w:r>
      <w:r>
        <w:rPr>
          <w:rFonts w:ascii="Times New Roman;sans-serif" w:hAnsi="Times New Roman;sans-serif"/>
          <w:b/>
          <w:color w:val="000000"/>
          <w:sz w:val="22"/>
        </w:rPr>
        <w:t>Invention</w:t>
      </w:r>
      <w:r>
        <w:rPr>
          <w:color w:val="000000"/>
        </w:rPr>
        <w:t xml:space="preserve">” </w:t>
      </w:r>
      <w:r>
        <w:rPr>
          <w:rFonts w:ascii="Times New Roman;sans-serif" w:hAnsi="Times New Roman;sans-serif"/>
          <w:b w:val="false"/>
          <w:color w:val="000000"/>
          <w:sz w:val="22"/>
        </w:rPr>
        <w:t xml:space="preserve">means, whether or not patentable, any process, method, composition of matter, article of Manufacture, discovery or finding that is conceived or reduced to practice by or on behalf of at least one representative of Daré or at least one representative of Organon in performing Development activities pursuant to this Agreement. </w:t>
      </w:r>
    </w:p>
    <w:p>
      <w:pPr>
        <w:pStyle w:val="TextBody"/>
        <w:spacing w:lineRule="auto" w:line="240" w:before="0" w:after="240"/>
        <w:ind w:left="0" w:right="0" w:hanging="720"/>
        <w:jc w:val="both"/>
        <w:rPr/>
      </w:pPr>
      <w:r>
        <w:rPr>
          <w:rFonts w:ascii="Times New Roman;sans-serif" w:hAnsi="Times New Roman;sans-serif"/>
          <w:b/>
          <w:color w:val="000000"/>
          <w:sz w:val="22"/>
        </w:rPr>
        <w:t>1.62</w:t>
      </w:r>
      <w:r>
        <w:rPr>
          <w:color w:val="000000"/>
        </w:rPr>
        <w:t>“</w:t>
      </w:r>
      <w:r>
        <w:rPr>
          <w:rFonts w:ascii="Times New Roman;sans-serif" w:hAnsi="Times New Roman;sans-serif"/>
          <w:b/>
          <w:color w:val="000000"/>
          <w:sz w:val="22"/>
        </w:rPr>
        <w:t>Joint Agreement Information and Inventions</w:t>
      </w:r>
      <w:r>
        <w:rPr>
          <w:color w:val="000000"/>
        </w:rPr>
        <w:t xml:space="preserve">” </w:t>
      </w:r>
      <w:r>
        <w:rPr>
          <w:rFonts w:ascii="Times New Roman;sans-serif" w:hAnsi="Times New Roman;sans-serif"/>
          <w:b w:val="false"/>
          <w:color w:val="000000"/>
          <w:sz w:val="22"/>
        </w:rPr>
        <w:t>means all protocols, formulas, data, Inventions, know-how and trade secrets, patentable or otherwise, that are developed, created, made, discovered, invented, conceived, reduced to practice or otherwise result from the activities conducted by or on behalf of at least one representative of Daré together with at least one representative of Organon in performing research or Development activities pursuant to this Agreement.</w:t>
      </w:r>
    </w:p>
    <w:p>
      <w:pPr>
        <w:pStyle w:val="TextBody"/>
        <w:spacing w:lineRule="auto" w:line="240" w:before="0" w:after="240"/>
        <w:ind w:left="0" w:right="0" w:hanging="720"/>
        <w:jc w:val="both"/>
        <w:rPr/>
      </w:pPr>
      <w:r>
        <w:rPr>
          <w:rFonts w:ascii="Times New Roman;sans-serif" w:hAnsi="Times New Roman;sans-serif"/>
          <w:b/>
          <w:color w:val="000000"/>
          <w:sz w:val="22"/>
        </w:rPr>
        <w:t>1.63</w:t>
      </w:r>
      <w:r>
        <w:rPr>
          <w:color w:val="000000"/>
        </w:rPr>
        <w:t>“</w:t>
      </w:r>
      <w:r>
        <w:rPr>
          <w:rFonts w:ascii="Times New Roman;sans-serif" w:hAnsi="Times New Roman;sans-serif"/>
          <w:b/>
          <w:color w:val="000000"/>
          <w:sz w:val="22"/>
        </w:rPr>
        <w:t>Joint Patents</w:t>
      </w:r>
      <w:r>
        <w:rPr>
          <w:color w:val="000000"/>
        </w:rPr>
        <w:t xml:space="preserve">” </w:t>
      </w:r>
      <w:r>
        <w:rPr>
          <w:rFonts w:ascii="Times New Roman;sans-serif" w:hAnsi="Times New Roman;sans-serif"/>
          <w:b w:val="false"/>
          <w:color w:val="000000"/>
          <w:sz w:val="22"/>
        </w:rPr>
        <w:t xml:space="preserve">means Patents that claim or cover Joint Agreement Information and Inventions. </w:t>
      </w:r>
    </w:p>
    <w:p>
      <w:pPr>
        <w:pStyle w:val="TextBody"/>
        <w:spacing w:lineRule="auto" w:line="240" w:before="0" w:after="240"/>
        <w:ind w:left="0" w:right="0" w:hanging="720"/>
        <w:jc w:val="both"/>
        <w:rPr/>
      </w:pPr>
      <w:r>
        <w:rPr>
          <w:rFonts w:ascii="Times New Roman;sans-serif" w:hAnsi="Times New Roman;sans-serif"/>
          <w:b/>
          <w:color w:val="000000"/>
          <w:sz w:val="22"/>
        </w:rPr>
        <w:t>1.64</w:t>
      </w:r>
      <w:r>
        <w:rPr>
          <w:color w:val="000000"/>
        </w:rPr>
        <w:t>“</w:t>
      </w:r>
      <w:r>
        <w:rPr>
          <w:rFonts w:ascii="Times New Roman;sans-serif" w:hAnsi="Times New Roman;sans-serif"/>
          <w:b/>
          <w:color w:val="000000"/>
          <w:sz w:val="22"/>
        </w:rPr>
        <w:t>Knowledge</w:t>
      </w:r>
      <w:r>
        <w:rPr>
          <w:color w:val="000000"/>
        </w:rPr>
        <w:t xml:space="preserve">” </w:t>
      </w:r>
      <w:r>
        <w:rPr>
          <w:rFonts w:ascii="Times New Roman;sans-serif" w:hAnsi="Times New Roman;sans-serif"/>
          <w:b w:val="false"/>
          <w:color w:val="000000"/>
          <w:sz w:val="22"/>
        </w:rPr>
        <w:t>means, with respect to a Party, the actual knowledge of the officers of such Party after reasonable investigation, including through direct or indirect reports of any such officer, except in such cases indicated in this Agreement where no investigation is required.</w:t>
      </w:r>
    </w:p>
    <w:p>
      <w:pPr>
        <w:pStyle w:val="TextBody"/>
        <w:spacing w:lineRule="auto" w:line="240" w:before="0" w:after="240"/>
        <w:ind w:left="0" w:right="0" w:hanging="720"/>
        <w:jc w:val="both"/>
        <w:rPr/>
      </w:pPr>
      <w:r>
        <w:rPr>
          <w:rFonts w:ascii="Times New Roman;sans-serif" w:hAnsi="Times New Roman;sans-serif"/>
          <w:b/>
          <w:color w:val="000000"/>
          <w:sz w:val="22"/>
        </w:rPr>
        <w:t>1.65</w:t>
      </w:r>
      <w:r>
        <w:rPr>
          <w:color w:val="000000"/>
        </w:rPr>
        <w:t>“</w:t>
      </w:r>
      <w:r>
        <w:rPr>
          <w:rFonts w:ascii="Times New Roman;sans-serif" w:hAnsi="Times New Roman;sans-serif"/>
          <w:b/>
          <w:color w:val="000000"/>
          <w:sz w:val="22"/>
        </w:rPr>
        <w:t>Licensed Product</w:t>
      </w:r>
      <w:r>
        <w:rPr>
          <w:color w:val="000000"/>
        </w:rPr>
        <w:t xml:space="preserve">” </w:t>
      </w:r>
      <w:r>
        <w:rPr>
          <w:rFonts w:ascii="Times New Roman;sans-serif" w:hAnsi="Times New Roman;sans-serif"/>
          <w:b w:val="false"/>
          <w:color w:val="000000"/>
          <w:sz w:val="22"/>
        </w:rPr>
        <w:t>means (a) the thermosetting vaginal gel formulated with clindamycin phosphate two percent (2%) that is the subject of the Daré Marketing Authorization, [***] and (b) any other product formulated with clindamycin [***], including any Combination Product, and (ii) that is Developed, Manufactured, Commercialized or otherwise Exploited using any Daré Know-How or the Development, Manufacture, Commercialization or Exploitation of which would, but for the rights granted under this Agreement, infringe a Daré Patent.</w:t>
      </w:r>
    </w:p>
    <w:p>
      <w:pPr>
        <w:pStyle w:val="TextBody"/>
        <w:spacing w:lineRule="auto" w:line="240" w:before="0" w:after="240"/>
        <w:ind w:left="0" w:right="0" w:hanging="720"/>
        <w:jc w:val="both"/>
        <w:rPr/>
      </w:pPr>
      <w:r>
        <w:rPr>
          <w:rFonts w:ascii="Times New Roman;sans-serif" w:hAnsi="Times New Roman;sans-serif"/>
          <w:b/>
          <w:color w:val="000000"/>
          <w:sz w:val="22"/>
        </w:rPr>
        <w:t>1.66</w:t>
      </w:r>
      <w:r>
        <w:rPr>
          <w:color w:val="000000"/>
        </w:rPr>
        <w:t>“</w:t>
      </w:r>
      <w:r>
        <w:rPr>
          <w:rFonts w:ascii="Times New Roman;sans-serif" w:hAnsi="Times New Roman;sans-serif"/>
          <w:b/>
          <w:color w:val="000000"/>
          <w:sz w:val="22"/>
        </w:rPr>
        <w:t>Legacy Data</w:t>
      </w:r>
      <w:r>
        <w:rPr>
          <w:color w:val="000000"/>
        </w:rPr>
        <w:t xml:space="preserve">” </w:t>
      </w:r>
      <w:r>
        <w:rPr>
          <w:rFonts w:ascii="Times New Roman;sans-serif" w:hAnsi="Times New Roman;sans-serif"/>
          <w:b w:val="false"/>
          <w:color w:val="000000"/>
          <w:sz w:val="22"/>
        </w:rPr>
        <w:t>has the meaning set forth in Section 2.2.2.</w:t>
      </w:r>
    </w:p>
    <w:p>
      <w:pPr>
        <w:pStyle w:val="TextBody"/>
        <w:spacing w:lineRule="auto" w:line="240" w:before="0" w:after="240"/>
        <w:ind w:left="0" w:right="0" w:hanging="720"/>
        <w:jc w:val="both"/>
        <w:rPr/>
      </w:pPr>
      <w:r>
        <w:rPr>
          <w:rFonts w:ascii="Times New Roman;sans-serif" w:hAnsi="Times New Roman;sans-serif"/>
          <w:b/>
          <w:color w:val="000000"/>
          <w:sz w:val="22"/>
        </w:rPr>
        <w:t>1.67</w:t>
      </w:r>
      <w:r>
        <w:rPr>
          <w:color w:val="000000"/>
        </w:rPr>
        <w:t>“</w:t>
      </w:r>
      <w:r>
        <w:rPr>
          <w:rFonts w:ascii="Times New Roman;sans-serif" w:hAnsi="Times New Roman;sans-serif"/>
          <w:b/>
          <w:color w:val="000000"/>
          <w:sz w:val="22"/>
        </w:rPr>
        <w:t>Losses</w:t>
      </w:r>
      <w:r>
        <w:rPr>
          <w:color w:val="000000"/>
        </w:rPr>
        <w:t xml:space="preserve">” </w:t>
      </w:r>
      <w:r>
        <w:rPr>
          <w:rFonts w:ascii="Times New Roman;sans-serif" w:hAnsi="Times New Roman;sans-serif"/>
          <w:b w:val="false"/>
          <w:color w:val="000000"/>
          <w:sz w:val="22"/>
        </w:rPr>
        <w:t>has the meaning set forth in Section 8.1.</w:t>
      </w:r>
    </w:p>
    <w:p>
      <w:pPr>
        <w:pStyle w:val="TextBody"/>
        <w:spacing w:lineRule="auto" w:line="240" w:before="0" w:after="240"/>
        <w:ind w:left="0" w:right="0" w:hanging="720"/>
        <w:jc w:val="both"/>
        <w:rPr/>
      </w:pPr>
      <w:r>
        <w:rPr>
          <w:rFonts w:ascii="Times New Roman;sans-serif" w:hAnsi="Times New Roman;sans-serif"/>
          <w:b/>
          <w:color w:val="000000"/>
          <w:sz w:val="22"/>
        </w:rPr>
        <w:t>1.68</w:t>
      </w:r>
      <w:r>
        <w:rPr>
          <w:color w:val="000000"/>
        </w:rPr>
        <w:t>“</w:t>
      </w:r>
      <w:r>
        <w:rPr>
          <w:rFonts w:ascii="Times New Roman;sans-serif" w:hAnsi="Times New Roman;sans-serif"/>
          <w:b/>
          <w:color w:val="000000"/>
          <w:sz w:val="22"/>
        </w:rPr>
        <w:t>Manufacture</w:t>
      </w:r>
      <w:r>
        <w:rPr>
          <w:color w:val="000000"/>
        </w:rPr>
        <w:t xml:space="preserve">” </w:t>
      </w:r>
      <w:r>
        <w:rPr>
          <w:rFonts w:ascii="Times New Roman;sans-serif" w:hAnsi="Times New Roman;sans-serif"/>
          <w:b w:val="false"/>
          <w:color w:val="000000"/>
          <w:sz w:val="22"/>
        </w:rPr>
        <w:t>means all activities related to the synthesis, making, having made, production, processing, purifying, formulating, filling, finishing, packaging, labelling, shipping, and holding of a product or any intermediate thereof, including process development, process qualification and validation, scale-up, pre-clinical, clinical and commercial production and analytic development, product characterization, supply chain, stability testing, quality assurance testing and release, investigations, risk assessments, corrective actions, and quality control. “</w:t>
      </w:r>
      <w:r>
        <w:rPr>
          <w:rFonts w:ascii="Times New Roman;sans-serif" w:hAnsi="Times New Roman;sans-serif"/>
          <w:b/>
          <w:color w:val="000000"/>
          <w:sz w:val="22"/>
        </w:rPr>
        <w:t>Manufactured</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Manufacturing</w:t>
      </w:r>
      <w:r>
        <w:rPr>
          <w:color w:val="000000"/>
        </w:rPr>
        <w:t xml:space="preserve">” </w:t>
      </w:r>
      <w:r>
        <w:rPr>
          <w:rFonts w:ascii="Times New Roman;sans-serif" w:hAnsi="Times New Roman;sans-serif"/>
          <w:b w:val="false"/>
          <w:color w:val="000000"/>
          <w:sz w:val="22"/>
        </w:rPr>
        <w:t xml:space="preserve">has a correlative meaning. </w:t>
      </w:r>
    </w:p>
    <w:p>
      <w:pPr>
        <w:pStyle w:val="TextBody"/>
        <w:spacing w:lineRule="auto" w:line="240" w:before="0" w:after="240"/>
        <w:ind w:left="0" w:right="0" w:hanging="720"/>
        <w:jc w:val="both"/>
        <w:rPr/>
      </w:pPr>
      <w:r>
        <w:rPr>
          <w:rFonts w:ascii="Times New Roman;sans-serif" w:hAnsi="Times New Roman;sans-serif"/>
          <w:b/>
          <w:color w:val="000000"/>
          <w:sz w:val="22"/>
        </w:rPr>
        <w:t>1.69</w:t>
      </w:r>
      <w:r>
        <w:rPr>
          <w:color w:val="000000"/>
        </w:rPr>
        <w:t>“</w:t>
      </w:r>
      <w:r>
        <w:rPr>
          <w:rFonts w:ascii="Times New Roman;sans-serif" w:hAnsi="Times New Roman;sans-serif"/>
          <w:b/>
          <w:color w:val="000000"/>
          <w:sz w:val="22"/>
        </w:rPr>
        <w:t>Manufacturing Process</w:t>
      </w:r>
      <w:r>
        <w:rPr>
          <w:color w:val="000000"/>
        </w:rPr>
        <w:t xml:space="preserve">” </w:t>
      </w:r>
      <w:r>
        <w:rPr>
          <w:rFonts w:ascii="Times New Roman;sans-serif" w:hAnsi="Times New Roman;sans-serif"/>
          <w:b w:val="false"/>
          <w:color w:val="000000"/>
          <w:sz w:val="22"/>
        </w:rPr>
        <w:t>has the meaning set forth in Section 4.2.</w:t>
      </w:r>
    </w:p>
    <w:p>
      <w:pPr>
        <w:pStyle w:val="TextBody"/>
        <w:spacing w:lineRule="auto" w:line="240" w:before="0" w:after="240"/>
        <w:ind w:left="0" w:right="0" w:hanging="720"/>
        <w:jc w:val="both"/>
        <w:rPr/>
      </w:pPr>
      <w:r>
        <w:rPr>
          <w:rFonts w:ascii="Times New Roman;sans-serif" w:hAnsi="Times New Roman;sans-serif"/>
          <w:b/>
          <w:color w:val="000000"/>
          <w:sz w:val="22"/>
        </w:rPr>
        <w:t>1.70</w:t>
      </w:r>
      <w:r>
        <w:rPr>
          <w:color w:val="000000"/>
        </w:rPr>
        <w:t>“</w:t>
      </w:r>
      <w:r>
        <w:rPr>
          <w:rFonts w:ascii="Times New Roman;sans-serif" w:hAnsi="Times New Roman;sans-serif"/>
          <w:b/>
          <w:color w:val="000000"/>
          <w:sz w:val="22"/>
        </w:rPr>
        <w:t>Manufacturing Technology Transfer</w:t>
      </w:r>
      <w:r>
        <w:rPr>
          <w:color w:val="000000"/>
        </w:rPr>
        <w:t xml:space="preserve">” </w:t>
      </w:r>
      <w:r>
        <w:rPr>
          <w:rFonts w:ascii="Times New Roman;sans-serif" w:hAnsi="Times New Roman;sans-serif"/>
          <w:b w:val="false"/>
          <w:color w:val="000000"/>
          <w:sz w:val="22"/>
        </w:rPr>
        <w:t>has the meaning set forth in Section 4.2.</w:t>
      </w:r>
    </w:p>
    <w:p>
      <w:pPr>
        <w:pStyle w:val="TextBody"/>
        <w:spacing w:lineRule="auto" w:line="240" w:before="0" w:after="240"/>
        <w:ind w:left="0" w:right="0" w:hanging="720"/>
        <w:jc w:val="both"/>
        <w:rPr/>
      </w:pPr>
      <w:r>
        <w:rPr>
          <w:rFonts w:ascii="Times New Roman;sans-serif" w:hAnsi="Times New Roman;sans-serif"/>
          <w:b/>
          <w:color w:val="000000"/>
          <w:sz w:val="22"/>
        </w:rPr>
        <w:t>1.71</w:t>
      </w:r>
      <w:r>
        <w:rPr>
          <w:color w:val="000000"/>
        </w:rPr>
        <w:t>“</w:t>
      </w:r>
      <w:r>
        <w:rPr>
          <w:rFonts w:ascii="Times New Roman;sans-serif" w:hAnsi="Times New Roman;sans-serif"/>
          <w:b/>
          <w:color w:val="000000"/>
          <w:sz w:val="22"/>
        </w:rPr>
        <w:t>Marketing Authorization</w:t>
      </w:r>
      <w:r>
        <w:rPr>
          <w:color w:val="000000"/>
        </w:rPr>
        <w:t xml:space="preserve">” </w:t>
      </w:r>
      <w:r>
        <w:rPr>
          <w:rFonts w:ascii="Times New Roman;sans-serif" w:hAnsi="Times New Roman;sans-serif"/>
          <w:b w:val="false"/>
          <w:color w:val="000000"/>
          <w:sz w:val="22"/>
        </w:rPr>
        <w:t xml:space="preserve">means (a) approval or other authorization of an NDA in the United States, and in any other jurisdiction, all approvals from the relevant Regulatory Authority necessary to legally market, distribute, offer for sale or sell a product in the Field in the Territory, including all applicable pricing and governmental reimbursement approvals in regulatory jurisdiction where the applicable Regulatory Authorities must approve or determine the price or reimbursement of all of the product in a country and (b) any other required approvals or authorizations from the relevant Regulatory Authority related to marketing, promoting, distributing, importing for sale, offering for sale, selling, or otherwise disposing of the product in such country (including any required pricing and governmental reimbursement approvals).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24890"/>
                <wp:effectExtent l="0" t="0" r="0" b="0"/>
                <wp:wrapNone/>
                <wp:docPr id="51" name="Frame50"/>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1.72</w:t>
      </w:r>
      <w:r>
        <w:rPr>
          <w:color w:val="000000"/>
        </w:rPr>
        <w:t>“</w:t>
      </w:r>
      <w:r>
        <w:rPr>
          <w:rFonts w:ascii="Times New Roman;sans-serif" w:hAnsi="Times New Roman;sans-serif"/>
          <w:b/>
          <w:color w:val="000000"/>
          <w:sz w:val="22"/>
        </w:rPr>
        <w:t>MilanaPharm</w:t>
      </w:r>
      <w:r>
        <w:rPr>
          <w:color w:val="000000"/>
        </w:rPr>
        <w:t xml:space="preserve">” </w:t>
      </w:r>
      <w:r>
        <w:rPr>
          <w:rFonts w:ascii="Times New Roman;sans-serif" w:hAnsi="Times New Roman;sans-serif"/>
          <w:b w:val="false"/>
          <w:color w:val="000000"/>
          <w:sz w:val="22"/>
        </w:rPr>
        <w:t>has the meaning set forth in Section 1.40.</w:t>
      </w:r>
    </w:p>
    <w:p>
      <w:pPr>
        <w:pStyle w:val="TextBody"/>
        <w:spacing w:lineRule="auto" w:line="240" w:before="0" w:after="240"/>
        <w:ind w:left="0" w:right="0" w:hanging="720"/>
        <w:jc w:val="both"/>
        <w:rPr/>
      </w:pPr>
      <w:r>
        <w:rPr>
          <w:rFonts w:ascii="Times New Roman;sans-serif" w:hAnsi="Times New Roman;sans-serif"/>
          <w:b/>
          <w:color w:val="000000"/>
          <w:sz w:val="22"/>
        </w:rPr>
        <w:t>1.73</w:t>
      </w:r>
      <w:r>
        <w:rPr>
          <w:color w:val="000000"/>
        </w:rPr>
        <w:t>“</w:t>
      </w:r>
      <w:r>
        <w:rPr>
          <w:rFonts w:ascii="Times New Roman;sans-serif" w:hAnsi="Times New Roman;sans-serif"/>
          <w:b/>
          <w:color w:val="000000"/>
          <w:sz w:val="22"/>
        </w:rPr>
        <w:t>NDA</w:t>
      </w:r>
      <w:r>
        <w:rPr>
          <w:color w:val="000000"/>
        </w:rPr>
        <w:t xml:space="preserve">” </w:t>
      </w:r>
      <w:r>
        <w:rPr>
          <w:rFonts w:ascii="Times New Roman;sans-serif" w:hAnsi="Times New Roman;sans-serif"/>
          <w:b w:val="false"/>
          <w:color w:val="000000"/>
          <w:sz w:val="22"/>
        </w:rPr>
        <w:t>means a New Drug Application, Biologics License Application, any other Marketing Authorization, filing pursuant to Section 510(k) of the Act or a Premarket Approval (PMA) premarketing authorization, or similar application or submission for Marketing Authorization filed with a Regulatory Authority to obtain marketing approval for a biological, pharmaceutical or medical device product in that country or in that group of countries.</w:t>
      </w:r>
    </w:p>
    <w:p>
      <w:pPr>
        <w:pStyle w:val="TextBody"/>
        <w:spacing w:lineRule="auto" w:line="240" w:before="0" w:after="240"/>
        <w:ind w:left="0" w:right="0" w:hanging="720"/>
        <w:jc w:val="both"/>
        <w:rPr/>
      </w:pPr>
      <w:r>
        <w:rPr>
          <w:rFonts w:ascii="Times New Roman;sans-serif" w:hAnsi="Times New Roman;sans-serif"/>
          <w:b/>
          <w:color w:val="000000"/>
          <w:sz w:val="22"/>
        </w:rPr>
        <w:t>1.74</w:t>
      </w:r>
      <w:r>
        <w:rPr>
          <w:color w:val="000000"/>
        </w:rPr>
        <w:t>“</w:t>
      </w:r>
      <w:r>
        <w:rPr>
          <w:rFonts w:ascii="Times New Roman;sans-serif" w:hAnsi="Times New Roman;sans-serif"/>
          <w:b/>
          <w:color w:val="000000"/>
          <w:sz w:val="22"/>
        </w:rPr>
        <w:t>Negotiation Period</w:t>
      </w:r>
      <w:r>
        <w:rPr>
          <w:color w:val="000000"/>
        </w:rPr>
        <w:t xml:space="preserve">” </w:t>
      </w:r>
      <w:r>
        <w:rPr>
          <w:rFonts w:ascii="Times New Roman;sans-serif" w:hAnsi="Times New Roman;sans-serif"/>
          <w:b w:val="false"/>
          <w:color w:val="000000"/>
          <w:sz w:val="22"/>
        </w:rPr>
        <w:t>has the meaning set forth in Section 3.7.1(a).</w:t>
      </w:r>
    </w:p>
    <w:p>
      <w:pPr>
        <w:pStyle w:val="TextBody"/>
        <w:spacing w:lineRule="auto" w:line="240" w:before="0" w:after="240"/>
        <w:ind w:left="0" w:right="0" w:hanging="720"/>
        <w:jc w:val="both"/>
        <w:rPr/>
      </w:pPr>
      <w:r>
        <w:rPr>
          <w:rFonts w:ascii="Times New Roman;sans-serif" w:hAnsi="Times New Roman;sans-serif"/>
          <w:b/>
          <w:color w:val="000000"/>
          <w:sz w:val="22"/>
        </w:rPr>
        <w:t>1.75</w:t>
      </w:r>
      <w:r>
        <w:rPr>
          <w:color w:val="000000"/>
        </w:rPr>
        <w:t>“</w:t>
      </w:r>
      <w:r>
        <w:rPr>
          <w:rFonts w:ascii="Times New Roman;sans-serif" w:hAnsi="Times New Roman;sans-serif"/>
          <w:b/>
          <w:color w:val="000000"/>
          <w:sz w:val="22"/>
        </w:rPr>
        <w:t>Net Sales</w:t>
      </w:r>
      <w:r>
        <w:rPr>
          <w:color w:val="000000"/>
        </w:rPr>
        <w:t xml:space="preserve">” </w:t>
      </w:r>
      <w:r>
        <w:rPr>
          <w:rFonts w:ascii="Times New Roman;sans-serif" w:hAnsi="Times New Roman;sans-serif"/>
          <w:b w:val="false"/>
          <w:color w:val="000000"/>
          <w:sz w:val="22"/>
        </w:rPr>
        <w:t xml:space="preserve">means the gross invoice price ([***]) of a Licensed Product sold by a Related Party to the first Third Party in a country after the First Commercial Sale of Licensed Product in such country, after deducting: </w:t>
      </w:r>
    </w:p>
    <w:p>
      <w:pPr>
        <w:pStyle w:val="TextBody"/>
        <w:spacing w:lineRule="auto" w:line="240" w:before="0" w:after="240"/>
        <w:ind w:left="0" w:right="0" w:hanging="720"/>
        <w:jc w:val="both"/>
        <w:rPr/>
      </w:pPr>
      <w:r>
        <w:rPr>
          <w:rFonts w:ascii="Times New Roman;sans-serif" w:hAnsi="Times New Roman;sans-serif"/>
          <w:b/>
          <w:color w:val="000000"/>
          <w:sz w:val="22"/>
        </w:rPr>
        <w:t>1.75.1</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1.75.2</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1.75.3</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1.75.4</w:t>
      </w:r>
      <w:r>
        <w:rPr>
          <w:rFonts w:ascii="Times New Roman;sans-serif" w:hAnsi="Times New Roman;sans-serif"/>
          <w:b w:val="false"/>
          <w:color w:val="000000"/>
          <w:sz w:val="22"/>
        </w:rPr>
        <w:t>[***]; and</w:t>
      </w:r>
    </w:p>
    <w:p>
      <w:pPr>
        <w:pStyle w:val="TextBody"/>
        <w:spacing w:lineRule="auto" w:line="240" w:before="0" w:after="240"/>
        <w:ind w:left="0" w:right="0" w:hanging="720"/>
        <w:jc w:val="both"/>
        <w:rPr/>
      </w:pPr>
      <w:r>
        <w:rPr>
          <w:rFonts w:ascii="Times New Roman;sans-serif" w:hAnsi="Times New Roman;sans-serif"/>
          <w:b/>
          <w:color w:val="000000"/>
          <w:sz w:val="22"/>
        </w:rPr>
        <w:t>1.75.5</w:t>
      </w:r>
      <w:r>
        <w:rPr>
          <w:rFonts w:ascii="Times New Roman;sans-serif" w:hAnsi="Times New Roman;sans-serif"/>
          <w:b w:val="false"/>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Deductions shall be calculated in accordance with the Related Party’s standard accounting standards consistently applied by the Related Party for the country(ies) in which the sales occur. Deductions for a single sale that includes Licensed Products with products that are not Licensed Products shall be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Net Sales shall not be imputed to transfers of Licensed Products, as applicable, for use in any Clinical Trial, non-clinical development activities with respect to Licensed Products by or on behalf of the Parties, for bona fide charitable purposes or for compassionate or other similar use or for reasonable and customary quantities of Licensed Product samples.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provisions (a) through (c) regarding Combination Products apply only to any given Combination Product where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If (i) a Licensed Product is sold by a Related Party in a country in the form of a Combination Product, (ii) the Licensed Product is sold by such Related Party in such country in a form [***] and (iii) the Other Product is also sold in such country [***], then Net Sales for such Combination Product will be calculated by multiplying actual Net Sales of such Combination Product by the fraction A/(A+B) where “</w:t>
      </w:r>
      <w:r>
        <w:rPr>
          <w:rFonts w:ascii="Times New Roman;sans-serif" w:hAnsi="Times New Roman;sans-serif"/>
          <w:b/>
          <w:color w:val="000000"/>
          <w:sz w:val="22"/>
        </w:rPr>
        <w:t>A</w:t>
      </w:r>
      <w:r>
        <w:rPr>
          <w:color w:val="000000"/>
        </w:rPr>
        <w:t xml:space="preserve">” </w:t>
      </w:r>
      <w:r>
        <w:rPr>
          <w:rFonts w:ascii="Times New Roman;sans-serif" w:hAnsi="Times New Roman;sans-serif"/>
          <w:b w:val="false"/>
          <w:color w:val="000000"/>
          <w:sz w:val="22"/>
        </w:rPr>
        <w:t>is [***], and “</w:t>
      </w:r>
      <w:r>
        <w:rPr>
          <w:rFonts w:ascii="Times New Roman;sans-serif" w:hAnsi="Times New Roman;sans-serif"/>
          <w:b/>
          <w:color w:val="000000"/>
          <w:sz w:val="22"/>
        </w:rPr>
        <w:t>B</w:t>
      </w:r>
      <w:r>
        <w:rPr>
          <w:color w:val="000000"/>
        </w:rPr>
        <w:t xml:space="preserve">” </w:t>
      </w:r>
      <w:r>
        <w:rPr>
          <w:rFonts w:ascii="Times New Roman;sans-serif" w:hAnsi="Times New Roman;sans-serif"/>
          <w:b w:val="false"/>
          <w:color w:val="000000"/>
          <w:sz w:val="22"/>
        </w:rPr>
        <w:t xml:space="preserve">is [***].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If (i) a Licensed Product is sold by a Related Party in a country in the form of a Combination Product, (ii) the Licensed Product is sold by such Related Party in such country in a form [***], and (iii) such Other Products in the Combination Product are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sold as a separate product in such country [***], then Net Sales for such Combination Product will be calculated by multiplying actual Net Sales of such Combination Product by the fraction A/C where “</w:t>
      </w:r>
      <w:r>
        <w:rPr>
          <w:rFonts w:ascii="Times New Roman;sans-serif" w:hAnsi="Times New Roman;sans-serif"/>
          <w:b/>
          <w:color w:val="000000"/>
          <w:sz w:val="22"/>
        </w:rPr>
        <w:t>A</w:t>
      </w:r>
      <w:r>
        <w:rPr>
          <w:color w:val="000000"/>
        </w:rPr>
        <w:t xml:space="preserve">” </w:t>
      </w:r>
      <w:r>
        <w:rPr>
          <w:rFonts w:ascii="Times New Roman;sans-serif" w:hAnsi="Times New Roman;sans-serif"/>
          <w:b w:val="false"/>
          <w:color w:val="000000"/>
          <w:sz w:val="22"/>
        </w:rPr>
        <w:t>is [***], and “</w:t>
      </w:r>
      <w:r>
        <w:rPr>
          <w:rFonts w:ascii="Times New Roman;sans-serif" w:hAnsi="Times New Roman;sans-serif"/>
          <w:b/>
          <w:color w:val="000000"/>
          <w:sz w:val="22"/>
        </w:rPr>
        <w:t>C</w:t>
      </w:r>
      <w:r>
        <w:rPr>
          <w:color w:val="000000"/>
        </w:rPr>
        <w:t xml:space="preserve">” </w:t>
      </w:r>
      <w:r>
        <w:rPr>
          <w:rFonts w:ascii="Times New Roman;sans-serif" w:hAnsi="Times New Roman;sans-serif"/>
          <w:b w:val="false"/>
          <w:color w:val="000000"/>
          <w:sz w:val="22"/>
        </w:rPr>
        <w:t xml:space="preserve">is [***].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If a Licensed Product is sold by a Related Party in a country only in the form of a Combination Product, then Net Sales for such Combination Product will be calculated by multiplying actual Net Sales of such Combination Product by the fraction D/E where “</w:t>
      </w:r>
      <w:r>
        <w:rPr>
          <w:rFonts w:ascii="Times New Roman;sans-serif" w:hAnsi="Times New Roman;sans-serif"/>
          <w:b/>
          <w:color w:val="000000"/>
          <w:sz w:val="22"/>
        </w:rPr>
        <w:t>D</w:t>
      </w:r>
      <w:r>
        <w:rPr>
          <w:color w:val="000000"/>
        </w:rPr>
        <w:t xml:space="preserve">” </w:t>
      </w:r>
      <w:r>
        <w:rPr>
          <w:rFonts w:ascii="Times New Roman;sans-serif" w:hAnsi="Times New Roman;sans-serif"/>
          <w:b w:val="false"/>
          <w:color w:val="000000"/>
          <w:sz w:val="22"/>
        </w:rPr>
        <w:t>is [***] and “</w:t>
      </w:r>
      <w:r>
        <w:rPr>
          <w:rFonts w:ascii="Times New Roman;sans-serif" w:hAnsi="Times New Roman;sans-serif"/>
          <w:b/>
          <w:color w:val="000000"/>
          <w:sz w:val="22"/>
        </w:rPr>
        <w:t>E</w:t>
      </w:r>
      <w:r>
        <w:rPr>
          <w:color w:val="000000"/>
        </w:rPr>
        <w:t xml:space="preserve">” </w:t>
      </w:r>
      <w:r>
        <w:rPr>
          <w:rFonts w:ascii="Times New Roman;sans-serif" w:hAnsi="Times New Roman;sans-serif"/>
          <w:b w:val="false"/>
          <w:color w:val="000000"/>
          <w:sz w:val="22"/>
        </w:rPr>
        <w:t xml:space="preserve">is [***]. If a Licensed Product [***].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24890"/>
                <wp:effectExtent l="0" t="0" r="0" b="0"/>
                <wp:wrapNone/>
                <wp:docPr id="52" name="Frame51"/>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 Related Party sells a Licensed Product to a customer who also purchases other products or services from such Related Party, the Related Party shall not manipulate the discount or price of any Licensed Product solely to increase sales or prices of such other products or services.</w:t>
      </w:r>
    </w:p>
    <w:p>
      <w:pPr>
        <w:pStyle w:val="TextBody"/>
        <w:spacing w:lineRule="auto" w:line="240" w:before="0" w:after="240"/>
        <w:ind w:left="0" w:right="0" w:hanging="720"/>
        <w:jc w:val="both"/>
        <w:rPr/>
      </w:pPr>
      <w:r>
        <w:rPr>
          <w:rFonts w:ascii="Times New Roman;sans-serif" w:hAnsi="Times New Roman;sans-serif"/>
          <w:b/>
          <w:color w:val="000000"/>
          <w:sz w:val="22"/>
        </w:rPr>
        <w:t>1.76</w:t>
      </w:r>
      <w:r>
        <w:rPr>
          <w:color w:val="000000"/>
        </w:rPr>
        <w:t>“</w:t>
      </w:r>
      <w:r>
        <w:rPr>
          <w:rFonts w:ascii="Times New Roman;sans-serif" w:hAnsi="Times New Roman;sans-serif"/>
          <w:b/>
          <w:color w:val="000000"/>
          <w:sz w:val="22"/>
        </w:rPr>
        <w:t>Non-compete Product</w:t>
      </w:r>
      <w:r>
        <w:rPr>
          <w:color w:val="000000"/>
        </w:rPr>
        <w:t xml:space="preserve">” </w:t>
      </w:r>
      <w:r>
        <w:rPr>
          <w:rFonts w:ascii="Times New Roman;sans-serif" w:hAnsi="Times New Roman;sans-serif"/>
          <w:b w:val="false"/>
          <w:color w:val="000000"/>
          <w:sz w:val="22"/>
        </w:rPr>
        <w:t>means a product, including any drug or device, that [***].</w:t>
      </w:r>
    </w:p>
    <w:p>
      <w:pPr>
        <w:pStyle w:val="TextBody"/>
        <w:spacing w:lineRule="auto" w:line="240" w:before="0" w:after="240"/>
        <w:ind w:left="0" w:right="0" w:hanging="720"/>
        <w:jc w:val="both"/>
        <w:rPr/>
      </w:pPr>
      <w:r>
        <w:rPr>
          <w:rFonts w:ascii="Times New Roman;sans-serif" w:hAnsi="Times New Roman;sans-serif"/>
          <w:b/>
          <w:color w:val="000000"/>
          <w:sz w:val="22"/>
        </w:rPr>
        <w:t>1.77</w:t>
      </w:r>
      <w:r>
        <w:rPr>
          <w:color w:val="000000"/>
        </w:rPr>
        <w:t>“</w:t>
      </w:r>
      <w:r>
        <w:rPr>
          <w:rFonts w:ascii="Times New Roman;sans-serif" w:hAnsi="Times New Roman;sans-serif"/>
          <w:b/>
          <w:color w:val="000000"/>
          <w:sz w:val="22"/>
        </w:rPr>
        <w:t>Non-Identifiable Data</w:t>
      </w:r>
      <w:r>
        <w:rPr>
          <w:color w:val="000000"/>
        </w:rPr>
        <w:t xml:space="preserve">” </w:t>
      </w:r>
      <w:r>
        <w:rPr>
          <w:rFonts w:ascii="Times New Roman;sans-serif" w:hAnsi="Times New Roman;sans-serif"/>
          <w:b w:val="false"/>
          <w:color w:val="000000"/>
          <w:sz w:val="22"/>
        </w:rPr>
        <w:t>has the meaning set forth in Section 2.6.1.</w:t>
      </w:r>
    </w:p>
    <w:p>
      <w:pPr>
        <w:pStyle w:val="TextBody"/>
        <w:spacing w:lineRule="auto" w:line="240" w:before="0" w:after="240"/>
        <w:ind w:left="0" w:right="0" w:hanging="720"/>
        <w:jc w:val="both"/>
        <w:rPr/>
      </w:pPr>
      <w:r>
        <w:rPr>
          <w:rFonts w:ascii="Times New Roman;sans-serif" w:hAnsi="Times New Roman;sans-serif"/>
          <w:b/>
          <w:color w:val="000000"/>
          <w:sz w:val="22"/>
        </w:rPr>
        <w:t>1.78</w:t>
      </w:r>
      <w:r>
        <w:rPr>
          <w:color w:val="000000"/>
        </w:rPr>
        <w:t>“</w:t>
      </w:r>
      <w:r>
        <w:rPr>
          <w:rFonts w:ascii="Times New Roman;sans-serif" w:hAnsi="Times New Roman;sans-serif"/>
          <w:b/>
          <w:color w:val="000000"/>
          <w:sz w:val="22"/>
        </w:rPr>
        <w:t>Organon</w:t>
      </w:r>
      <w:r>
        <w:rPr>
          <w:color w:val="000000"/>
        </w:rPr>
        <w:t xml:space="preserve">” </w:t>
      </w:r>
      <w:r>
        <w:rPr>
          <w:rFonts w:ascii="Times New Roman;sans-serif" w:hAnsi="Times New Roman;sans-serif"/>
          <w:b w:val="false"/>
          <w:color w:val="000000"/>
          <w:sz w:val="22"/>
        </w:rPr>
        <w:t>has the meaning given such term in the preamble to this Agreement.</w:t>
      </w:r>
    </w:p>
    <w:p>
      <w:pPr>
        <w:pStyle w:val="TextBody"/>
        <w:spacing w:lineRule="auto" w:line="240" w:before="0" w:after="240"/>
        <w:ind w:left="0" w:right="0" w:hanging="720"/>
        <w:jc w:val="both"/>
        <w:rPr/>
      </w:pPr>
      <w:r>
        <w:rPr>
          <w:rFonts w:ascii="Times New Roman;sans-serif" w:hAnsi="Times New Roman;sans-serif"/>
          <w:b/>
          <w:color w:val="000000"/>
          <w:sz w:val="22"/>
        </w:rPr>
        <w:t>1.79</w:t>
      </w:r>
      <w:r>
        <w:rPr>
          <w:color w:val="000000"/>
        </w:rPr>
        <w:t>“</w:t>
      </w:r>
      <w:r>
        <w:rPr>
          <w:rFonts w:ascii="Times New Roman;sans-serif" w:hAnsi="Times New Roman;sans-serif"/>
          <w:b/>
          <w:color w:val="000000"/>
          <w:sz w:val="22"/>
        </w:rPr>
        <w:t>Organon Indemnitee</w:t>
      </w:r>
      <w:r>
        <w:rPr>
          <w:color w:val="000000"/>
        </w:rPr>
        <w:t xml:space="preserve">” </w:t>
      </w:r>
      <w:r>
        <w:rPr>
          <w:rFonts w:ascii="Times New Roman;sans-serif" w:hAnsi="Times New Roman;sans-serif"/>
          <w:b w:val="false"/>
          <w:color w:val="000000"/>
          <w:sz w:val="22"/>
        </w:rPr>
        <w:t>has the meaning set forth in Section 8.2.</w:t>
      </w:r>
    </w:p>
    <w:p>
      <w:pPr>
        <w:pStyle w:val="TextBody"/>
        <w:spacing w:lineRule="auto" w:line="240" w:before="0" w:after="240"/>
        <w:ind w:left="0" w:right="0" w:hanging="720"/>
        <w:jc w:val="both"/>
        <w:rPr/>
      </w:pPr>
      <w:r>
        <w:rPr>
          <w:rFonts w:ascii="Times New Roman;sans-serif" w:hAnsi="Times New Roman;sans-serif"/>
          <w:b/>
          <w:color w:val="000000"/>
          <w:sz w:val="22"/>
        </w:rPr>
        <w:t>1.80</w:t>
      </w:r>
      <w:r>
        <w:rPr>
          <w:color w:val="000000"/>
        </w:rPr>
        <w:t>“</w:t>
      </w:r>
      <w:r>
        <w:rPr>
          <w:rFonts w:ascii="Times New Roman;sans-serif" w:hAnsi="Times New Roman;sans-serif"/>
          <w:b/>
          <w:color w:val="000000"/>
          <w:sz w:val="22"/>
        </w:rPr>
        <w:t>Organon Know-How</w:t>
      </w:r>
      <w:r>
        <w:rPr>
          <w:color w:val="000000"/>
        </w:rPr>
        <w:t xml:space="preserve">” </w:t>
      </w:r>
      <w:r>
        <w:rPr>
          <w:rFonts w:ascii="Times New Roman;sans-serif" w:hAnsi="Times New Roman;sans-serif"/>
          <w:b w:val="false"/>
          <w:color w:val="000000"/>
          <w:sz w:val="22"/>
        </w:rPr>
        <w:t>means all information and materials, including discoveries, improvements, processes, methods, protocols, formulas, data, inventions (including Organon’s rights in Joint Agreement Information and Inventions), know-how and trade secrets, patentable or otherwise, which during the term of this Agreement are owned by Organon or any of its Affiliates.</w:t>
      </w:r>
    </w:p>
    <w:p>
      <w:pPr>
        <w:pStyle w:val="TextBody"/>
        <w:spacing w:lineRule="auto" w:line="240" w:before="0" w:after="240"/>
        <w:ind w:left="0" w:right="0" w:hanging="720"/>
        <w:jc w:val="both"/>
        <w:rPr/>
      </w:pPr>
      <w:r>
        <w:rPr>
          <w:rFonts w:ascii="Times New Roman;sans-serif" w:hAnsi="Times New Roman;sans-serif"/>
          <w:b/>
          <w:color w:val="000000"/>
          <w:sz w:val="22"/>
        </w:rPr>
        <w:t>1.81</w:t>
      </w:r>
      <w:r>
        <w:rPr>
          <w:color w:val="000000"/>
        </w:rPr>
        <w:t>“</w:t>
      </w:r>
      <w:r>
        <w:rPr>
          <w:rFonts w:ascii="Times New Roman;sans-serif" w:hAnsi="Times New Roman;sans-serif"/>
          <w:b/>
          <w:color w:val="000000"/>
          <w:sz w:val="22"/>
        </w:rPr>
        <w:t>Organon Marketing Authorizations</w:t>
      </w:r>
      <w:r>
        <w:rPr>
          <w:color w:val="000000"/>
        </w:rPr>
        <w:t xml:space="preserve">” </w:t>
      </w:r>
      <w:r>
        <w:rPr>
          <w:rFonts w:ascii="Times New Roman;sans-serif" w:hAnsi="Times New Roman;sans-serif"/>
          <w:b w:val="false"/>
          <w:color w:val="000000"/>
          <w:sz w:val="22"/>
        </w:rPr>
        <w:t>has the meaning set forth in Section 10.6.7(a).</w:t>
      </w:r>
    </w:p>
    <w:p>
      <w:pPr>
        <w:pStyle w:val="TextBody"/>
        <w:spacing w:lineRule="auto" w:line="240" w:before="0" w:after="240"/>
        <w:ind w:left="0" w:right="0" w:hanging="720"/>
        <w:jc w:val="both"/>
        <w:rPr/>
      </w:pPr>
      <w:r>
        <w:rPr>
          <w:rFonts w:ascii="Times New Roman;sans-serif" w:hAnsi="Times New Roman;sans-serif"/>
          <w:b/>
          <w:color w:val="000000"/>
          <w:sz w:val="22"/>
        </w:rPr>
        <w:t>1.82</w:t>
      </w:r>
      <w:r>
        <w:rPr>
          <w:color w:val="000000"/>
        </w:rPr>
        <w:t>“</w:t>
      </w:r>
      <w:r>
        <w:rPr>
          <w:rFonts w:ascii="Times New Roman;sans-serif" w:hAnsi="Times New Roman;sans-serif"/>
          <w:b/>
          <w:color w:val="000000"/>
          <w:sz w:val="22"/>
        </w:rPr>
        <w:t>Organon Patents</w:t>
      </w:r>
      <w:r>
        <w:rPr>
          <w:color w:val="000000"/>
        </w:rPr>
        <w:t xml:space="preserve">” </w:t>
      </w:r>
      <w:r>
        <w:rPr>
          <w:rFonts w:ascii="Times New Roman;sans-serif" w:hAnsi="Times New Roman;sans-serif"/>
          <w:b w:val="false"/>
          <w:color w:val="000000"/>
          <w:sz w:val="22"/>
        </w:rPr>
        <w:t>means Patents that are Controlled by Organon or any of its Affiliates and that claim or cover a Licensed Product.</w:t>
      </w:r>
    </w:p>
    <w:p>
      <w:pPr>
        <w:pStyle w:val="TextBody"/>
        <w:spacing w:lineRule="auto" w:line="240" w:before="0" w:after="240"/>
        <w:ind w:left="0" w:right="0" w:hanging="720"/>
        <w:jc w:val="both"/>
        <w:rPr/>
      </w:pPr>
      <w:r>
        <w:rPr>
          <w:rFonts w:ascii="Times New Roman;sans-serif" w:hAnsi="Times New Roman;sans-serif"/>
          <w:b/>
          <w:color w:val="000000"/>
          <w:sz w:val="22"/>
        </w:rPr>
        <w:t>1.83</w:t>
      </w:r>
      <w:r>
        <w:rPr>
          <w:color w:val="000000"/>
        </w:rPr>
        <w:t>“</w:t>
      </w:r>
      <w:r>
        <w:rPr>
          <w:rFonts w:ascii="Times New Roman;sans-serif" w:hAnsi="Times New Roman;sans-serif"/>
          <w:b/>
          <w:color w:val="000000"/>
          <w:sz w:val="22"/>
        </w:rPr>
        <w:t>Own</w:t>
      </w:r>
      <w:r>
        <w:rPr>
          <w:rFonts w:ascii="Times New Roman;sans-serif" w:hAnsi="Times New Roman;sans-serif"/>
          <w:b w:val="false"/>
          <w:color w:val="000000"/>
          <w:sz w:val="22"/>
        </w:rPr>
        <w:t>,” to have “</w:t>
      </w:r>
      <w:r>
        <w:rPr>
          <w:rFonts w:ascii="Times New Roman;sans-serif" w:hAnsi="Times New Roman;sans-serif"/>
          <w:b/>
          <w:color w:val="000000"/>
          <w:sz w:val="22"/>
        </w:rPr>
        <w:t>Owned</w:t>
      </w:r>
      <w:r>
        <w:rPr>
          <w:rFonts w:ascii="Times New Roman;sans-serif" w:hAnsi="Times New Roman;sans-serif"/>
          <w:b w:val="false"/>
          <w:color w:val="000000"/>
          <w:sz w:val="22"/>
        </w:rPr>
        <w:t>,” to be the “</w:t>
      </w:r>
      <w:r>
        <w:rPr>
          <w:rFonts w:ascii="Times New Roman;sans-serif" w:hAnsi="Times New Roman;sans-serif"/>
          <w:b/>
          <w:color w:val="000000"/>
          <w:sz w:val="22"/>
        </w:rPr>
        <w:t>Owner</w:t>
      </w:r>
      <w:r>
        <w:rPr>
          <w:color w:val="000000"/>
        </w:rPr>
        <w:t xml:space="preserve">” </w:t>
      </w:r>
      <w:r>
        <w:rPr>
          <w:rFonts w:ascii="Times New Roman;sans-serif" w:hAnsi="Times New Roman;sans-serif"/>
          <w:b w:val="false"/>
          <w:color w:val="000000"/>
          <w:sz w:val="22"/>
        </w:rPr>
        <w:t>of, and “</w:t>
      </w:r>
      <w:r>
        <w:rPr>
          <w:rFonts w:ascii="Times New Roman;sans-serif" w:hAnsi="Times New Roman;sans-serif"/>
          <w:b/>
          <w:color w:val="000000"/>
          <w:sz w:val="22"/>
        </w:rPr>
        <w:t>Ownership</w:t>
      </w:r>
      <w:r>
        <w:rPr>
          <w:color w:val="000000"/>
        </w:rPr>
        <w:t xml:space="preserve">” </w:t>
      </w:r>
      <w:r>
        <w:rPr>
          <w:rFonts w:ascii="Times New Roman;sans-serif" w:hAnsi="Times New Roman;sans-serif"/>
          <w:b w:val="false"/>
          <w:color w:val="000000"/>
          <w:sz w:val="22"/>
        </w:rPr>
        <w:t>of securities by a Person means such Person has acquired, directly or indirectly (including through ownership of securities or any contract, arrangement, understanding, relationship or otherwise), or such Person, directly or indirectly, has or shares voting power, which includes the power to vote or to direct the voting, with respect to such securities.</w:t>
      </w:r>
    </w:p>
    <w:p>
      <w:pPr>
        <w:pStyle w:val="TextBody"/>
        <w:spacing w:lineRule="auto" w:line="240" w:before="0" w:after="240"/>
        <w:ind w:left="0" w:right="0" w:hanging="720"/>
        <w:jc w:val="both"/>
        <w:rPr/>
      </w:pPr>
      <w:r>
        <w:rPr>
          <w:rFonts w:ascii="Times New Roman;sans-serif" w:hAnsi="Times New Roman;sans-serif"/>
          <w:b/>
          <w:color w:val="000000"/>
          <w:sz w:val="22"/>
        </w:rPr>
        <w:t>1.84</w:t>
      </w:r>
      <w:r>
        <w:rPr>
          <w:color w:val="000000"/>
        </w:rPr>
        <w:t>“</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means Organon or Daré, individually, and “</w:t>
      </w:r>
      <w:r>
        <w:rPr>
          <w:rFonts w:ascii="Times New Roman;sans-serif" w:hAnsi="Times New Roman;sans-serif"/>
          <w:b/>
          <w:color w:val="000000"/>
          <w:sz w:val="22"/>
        </w:rPr>
        <w:t>Parties</w:t>
      </w:r>
      <w:r>
        <w:rPr>
          <w:color w:val="000000"/>
        </w:rPr>
        <w:t xml:space="preserve">” </w:t>
      </w:r>
      <w:r>
        <w:rPr>
          <w:rFonts w:ascii="Times New Roman;sans-serif" w:hAnsi="Times New Roman;sans-serif"/>
          <w:b w:val="false"/>
          <w:color w:val="000000"/>
          <w:sz w:val="22"/>
        </w:rPr>
        <w:t>means Organon and Daré, collectively.</w:t>
      </w:r>
    </w:p>
    <w:p>
      <w:pPr>
        <w:pStyle w:val="TextBody"/>
        <w:spacing w:lineRule="auto" w:line="240" w:before="0" w:after="240"/>
        <w:ind w:left="0" w:right="0" w:hanging="720"/>
        <w:jc w:val="both"/>
        <w:rPr/>
      </w:pPr>
      <w:r>
        <w:rPr>
          <w:rFonts w:ascii="Times New Roman;sans-serif" w:hAnsi="Times New Roman;sans-serif"/>
          <w:b/>
          <w:color w:val="000000"/>
          <w:sz w:val="22"/>
        </w:rPr>
        <w:t>1.85</w:t>
      </w:r>
      <w:r>
        <w:rPr>
          <w:color w:val="000000"/>
        </w:rPr>
        <w:t>“</w:t>
      </w:r>
      <w:r>
        <w:rPr>
          <w:rFonts w:ascii="Times New Roman;sans-serif" w:hAnsi="Times New Roman;sans-serif"/>
          <w:b/>
          <w:color w:val="000000"/>
          <w:sz w:val="22"/>
        </w:rPr>
        <w:t>Patent</w:t>
      </w:r>
      <w:r>
        <w:rPr>
          <w:color w:val="000000"/>
        </w:rPr>
        <w:t xml:space="preserve">” </w:t>
      </w:r>
      <w:r>
        <w:rPr>
          <w:rFonts w:ascii="Times New Roman;sans-serif" w:hAnsi="Times New Roman;sans-serif"/>
          <w:b w:val="false"/>
          <w:color w:val="000000"/>
          <w:sz w:val="22"/>
        </w:rPr>
        <w:t>means any patent, utility model, or certificate of invention, or other indicia of ownership of an invention recognized by any Governmental Authority of competent jurisdiction, any application for any of the foregoing, and any and all pre-grant and post-grant forms of any of the foregoing, including all continuations, continuations-in-part, divisionals, provisionals, and extensions, and including any counterparts or foreign equivalents of any of the foregoing issued by or filed in any country or other jurisdiction.</w:t>
      </w:r>
    </w:p>
    <w:p>
      <w:pPr>
        <w:pStyle w:val="TextBody"/>
        <w:spacing w:lineRule="auto" w:line="240" w:before="0" w:after="240"/>
        <w:ind w:left="0" w:right="0" w:hanging="720"/>
        <w:jc w:val="both"/>
        <w:rPr/>
      </w:pPr>
      <w:r>
        <w:rPr>
          <w:rFonts w:ascii="Times New Roman;sans-serif" w:hAnsi="Times New Roman;sans-serif"/>
          <w:b/>
          <w:color w:val="000000"/>
          <w:sz w:val="22"/>
        </w:rPr>
        <w:t>1.86</w:t>
      </w:r>
      <w:r>
        <w:rPr>
          <w:color w:val="000000"/>
        </w:rPr>
        <w:t>“</w:t>
      </w:r>
      <w:r>
        <w:rPr>
          <w:rFonts w:ascii="Times New Roman;sans-serif" w:hAnsi="Times New Roman;sans-serif"/>
          <w:b/>
          <w:color w:val="000000"/>
          <w:sz w:val="22"/>
        </w:rPr>
        <w:t>Patent Challenge</w:t>
      </w:r>
      <w:r>
        <w:rPr>
          <w:color w:val="000000"/>
        </w:rPr>
        <w:t xml:space="preserve">” </w:t>
      </w:r>
      <w:r>
        <w:rPr>
          <w:rFonts w:ascii="Times New Roman;sans-serif" w:hAnsi="Times New Roman;sans-serif"/>
          <w:b w:val="false"/>
          <w:color w:val="000000"/>
          <w:sz w:val="22"/>
        </w:rPr>
        <w:t>has the meaning given to it in Section 10.3.3.</w:t>
      </w:r>
    </w:p>
    <w:p>
      <w:pPr>
        <w:pStyle w:val="TextBody"/>
        <w:spacing w:lineRule="auto" w:line="240" w:before="0" w:after="240"/>
        <w:ind w:left="0" w:right="0" w:hanging="720"/>
        <w:jc w:val="both"/>
        <w:rPr/>
      </w:pPr>
      <w:r>
        <w:rPr>
          <w:rFonts w:ascii="Times New Roman;sans-serif" w:hAnsi="Times New Roman;sans-serif"/>
          <w:b/>
          <w:color w:val="000000"/>
          <w:sz w:val="22"/>
        </w:rPr>
        <w:t>1.87</w:t>
      </w: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individual, partnership, joint venture, limited liability company, corporation, firm, trust, association, unincorporated organization, Governmental Authority or agency, or any other entity not specifically listed herein.</w:t>
      </w:r>
    </w:p>
    <w:p>
      <w:pPr>
        <w:pStyle w:val="TextBody"/>
        <w:spacing w:lineRule="auto" w:line="240" w:before="0" w:after="240"/>
        <w:ind w:left="0" w:right="0" w:hanging="720"/>
        <w:jc w:val="both"/>
        <w:rPr/>
      </w:pPr>
      <w:r>
        <w:rPr>
          <w:rFonts w:ascii="Times New Roman;sans-serif" w:hAnsi="Times New Roman;sans-serif"/>
          <w:b/>
          <w:color w:val="000000"/>
          <w:sz w:val="22"/>
        </w:rPr>
        <w:t>1.88</w:t>
      </w:r>
      <w:r>
        <w:rPr>
          <w:color w:val="000000"/>
        </w:rPr>
        <w:t>“</w:t>
      </w:r>
      <w:r>
        <w:rPr>
          <w:rFonts w:ascii="Times New Roman;sans-serif" w:hAnsi="Times New Roman;sans-serif"/>
          <w:b/>
          <w:color w:val="000000"/>
          <w:sz w:val="22"/>
        </w:rPr>
        <w:t>Personal Data</w:t>
      </w:r>
      <w:r>
        <w:rPr>
          <w:color w:val="000000"/>
        </w:rPr>
        <w:t xml:space="preserve">” </w:t>
      </w:r>
      <w:r>
        <w:rPr>
          <w:rFonts w:ascii="Times New Roman;sans-serif" w:hAnsi="Times New Roman;sans-serif"/>
          <w:b w:val="false"/>
          <w:color w:val="000000"/>
          <w:sz w:val="22"/>
        </w:rPr>
        <w:t>has the meaning set forth in Section 2.6.1.</w:t>
      </w:r>
    </w:p>
    <w:p>
      <w:pPr>
        <w:pStyle w:val="TextBody"/>
        <w:spacing w:lineRule="auto" w:line="240" w:before="0" w:after="240"/>
        <w:ind w:left="0" w:right="0" w:hanging="720"/>
        <w:jc w:val="both"/>
        <w:rPr/>
      </w:pPr>
      <w:r>
        <w:rPr>
          <w:rFonts w:ascii="Times New Roman;sans-serif" w:hAnsi="Times New Roman;sans-serif"/>
          <w:b/>
          <w:color w:val="000000"/>
          <w:sz w:val="22"/>
        </w:rPr>
        <w:t>1.89</w:t>
      </w:r>
      <w:r>
        <w:rPr>
          <w:color w:val="000000"/>
        </w:rPr>
        <w:t>“</w:t>
      </w:r>
      <w:r>
        <w:rPr>
          <w:rFonts w:ascii="Times New Roman;sans-serif" w:hAnsi="Times New Roman;sans-serif"/>
          <w:b/>
          <w:color w:val="000000"/>
          <w:sz w:val="22"/>
        </w:rPr>
        <w:t>Phase I Clinical Trial</w:t>
      </w:r>
      <w:r>
        <w:rPr>
          <w:color w:val="000000"/>
        </w:rPr>
        <w:t xml:space="preserve">” </w:t>
      </w:r>
      <w:r>
        <w:rPr>
          <w:rFonts w:ascii="Times New Roman;sans-serif" w:hAnsi="Times New Roman;sans-serif"/>
          <w:b w:val="false"/>
          <w:color w:val="000000"/>
          <w:sz w:val="22"/>
        </w:rPr>
        <w:t>means a human clinical trial in any country that would satisfy the requirements of 21 C.F.R. § 312.21(a).</w:t>
      </w:r>
    </w:p>
    <w:p>
      <w:pPr>
        <w:pStyle w:val="TextBody"/>
        <w:spacing w:lineRule="auto" w:line="240" w:before="0" w:after="240"/>
        <w:ind w:left="0" w:right="0" w:hanging="720"/>
        <w:jc w:val="both"/>
        <w:rPr/>
      </w:pPr>
      <w:r>
        <w:rPr>
          <w:rFonts w:ascii="Times New Roman;sans-serif" w:hAnsi="Times New Roman;sans-serif"/>
          <w:b/>
          <w:color w:val="000000"/>
          <w:sz w:val="22"/>
        </w:rPr>
        <w:t>1.90</w:t>
      </w:r>
      <w:r>
        <w:rPr>
          <w:color w:val="000000"/>
        </w:rPr>
        <w:t>“</w:t>
      </w:r>
      <w:r>
        <w:rPr>
          <w:rFonts w:ascii="Times New Roman;sans-serif" w:hAnsi="Times New Roman;sans-serif"/>
          <w:b/>
          <w:color w:val="000000"/>
          <w:sz w:val="22"/>
        </w:rPr>
        <w:t>Phase II Clinical Trial</w:t>
      </w:r>
      <w:r>
        <w:rPr>
          <w:color w:val="000000"/>
        </w:rPr>
        <w:t xml:space="preserve">” </w:t>
      </w:r>
      <w:r>
        <w:rPr>
          <w:rFonts w:ascii="Times New Roman;sans-serif" w:hAnsi="Times New Roman;sans-serif"/>
          <w:b w:val="false"/>
          <w:color w:val="000000"/>
          <w:sz w:val="22"/>
        </w:rPr>
        <w:t>means a human clinical trial in any country that would satisfy the requirements of 21 C.F.R. § 312.21(b).</w:t>
      </w:r>
    </w:p>
    <w:p>
      <w:pPr>
        <w:pStyle w:val="TextBody"/>
        <w:spacing w:lineRule="auto" w:line="240" w:before="0" w:after="240"/>
        <w:ind w:left="0" w:right="0" w:hanging="720"/>
        <w:jc w:val="both"/>
        <w:rPr/>
      </w:pPr>
      <w:r>
        <w:rPr>
          <w:rFonts w:ascii="Times New Roman;sans-serif" w:hAnsi="Times New Roman;sans-serif"/>
          <w:b/>
          <w:color w:val="000000"/>
          <w:sz w:val="22"/>
        </w:rPr>
        <w:t>1.91</w:t>
      </w:r>
      <w:r>
        <w:rPr>
          <w:color w:val="000000"/>
        </w:rPr>
        <w:t>“</w:t>
      </w:r>
      <w:r>
        <w:rPr>
          <w:rFonts w:ascii="Times New Roman;sans-serif" w:hAnsi="Times New Roman;sans-serif"/>
          <w:b/>
          <w:color w:val="000000"/>
          <w:sz w:val="22"/>
        </w:rPr>
        <w:t>Phase III Clinical Trial</w:t>
      </w:r>
      <w:r>
        <w:rPr>
          <w:color w:val="000000"/>
        </w:rPr>
        <w:t xml:space="preserve">” </w:t>
      </w:r>
      <w:r>
        <w:rPr>
          <w:rFonts w:ascii="Times New Roman;sans-serif" w:hAnsi="Times New Roman;sans-serif"/>
          <w:b w:val="false"/>
          <w:color w:val="000000"/>
          <w:sz w:val="22"/>
        </w:rPr>
        <w:t>means a human clinical trial in any country that would satisfy the requirements of 21 C.F.R. § 312.21(c).</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24890"/>
                <wp:effectExtent l="0" t="0" r="0" b="0"/>
                <wp:wrapNone/>
                <wp:docPr id="53" name="Frame52"/>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1.92</w:t>
      </w:r>
      <w:r>
        <w:rPr>
          <w:color w:val="000000"/>
        </w:rPr>
        <w:t>“</w:t>
      </w:r>
      <w:r>
        <w:rPr>
          <w:rFonts w:ascii="Times New Roman;sans-serif" w:hAnsi="Times New Roman;sans-serif"/>
          <w:b/>
          <w:color w:val="000000"/>
          <w:sz w:val="22"/>
        </w:rPr>
        <w:t>Privacy Laws</w:t>
      </w:r>
      <w:r>
        <w:rPr>
          <w:color w:val="000000"/>
        </w:rPr>
        <w:t xml:space="preserve">” </w:t>
      </w:r>
      <w:r>
        <w:rPr>
          <w:rFonts w:ascii="Times New Roman;sans-serif" w:hAnsi="Times New Roman;sans-serif"/>
          <w:b w:val="false"/>
          <w:color w:val="000000"/>
          <w:sz w:val="22"/>
        </w:rPr>
        <w:t>means any Applicable Laws regarding the collection, use, transfer, storage, protection, deletion, processing (both by computer and manually), combination, or other use of Clinical Trial subject or patient data (sometimes referred to as protected health information) or other personal data.</w:t>
      </w:r>
    </w:p>
    <w:p>
      <w:pPr>
        <w:pStyle w:val="TextBody"/>
        <w:spacing w:lineRule="auto" w:line="240" w:before="0" w:after="240"/>
        <w:ind w:left="0" w:right="0" w:hanging="720"/>
        <w:jc w:val="both"/>
        <w:rPr/>
      </w:pPr>
      <w:r>
        <w:rPr>
          <w:rFonts w:ascii="Times New Roman;sans-serif" w:hAnsi="Times New Roman;sans-serif"/>
          <w:b/>
          <w:color w:val="000000"/>
          <w:sz w:val="22"/>
        </w:rPr>
        <w:t>1.93</w:t>
      </w:r>
      <w:r>
        <w:rPr>
          <w:color w:val="000000"/>
        </w:rPr>
        <w:t>“</w:t>
      </w:r>
      <w:r>
        <w:rPr>
          <w:rFonts w:ascii="Times New Roman;sans-serif" w:hAnsi="Times New Roman;sans-serif"/>
          <w:b/>
          <w:color w:val="000000"/>
          <w:sz w:val="22"/>
        </w:rPr>
        <w:t>Product Data</w:t>
      </w:r>
      <w:r>
        <w:rPr>
          <w:color w:val="000000"/>
        </w:rPr>
        <w:t xml:space="preserve">” </w:t>
      </w:r>
      <w:r>
        <w:rPr>
          <w:rFonts w:ascii="Times New Roman;sans-serif" w:hAnsi="Times New Roman;sans-serif"/>
          <w:b w:val="false"/>
          <w:color w:val="000000"/>
          <w:sz w:val="22"/>
        </w:rPr>
        <w:t>has the meaning set forth in Section 2.5.</w:t>
      </w:r>
    </w:p>
    <w:p>
      <w:pPr>
        <w:pStyle w:val="TextBody"/>
        <w:spacing w:lineRule="auto" w:line="240" w:before="0" w:after="240"/>
        <w:ind w:left="0" w:right="0" w:hanging="720"/>
        <w:jc w:val="both"/>
        <w:rPr/>
      </w:pPr>
      <w:r>
        <w:rPr>
          <w:rFonts w:ascii="Times New Roman;sans-serif" w:hAnsi="Times New Roman;sans-serif"/>
          <w:b/>
          <w:color w:val="000000"/>
          <w:sz w:val="22"/>
        </w:rPr>
        <w:t>1.94</w:t>
      </w:r>
      <w:r>
        <w:rPr>
          <w:color w:val="000000"/>
        </w:rPr>
        <w:t>“</w:t>
      </w:r>
      <w:r>
        <w:rPr>
          <w:rFonts w:ascii="Times New Roman;sans-serif" w:hAnsi="Times New Roman;sans-serif"/>
          <w:b/>
          <w:color w:val="000000"/>
          <w:sz w:val="22"/>
        </w:rPr>
        <w:t>Product-Specific Patents</w:t>
      </w:r>
      <w:r>
        <w:rPr>
          <w:color w:val="000000"/>
        </w:rPr>
        <w:t xml:space="preserve">” </w:t>
      </w:r>
      <w:r>
        <w:rPr>
          <w:rFonts w:ascii="Times New Roman;sans-serif" w:hAnsi="Times New Roman;sans-serif"/>
          <w:b w:val="false"/>
          <w:color w:val="000000"/>
          <w:sz w:val="22"/>
        </w:rPr>
        <w:t>has the meaning set forth in Section 9.1.1.</w:t>
      </w:r>
    </w:p>
    <w:p>
      <w:pPr>
        <w:pStyle w:val="TextBody"/>
        <w:spacing w:lineRule="auto" w:line="240" w:before="0" w:after="240"/>
        <w:ind w:left="0" w:right="0" w:hanging="720"/>
        <w:jc w:val="both"/>
        <w:rPr/>
      </w:pPr>
      <w:r>
        <w:rPr>
          <w:rFonts w:ascii="Times New Roman;sans-serif" w:hAnsi="Times New Roman;sans-serif"/>
          <w:b/>
          <w:color w:val="000000"/>
          <w:sz w:val="22"/>
        </w:rPr>
        <w:t>1.95</w:t>
      </w:r>
      <w:r>
        <w:rPr>
          <w:color w:val="000000"/>
        </w:rPr>
        <w:t>“</w:t>
      </w:r>
      <w:r>
        <w:rPr>
          <w:rFonts w:ascii="Times New Roman;sans-serif" w:hAnsi="Times New Roman;sans-serif"/>
          <w:b/>
          <w:color w:val="000000"/>
          <w:sz w:val="22"/>
        </w:rPr>
        <w:t>Product Trademark</w:t>
      </w:r>
      <w:r>
        <w:rPr>
          <w:color w:val="000000"/>
        </w:rPr>
        <w:t xml:space="preserve">” </w:t>
      </w:r>
      <w:r>
        <w:rPr>
          <w:rFonts w:ascii="Times New Roman;sans-serif" w:hAnsi="Times New Roman;sans-serif"/>
          <w:b w:val="false"/>
          <w:color w:val="000000"/>
          <w:sz w:val="22"/>
        </w:rPr>
        <w:t xml:space="preserve">means any of the Trademarks XACIATO or BIVVIE, in any and all words, stylizations, or design formats, and all transliterations or local language character adaptations thereof, alone or in combination with other words or elements, whether or not registered with a Governmental Authority. Product Trademarks include the Trademark registrations and applications for Trademark registration set forth on </w:t>
      </w:r>
      <w:r>
        <w:rPr>
          <w:rFonts w:ascii="Times New Roman;sans-serif" w:hAnsi="Times New Roman;sans-serif"/>
          <w:b w:val="false"/>
          <w:color w:val="000000"/>
          <w:sz w:val="22"/>
          <w:u w:val="single"/>
        </w:rPr>
        <w:t>Schedule 1.95</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1.96</w:t>
      </w:r>
      <w:r>
        <w:rPr>
          <w:color w:val="000000"/>
        </w:rPr>
        <w:t>“</w:t>
      </w:r>
      <w:r>
        <w:rPr>
          <w:rFonts w:ascii="Times New Roman;sans-serif" w:hAnsi="Times New Roman;sans-serif"/>
          <w:b/>
          <w:color w:val="000000"/>
          <w:sz w:val="22"/>
        </w:rPr>
        <w:t>Public Official</w:t>
      </w:r>
      <w:r>
        <w:rPr>
          <w:color w:val="000000"/>
        </w:rPr>
        <w:t xml:space="preserve">” </w:t>
      </w:r>
      <w:r>
        <w:rPr>
          <w:rFonts w:ascii="Times New Roman;sans-serif" w:hAnsi="Times New Roman;sans-serif"/>
          <w:b w:val="false"/>
          <w:color w:val="000000"/>
          <w:sz w:val="22"/>
        </w:rPr>
        <w:t>means (a) any elected or appointed officer, employee or representative of any regional, federal, state, provincial, county or municipal Governmental Authority, agency or other division; (b) any officer, employee or representative of any commercial enterprise that is owned or controlled by a Governmental Authority, including any state-owned or controlled veterinary, laboratory research or medical facility; (c) any political party officer, candidate for public office, or political party employees or individuals acting for or on behalf of a political party or candidate for public office; (d) any officer, employee or representative of any public international organization, such as the African Union, the International Monetary Fund, the United Nations or the World Bank; and (e) any person acting in an official capacity for any Governmental Authority, enterprise or organization identified above. For clarity, healthcare providers employed by government-owned or -controlled hospitals, or a person serving on a healthcare committee that advises a Governmental Authority, will be considered Public Officials.</w:t>
      </w:r>
    </w:p>
    <w:p>
      <w:pPr>
        <w:pStyle w:val="TextBody"/>
        <w:spacing w:lineRule="auto" w:line="240" w:before="0" w:after="240"/>
        <w:ind w:left="0" w:right="0" w:hanging="720"/>
        <w:jc w:val="both"/>
        <w:rPr/>
      </w:pPr>
      <w:r>
        <w:rPr>
          <w:rFonts w:ascii="Times New Roman;sans-serif" w:hAnsi="Times New Roman;sans-serif"/>
          <w:b/>
          <w:color w:val="000000"/>
          <w:sz w:val="22"/>
        </w:rPr>
        <w:t>1.97</w:t>
      </w:r>
      <w:r>
        <w:rPr>
          <w:color w:val="000000"/>
        </w:rPr>
        <w:t>“</w:t>
      </w:r>
      <w:r>
        <w:rPr>
          <w:rFonts w:ascii="Times New Roman;sans-serif" w:hAnsi="Times New Roman;sans-serif"/>
          <w:b/>
          <w:color w:val="000000"/>
          <w:sz w:val="22"/>
        </w:rPr>
        <w:t>Regulatory Authority</w:t>
      </w:r>
      <w:r>
        <w:rPr>
          <w:color w:val="000000"/>
        </w:rPr>
        <w:t xml:space="preserve">” </w:t>
      </w:r>
      <w:r>
        <w:rPr>
          <w:rFonts w:ascii="Times New Roman;sans-serif" w:hAnsi="Times New Roman;sans-serif"/>
          <w:b w:val="false"/>
          <w:color w:val="000000"/>
          <w:sz w:val="22"/>
        </w:rPr>
        <w:t>means any applicable regulatory Governmental Authority involved in granting approvals for the Manufacturing, Commercialization, reimbursement or pricing of a Licensed Product in the Territory, including, in the United States, the FDA.</w:t>
      </w:r>
    </w:p>
    <w:p>
      <w:pPr>
        <w:pStyle w:val="TextBody"/>
        <w:spacing w:lineRule="auto" w:line="240" w:before="0" w:after="240"/>
        <w:ind w:left="0" w:right="0" w:hanging="720"/>
        <w:jc w:val="both"/>
        <w:rPr/>
      </w:pPr>
      <w:r>
        <w:rPr>
          <w:rFonts w:ascii="Times New Roman;sans-serif" w:hAnsi="Times New Roman;sans-serif"/>
          <w:b/>
          <w:color w:val="000000"/>
          <w:sz w:val="22"/>
        </w:rPr>
        <w:t>1.98</w:t>
      </w:r>
      <w:r>
        <w:rPr>
          <w:color w:val="000000"/>
        </w:rPr>
        <w:t>“</w:t>
      </w:r>
      <w:r>
        <w:rPr>
          <w:rFonts w:ascii="Times New Roman;sans-serif" w:hAnsi="Times New Roman;sans-serif"/>
          <w:b/>
          <w:color w:val="000000"/>
          <w:sz w:val="22"/>
        </w:rPr>
        <w:t>Regulatory Exclusivity</w:t>
      </w:r>
      <w:r>
        <w:rPr>
          <w:color w:val="000000"/>
        </w:rPr>
        <w:t xml:space="preserve">” </w:t>
      </w:r>
      <w:r>
        <w:rPr>
          <w:rFonts w:ascii="Times New Roman;sans-serif" w:hAnsi="Times New Roman;sans-serif"/>
          <w:b w:val="false"/>
          <w:color w:val="000000"/>
          <w:sz w:val="22"/>
        </w:rPr>
        <w:t>means, with respect to a particular Licensed Product in a country in the Territory, any exclusivity (including for clarity new biologic exclusivity, new use or indication exclusivity, new formulation exclusivity, orphan drug exclusivity, pediatric exclusivity, or any applicable data exclusivity) conferred by the Regulatory Authority in such country which confers an exclusive commercialization period during which any Related Party has the exclusive right to market and sell the Licensed Product in such country, excluding any rights conferred by or based on any Patents.</w:t>
      </w:r>
    </w:p>
    <w:p>
      <w:pPr>
        <w:pStyle w:val="TextBody"/>
        <w:spacing w:lineRule="auto" w:line="240" w:before="0" w:after="240"/>
        <w:ind w:left="0" w:right="0" w:hanging="720"/>
        <w:jc w:val="both"/>
        <w:rPr/>
      </w:pPr>
      <w:r>
        <w:rPr>
          <w:rFonts w:ascii="Times New Roman;sans-serif" w:hAnsi="Times New Roman;sans-serif"/>
          <w:b/>
          <w:color w:val="000000"/>
          <w:sz w:val="22"/>
        </w:rPr>
        <w:t>1.99</w:t>
      </w:r>
      <w:r>
        <w:rPr>
          <w:color w:val="000000"/>
        </w:rPr>
        <w:t>“</w:t>
      </w:r>
      <w:r>
        <w:rPr>
          <w:rFonts w:ascii="Times New Roman;sans-serif" w:hAnsi="Times New Roman;sans-serif"/>
          <w:b/>
          <w:color w:val="000000"/>
          <w:sz w:val="22"/>
        </w:rPr>
        <w:t>Regulatory Materials</w:t>
      </w:r>
      <w:r>
        <w:rPr>
          <w:color w:val="000000"/>
        </w:rPr>
        <w:t xml:space="preserve">” </w:t>
      </w:r>
      <w:r>
        <w:rPr>
          <w:rFonts w:ascii="Times New Roman;sans-serif" w:hAnsi="Times New Roman;sans-serif"/>
          <w:b w:val="false"/>
          <w:color w:val="000000"/>
          <w:sz w:val="22"/>
        </w:rPr>
        <w:t xml:space="preserve">means applications, submissions, notifications (or waivers), registrations, copies of licenses, approvals and permits, or other filings or documents that are made to or with a Regulatory Authority and that are necessary or reasonably desirable in order to develop, seek, obtain or maintain a Marketing Authorization for, Exploiting a product or maintaining a Marketing Authorization for a product in a particular country or regulatory jurisdiction. Regulatory Materials include INDs, NDAs, copies of applications for Marketing Authorization and all materials that support a Marketing Authorization (but not the Marketing Authorization itself), including all correspondence and reports to or received from Regulatory Authorities (including official minutes and official contact reports relating to any communication with Regulatory Authorities), specifications of INDs, labelling requirements, specifications for animal studies and all supporting documents with respect thereto, including all regulatory drug lists, advertising and promotion documents, adverse event files, and all data relied on in connection with the foregoing and related to a product. </w:t>
      </w:r>
    </w:p>
    <w:p>
      <w:pPr>
        <w:pStyle w:val="TextBody"/>
        <w:spacing w:lineRule="auto" w:line="240" w:before="0" w:after="240"/>
        <w:ind w:left="0" w:right="0" w:hanging="720"/>
        <w:jc w:val="both"/>
        <w:rPr/>
      </w:pPr>
      <w:r>
        <w:rPr>
          <w:rFonts w:ascii="Times New Roman;sans-serif" w:hAnsi="Times New Roman;sans-serif"/>
          <w:b/>
          <w:color w:val="000000"/>
          <w:sz w:val="22"/>
        </w:rPr>
        <w:t>1.100</w:t>
      </w:r>
      <w:r>
        <w:rPr>
          <w:color w:val="000000"/>
        </w:rPr>
        <w:t>“</w:t>
      </w:r>
      <w:r>
        <w:rPr>
          <w:rFonts w:ascii="Times New Roman;sans-serif" w:hAnsi="Times New Roman;sans-serif"/>
          <w:b/>
          <w:color w:val="000000"/>
          <w:sz w:val="22"/>
        </w:rPr>
        <w:t>Regulatory Milestone</w:t>
      </w:r>
      <w:r>
        <w:rPr>
          <w:color w:val="000000"/>
        </w:rPr>
        <w:t xml:space="preserve">” </w:t>
      </w:r>
      <w:r>
        <w:rPr>
          <w:rFonts w:ascii="Times New Roman;sans-serif" w:hAnsi="Times New Roman;sans-serif"/>
          <w:b w:val="false"/>
          <w:color w:val="000000"/>
          <w:sz w:val="22"/>
        </w:rPr>
        <w:t>has the meaning set forth in Section 6.2.3.</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24890"/>
                <wp:effectExtent l="0" t="0" r="0" b="0"/>
                <wp:wrapNone/>
                <wp:docPr id="54" name="Frame53"/>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1.101</w:t>
      </w:r>
      <w:r>
        <w:rPr>
          <w:color w:val="000000"/>
        </w:rPr>
        <w:t>“</w:t>
      </w:r>
      <w:r>
        <w:rPr>
          <w:rFonts w:ascii="Times New Roman;sans-serif" w:hAnsi="Times New Roman;sans-serif"/>
          <w:b/>
          <w:color w:val="000000"/>
          <w:sz w:val="22"/>
        </w:rPr>
        <w:t>Related Party</w:t>
      </w:r>
      <w:r>
        <w:rPr>
          <w:color w:val="000000"/>
        </w:rPr>
        <w:t xml:space="preserve">” </w:t>
      </w:r>
      <w:r>
        <w:rPr>
          <w:rFonts w:ascii="Times New Roman;sans-serif" w:hAnsi="Times New Roman;sans-serif"/>
          <w:b w:val="false"/>
          <w:color w:val="000000"/>
          <w:sz w:val="22"/>
        </w:rPr>
        <w:t xml:space="preserve">means each of Organon, its Affiliates, and their respective Sublicensees, as applicable. </w:t>
      </w:r>
    </w:p>
    <w:p>
      <w:pPr>
        <w:pStyle w:val="TextBody"/>
        <w:spacing w:lineRule="auto" w:line="240" w:before="0" w:after="240"/>
        <w:ind w:left="0" w:right="0" w:hanging="720"/>
        <w:jc w:val="both"/>
        <w:rPr/>
      </w:pPr>
      <w:r>
        <w:rPr>
          <w:rFonts w:ascii="Times New Roman;sans-serif" w:hAnsi="Times New Roman;sans-serif"/>
          <w:b/>
          <w:color w:val="000000"/>
          <w:sz w:val="22"/>
        </w:rPr>
        <w:t>1.102</w:t>
      </w:r>
      <w:r>
        <w:rPr>
          <w:color w:val="000000"/>
        </w:rPr>
        <w:t>“</w:t>
      </w:r>
      <w:r>
        <w:rPr>
          <w:rFonts w:ascii="Times New Roman;sans-serif" w:hAnsi="Times New Roman;sans-serif"/>
          <w:b/>
          <w:color w:val="000000"/>
          <w:sz w:val="22"/>
        </w:rPr>
        <w:t>Required Filings</w:t>
      </w:r>
      <w:r>
        <w:rPr>
          <w:color w:val="000000"/>
        </w:rPr>
        <w:t xml:space="preserve">” </w:t>
      </w:r>
      <w:r>
        <w:rPr>
          <w:rFonts w:ascii="Times New Roman;sans-serif" w:hAnsi="Times New Roman;sans-serif"/>
          <w:b w:val="false"/>
          <w:color w:val="000000"/>
          <w:sz w:val="22"/>
        </w:rPr>
        <w:t>has the meaning set forth in Section 11.2.</w:t>
      </w:r>
    </w:p>
    <w:p>
      <w:pPr>
        <w:pStyle w:val="TextBody"/>
        <w:spacing w:lineRule="auto" w:line="240" w:before="0" w:after="240"/>
        <w:ind w:left="0" w:right="0" w:hanging="720"/>
        <w:jc w:val="both"/>
        <w:rPr/>
      </w:pPr>
      <w:r>
        <w:rPr>
          <w:rFonts w:ascii="Times New Roman;sans-serif" w:hAnsi="Times New Roman;sans-serif"/>
          <w:b/>
          <w:color w:val="000000"/>
          <w:sz w:val="22"/>
        </w:rPr>
        <w:t>1.103</w:t>
      </w:r>
      <w:r>
        <w:rPr>
          <w:color w:val="000000"/>
        </w:rPr>
        <w:t>“</w:t>
      </w:r>
      <w:r>
        <w:rPr>
          <w:rFonts w:ascii="Times New Roman;sans-serif" w:hAnsi="Times New Roman;sans-serif"/>
          <w:b/>
          <w:color w:val="000000"/>
          <w:sz w:val="22"/>
        </w:rPr>
        <w:t>Released Product</w:t>
      </w:r>
      <w:r>
        <w:rPr>
          <w:color w:val="000000"/>
        </w:rPr>
        <w:t xml:space="preserve">” </w:t>
      </w:r>
      <w:r>
        <w:rPr>
          <w:rFonts w:ascii="Times New Roman;sans-serif" w:hAnsi="Times New Roman;sans-serif"/>
          <w:b w:val="false"/>
          <w:color w:val="000000"/>
          <w:sz w:val="22"/>
        </w:rPr>
        <w:t>has the meaning set forth in Section 3.7.1(b).</w:t>
      </w:r>
    </w:p>
    <w:p>
      <w:pPr>
        <w:pStyle w:val="TextBody"/>
        <w:spacing w:lineRule="auto" w:line="240" w:before="0" w:after="240"/>
        <w:ind w:left="0" w:right="0" w:hanging="720"/>
        <w:jc w:val="both"/>
        <w:rPr/>
      </w:pPr>
      <w:r>
        <w:rPr>
          <w:rFonts w:ascii="Times New Roman;sans-serif" w:hAnsi="Times New Roman;sans-serif"/>
          <w:b/>
          <w:color w:val="000000"/>
          <w:sz w:val="22"/>
        </w:rPr>
        <w:t>1.104</w:t>
      </w:r>
      <w:r>
        <w:rPr>
          <w:color w:val="000000"/>
        </w:rPr>
        <w:t>“</w:t>
      </w:r>
      <w:r>
        <w:rPr>
          <w:rFonts w:ascii="Times New Roman;sans-serif" w:hAnsi="Times New Roman;sans-serif"/>
          <w:b/>
          <w:color w:val="000000"/>
          <w:sz w:val="22"/>
        </w:rPr>
        <w:t>Research Data Sets</w:t>
      </w:r>
      <w:r>
        <w:rPr>
          <w:color w:val="000000"/>
        </w:rPr>
        <w:t xml:space="preserve">” </w:t>
      </w:r>
      <w:r>
        <w:rPr>
          <w:rFonts w:ascii="Times New Roman;sans-serif" w:hAnsi="Times New Roman;sans-serif"/>
          <w:b w:val="false"/>
          <w:color w:val="000000"/>
          <w:sz w:val="22"/>
        </w:rPr>
        <w:t>has the meaning set forth in Section 2.6.2.</w:t>
      </w:r>
    </w:p>
    <w:p>
      <w:pPr>
        <w:pStyle w:val="TextBody"/>
        <w:spacing w:lineRule="auto" w:line="240" w:before="0" w:after="240"/>
        <w:ind w:left="0" w:right="0" w:hanging="720"/>
        <w:jc w:val="both"/>
        <w:rPr/>
      </w:pPr>
      <w:r>
        <w:rPr>
          <w:rFonts w:ascii="Times New Roman;sans-serif" w:hAnsi="Times New Roman;sans-serif"/>
          <w:b/>
          <w:color w:val="000000"/>
          <w:sz w:val="22"/>
        </w:rPr>
        <w:t>1.105</w:t>
      </w:r>
      <w:r>
        <w:rPr>
          <w:color w:val="000000"/>
        </w:rPr>
        <w:t>“</w:t>
      </w:r>
      <w:r>
        <w:rPr>
          <w:rFonts w:ascii="Times New Roman;sans-serif" w:hAnsi="Times New Roman;sans-serif"/>
          <w:b/>
          <w:color w:val="000000"/>
          <w:sz w:val="22"/>
        </w:rPr>
        <w:t>Restricted Product</w:t>
      </w:r>
      <w:r>
        <w:rPr>
          <w:color w:val="000000"/>
        </w:rPr>
        <w:t xml:space="preserve">” </w:t>
      </w:r>
      <w:r>
        <w:rPr>
          <w:rFonts w:ascii="Times New Roman;sans-serif" w:hAnsi="Times New Roman;sans-serif"/>
          <w:b w:val="false"/>
          <w:color w:val="000000"/>
          <w:sz w:val="22"/>
        </w:rPr>
        <w:t>means any product [***].</w:t>
      </w:r>
    </w:p>
    <w:p>
      <w:pPr>
        <w:pStyle w:val="TextBody"/>
        <w:spacing w:lineRule="auto" w:line="240" w:before="0" w:after="240"/>
        <w:ind w:left="0" w:right="0" w:hanging="720"/>
        <w:jc w:val="both"/>
        <w:rPr/>
      </w:pPr>
      <w:r>
        <w:rPr>
          <w:rFonts w:ascii="Times New Roman;sans-serif" w:hAnsi="Times New Roman;sans-serif"/>
          <w:b/>
          <w:color w:val="000000"/>
          <w:sz w:val="22"/>
        </w:rPr>
        <w:t>1.106</w:t>
      </w:r>
      <w:r>
        <w:rPr>
          <w:color w:val="000000"/>
        </w:rPr>
        <w:t>“</w:t>
      </w:r>
      <w:r>
        <w:rPr>
          <w:rFonts w:ascii="Times New Roman;sans-serif" w:hAnsi="Times New Roman;sans-serif"/>
          <w:b/>
          <w:color w:val="000000"/>
          <w:sz w:val="22"/>
        </w:rPr>
        <w:t>Reversion License</w:t>
      </w:r>
      <w:r>
        <w:rPr>
          <w:color w:val="000000"/>
        </w:rPr>
        <w:t xml:space="preserve">” </w:t>
      </w:r>
      <w:r>
        <w:rPr>
          <w:rFonts w:ascii="Times New Roman;sans-serif" w:hAnsi="Times New Roman;sans-serif"/>
          <w:b w:val="false"/>
          <w:color w:val="000000"/>
          <w:sz w:val="22"/>
        </w:rPr>
        <w:t>has the meaning set forth in Section 10.6.6(a).</w:t>
      </w:r>
    </w:p>
    <w:p>
      <w:pPr>
        <w:pStyle w:val="TextBody"/>
        <w:spacing w:lineRule="auto" w:line="240" w:before="0" w:after="240"/>
        <w:ind w:left="0" w:right="0" w:hanging="720"/>
        <w:jc w:val="both"/>
        <w:rPr/>
      </w:pPr>
      <w:r>
        <w:rPr>
          <w:rFonts w:ascii="Times New Roman;sans-serif" w:hAnsi="Times New Roman;sans-serif"/>
          <w:b/>
          <w:color w:val="000000"/>
          <w:sz w:val="22"/>
        </w:rPr>
        <w:t>1.107</w:t>
      </w:r>
      <w:r>
        <w:rPr>
          <w:color w:val="000000"/>
        </w:rPr>
        <w:t>“</w:t>
      </w:r>
      <w:r>
        <w:rPr>
          <w:rFonts w:ascii="Times New Roman;sans-serif" w:hAnsi="Times New Roman;sans-serif"/>
          <w:b/>
          <w:color w:val="000000"/>
          <w:sz w:val="22"/>
        </w:rPr>
        <w:t>Reversion Royalty Dispute</w:t>
      </w:r>
      <w:r>
        <w:rPr>
          <w:color w:val="000000"/>
        </w:rPr>
        <w:t xml:space="preserve">” </w:t>
      </w:r>
      <w:r>
        <w:rPr>
          <w:rFonts w:ascii="Times New Roman;sans-serif" w:hAnsi="Times New Roman;sans-serif"/>
          <w:b w:val="false"/>
          <w:color w:val="000000"/>
          <w:sz w:val="22"/>
        </w:rPr>
        <w:t>has the meaning set forth in Section 10.6.6(b).</w:t>
      </w:r>
    </w:p>
    <w:p>
      <w:pPr>
        <w:pStyle w:val="TextBody"/>
        <w:spacing w:lineRule="auto" w:line="240" w:before="0" w:after="240"/>
        <w:ind w:left="0" w:right="0" w:hanging="720"/>
        <w:jc w:val="both"/>
        <w:rPr/>
      </w:pPr>
      <w:r>
        <w:rPr>
          <w:rFonts w:ascii="Times New Roman;sans-serif" w:hAnsi="Times New Roman;sans-serif"/>
          <w:b/>
          <w:color w:val="000000"/>
          <w:sz w:val="22"/>
        </w:rPr>
        <w:t>1.108</w:t>
      </w:r>
      <w:r>
        <w:rPr>
          <w:color w:val="000000"/>
        </w:rPr>
        <w:t>“</w:t>
      </w:r>
      <w:r>
        <w:rPr>
          <w:rFonts w:ascii="Times New Roman;sans-serif" w:hAnsi="Times New Roman;sans-serif"/>
          <w:b/>
          <w:color w:val="000000"/>
          <w:sz w:val="22"/>
        </w:rPr>
        <w:t>ROFN Exercise Notice</w:t>
      </w:r>
      <w:r>
        <w:rPr>
          <w:color w:val="000000"/>
        </w:rPr>
        <w:t xml:space="preserve">” </w:t>
      </w:r>
      <w:r>
        <w:rPr>
          <w:rFonts w:ascii="Times New Roman;sans-serif" w:hAnsi="Times New Roman;sans-serif"/>
          <w:b w:val="false"/>
          <w:color w:val="000000"/>
          <w:sz w:val="22"/>
        </w:rPr>
        <w:t>has the meaning set forth in Section 3.7.1.</w:t>
      </w:r>
    </w:p>
    <w:p>
      <w:pPr>
        <w:pStyle w:val="TextBody"/>
        <w:spacing w:lineRule="auto" w:line="240" w:before="0" w:after="240"/>
        <w:ind w:left="0" w:right="0" w:hanging="720"/>
        <w:jc w:val="both"/>
        <w:rPr/>
      </w:pPr>
      <w:r>
        <w:rPr>
          <w:rFonts w:ascii="Times New Roman;sans-serif" w:hAnsi="Times New Roman;sans-serif"/>
          <w:b/>
          <w:color w:val="000000"/>
          <w:sz w:val="22"/>
        </w:rPr>
        <w:t>1.109</w:t>
      </w:r>
      <w:r>
        <w:rPr>
          <w:color w:val="000000"/>
        </w:rPr>
        <w:t>“</w:t>
      </w:r>
      <w:r>
        <w:rPr>
          <w:rFonts w:ascii="Times New Roman;sans-serif" w:hAnsi="Times New Roman;sans-serif"/>
          <w:b/>
          <w:color w:val="000000"/>
          <w:sz w:val="22"/>
        </w:rPr>
        <w:t>ROFR Activity</w:t>
      </w:r>
      <w:r>
        <w:rPr>
          <w:color w:val="000000"/>
        </w:rPr>
        <w:t xml:space="preserve">” </w:t>
      </w:r>
      <w:r>
        <w:rPr>
          <w:rFonts w:ascii="Times New Roman;sans-serif" w:hAnsi="Times New Roman;sans-serif"/>
          <w:b w:val="false"/>
          <w:color w:val="000000"/>
          <w:sz w:val="22"/>
        </w:rPr>
        <w:t>has the meaning set forth in Section 3.7.</w:t>
      </w:r>
    </w:p>
    <w:p>
      <w:pPr>
        <w:pStyle w:val="TextBody"/>
        <w:spacing w:lineRule="auto" w:line="240" w:before="0" w:after="240"/>
        <w:ind w:left="0" w:right="0" w:hanging="720"/>
        <w:jc w:val="both"/>
        <w:rPr/>
      </w:pPr>
      <w:r>
        <w:rPr>
          <w:rFonts w:ascii="Times New Roman;sans-serif" w:hAnsi="Times New Roman;sans-serif"/>
          <w:b/>
          <w:color w:val="000000"/>
          <w:sz w:val="22"/>
        </w:rPr>
        <w:t>1.110</w:t>
      </w:r>
      <w:r>
        <w:rPr>
          <w:color w:val="000000"/>
        </w:rPr>
        <w:t>“</w:t>
      </w:r>
      <w:r>
        <w:rPr>
          <w:rFonts w:ascii="Times New Roman;sans-serif" w:hAnsi="Times New Roman;sans-serif"/>
          <w:b/>
          <w:color w:val="000000"/>
          <w:sz w:val="22"/>
        </w:rPr>
        <w:t>ROFR Product</w:t>
      </w:r>
      <w:r>
        <w:rPr>
          <w:color w:val="000000"/>
        </w:rPr>
        <w:t xml:space="preserve">” </w:t>
      </w:r>
      <w:r>
        <w:rPr>
          <w:rFonts w:ascii="Times New Roman;sans-serif" w:hAnsi="Times New Roman;sans-serif"/>
          <w:b w:val="false"/>
          <w:color w:val="000000"/>
          <w:sz w:val="22"/>
        </w:rPr>
        <w:t xml:space="preserve">means any product, including any drug or device, that (1) (a) includes [***] and (b) [***]; or (2) is [***]; or (3) includes [***]. </w:t>
      </w:r>
    </w:p>
    <w:p>
      <w:pPr>
        <w:pStyle w:val="TextBody"/>
        <w:spacing w:lineRule="auto" w:line="240" w:before="0" w:after="240"/>
        <w:ind w:left="0" w:right="0" w:hanging="720"/>
        <w:jc w:val="both"/>
        <w:rPr/>
      </w:pPr>
      <w:r>
        <w:rPr>
          <w:rFonts w:ascii="Times New Roman;sans-serif" w:hAnsi="Times New Roman;sans-serif"/>
          <w:b/>
          <w:color w:val="000000"/>
          <w:sz w:val="22"/>
        </w:rPr>
        <w:t>1.111</w:t>
      </w:r>
      <w:r>
        <w:rPr>
          <w:color w:val="000000"/>
        </w:rPr>
        <w:t>“</w:t>
      </w:r>
      <w:r>
        <w:rPr>
          <w:rFonts w:ascii="Times New Roman;sans-serif" w:hAnsi="Times New Roman;sans-serif"/>
          <w:b/>
          <w:color w:val="000000"/>
          <w:sz w:val="22"/>
        </w:rPr>
        <w:t>Royalties</w:t>
      </w:r>
      <w:r>
        <w:rPr>
          <w:color w:val="000000"/>
        </w:rPr>
        <w:t xml:space="preserve">” </w:t>
      </w:r>
      <w:r>
        <w:rPr>
          <w:rFonts w:ascii="Times New Roman;sans-serif" w:hAnsi="Times New Roman;sans-serif"/>
          <w:b w:val="false"/>
          <w:color w:val="000000"/>
          <w:sz w:val="22"/>
        </w:rPr>
        <w:t>has the meaning set forth in Section 6.3.1(a).</w:t>
      </w:r>
    </w:p>
    <w:p>
      <w:pPr>
        <w:pStyle w:val="TextBody"/>
        <w:spacing w:lineRule="auto" w:line="240" w:before="0" w:after="240"/>
        <w:ind w:left="0" w:right="0" w:hanging="720"/>
        <w:jc w:val="both"/>
        <w:rPr/>
      </w:pPr>
      <w:r>
        <w:rPr>
          <w:rFonts w:ascii="Times New Roman;sans-serif" w:hAnsi="Times New Roman;sans-serif"/>
          <w:b/>
          <w:color w:val="000000"/>
          <w:sz w:val="22"/>
        </w:rPr>
        <w:t>1.112</w:t>
      </w:r>
      <w:r>
        <w:rPr>
          <w:color w:val="000000"/>
        </w:rPr>
        <w:t>“</w:t>
      </w:r>
      <w:r>
        <w:rPr>
          <w:rFonts w:ascii="Times New Roman;sans-serif" w:hAnsi="Times New Roman;sans-serif"/>
          <w:b/>
          <w:color w:val="000000"/>
          <w:sz w:val="22"/>
        </w:rPr>
        <w:t>Royalty Period</w:t>
      </w:r>
      <w:r>
        <w:rPr>
          <w:color w:val="000000"/>
        </w:rPr>
        <w:t xml:space="preserve">” </w:t>
      </w:r>
      <w:r>
        <w:rPr>
          <w:rFonts w:ascii="Times New Roman;sans-serif" w:hAnsi="Times New Roman;sans-serif"/>
          <w:b w:val="false"/>
          <w:color w:val="000000"/>
          <w:sz w:val="22"/>
        </w:rPr>
        <w:t>has the meaning set forth in Section 6.3.1(d).</w:t>
      </w:r>
    </w:p>
    <w:p>
      <w:pPr>
        <w:pStyle w:val="TextBody"/>
        <w:spacing w:lineRule="auto" w:line="240" w:before="0" w:after="240"/>
        <w:ind w:left="0" w:right="0" w:hanging="720"/>
        <w:jc w:val="both"/>
        <w:rPr/>
      </w:pPr>
      <w:r>
        <w:rPr>
          <w:rFonts w:ascii="Times New Roman;sans-serif" w:hAnsi="Times New Roman;sans-serif"/>
          <w:b/>
          <w:color w:val="000000"/>
          <w:sz w:val="22"/>
        </w:rPr>
        <w:t>1.113</w:t>
      </w:r>
      <w:r>
        <w:rPr>
          <w:color w:val="000000"/>
        </w:rPr>
        <w:t>“</w:t>
      </w:r>
      <w:r>
        <w:rPr>
          <w:rFonts w:ascii="Times New Roman;sans-serif" w:hAnsi="Times New Roman;sans-serif"/>
          <w:b/>
          <w:color w:val="000000"/>
          <w:sz w:val="22"/>
        </w:rPr>
        <w:t>Safety Reason</w:t>
      </w:r>
      <w:r>
        <w:rPr>
          <w:color w:val="000000"/>
        </w:rPr>
        <w:t xml:space="preserve">” </w:t>
      </w:r>
      <w:r>
        <w:rPr>
          <w:rFonts w:ascii="Times New Roman;sans-serif" w:hAnsi="Times New Roman;sans-serif"/>
          <w:b w:val="false"/>
          <w:color w:val="000000"/>
          <w:sz w:val="22"/>
        </w:rPr>
        <w:t>has the meaning set forth in Section 10.5.</w:t>
      </w:r>
    </w:p>
    <w:p>
      <w:pPr>
        <w:pStyle w:val="TextBody"/>
        <w:spacing w:lineRule="auto" w:line="240" w:before="0" w:after="240"/>
        <w:ind w:left="0" w:right="0" w:hanging="720"/>
        <w:jc w:val="both"/>
        <w:rPr/>
      </w:pPr>
      <w:r>
        <w:rPr>
          <w:rFonts w:ascii="Times New Roman;sans-serif" w:hAnsi="Times New Roman;sans-serif"/>
          <w:b/>
          <w:color w:val="000000"/>
          <w:sz w:val="22"/>
        </w:rPr>
        <w:t>1.114</w:t>
      </w:r>
      <w:r>
        <w:rPr>
          <w:color w:val="000000"/>
        </w:rPr>
        <w:t>“</w:t>
      </w:r>
      <w:r>
        <w:rPr>
          <w:rFonts w:ascii="Times New Roman;sans-serif" w:hAnsi="Times New Roman;sans-serif"/>
          <w:b/>
          <w:color w:val="000000"/>
          <w:sz w:val="22"/>
        </w:rPr>
        <w:t>Sales Milestone Event</w:t>
      </w:r>
      <w:r>
        <w:rPr>
          <w:color w:val="000000"/>
        </w:rPr>
        <w:t xml:space="preserve">” </w:t>
      </w:r>
      <w:r>
        <w:rPr>
          <w:rFonts w:ascii="Times New Roman;sans-serif" w:hAnsi="Times New Roman;sans-serif"/>
          <w:b w:val="false"/>
          <w:color w:val="000000"/>
          <w:sz w:val="22"/>
        </w:rPr>
        <w:t>has the meaning set forth in Section 6.2.2.</w:t>
      </w:r>
    </w:p>
    <w:p>
      <w:pPr>
        <w:pStyle w:val="TextBody"/>
        <w:spacing w:lineRule="auto" w:line="240" w:before="0" w:after="240"/>
        <w:ind w:left="0" w:right="0" w:hanging="720"/>
        <w:jc w:val="both"/>
        <w:rPr/>
      </w:pPr>
      <w:r>
        <w:rPr>
          <w:rFonts w:ascii="Times New Roman;sans-serif" w:hAnsi="Times New Roman;sans-serif"/>
          <w:b/>
          <w:color w:val="000000"/>
          <w:sz w:val="22"/>
        </w:rPr>
        <w:t>1.115</w:t>
      </w:r>
      <w:r>
        <w:rPr>
          <w:color w:val="000000"/>
        </w:rPr>
        <w:t>“</w:t>
      </w:r>
      <w:r>
        <w:rPr>
          <w:rFonts w:ascii="Times New Roman;sans-serif" w:hAnsi="Times New Roman;sans-serif"/>
          <w:b/>
          <w:color w:val="000000"/>
          <w:sz w:val="22"/>
        </w:rPr>
        <w:t>Sales Milestone Payment</w:t>
      </w:r>
      <w:r>
        <w:rPr>
          <w:color w:val="000000"/>
        </w:rPr>
        <w:t xml:space="preserve">” </w:t>
      </w:r>
      <w:r>
        <w:rPr>
          <w:rFonts w:ascii="Times New Roman;sans-serif" w:hAnsi="Times New Roman;sans-serif"/>
          <w:b w:val="false"/>
          <w:color w:val="000000"/>
          <w:sz w:val="22"/>
        </w:rPr>
        <w:t>has the meaning set forth in Section 6.2.2.</w:t>
      </w:r>
    </w:p>
    <w:p>
      <w:pPr>
        <w:pStyle w:val="TextBody"/>
        <w:spacing w:lineRule="auto" w:line="240" w:before="0" w:after="240"/>
        <w:ind w:left="0" w:right="0" w:hanging="720"/>
        <w:jc w:val="both"/>
        <w:rPr/>
      </w:pPr>
      <w:r>
        <w:rPr>
          <w:rFonts w:ascii="Times New Roman;sans-serif" w:hAnsi="Times New Roman;sans-serif"/>
          <w:b/>
          <w:color w:val="000000"/>
          <w:sz w:val="22"/>
        </w:rPr>
        <w:t>1.116</w:t>
      </w:r>
      <w:r>
        <w:rPr>
          <w:color w:val="000000"/>
        </w:rPr>
        <w:t>“</w:t>
      </w:r>
      <w:r>
        <w:rPr>
          <w:rFonts w:ascii="Times New Roman;sans-serif" w:hAnsi="Times New Roman;sans-serif"/>
          <w:b/>
          <w:color w:val="000000"/>
          <w:sz w:val="22"/>
        </w:rPr>
        <w:t>Serious Adverse Event</w:t>
      </w:r>
      <w:r>
        <w:rPr>
          <w:color w:val="000000"/>
        </w:rPr>
        <w:t xml:space="preserve">” </w:t>
      </w:r>
      <w:r>
        <w:rPr>
          <w:rFonts w:ascii="Times New Roman;sans-serif" w:hAnsi="Times New Roman;sans-serif"/>
          <w:b w:val="false"/>
          <w:color w:val="000000"/>
          <w:sz w:val="22"/>
        </w:rPr>
        <w:t>means an Adverse Event occurring at any dose of a drug that (a) results in death or poses a threat to life; (b) requires or prolongs hospitalization; (c) results in persistent or significant disability or incapacity; (d) is medically significant; or (e) results in a congenital anomaly or birth defect.</w:t>
      </w:r>
    </w:p>
    <w:p>
      <w:pPr>
        <w:pStyle w:val="TextBody"/>
        <w:spacing w:lineRule="auto" w:line="240" w:before="0" w:after="240"/>
        <w:ind w:left="0" w:right="0" w:hanging="720"/>
        <w:jc w:val="both"/>
        <w:rPr/>
      </w:pPr>
      <w:r>
        <w:rPr>
          <w:rFonts w:ascii="Times New Roman;sans-serif" w:hAnsi="Times New Roman;sans-serif"/>
          <w:b/>
          <w:color w:val="000000"/>
          <w:sz w:val="22"/>
        </w:rPr>
        <w:t>1.117</w:t>
      </w:r>
      <w:r>
        <w:rPr>
          <w:color w:val="000000"/>
        </w:rPr>
        <w:t>“</w:t>
      </w:r>
      <w:r>
        <w:rPr>
          <w:rFonts w:ascii="Times New Roman;sans-serif" w:hAnsi="Times New Roman;sans-serif"/>
          <w:b/>
          <w:color w:val="000000"/>
          <w:sz w:val="22"/>
        </w:rPr>
        <w:t>Standby Agreement</w:t>
      </w:r>
      <w:r>
        <w:rPr>
          <w:color w:val="000000"/>
        </w:rPr>
        <w:t xml:space="preserve">” </w:t>
      </w:r>
      <w:r>
        <w:rPr>
          <w:rFonts w:ascii="Times New Roman;sans-serif" w:hAnsi="Times New Roman;sans-serif"/>
          <w:b w:val="false"/>
          <w:color w:val="000000"/>
          <w:sz w:val="22"/>
        </w:rPr>
        <w:t xml:space="preserve">means a </w:t>
      </w:r>
      <w:r>
        <w:rPr>
          <w:rFonts w:ascii="Times New Roman;sans-serif" w:hAnsi="Times New Roman;sans-serif"/>
          <w:b w:val="false"/>
          <w:i/>
          <w:color w:val="000000"/>
          <w:sz w:val="22"/>
        </w:rPr>
        <w:t>Consent, Waiver and Stand-by License Agreement</w:t>
      </w:r>
      <w:r>
        <w:rPr>
          <w:color w:val="000000"/>
        </w:rPr>
        <w:t xml:space="preserve"> </w:t>
      </w:r>
      <w:r>
        <w:rPr>
          <w:rFonts w:ascii="Times New Roman;sans-serif" w:hAnsi="Times New Roman;sans-serif"/>
          <w:b w:val="false"/>
          <w:color w:val="000000"/>
          <w:sz w:val="22"/>
        </w:rPr>
        <w:t>executed as of the Execution Date among Daré, Organon, Trilogic and MilanaPharm.</w:t>
      </w:r>
    </w:p>
    <w:p>
      <w:pPr>
        <w:pStyle w:val="TextBody"/>
        <w:spacing w:lineRule="auto" w:line="240" w:before="0" w:after="240"/>
        <w:ind w:left="0" w:right="0" w:hanging="720"/>
        <w:jc w:val="both"/>
        <w:rPr/>
      </w:pPr>
      <w:r>
        <w:rPr>
          <w:rFonts w:ascii="Times New Roman;sans-serif" w:hAnsi="Times New Roman;sans-serif"/>
          <w:b/>
          <w:color w:val="000000"/>
          <w:sz w:val="22"/>
        </w:rPr>
        <w:t>1.118</w:t>
      </w:r>
      <w:r>
        <w:rPr>
          <w:color w:val="000000"/>
        </w:rPr>
        <w:t>“</w:t>
      </w:r>
      <w:r>
        <w:rPr>
          <w:rFonts w:ascii="Times New Roman;sans-serif" w:hAnsi="Times New Roman;sans-serif"/>
          <w:b/>
          <w:color w:val="000000"/>
          <w:sz w:val="22"/>
        </w:rPr>
        <w:t>Statement of Use</w:t>
      </w:r>
      <w:r>
        <w:rPr>
          <w:color w:val="000000"/>
        </w:rPr>
        <w:t xml:space="preserve">” </w:t>
      </w:r>
      <w:r>
        <w:rPr>
          <w:rFonts w:ascii="Times New Roman;sans-serif" w:hAnsi="Times New Roman;sans-serif"/>
          <w:b w:val="false"/>
          <w:color w:val="000000"/>
          <w:sz w:val="22"/>
        </w:rPr>
        <w:t>has the meaning set forth in Section 3.2.4.</w:t>
      </w:r>
    </w:p>
    <w:p>
      <w:pPr>
        <w:pStyle w:val="TextBody"/>
        <w:spacing w:lineRule="auto" w:line="240" w:before="0" w:after="240"/>
        <w:ind w:left="0" w:right="0" w:hanging="720"/>
        <w:jc w:val="both"/>
        <w:rPr/>
      </w:pPr>
      <w:r>
        <w:rPr>
          <w:rFonts w:ascii="Times New Roman;sans-serif" w:hAnsi="Times New Roman;sans-serif"/>
          <w:b/>
          <w:color w:val="000000"/>
          <w:sz w:val="22"/>
        </w:rPr>
        <w:t>1.119</w:t>
      </w:r>
      <w:r>
        <w:rPr>
          <w:color w:val="000000"/>
        </w:rPr>
        <w:t>“</w:t>
      </w:r>
      <w:r>
        <w:rPr>
          <w:rFonts w:ascii="Times New Roman;sans-serif" w:hAnsi="Times New Roman;sans-serif"/>
          <w:b/>
          <w:color w:val="000000"/>
          <w:sz w:val="22"/>
        </w:rPr>
        <w:t>Sublicensee</w:t>
      </w:r>
      <w:r>
        <w:rPr>
          <w:color w:val="000000"/>
        </w:rPr>
        <w:t xml:space="preserve">” </w:t>
      </w:r>
      <w:r>
        <w:rPr>
          <w:rFonts w:ascii="Times New Roman;sans-serif" w:hAnsi="Times New Roman;sans-serif"/>
          <w:b w:val="false"/>
          <w:color w:val="000000"/>
          <w:sz w:val="22"/>
        </w:rPr>
        <w:t>means any Person to which Organon or any of its Affiliates grants a sublicense under any of the rights licensed/sublicensed to Organon under Section 3.1; except for contract manufacturers and distributors of the Licensed Products.</w:t>
      </w:r>
    </w:p>
    <w:p>
      <w:pPr>
        <w:pStyle w:val="TextBody"/>
        <w:spacing w:lineRule="auto" w:line="240" w:before="0" w:after="240"/>
        <w:ind w:left="0" w:right="0" w:hanging="720"/>
        <w:jc w:val="both"/>
        <w:rPr/>
      </w:pPr>
      <w:r>
        <w:rPr>
          <w:rFonts w:ascii="Times New Roman;sans-serif" w:hAnsi="Times New Roman;sans-serif"/>
          <w:b/>
          <w:color w:val="000000"/>
          <w:sz w:val="22"/>
        </w:rPr>
        <w:t>1.120</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1.121</w:t>
      </w:r>
      <w:r>
        <w:rPr>
          <w:color w:val="000000"/>
        </w:rPr>
        <w:t>“</w:t>
      </w:r>
      <w:r>
        <w:rPr>
          <w:rFonts w:ascii="Times New Roman;sans-serif" w:hAnsi="Times New Roman;sans-serif"/>
          <w:b/>
          <w:color w:val="000000"/>
          <w:sz w:val="22"/>
        </w:rPr>
        <w:t>Supply and Distribution Agreement</w:t>
      </w:r>
      <w:r>
        <w:rPr>
          <w:color w:val="000000"/>
        </w:rPr>
        <w:t xml:space="preserve">” </w:t>
      </w:r>
      <w:r>
        <w:rPr>
          <w:rFonts w:ascii="Times New Roman;sans-serif" w:hAnsi="Times New Roman;sans-serif"/>
          <w:b w:val="false"/>
          <w:color w:val="000000"/>
          <w:sz w:val="22"/>
        </w:rPr>
        <w:t>has the meaning set forth in Section 4.1.</w:t>
      </w:r>
    </w:p>
    <w:p>
      <w:pPr>
        <w:pStyle w:val="TextBody"/>
        <w:spacing w:lineRule="auto" w:line="240" w:before="0" w:after="240"/>
        <w:ind w:left="0" w:right="0" w:hanging="720"/>
        <w:jc w:val="both"/>
        <w:rPr/>
      </w:pPr>
      <w:r>
        <w:rPr>
          <w:rFonts w:ascii="Times New Roman;sans-serif" w:hAnsi="Times New Roman;sans-serif"/>
          <w:b/>
          <w:color w:val="000000"/>
          <w:sz w:val="22"/>
        </w:rPr>
        <w:t>1.122</w:t>
      </w:r>
      <w:r>
        <w:rPr>
          <w:color w:val="000000"/>
        </w:rPr>
        <w:t>“</w:t>
      </w:r>
      <w:r>
        <w:rPr>
          <w:rFonts w:ascii="Times New Roman;sans-serif" w:hAnsi="Times New Roman;sans-serif"/>
          <w:b/>
          <w:color w:val="000000"/>
          <w:sz w:val="22"/>
        </w:rPr>
        <w:t>Taxes</w:t>
      </w:r>
      <w:r>
        <w:rPr>
          <w:color w:val="000000"/>
        </w:rPr>
        <w:t xml:space="preserve">” </w:t>
      </w:r>
      <w:r>
        <w:rPr>
          <w:rFonts w:ascii="Times New Roman;sans-serif" w:hAnsi="Times New Roman;sans-serif"/>
          <w:b w:val="false"/>
          <w:color w:val="000000"/>
          <w:sz w:val="22"/>
        </w:rPr>
        <w:t>has the meaning set forth in Section 6.7.</w:t>
      </w:r>
    </w:p>
    <w:p>
      <w:pPr>
        <w:pStyle w:val="TextBody"/>
        <w:spacing w:lineRule="auto" w:line="240" w:before="0" w:after="240"/>
        <w:ind w:left="0" w:right="0" w:hanging="720"/>
        <w:jc w:val="both"/>
        <w:rPr/>
      </w:pPr>
      <w:r>
        <w:rPr>
          <w:rFonts w:ascii="Times New Roman;sans-serif" w:hAnsi="Times New Roman;sans-serif"/>
          <w:b/>
          <w:color w:val="000000"/>
          <w:sz w:val="22"/>
        </w:rPr>
        <w:t>1.123</w:t>
      </w:r>
      <w:r>
        <w:rPr>
          <w:color w:val="000000"/>
        </w:rPr>
        <w:t>“</w:t>
      </w:r>
      <w:r>
        <w:rPr>
          <w:rFonts w:ascii="Times New Roman;sans-serif" w:hAnsi="Times New Roman;sans-serif"/>
          <w:b/>
          <w:color w:val="000000"/>
          <w:sz w:val="22"/>
        </w:rPr>
        <w:t>Territory</w:t>
      </w:r>
      <w:r>
        <w:rPr>
          <w:color w:val="000000"/>
        </w:rPr>
        <w:t xml:space="preserve">” </w:t>
      </w:r>
      <w:r>
        <w:rPr>
          <w:rFonts w:ascii="Times New Roman;sans-serif" w:hAnsi="Times New Roman;sans-serif"/>
          <w:b w:val="false"/>
          <w:color w:val="000000"/>
          <w:sz w:val="22"/>
        </w:rPr>
        <w:t>means all of the countries in the world, and their territories and possessions.</w:t>
      </w:r>
    </w:p>
    <w:p>
      <w:pPr>
        <w:pStyle w:val="TextBody"/>
        <w:spacing w:lineRule="auto" w:line="240" w:before="0" w:after="240"/>
        <w:ind w:left="0" w:right="0" w:hanging="720"/>
        <w:jc w:val="both"/>
        <w:rPr/>
      </w:pPr>
      <w:r>
        <w:rPr>
          <w:rFonts w:ascii="Times New Roman;sans-serif" w:hAnsi="Times New Roman;sans-serif"/>
          <w:b/>
          <w:color w:val="000000"/>
          <w:sz w:val="22"/>
        </w:rPr>
        <w:t>1.124</w:t>
      </w:r>
      <w:r>
        <w:rPr>
          <w:color w:val="000000"/>
        </w:rPr>
        <w:t>“</w:t>
      </w:r>
      <w:r>
        <w:rPr>
          <w:rFonts w:ascii="Times New Roman;sans-serif" w:hAnsi="Times New Roman;sans-serif"/>
          <w:b/>
          <w:color w:val="000000"/>
          <w:sz w:val="22"/>
        </w:rPr>
        <w:t>Third-Party Claim</w:t>
      </w:r>
      <w:r>
        <w:rPr>
          <w:color w:val="000000"/>
        </w:rPr>
        <w:t xml:space="preserve">” </w:t>
      </w:r>
      <w:r>
        <w:rPr>
          <w:rFonts w:ascii="Times New Roman;sans-serif" w:hAnsi="Times New Roman;sans-serif"/>
          <w:b w:val="false"/>
          <w:color w:val="000000"/>
          <w:sz w:val="22"/>
        </w:rPr>
        <w:t>has the meaning set forth in Section 8.1.</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024890"/>
                <wp:effectExtent l="0" t="0" r="0" b="0"/>
                <wp:wrapNone/>
                <wp:docPr id="55" name="Frame5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1.125</w:t>
      </w:r>
      <w:r>
        <w:rPr>
          <w:color w:val="000000"/>
        </w:rPr>
        <w:t>“</w:t>
      </w:r>
      <w:r>
        <w:rPr>
          <w:rFonts w:ascii="Times New Roman;sans-serif" w:hAnsi="Times New Roman;sans-serif"/>
          <w:b/>
          <w:color w:val="000000"/>
          <w:sz w:val="22"/>
        </w:rPr>
        <w:t>Third Party</w:t>
      </w:r>
      <w:r>
        <w:rPr>
          <w:color w:val="000000"/>
        </w:rPr>
        <w:t xml:space="preserve">” </w:t>
      </w:r>
      <w:r>
        <w:rPr>
          <w:rFonts w:ascii="Times New Roman;sans-serif" w:hAnsi="Times New Roman;sans-serif"/>
          <w:b w:val="false"/>
          <w:color w:val="000000"/>
          <w:sz w:val="22"/>
        </w:rPr>
        <w:t>means an entity other than Organon and its Affiliates, and Daré and its Affiliates.</w:t>
      </w:r>
    </w:p>
    <w:p>
      <w:pPr>
        <w:pStyle w:val="TextBody"/>
        <w:spacing w:lineRule="auto" w:line="240" w:before="0" w:after="240"/>
        <w:ind w:left="0" w:right="0" w:hanging="720"/>
        <w:jc w:val="both"/>
        <w:rPr/>
      </w:pPr>
      <w:r>
        <w:rPr>
          <w:rFonts w:ascii="Times New Roman;sans-serif" w:hAnsi="Times New Roman;sans-serif"/>
          <w:b/>
          <w:color w:val="000000"/>
          <w:sz w:val="22"/>
        </w:rPr>
        <w:t>1.126</w:t>
      </w:r>
      <w:r>
        <w:rPr>
          <w:color w:val="000000"/>
        </w:rPr>
        <w:t>“</w:t>
      </w:r>
      <w:r>
        <w:rPr>
          <w:rFonts w:ascii="Times New Roman;sans-serif" w:hAnsi="Times New Roman;sans-serif"/>
          <w:b/>
          <w:color w:val="000000"/>
          <w:sz w:val="22"/>
        </w:rPr>
        <w:t>Third Party Licenses</w:t>
      </w:r>
      <w:r>
        <w:rPr>
          <w:color w:val="000000"/>
        </w:rPr>
        <w:t xml:space="preserve">” </w:t>
      </w:r>
      <w:r>
        <w:rPr>
          <w:rFonts w:ascii="Times New Roman;sans-serif" w:hAnsi="Times New Roman;sans-serif"/>
          <w:b w:val="false"/>
          <w:color w:val="000000"/>
          <w:sz w:val="22"/>
        </w:rPr>
        <w:t xml:space="preserve">has the meaning set forth in Section 6.3.2(a). </w:t>
      </w:r>
    </w:p>
    <w:p>
      <w:pPr>
        <w:pStyle w:val="TextBody"/>
        <w:spacing w:lineRule="auto" w:line="240" w:before="0" w:after="240"/>
        <w:ind w:left="0" w:right="0" w:hanging="720"/>
        <w:jc w:val="both"/>
        <w:rPr/>
      </w:pPr>
      <w:r>
        <w:rPr>
          <w:rFonts w:ascii="Times New Roman;sans-serif" w:hAnsi="Times New Roman;sans-serif"/>
          <w:b/>
          <w:color w:val="000000"/>
          <w:sz w:val="22"/>
        </w:rPr>
        <w:t>1.127</w:t>
      </w:r>
      <w:r>
        <w:rPr>
          <w:color w:val="000000"/>
        </w:rPr>
        <w:t>“</w:t>
      </w:r>
      <w:r>
        <w:rPr>
          <w:rFonts w:ascii="Times New Roman;sans-serif" w:hAnsi="Times New Roman;sans-serif"/>
          <w:b/>
          <w:color w:val="000000"/>
          <w:sz w:val="22"/>
        </w:rPr>
        <w:t>Trademark</w:t>
      </w:r>
      <w:r>
        <w:rPr>
          <w:color w:val="000000"/>
        </w:rPr>
        <w:t xml:space="preserve">” </w:t>
      </w:r>
      <w:r>
        <w:rPr>
          <w:rFonts w:ascii="Times New Roman;sans-serif" w:hAnsi="Times New Roman;sans-serif"/>
          <w:b w:val="false"/>
          <w:color w:val="000000"/>
          <w:sz w:val="22"/>
        </w:rPr>
        <w:t>means trademarks, service marks, assumed business names, trade names, commercial names, certification marks, collective marks, and other proprietary rights to any words, names, slogans, symbols, logos, devices or combinations thereof used to identify, distinguish and indicate the source or origin of goods or services, including without limitation the associated registrations, renewals, applications for registration, equivalents and counterparts of the foregoing.</w:t>
      </w:r>
    </w:p>
    <w:p>
      <w:pPr>
        <w:pStyle w:val="TextBody"/>
        <w:spacing w:lineRule="auto" w:line="240" w:before="0" w:after="240"/>
        <w:ind w:left="0" w:right="0" w:hanging="720"/>
        <w:jc w:val="both"/>
        <w:rPr/>
      </w:pPr>
      <w:r>
        <w:rPr>
          <w:rFonts w:ascii="Times New Roman;sans-serif" w:hAnsi="Times New Roman;sans-serif"/>
          <w:b/>
          <w:color w:val="000000"/>
          <w:sz w:val="22"/>
        </w:rPr>
        <w:t>1.128</w:t>
      </w:r>
      <w:r>
        <w:rPr>
          <w:color w:val="000000"/>
        </w:rPr>
        <w:t>“</w:t>
      </w:r>
      <w:r>
        <w:rPr>
          <w:rFonts w:ascii="Times New Roman;sans-serif" w:hAnsi="Times New Roman;sans-serif"/>
          <w:b/>
          <w:color w:val="000000"/>
          <w:sz w:val="22"/>
        </w:rPr>
        <w:t>Transition Plan</w:t>
      </w:r>
      <w:r>
        <w:rPr>
          <w:color w:val="000000"/>
        </w:rPr>
        <w:t xml:space="preserve">” </w:t>
      </w:r>
      <w:r>
        <w:rPr>
          <w:rFonts w:ascii="Times New Roman;sans-serif" w:hAnsi="Times New Roman;sans-serif"/>
          <w:b w:val="false"/>
          <w:color w:val="000000"/>
          <w:sz w:val="22"/>
        </w:rPr>
        <w:t>has the meaning ascribed to it in Section 10.6.14.</w:t>
      </w:r>
    </w:p>
    <w:p>
      <w:pPr>
        <w:pStyle w:val="TextBody"/>
        <w:spacing w:lineRule="auto" w:line="240" w:before="0" w:after="240"/>
        <w:ind w:left="0" w:right="0" w:hanging="720"/>
        <w:jc w:val="both"/>
        <w:rPr/>
      </w:pPr>
      <w:r>
        <w:rPr>
          <w:rFonts w:ascii="Times New Roman;sans-serif" w:hAnsi="Times New Roman;sans-serif"/>
          <w:b/>
          <w:color w:val="000000"/>
          <w:sz w:val="22"/>
        </w:rPr>
        <w:t>1.129</w:t>
      </w:r>
      <w:r>
        <w:rPr>
          <w:color w:val="000000"/>
        </w:rPr>
        <w:t>“</w:t>
      </w:r>
      <w:r>
        <w:rPr>
          <w:rFonts w:ascii="Times New Roman;sans-serif" w:hAnsi="Times New Roman;sans-serif"/>
          <w:b/>
          <w:color w:val="000000"/>
          <w:sz w:val="22"/>
        </w:rPr>
        <w:t>TriLogic</w:t>
      </w:r>
      <w:r>
        <w:rPr>
          <w:color w:val="000000"/>
        </w:rPr>
        <w:t xml:space="preserve">” </w:t>
      </w:r>
      <w:r>
        <w:rPr>
          <w:rFonts w:ascii="Times New Roman;sans-serif" w:hAnsi="Times New Roman;sans-serif"/>
          <w:b w:val="false"/>
          <w:color w:val="000000"/>
          <w:sz w:val="22"/>
        </w:rPr>
        <w:t>has the meaning set forth in Section 1.40.</w:t>
      </w:r>
    </w:p>
    <w:p>
      <w:pPr>
        <w:pStyle w:val="TextBody"/>
        <w:spacing w:lineRule="auto" w:line="240" w:before="0" w:after="240"/>
        <w:ind w:left="0" w:right="0" w:hanging="720"/>
        <w:jc w:val="both"/>
        <w:rPr/>
      </w:pPr>
      <w:r>
        <w:rPr>
          <w:rFonts w:ascii="Times New Roman;sans-serif" w:hAnsi="Times New Roman;sans-serif"/>
          <w:b/>
          <w:color w:val="000000"/>
          <w:sz w:val="22"/>
        </w:rPr>
        <w:t>1.130</w:t>
      </w:r>
      <w:r>
        <w:rPr>
          <w:color w:val="000000"/>
        </w:rPr>
        <w:t>“</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 xml:space="preserve">means the United States of America, excluding its territories and possessions. </w:t>
      </w:r>
    </w:p>
    <w:p>
      <w:pPr>
        <w:pStyle w:val="TextBody"/>
        <w:spacing w:lineRule="auto" w:line="240" w:before="0" w:after="240"/>
        <w:ind w:left="0" w:right="0" w:hanging="720"/>
        <w:jc w:val="both"/>
        <w:rPr/>
      </w:pPr>
      <w:r>
        <w:rPr>
          <w:rFonts w:ascii="Times New Roman;sans-serif" w:hAnsi="Times New Roman;sans-serif"/>
          <w:b/>
          <w:color w:val="000000"/>
          <w:sz w:val="22"/>
        </w:rPr>
        <w:t>1.131</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1.132</w:t>
      </w:r>
      <w:r>
        <w:rPr>
          <w:color w:val="000000"/>
        </w:rPr>
        <w:t>“</w:t>
      </w:r>
      <w:r>
        <w:rPr>
          <w:rFonts w:ascii="Times New Roman;sans-serif" w:hAnsi="Times New Roman;sans-serif"/>
          <w:b/>
          <w:color w:val="000000"/>
          <w:sz w:val="22"/>
        </w:rPr>
        <w:t>USPTO</w:t>
      </w:r>
      <w:r>
        <w:rPr>
          <w:color w:val="000000"/>
        </w:rPr>
        <w:t xml:space="preserve">” </w:t>
      </w:r>
      <w:r>
        <w:rPr>
          <w:rFonts w:ascii="Times New Roman;sans-serif" w:hAnsi="Times New Roman;sans-serif"/>
          <w:b w:val="false"/>
          <w:color w:val="000000"/>
          <w:sz w:val="22"/>
        </w:rPr>
        <w:t>has the meaning set forth in Section 3.2.4.</w:t>
      </w:r>
    </w:p>
    <w:p>
      <w:pPr>
        <w:pStyle w:val="TextBody"/>
        <w:spacing w:lineRule="auto" w:line="240" w:before="0" w:after="240"/>
        <w:ind w:left="0" w:right="0" w:hanging="720"/>
        <w:jc w:val="both"/>
        <w:rPr/>
      </w:pPr>
      <w:r>
        <w:rPr>
          <w:rFonts w:ascii="Times New Roman;sans-serif" w:hAnsi="Times New Roman;sans-serif"/>
          <w:b/>
          <w:color w:val="000000"/>
          <w:sz w:val="22"/>
        </w:rPr>
        <w:t>1.133</w:t>
      </w:r>
      <w:r>
        <w:rPr>
          <w:color w:val="000000"/>
        </w:rPr>
        <w:t>“</w:t>
      </w:r>
      <w:r>
        <w:rPr>
          <w:rFonts w:ascii="Times New Roman;sans-serif" w:hAnsi="Times New Roman;sans-serif"/>
          <w:b/>
          <w:color w:val="000000"/>
          <w:sz w:val="22"/>
        </w:rPr>
        <w:t>Valid Patent Claim</w:t>
      </w:r>
      <w:r>
        <w:rPr>
          <w:color w:val="000000"/>
        </w:rPr>
        <w:t xml:space="preserve">” </w:t>
      </w:r>
      <w:r>
        <w:rPr>
          <w:rFonts w:ascii="Times New Roman;sans-serif" w:hAnsi="Times New Roman;sans-serif"/>
          <w:b w:val="false"/>
          <w:color w:val="000000"/>
          <w:sz w:val="22"/>
        </w:rPr>
        <w:t>means a claim in an issued, unexpired Patent within the Daré Patents that (a) has not been finally cancelled, withdrawn, abandoned or rejected by any Governmental Authority of competent jurisdiction, (b) has not been revoked, held invalid, or declared unpatentable or unenforceable [***], (c) has not been rendered unenforceable through disclaimer or otherwise, and (d) is not lost through an interference proceeding.</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ARTICLE 2REGULATORY, PHARMACOVIGILANCE, EXCLUSIVITY GOVERNANCE, AND DATA. </w:t>
      </w:r>
    </w:p>
    <w:p>
      <w:pPr>
        <w:pStyle w:val="TextBody"/>
        <w:spacing w:lineRule="auto" w:line="240" w:before="0" w:after="240"/>
        <w:ind w:left="0" w:right="0" w:hanging="720"/>
        <w:jc w:val="both"/>
        <w:rPr/>
      </w:pPr>
      <w:r>
        <w:rPr>
          <w:rFonts w:ascii="Times New Roman;sans-serif" w:hAnsi="Times New Roman;sans-serif"/>
          <w:b/>
          <w:color w:val="000000"/>
          <w:sz w:val="22"/>
        </w:rPr>
        <w:t>2.1Assignment and Disclosure of Regulatory Materials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2.1.1Assignment</w:t>
      </w:r>
      <w:r>
        <w:rPr>
          <w:rFonts w:ascii="Times New Roman;sans-serif" w:hAnsi="Times New Roman;sans-serif"/>
          <w:b w:val="false"/>
          <w:color w:val="000000"/>
          <w:sz w:val="22"/>
        </w:rPr>
        <w:t xml:space="preserve">. Upon request by Organon, Daré hereby assigns all right, title and interest in the Daré Marketing Authorizations and Daré Regulatory Materials to Organon. Promptly after requested by Organon, Daré will cooperate with Organon as reasonably requested to effect an orderly transition of Control of the Daré Marketing Authorizations, and will use Commercially Reasonable Efforts to assist Organon in all interactions with the applicable Regulatory Authorities and other Development activities related to the Licensed Products from Daré to Organon. Upon and after such request by Organon, Organon shall be the holder of all Marketing Authorizations for Licensed Products in the Field in the Territory and shall have the sole right to maintain such Marketing Authorizations and responsibility for interactions with Regulatory Authorities with respect to the Licensed Products in the Field in the Territory; </w:t>
      </w:r>
      <w:r>
        <w:rPr>
          <w:rFonts w:ascii="Times New Roman;sans-serif" w:hAnsi="Times New Roman;sans-serif"/>
          <w:b w:val="false"/>
          <w:color w:val="000000"/>
          <w:sz w:val="22"/>
          <w:u w:val="single"/>
        </w:rPr>
        <w:t>provided that</w:t>
      </w:r>
      <w:r>
        <w:rPr>
          <w:color w:val="000000"/>
        </w:rPr>
        <w:t xml:space="preserve"> </w:t>
      </w:r>
      <w:r>
        <w:rPr>
          <w:rFonts w:ascii="Times New Roman;sans-serif" w:hAnsi="Times New Roman;sans-serif"/>
          <w:b w:val="false"/>
          <w:color w:val="000000"/>
          <w:sz w:val="22"/>
        </w:rPr>
        <w:t xml:space="preserve">Daré will hold the Daré Marketing Authorizations after such request until they are officially transferred to Organon by the applicable Regulatory Authority. Upon and after the Execution Date, Daré will not assign or otherwise grant to any Person other than Organon any rights, title or interest in or to any of the Daré Marketing Authorizations and Daré Regulatory Materials. </w:t>
      </w:r>
    </w:p>
    <w:p>
      <w:pPr>
        <w:pStyle w:val="TextBody"/>
        <w:spacing w:lineRule="auto" w:line="240" w:before="0" w:after="240"/>
        <w:ind w:left="0" w:right="0" w:hanging="720"/>
        <w:jc w:val="both"/>
        <w:rPr/>
      </w:pPr>
      <w:r>
        <w:rPr>
          <w:rFonts w:ascii="Times New Roman;sans-serif" w:hAnsi="Times New Roman;sans-serif"/>
          <w:b/>
          <w:color w:val="000000"/>
          <w:sz w:val="22"/>
        </w:rPr>
        <w:t>2.1.2Disclosure</w:t>
      </w:r>
      <w:r>
        <w:rPr>
          <w:rFonts w:ascii="Times New Roman;sans-serif" w:hAnsi="Times New Roman;sans-serif"/>
          <w:b w:val="false"/>
          <w:color w:val="000000"/>
          <w:sz w:val="22"/>
        </w:rPr>
        <w:t xml:space="preserve">. Within [***] after the Effective Date, Daré will provide to Organon the Daré Marketing Authorizations and original and electronic copies of the Daré Regulatory Materials. Thereafter, Daré will provide to Organon the original and an electronic copy of all updates to the Daré Marketing Authorizations and Daré Regulatory Materials within [***] after receipt or filing, as applicable.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024890"/>
                <wp:effectExtent l="0" t="0" r="0" b="0"/>
                <wp:wrapNone/>
                <wp:docPr id="56" name="Frame5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2.2Adverse Event Reporting; Global Safety Database; Transition to Organon; Pharmacovigilance Agreement</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2.2.1Adverse Event Reporting</w:t>
      </w:r>
      <w:r>
        <w:rPr>
          <w:rFonts w:ascii="Times New Roman;sans-serif" w:hAnsi="Times New Roman;sans-serif"/>
          <w:b w:val="false"/>
          <w:color w:val="000000"/>
          <w:sz w:val="22"/>
        </w:rPr>
        <w:t>. On and after the assignment and transfer of the Daré Marketing Authorizations to Organon hereunder, Organon shall be solely responsible for the collection, review, assessment, tracking, submission, and filing of information related to Adverse Events and Serious Adverse Events associated with all Licensed Products, in accordance with 21 C.F.R. §§ 312.32 and 314.80 and comparable regulations, guidance, and directives governing such events associated with Licensed Products.</w:t>
      </w:r>
    </w:p>
    <w:p>
      <w:pPr>
        <w:pStyle w:val="TextBody"/>
        <w:spacing w:lineRule="auto" w:line="240" w:before="0" w:after="240"/>
        <w:ind w:left="0" w:right="0" w:hanging="720"/>
        <w:jc w:val="both"/>
        <w:rPr/>
      </w:pPr>
      <w:r>
        <w:rPr>
          <w:rFonts w:ascii="Times New Roman;sans-serif" w:hAnsi="Times New Roman;sans-serif"/>
          <w:b/>
          <w:color w:val="000000"/>
          <w:sz w:val="22"/>
        </w:rPr>
        <w:t>2.2.2Legacy Adverse Events</w:t>
      </w:r>
      <w:r>
        <w:rPr>
          <w:rFonts w:ascii="Times New Roman;sans-serif" w:hAnsi="Times New Roman;sans-serif"/>
          <w:b w:val="false"/>
          <w:color w:val="000000"/>
          <w:sz w:val="22"/>
        </w:rPr>
        <w:t>. No later than [***] after the Effective Date, Daré and its Affiliates shall provide Organon an electronic copy of the CIOMS I form or XML files, or an agreeable format, for all legacy data of Adverse Events and Serious Adverse Events for all Licensed Products, and for all Gel Products Exploited by or on behalf of Daré, its Affiliates or their respective licensee/sublicensee, in the Territory (“</w:t>
      </w:r>
      <w:r>
        <w:rPr>
          <w:rFonts w:ascii="Times New Roman;sans-serif" w:hAnsi="Times New Roman;sans-serif"/>
          <w:b/>
          <w:color w:val="000000"/>
          <w:sz w:val="22"/>
        </w:rPr>
        <w:t>Legacy Data</w:t>
      </w:r>
      <w:r>
        <w:rPr>
          <w:color w:val="000000"/>
        </w:rPr>
        <w:t>”</w:t>
      </w:r>
      <w:r>
        <w:rPr>
          <w:rFonts w:ascii="Times New Roman;sans-serif" w:hAnsi="Times New Roman;sans-serif"/>
          <w:b w:val="false"/>
          <w:color w:val="000000"/>
          <w:sz w:val="22"/>
        </w:rPr>
        <w:t xml:space="preserve">) that is within Daré or its Affiliate’s possession and Control, for inclusion in Organon’s safety database for the Licensed Products. Daré and its Affiliates shall keep Legacy Data up-to-date until the completion of transfer and processing of all Legacy Data by the Parties. </w:t>
      </w:r>
    </w:p>
    <w:p>
      <w:pPr>
        <w:pStyle w:val="TextBody"/>
        <w:spacing w:lineRule="auto" w:line="240" w:before="0" w:after="240"/>
        <w:ind w:left="0" w:right="0" w:hanging="720"/>
        <w:jc w:val="both"/>
        <w:rPr/>
      </w:pPr>
      <w:r>
        <w:rPr>
          <w:rFonts w:ascii="Times New Roman;sans-serif" w:hAnsi="Times New Roman;sans-serif"/>
          <w:b/>
          <w:color w:val="000000"/>
          <w:sz w:val="22"/>
        </w:rPr>
        <w:t>2.2.3Global Database Holder</w:t>
      </w:r>
      <w:r>
        <w:rPr>
          <w:rFonts w:ascii="Times New Roman;sans-serif" w:hAnsi="Times New Roman;sans-serif"/>
          <w:b w:val="false"/>
          <w:color w:val="000000"/>
          <w:sz w:val="22"/>
        </w:rPr>
        <w:t>. Upon completion of processing of all Legacy Data, Organon will assume the role of global safety database holder for the Licensed Products (even if before transfer of the Daré Marketing Authorizations). Between the Execution Date and such time as Organon assumes such role, Daré shall continue to be the global safety database holder for the Licensed Products and shall continue to maintain such global safety database and, subject to Section 2.2.1, shall be responsible for the collection, review, assessment, tracking, submission, and filing of information related to Adverse Events and Serious Adverse Events associated with all Licensed Products, in accordance with 21 C.F.R. §§ 312.32 and 314.80 and comparable regulations, guidance, and directives governing such events associated with Licensed Products.</w:t>
      </w:r>
    </w:p>
    <w:p>
      <w:pPr>
        <w:pStyle w:val="TextBody"/>
        <w:spacing w:lineRule="auto" w:line="240" w:before="0" w:after="240"/>
        <w:ind w:left="0" w:right="0" w:hanging="720"/>
        <w:jc w:val="both"/>
        <w:rPr/>
      </w:pPr>
      <w:r>
        <w:rPr>
          <w:rFonts w:ascii="Times New Roman;sans-serif" w:hAnsi="Times New Roman;sans-serif"/>
          <w:b/>
          <w:color w:val="000000"/>
          <w:sz w:val="22"/>
        </w:rPr>
        <w:t>2.2.4Transition to Organon</w:t>
      </w:r>
      <w:r>
        <w:rPr>
          <w:rFonts w:ascii="Times New Roman;sans-serif" w:hAnsi="Times New Roman;sans-serif"/>
          <w:b w:val="false"/>
          <w:color w:val="000000"/>
          <w:sz w:val="22"/>
        </w:rPr>
        <w:t xml:space="preserve">. Subject to Section 2.2.5, as applicable, starting with the Execution Date and until completion of assignment and transfer to Organon of all Daré Marketing Authorizations and Daré Regulatory Materials with respect to Licensed Products, Daré shall, at its own cost: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promptly notify Organon of any information of which Daré becomes aware concerning any newly known Adverse Events or Serious Adverse Events with respect to any Licensed Product and any such notice will: (i) be provided in English in the form of a processed CIOMS I; and (ii) be provided within [***] of such Adverse Event where such Adverse Event is a Serious Adverse Event and within [***] otherwise;</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be responsible for documenting and reporting any newly known Adverse Events or Serious Adverse Events in the Territory with respect to each Licensed Product in conformance with all Applicable Laws, and responding to safety issues and to all requests of Regulatory Authorities related to each Licensed Product in the Territory;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be responsible for submission or filing of any other information or reports to Regulatory Authorities with respect to each Licensed Product in conformance with all Applicable Laws;</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xml:space="preserve">promptly notify Organon of any information of which Daré becomes aware concerning any Adverse Events or Serious Adverse Events with respect to any Gel Product Exploited by or on behalf of Daré, its Affiliate or their respective licensee/sublicensee where the Adverse Event is not attributed to the active ingredient in such Gel Product, and any such notice will: (i) be provided in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24890"/>
                <wp:effectExtent l="0" t="0" r="0" b="0"/>
                <wp:wrapNone/>
                <wp:docPr id="57" name="Frame56"/>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English in the form of a processed CIOMS I; and (ii) be provided within [***] of such Adverse Event where such Adverse Event is a Serious Adverse Event and within [***] otherwise; and</w:t>
      </w:r>
    </w:p>
    <w:p>
      <w:pPr>
        <w:pStyle w:val="TextBody"/>
        <w:spacing w:lineRule="auto" w:line="240" w:before="0" w:after="240"/>
        <w:ind w:left="0" w:right="0" w:hanging="720"/>
        <w:jc w:val="both"/>
        <w:rPr/>
      </w:pPr>
      <w:r>
        <w:rPr>
          <w:rFonts w:ascii="Times New Roman;sans-serif" w:hAnsi="Times New Roman;sans-serif"/>
          <w:b/>
          <w:color w:val="000000"/>
          <w:sz w:val="22"/>
        </w:rPr>
        <w:t>(e)</w:t>
      </w:r>
      <w:r>
        <w:rPr>
          <w:rFonts w:ascii="Times New Roman;sans-serif" w:hAnsi="Times New Roman;sans-serif"/>
          <w:b w:val="false"/>
          <w:color w:val="000000"/>
          <w:sz w:val="22"/>
        </w:rPr>
        <w:t>be responsible for documenting and reporting any Adverse Events and Serious Adverse Events in the Territory with respect to each Gel Product Exploited by or on behalf of Daré, its Affiliate or their respective licensee/sublicensee that is not attributed to the active ingredient in the Gel Product, in conformance with all Applicable Laws, and responding to safety issues and to all requests of Regulatory Authorities related to each such Gel Product in the Territory.</w:t>
      </w:r>
    </w:p>
    <w:p>
      <w:pPr>
        <w:pStyle w:val="TextBody"/>
        <w:spacing w:lineRule="auto" w:line="240" w:before="0" w:after="240"/>
        <w:ind w:left="0" w:right="0" w:hanging="720"/>
        <w:jc w:val="both"/>
        <w:rPr/>
      </w:pPr>
      <w:r>
        <w:rPr>
          <w:rFonts w:ascii="Times New Roman;sans-serif" w:hAnsi="Times New Roman;sans-serif"/>
          <w:b/>
          <w:color w:val="000000"/>
          <w:sz w:val="22"/>
        </w:rPr>
        <w:t>2.2.5Agency Correspondence</w:t>
      </w:r>
      <w:r>
        <w:rPr>
          <w:rFonts w:ascii="Times New Roman;sans-serif" w:hAnsi="Times New Roman;sans-serif"/>
          <w:b w:val="false"/>
          <w:color w:val="000000"/>
          <w:sz w:val="22"/>
        </w:rPr>
        <w:t xml:space="preserve">. Notwithstanding anything in this Agreement to the contrary and to the extent permitted in accordance with Applicable Law,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Between the Execution Date and the Effective Date, Organon shall have the right to review and comment on, prior to submission, any correspondence between Daré and any Regulatory Authority that affects or relates to any Licensed Product or Gel Product Exploited by or on behalf of Daré, its Affiliate or their respective licensee/sublicensee. Daré shall consider in good faith Organon’s comments and not refuse to implement any proposed comments to the correspondence for submission reasonably requested by Organon provided, however, that if Daré objects to implementation of any revisions required by Organon, then the [***] of each Party shall promptly meet, at mutually convenient time, to discuss and address the refusal, and to consider a revised correspondence for submission by Daré to the Regulatory Authority; </w:t>
      </w:r>
      <w:r>
        <w:rPr>
          <w:rFonts w:ascii="Times New Roman;sans-serif" w:hAnsi="Times New Roman;sans-serif"/>
          <w:b w:val="false"/>
          <w:i/>
          <w:color w:val="000000"/>
          <w:sz w:val="22"/>
        </w:rPr>
        <w:t>provided, however, that</w:t>
      </w:r>
      <w:r>
        <w:rPr>
          <w:color w:val="000000"/>
        </w:rPr>
        <w:t xml:space="preserve"> </w:t>
      </w:r>
      <w:r>
        <w:rPr>
          <w:rFonts w:ascii="Times New Roman;sans-serif" w:hAnsi="Times New Roman;sans-serif"/>
          <w:b w:val="false"/>
          <w:color w:val="000000"/>
          <w:sz w:val="22"/>
        </w:rPr>
        <w:t xml:space="preserve">Daré shall have the final decision authority with respect to the proposed correspondence so discussed.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After the Effective Date and until the completion of transfer of all Daré Marketing Authorizations to Organon, Organon shall have the right to review and approve, prior to submission, such approval not to be unreasonably withheld, any correspondence between Daré and any Regulatory Authority that affects or relates to any Licensed Product, or to any or Gel Product Exploited by or on behalf of Daré, its Affiliate or their respective licensee/sublicensee. If Organon notifies Daré that Organon does not approve any correspondence promptly after receiving the proposed correspondence, the Parties’ [***] shall promptly meet, at mutually convenient time, to discuss and address the objection, and to consider a revised correspondence for submission by Daré to the Regulatory Authority. As between the Parties, Daré shall have the final decision authority with respect to the proposed correspondence so discussed </w:t>
      </w:r>
      <w:r>
        <w:rPr>
          <w:rFonts w:ascii="Times New Roman;sans-serif" w:hAnsi="Times New Roman;sans-serif"/>
          <w:b w:val="false"/>
          <w:i/>
          <w:color w:val="000000"/>
          <w:sz w:val="22"/>
        </w:rPr>
        <w:t>provided, however, that</w:t>
      </w:r>
      <w:r>
        <w:rPr>
          <w:rFonts w:ascii="Times New Roman;sans-serif" w:hAnsi="Times New Roman;sans-serif"/>
          <w:b w:val="false"/>
          <w:color w:val="000000"/>
          <w:sz w:val="22"/>
        </w:rPr>
        <w:t xml:space="preserve">, upon and after [***] assumes the role of global safety database holder for the Licensed Products pursuant to Section 2.2.3, Organon shall have the final decision authority on the data, reports, and submissions related to Adverse Events and Serious Adverse Events for Licensed Products to be included in any such correspondence.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Organon shall have the right to perform any audit or investigation, in each case, with respect to any Licensed Product sold anywhere in the Territory prior to the date upon which all Daré Marketing Authorizations have been transferred to Organon.</w:t>
      </w:r>
    </w:p>
    <w:p>
      <w:pPr>
        <w:pStyle w:val="TextBody"/>
        <w:spacing w:lineRule="auto" w:line="240" w:before="0" w:after="240"/>
        <w:ind w:left="0" w:right="0" w:hanging="720"/>
        <w:jc w:val="both"/>
        <w:rPr/>
      </w:pPr>
      <w:r>
        <w:rPr>
          <w:rFonts w:ascii="Times New Roman;sans-serif" w:hAnsi="Times New Roman;sans-serif"/>
          <w:b/>
          <w:color w:val="000000"/>
          <w:sz w:val="22"/>
        </w:rPr>
        <w:t>2.2.6Pharmacovigilance Agreement</w:t>
      </w:r>
      <w:r>
        <w:rPr>
          <w:rFonts w:ascii="Times New Roman;sans-serif" w:hAnsi="Times New Roman;sans-serif"/>
          <w:b w:val="false"/>
          <w:color w:val="000000"/>
          <w:sz w:val="22"/>
        </w:rPr>
        <w:t xml:space="preserve">. No later than [***] before Daré, its Affiliates or any of its or their sublicensees, [***] Daré will provide notice of such to Organon. Upon Organon’s request, the Parties shall promptly, but no later than the date that any Clinical Trial relating to a Gel Product commences, negotiate and enter into a pharmacovigilance agreement for the Licensed Product and such Gel Product that sets forth the responsibilities of each Party with respect to pharmacovigilance matters relating to the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24890"/>
                <wp:effectExtent l="0" t="0" r="0" b="0"/>
                <wp:wrapNone/>
                <wp:docPr id="58" name="Frame57"/>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Licensed Products and the Gel Products in the Territory until the termination or expiration of this Agreement.</w:t>
      </w:r>
    </w:p>
    <w:p>
      <w:pPr>
        <w:pStyle w:val="TextBody"/>
        <w:spacing w:lineRule="auto" w:line="240" w:before="0" w:after="240"/>
        <w:ind w:left="0" w:right="0" w:hanging="720"/>
        <w:jc w:val="both"/>
        <w:rPr/>
      </w:pPr>
      <w:r>
        <w:rPr>
          <w:rFonts w:ascii="Times New Roman;sans-serif" w:hAnsi="Times New Roman;sans-serif"/>
          <w:b/>
          <w:color w:val="000000"/>
          <w:sz w:val="22"/>
        </w:rPr>
        <w:t>2.3Development and Commercialization Exclusivity</w:t>
      </w:r>
      <w:r>
        <w:rPr>
          <w:rFonts w:ascii="Times New Roman;sans-serif" w:hAnsi="Times New Roman;sans-serif"/>
          <w:b w:val="false"/>
          <w:color w:val="000000"/>
          <w:sz w:val="22"/>
        </w:rPr>
        <w:t>. Subject to the terms and conditions of this Agreement, including Section 3.4:</w:t>
      </w:r>
    </w:p>
    <w:p>
      <w:pPr>
        <w:pStyle w:val="TextBody"/>
        <w:spacing w:lineRule="auto" w:line="240" w:before="0" w:after="240"/>
        <w:ind w:left="0" w:right="0" w:hanging="720"/>
        <w:jc w:val="both"/>
        <w:rPr/>
      </w:pPr>
      <w:r>
        <w:rPr>
          <w:rFonts w:ascii="Times New Roman;sans-serif" w:hAnsi="Times New Roman;sans-serif"/>
          <w:b/>
          <w:color w:val="000000"/>
          <w:sz w:val="22"/>
        </w:rPr>
        <w:t>2.3.1Development Exclusivity</w:t>
      </w:r>
      <w:r>
        <w:rPr>
          <w:rFonts w:ascii="Times New Roman;sans-serif" w:hAnsi="Times New Roman;sans-serif"/>
          <w:b w:val="false"/>
          <w:color w:val="000000"/>
          <w:sz w:val="22"/>
        </w:rPr>
        <w:t>. As between the Parties, subject to Section 2.1 and Section 2.2 and the other terms of this Agreement, Organon shall have the exclusive right, but not the obligation, to conduct all Development involving any Licensed Product after the Effective Date. Without limiting the foregoing, upon and after the Execution Date, except as provided in Sections 2.1 and 2.2, Daré shall not, and shall cause its Affiliates not to, without the advance, written consent or request of Organon, anywhere in the world: (a) conduct any Clinical Trials involving a Licensed Product, (b) seek, obtain or maintain any Marketing Authorization involving a Licensed Product, (c) generate any new Regulatory Materials involving a Licensed Product, (d) except to the extent required by Applicable Law and with notice to Organon, communicate with any Regulatory Authority regarding any Licensed Product, Daré Marketing Authorizations or Daré Regulatory Materials, or (e) assign, license, sublicense or otherwise grant or convey any rights under any of the Product Trademarks, Daré Know-How or Daré Patents for any Licensed Product for Exploitation in the Field.</w:t>
      </w:r>
    </w:p>
    <w:p>
      <w:pPr>
        <w:pStyle w:val="TextBody"/>
        <w:spacing w:lineRule="auto" w:line="240" w:before="0" w:after="240"/>
        <w:ind w:left="0" w:right="0" w:hanging="720"/>
        <w:jc w:val="both"/>
        <w:rPr/>
      </w:pPr>
      <w:r>
        <w:rPr>
          <w:rFonts w:ascii="Times New Roman;sans-serif" w:hAnsi="Times New Roman;sans-serif"/>
          <w:b/>
          <w:color w:val="000000"/>
          <w:sz w:val="22"/>
        </w:rPr>
        <w:t>2.3.2Commercialization Exclusivity</w:t>
      </w:r>
      <w:r>
        <w:rPr>
          <w:rFonts w:ascii="Times New Roman;sans-serif" w:hAnsi="Times New Roman;sans-serif"/>
          <w:b w:val="false"/>
          <w:color w:val="000000"/>
          <w:sz w:val="22"/>
        </w:rPr>
        <w:t xml:space="preserve">. Upon and after the Execution Date, and subject to the terms of this Agreement, as between the Parties, Organon shall have the sole right and responsibility, but not the obligation (other than Organon’s diligence obligation under Section 3.4.1), at its sole cost and expense, to Commercialize Licensed Products or Restricted Products [***] in the Territory and to conduct market access activities relating to the Licensed Products or Restricted Products that are not Non-compete Products, including: (a) developing and executing a commercial launch and pre-launch plan, (b) negotiating reimbursement approvals with Governmental Authorities, (c) marketing, advertising and promoting, (d) distributing and performing related services, (e) handling order processing, invoicing and collecting inventory and receivables, (f) determining pricing and terms of sale of Licensed Products or Restricted Products that are not Non-compete Products, (g) providing customer support, and (h) assign, license, sublicense or otherwise grant or convey any rights under any of the Product Trademarks, Daré Know-How or Daré Patents for any Licensed Product or Restricted Product that are not Non-compete Products for Exploitation in the Field. </w:t>
      </w:r>
    </w:p>
    <w:p>
      <w:pPr>
        <w:pStyle w:val="TextBody"/>
        <w:spacing w:lineRule="auto" w:line="240" w:before="0" w:after="240"/>
        <w:ind w:left="0" w:right="0" w:hanging="720"/>
        <w:jc w:val="both"/>
        <w:rPr/>
      </w:pPr>
      <w:r>
        <w:rPr>
          <w:rFonts w:ascii="Times New Roman;sans-serif" w:hAnsi="Times New Roman;sans-serif"/>
          <w:b/>
          <w:color w:val="000000"/>
          <w:sz w:val="22"/>
        </w:rPr>
        <w:t>2.3.3Medical Affairs Exclusivity</w:t>
      </w:r>
      <w:r>
        <w:rPr>
          <w:rFonts w:ascii="Times New Roman;sans-serif" w:hAnsi="Times New Roman;sans-serif"/>
          <w:b w:val="false"/>
          <w:color w:val="000000"/>
          <w:sz w:val="22"/>
        </w:rPr>
        <w:t xml:space="preserve">. Subject to the terms of this Agreement, including Section 3.8, as between the Parties, Organon shall have the exclusive right to conduct medical affairs relating to Licensed Products or Restricted Products that are not Non-compete Products. </w:t>
      </w:r>
    </w:p>
    <w:p>
      <w:pPr>
        <w:pStyle w:val="TextBody"/>
        <w:spacing w:lineRule="auto" w:line="240" w:before="0" w:after="240"/>
        <w:ind w:left="0" w:right="0" w:hanging="720"/>
        <w:jc w:val="both"/>
        <w:rPr/>
      </w:pPr>
      <w:r>
        <w:rPr>
          <w:rFonts w:ascii="Times New Roman;sans-serif" w:hAnsi="Times New Roman;sans-serif"/>
          <w:b/>
          <w:color w:val="000000"/>
          <w:sz w:val="22"/>
        </w:rPr>
        <w:t>2.3.4[</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however, that</w:t>
      </w:r>
      <w:r>
        <w:rPr>
          <w:color w:val="000000"/>
        </w:rPr>
        <w:t xml:space="preserve"> </w:t>
      </w:r>
      <w:r>
        <w:rPr>
          <w:rFonts w:ascii="Times New Roman;sans-serif" w:hAnsi="Times New Roman;sans-serif"/>
          <w:b w:val="false"/>
          <w:color w:val="000000"/>
          <w:sz w:val="22"/>
        </w:rPr>
        <w:t>upon termination of this Agreement in any country within the Territory, the Parties’ obligation under this Section 2.3.4 also terminates with respect to such country.</w:t>
      </w:r>
    </w:p>
    <w:p>
      <w:pPr>
        <w:pStyle w:val="TextBody"/>
        <w:spacing w:lineRule="auto" w:line="240" w:before="0" w:after="240"/>
        <w:ind w:left="0" w:right="0" w:hanging="720"/>
        <w:jc w:val="both"/>
        <w:rPr/>
      </w:pPr>
      <w:r>
        <w:rPr>
          <w:rFonts w:ascii="Times New Roman;sans-serif" w:hAnsi="Times New Roman;sans-serif"/>
          <w:b/>
          <w:color w:val="000000"/>
          <w:sz w:val="22"/>
        </w:rPr>
        <w:t>2.4Alliance Managers</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2.4.1Appointment</w:t>
      </w:r>
      <w:r>
        <w:rPr>
          <w:rFonts w:ascii="Times New Roman;sans-serif" w:hAnsi="Times New Roman;sans-serif"/>
          <w:b w:val="false"/>
          <w:color w:val="000000"/>
          <w:sz w:val="22"/>
        </w:rPr>
        <w:t>. Each Party shall appoint an employee who shall oversee interactions between the Parties for all matters related to this Agreement (each an “</w:t>
      </w:r>
      <w:r>
        <w:rPr>
          <w:rFonts w:ascii="Times New Roman;sans-serif" w:hAnsi="Times New Roman;sans-serif"/>
          <w:b/>
          <w:color w:val="000000"/>
          <w:sz w:val="22"/>
        </w:rPr>
        <w:t>Alliance Manager</w:t>
      </w:r>
      <w:r>
        <w:rPr>
          <w:color w:val="000000"/>
        </w:rPr>
        <w:t>”</w:t>
      </w:r>
      <w:r>
        <w:rPr>
          <w:rFonts w:ascii="Times New Roman;sans-serif" w:hAnsi="Times New Roman;sans-serif"/>
          <w:b w:val="false"/>
          <w:color w:val="000000"/>
          <w:sz w:val="22"/>
        </w:rPr>
        <w:t xml:space="preserve">). Such persons shall endeavor to ensure clear and responsive communication between the Parties and the effective exchange of information, and shall serve as the day-to-day primary point of contact for any matters arising under this Agreement (but communications between them are not substitutes for notices required to be provided in accordance with Section 12.5). The Alliance Managers shall have such other responsibilities as the Parties may mutually agree in writing. Unless designated by a Party otherwise before the Effective Date, the Alliance Manager for Organon shall be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24890"/>
                <wp:effectExtent l="0" t="0" r="0" b="0"/>
                <wp:wrapNone/>
                <wp:docPr id="59" name="Frame58"/>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and for Daré shall be [***]. Each Party may designate different Alliance Managers by notice in writing to the other Party. </w:t>
      </w:r>
    </w:p>
    <w:p>
      <w:pPr>
        <w:pStyle w:val="TextBody"/>
        <w:spacing w:lineRule="auto" w:line="240" w:before="0" w:after="240"/>
        <w:ind w:left="0" w:right="0" w:hanging="720"/>
        <w:jc w:val="both"/>
        <w:rPr/>
      </w:pPr>
      <w:r>
        <w:rPr>
          <w:rFonts w:ascii="Times New Roman;sans-serif" w:hAnsi="Times New Roman;sans-serif"/>
          <w:b/>
          <w:color w:val="000000"/>
          <w:sz w:val="22"/>
        </w:rPr>
        <w:t>2.4.2Responsibilities of the Alliance Managers</w:t>
      </w:r>
      <w:r>
        <w:rPr>
          <w:rFonts w:ascii="Times New Roman;sans-serif" w:hAnsi="Times New Roman;sans-serif"/>
          <w:b w:val="false"/>
          <w:color w:val="000000"/>
          <w:sz w:val="22"/>
        </w:rPr>
        <w:t>. The Alliance Managers shall have the responsibility of creating and maintaining a constructive and amicable work environment between the Parties. Without limiting the generality of the foregoing, each Alliance Manager shall:</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and</w:t>
      </w:r>
    </w:p>
    <w:p>
      <w:pPr>
        <w:pStyle w:val="TextBody"/>
        <w:spacing w:lineRule="auto" w:line="240" w:before="0" w:after="240"/>
        <w:ind w:left="0" w:right="0" w:hanging="720"/>
        <w:jc w:val="both"/>
        <w:rPr/>
      </w:pPr>
      <w:r>
        <w:rPr>
          <w:rFonts w:ascii="Times New Roman;sans-serif" w:hAnsi="Times New Roman;sans-serif"/>
          <w:b/>
          <w:color w:val="000000"/>
          <w:sz w:val="22"/>
        </w:rPr>
        <w:t>(e)</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2.5Transfer of Data</w:t>
      </w:r>
      <w:r>
        <w:rPr>
          <w:rFonts w:ascii="Times New Roman;sans-serif" w:hAnsi="Times New Roman;sans-serif"/>
          <w:b w:val="false"/>
          <w:color w:val="000000"/>
          <w:sz w:val="22"/>
        </w:rPr>
        <w:t>. Within [***] after the Effective Date and within [***] from Organon’s reasonable written request at any time thereafter throughout the term of this Agreement, Daré shall transfer to Organon a copy of all preclinical and clinical data in Daré’s Control that relates to (a) [***] and (b) [***] (the “</w:t>
      </w:r>
      <w:r>
        <w:rPr>
          <w:rFonts w:ascii="Times New Roman;sans-serif" w:hAnsi="Times New Roman;sans-serif"/>
          <w:b/>
          <w:color w:val="000000"/>
          <w:sz w:val="22"/>
        </w:rPr>
        <w:t>Product Data</w:t>
      </w:r>
      <w:r>
        <w:rPr>
          <w:color w:val="000000"/>
        </w:rPr>
        <w:t>”</w:t>
      </w:r>
      <w:r>
        <w:rPr>
          <w:rFonts w:ascii="Times New Roman;sans-serif" w:hAnsi="Times New Roman;sans-serif"/>
          <w:b w:val="false"/>
          <w:color w:val="000000"/>
          <w:sz w:val="22"/>
        </w:rPr>
        <w:t>). During the term of this Agreement, [***]</w:t>
      </w:r>
    </w:p>
    <w:p>
      <w:pPr>
        <w:pStyle w:val="TextBody"/>
        <w:spacing w:lineRule="auto" w:line="240" w:before="0" w:after="240"/>
        <w:ind w:left="0" w:right="0" w:hanging="720"/>
        <w:jc w:val="both"/>
        <w:rPr/>
      </w:pPr>
      <w:r>
        <w:rPr>
          <w:rFonts w:ascii="Times New Roman;sans-serif" w:hAnsi="Times New Roman;sans-serif"/>
          <w:b/>
          <w:color w:val="000000"/>
          <w:sz w:val="22"/>
        </w:rPr>
        <w:t>2.6Personal Data</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2.6.1Responsibilities</w:t>
      </w:r>
      <w:r>
        <w:rPr>
          <w:rFonts w:ascii="Times New Roman;sans-serif" w:hAnsi="Times New Roman;sans-serif"/>
          <w:b w:val="false"/>
          <w:color w:val="000000"/>
          <w:sz w:val="22"/>
        </w:rPr>
        <w:t>. Daré shall not provide to Organon any data that identifies or could be used to identify an individual natural person within the Daré Know-How and Product Data (“</w:t>
      </w:r>
      <w:r>
        <w:rPr>
          <w:rFonts w:ascii="Times New Roman;sans-serif" w:hAnsi="Times New Roman;sans-serif"/>
          <w:b/>
          <w:color w:val="000000"/>
          <w:sz w:val="22"/>
        </w:rPr>
        <w:t>Personal Data</w:t>
      </w:r>
      <w:r>
        <w:rPr>
          <w:color w:val="000000"/>
        </w:rPr>
        <w:t>”</w:t>
      </w:r>
      <w:r>
        <w:rPr>
          <w:rFonts w:ascii="Times New Roman;sans-serif" w:hAnsi="Times New Roman;sans-serif"/>
          <w:b w:val="false"/>
          <w:color w:val="000000"/>
          <w:sz w:val="22"/>
        </w:rPr>
        <w:t xml:space="preserve">), except to the limited extent required by Applicable Law. If Daré is required to provide to Organon any Personal Data, then each Party will abide by all Applicable Laws with respect to its disclosure and use of such Personal Data. </w:t>
      </w:r>
    </w:p>
    <w:p>
      <w:pPr>
        <w:pStyle w:val="TextBody"/>
        <w:spacing w:lineRule="auto" w:line="240" w:before="0" w:after="240"/>
        <w:ind w:left="0" w:right="0" w:hanging="720"/>
        <w:jc w:val="both"/>
        <w:rPr/>
      </w:pPr>
      <w:r>
        <w:rPr>
          <w:rFonts w:ascii="Times New Roman;sans-serif" w:hAnsi="Times New Roman;sans-serif"/>
          <w:b/>
          <w:color w:val="000000"/>
          <w:sz w:val="22"/>
        </w:rPr>
        <w:t>2.6.2Organon Rights</w:t>
      </w:r>
      <w:r>
        <w:rPr>
          <w:rFonts w:ascii="Times New Roman;sans-serif" w:hAnsi="Times New Roman;sans-serif"/>
          <w:b w:val="false"/>
          <w:color w:val="000000"/>
          <w:sz w:val="22"/>
        </w:rPr>
        <w:t>. Organon and its Affiliates may use Non-Identifiable Data received from Daré to create data sets (“</w:t>
      </w:r>
      <w:r>
        <w:rPr>
          <w:rFonts w:ascii="Times New Roman;sans-serif" w:hAnsi="Times New Roman;sans-serif"/>
          <w:b/>
          <w:color w:val="000000"/>
          <w:sz w:val="22"/>
        </w:rPr>
        <w:t>Research Data Sets</w:t>
      </w:r>
      <w:r>
        <w:rPr>
          <w:color w:val="000000"/>
        </w:rPr>
        <w:t>”</w:t>
      </w:r>
      <w:r>
        <w:rPr>
          <w:rFonts w:ascii="Times New Roman;sans-serif" w:hAnsi="Times New Roman;sans-serif"/>
          <w:b w:val="false"/>
          <w:color w:val="000000"/>
          <w:sz w:val="22"/>
        </w:rPr>
        <w:t>) for Organon’s and its Affiliates’ internal research purposes, and may use and disclose the Research Data Sets for medical research, including research unrelated to the Licensed Products, and any filings of medical research study results with regulatory Governmental Authorities worldwide. For purposes of this section, “</w:t>
      </w:r>
      <w:r>
        <w:rPr>
          <w:rFonts w:ascii="Times New Roman;sans-serif" w:hAnsi="Times New Roman;sans-serif"/>
          <w:b/>
          <w:color w:val="000000"/>
          <w:sz w:val="22"/>
        </w:rPr>
        <w:t>Non-Identifiable Data</w:t>
      </w:r>
      <w:r>
        <w:rPr>
          <w:color w:val="000000"/>
        </w:rPr>
        <w:t xml:space="preserve">” </w:t>
      </w:r>
      <w:r>
        <w:rPr>
          <w:rFonts w:ascii="Times New Roman;sans-serif" w:hAnsi="Times New Roman;sans-serif"/>
          <w:b w:val="false"/>
          <w:color w:val="000000"/>
          <w:sz w:val="22"/>
        </w:rPr>
        <w:t xml:space="preserve">means Personal Data that has been de-identified such that it meets the Health Insurance Portability and Accountability Act safe harbor for de-identification of protected health information set forth at 45 C.F.R. § 164.514. Organon will: (a) [***]; (b) use appropriate safeguards to prevent [***]; (c) not use the Research Data Sets to identify any study subject or contact any study subject; and (d) use and disclose Research Data Sets in compliance with Applicable Laws. </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3LICENSES AND OWNERSHIP OF IP.</w:t>
      </w:r>
    </w:p>
    <w:p>
      <w:pPr>
        <w:pStyle w:val="TextBody"/>
        <w:spacing w:lineRule="auto" w:line="240" w:before="0" w:after="240"/>
        <w:ind w:left="0" w:right="0" w:hanging="720"/>
        <w:jc w:val="both"/>
        <w:rPr/>
      </w:pPr>
      <w:r>
        <w:rPr>
          <w:rFonts w:ascii="Times New Roman;sans-serif" w:hAnsi="Times New Roman;sans-serif"/>
          <w:b/>
          <w:color w:val="000000"/>
          <w:sz w:val="22"/>
        </w:rPr>
        <w:t>3.1License Grant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3.1.1Patents.</w:t>
      </w:r>
      <w:r>
        <w:rPr>
          <w:color w:val="000000"/>
        </w:rPr>
        <w:t xml:space="preserve"> </w:t>
      </w:r>
      <w:r>
        <w:rPr>
          <w:rFonts w:ascii="Times New Roman;sans-serif" w:hAnsi="Times New Roman;sans-serif"/>
          <w:b w:val="false"/>
          <w:color w:val="000000"/>
          <w:sz w:val="22"/>
        </w:rPr>
        <w:t>Subject to the terms of this Agreement, Daré hereby grants to Organon an exclusive license (even as to Daré) in the Territory under all rights in the Daré Patents and all of Daré’s rights in Joint Patents, with the right to grant and authorize sublicenses, to Exploit Licensed Products in the Field.</w:t>
      </w:r>
    </w:p>
    <w:p>
      <w:pPr>
        <w:pStyle w:val="TextBody"/>
        <w:spacing w:lineRule="auto" w:line="240" w:before="0" w:after="240"/>
        <w:ind w:left="0" w:right="0" w:hanging="720"/>
        <w:jc w:val="both"/>
        <w:rPr/>
      </w:pPr>
      <w:r>
        <w:rPr>
          <w:rFonts w:ascii="Times New Roman;sans-serif" w:hAnsi="Times New Roman;sans-serif"/>
          <w:b/>
          <w:color w:val="000000"/>
          <w:sz w:val="22"/>
        </w:rPr>
        <w:t>3.1.2Know-How.</w:t>
      </w:r>
      <w:r>
        <w:rPr>
          <w:color w:val="000000"/>
        </w:rPr>
        <w:t xml:space="preserve"> </w:t>
      </w:r>
      <w:r>
        <w:rPr>
          <w:rFonts w:ascii="Times New Roman;sans-serif" w:hAnsi="Times New Roman;sans-serif"/>
          <w:b w:val="false"/>
          <w:color w:val="000000"/>
          <w:sz w:val="22"/>
        </w:rPr>
        <w:t xml:space="preserve">Subject to the terms of this Agreement, Daré hereby grants to Organon an exclusive license (even as to Daré) in the Territory under all rights in the Daré Know-How and all of Daré’s rights in Joint Agreement Information and Inventions, with the right to grant and authorize sublicenses, to Exploit Licensed Products in the Field.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024890"/>
                <wp:effectExtent l="0" t="0" r="0" b="0"/>
                <wp:wrapNone/>
                <wp:docPr id="60" name="Frame59"/>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3.1.3Sublicenses</w:t>
      </w:r>
      <w:r>
        <w:rPr>
          <w:rFonts w:ascii="Times New Roman;sans-serif" w:hAnsi="Times New Roman;sans-serif"/>
          <w:b w:val="false"/>
          <w:color w:val="000000"/>
          <w:sz w:val="22"/>
        </w:rPr>
        <w:t xml:space="preserve">. The foregoing licenses include the right to further sublicense, provided that such further sublicenses (a) are in writing, (b) shall refer to and be subject and subordinate to the applicable terms of this Agreement, and are consistent with the terms and requirements of this Agreement, and (c) disclaim any representations or warranties of Daré and licensors under the DTM Upstream License Agreement. Organon will promptly notify Daré upon execution of each sublicense, in each case within [***] and shall furnish Daré with a true copy of each sublicense and of any amendment thereto, each of which may be redacted by Organon for competitively sensitive or financial information or information unrelated to the obligations of Organon to Daré hereunder. Organon shall remain liable to Daré for the performance of all of Organon’s obligations under this Agreement, and will be liable for any act or failure to act by any Sublicensee that if committed (or not committed) by such Sublicensee would be a breach of any of Organon’s obligations under this Agreement as though the same were a breach by Organon itself. </w:t>
      </w:r>
    </w:p>
    <w:p>
      <w:pPr>
        <w:pStyle w:val="TextBody"/>
        <w:spacing w:lineRule="auto" w:line="240" w:before="0" w:after="240"/>
        <w:ind w:left="0" w:right="0" w:hanging="720"/>
        <w:jc w:val="both"/>
        <w:rPr/>
      </w:pPr>
      <w:r>
        <w:rPr>
          <w:rFonts w:ascii="Times New Roman;sans-serif" w:hAnsi="Times New Roman;sans-serif"/>
          <w:b/>
          <w:color w:val="000000"/>
          <w:sz w:val="22"/>
        </w:rPr>
        <w:t>3.1.4Marking</w:t>
      </w:r>
      <w:r>
        <w:rPr>
          <w:rFonts w:ascii="Times New Roman;sans-serif" w:hAnsi="Times New Roman;sans-serif"/>
          <w:b w:val="false"/>
          <w:color w:val="000000"/>
          <w:sz w:val="22"/>
        </w:rPr>
        <w:t>. Organon will use Commercially Reasonable Efforts to mark or virtually mark (including by listing applicable Patents on a website for Licensed Products) and require all Sublicensees to mark or virtually mark all Licensed Products with appropriate patent numbers. This Section 3.1.4 shall expire, on a Daré Patent-by-Daré Patent basis, upon expiration or cancellation of such Daré Patent.</w:t>
      </w:r>
    </w:p>
    <w:p>
      <w:pPr>
        <w:pStyle w:val="TextBody"/>
        <w:spacing w:lineRule="auto" w:line="240" w:before="0" w:after="240"/>
        <w:ind w:left="0" w:right="0" w:hanging="720"/>
        <w:jc w:val="both"/>
        <w:rPr/>
      </w:pPr>
      <w:r>
        <w:rPr>
          <w:rFonts w:ascii="Times New Roman;sans-serif" w:hAnsi="Times New Roman;sans-serif"/>
          <w:b/>
          <w:color w:val="000000"/>
          <w:sz w:val="22"/>
        </w:rPr>
        <w:t>3.2Trademarks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3.2.1License Grant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Daré hereby grants to Organon an exclusive license (even as to Daré) in the Territory to the Product Trademarks, with the right to grant and authorize sublicenses (pursuant to Section 3.1.3), for purposes of using the Product Trademarks in connection with the Development and Commercialization of any Licensed Product.</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Daré hereby grants to Organon a non-exclusive license in the Territory to use Daré’s corporate name and corporate logo (“</w:t>
      </w:r>
      <w:r>
        <w:rPr>
          <w:rFonts w:ascii="Times New Roman;sans-serif" w:hAnsi="Times New Roman;sans-serif"/>
          <w:b/>
          <w:color w:val="000000"/>
          <w:sz w:val="22"/>
        </w:rPr>
        <w:t>Corporate Trademarks</w:t>
      </w:r>
      <w:r>
        <w:rPr>
          <w:color w:val="000000"/>
        </w:rPr>
        <w:t>”</w:t>
      </w:r>
      <w:r>
        <w:rPr>
          <w:rFonts w:ascii="Times New Roman;sans-serif" w:hAnsi="Times New Roman;sans-serif"/>
          <w:b w:val="false"/>
          <w:color w:val="000000"/>
          <w:sz w:val="22"/>
        </w:rPr>
        <w:t>) to the extent that Organon is required to use Corporate Trademarks under Applicable Laws in connection with the Exploitation of the Licensed Products. Organon will [***], and Organon will not [***].</w:t>
      </w:r>
    </w:p>
    <w:p>
      <w:pPr>
        <w:pStyle w:val="TextBody"/>
        <w:spacing w:lineRule="auto" w:line="240" w:before="0" w:after="240"/>
        <w:ind w:left="0" w:right="0" w:hanging="720"/>
        <w:jc w:val="both"/>
        <w:rPr/>
      </w:pPr>
      <w:r>
        <w:rPr>
          <w:rFonts w:ascii="Times New Roman;sans-serif" w:hAnsi="Times New Roman;sans-serif"/>
          <w:b/>
          <w:color w:val="000000"/>
          <w:sz w:val="22"/>
        </w:rPr>
        <w:t>3.2.2Use of Trademarks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Organon will use the Corporate Trademarks as permitted under Section 3.2.1, and Daré shall have the right to reasonably verify that such use is, in accordance with all applicable Marketing Authorizations and Applicable Law. In the case of Product Trademarks, until the Assignment Date as defined in accordance with Section 3.2.4, (a) Organon will use the Product Trademarks, and Daré shall have the right to reasonably verify that such use is, in accordance with all applicable Marketing Authorizations and Applicable Law; and (b) Daré will exclusively own and retain all rights to such Product Trademark together with all goodwill associated therewith throughout the Territory.</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Daré will not use any Product Trademark, or any other Trademark selected by Organon for use in connection with the sale of any Licensed Product, to Develop or Commercialize any product or service other than Licensed Products.</w:t>
      </w:r>
    </w:p>
    <w:p>
      <w:pPr>
        <w:pStyle w:val="TextBody"/>
        <w:spacing w:lineRule="auto" w:line="240" w:before="0" w:after="240"/>
        <w:ind w:left="0" w:right="0" w:hanging="720"/>
        <w:jc w:val="both"/>
        <w:rPr/>
      </w:pPr>
      <w:r>
        <w:rPr>
          <w:rFonts w:ascii="Times New Roman;sans-serif" w:hAnsi="Times New Roman;sans-serif"/>
          <w:b/>
          <w:color w:val="000000"/>
          <w:sz w:val="22"/>
        </w:rPr>
        <w:t>3.2.3Domain Names</w:t>
      </w:r>
      <w:r>
        <w:rPr>
          <w:rFonts w:ascii="Times New Roman;sans-serif" w:hAnsi="Times New Roman;sans-serif"/>
          <w:b w:val="false"/>
          <w:color w:val="000000"/>
          <w:sz w:val="22"/>
        </w:rPr>
        <w:t xml:space="preserve">. Within [***] after the Effective Date, Daré will transfer to Organon the Control of any and all (a) Internet domain names registered to Daré that include any Product Trademark in the domain and (b) social media account identifiers that include any Product Trademark in its handle. Other than such Internet domain names and social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24890"/>
                <wp:effectExtent l="0" t="0" r="0" b="0"/>
                <wp:wrapNone/>
                <wp:docPr id="61" name="Frame60"/>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media account handles, Daré will not register or maintain any Internet domain name that includes any Product Trademark in the domain or social media account that includes any Product Trademark in its handle.</w:t>
      </w:r>
    </w:p>
    <w:p>
      <w:pPr>
        <w:pStyle w:val="TextBody"/>
        <w:spacing w:lineRule="auto" w:line="240" w:before="0" w:after="240"/>
        <w:ind w:left="0" w:right="0" w:hanging="720"/>
        <w:jc w:val="both"/>
        <w:rPr/>
      </w:pPr>
      <w:r>
        <w:rPr>
          <w:rFonts w:ascii="Times New Roman;sans-serif" w:hAnsi="Times New Roman;sans-serif"/>
          <w:b/>
          <w:color w:val="000000"/>
          <w:sz w:val="22"/>
        </w:rPr>
        <w:t>3.2.4Assignment of Trademarks</w:t>
      </w:r>
      <w:r>
        <w:rPr>
          <w:rFonts w:ascii="Times New Roman;sans-serif" w:hAnsi="Times New Roman;sans-serif"/>
          <w:b w:val="false"/>
          <w:color w:val="000000"/>
          <w:sz w:val="22"/>
        </w:rPr>
        <w:t>. As of the date of Notice of Acceptance of Statement of Use issued from the United States Patent and Trademark Office (“</w:t>
      </w:r>
      <w:r>
        <w:rPr>
          <w:rFonts w:ascii="Times New Roman;sans-serif" w:hAnsi="Times New Roman;sans-serif"/>
          <w:b/>
          <w:color w:val="000000"/>
          <w:sz w:val="22"/>
        </w:rPr>
        <w:t>USPTO</w:t>
      </w:r>
      <w:r>
        <w:rPr>
          <w:color w:val="000000"/>
        </w:rPr>
        <w:t>”</w:t>
      </w:r>
      <w:r>
        <w:rPr>
          <w:rFonts w:ascii="Times New Roman;sans-serif" w:hAnsi="Times New Roman;sans-serif"/>
          <w:b w:val="false"/>
          <w:color w:val="000000"/>
          <w:sz w:val="22"/>
        </w:rPr>
        <w:t>) for a Product Trademark having an application for registration filed with the USPTO, Daré agrees to assign to Organon, effective as of the filing date of the accepted Statement of Use under 37 C.F.R. § 2.88 (“</w:t>
      </w:r>
      <w:r>
        <w:rPr>
          <w:rFonts w:ascii="Times New Roman;sans-serif" w:hAnsi="Times New Roman;sans-serif"/>
          <w:b/>
          <w:color w:val="000000"/>
          <w:sz w:val="22"/>
        </w:rPr>
        <w:t>Statement of Use</w:t>
      </w:r>
      <w:r>
        <w:rPr>
          <w:rFonts w:ascii="Times New Roman;sans-serif" w:hAnsi="Times New Roman;sans-serif"/>
          <w:b w:val="false"/>
          <w:color w:val="000000"/>
          <w:sz w:val="22"/>
        </w:rPr>
        <w:t>;” each such Statement of Use filing date, an “</w:t>
      </w:r>
      <w:r>
        <w:rPr>
          <w:rFonts w:ascii="Times New Roman;sans-serif" w:hAnsi="Times New Roman;sans-serif"/>
          <w:b/>
          <w:color w:val="000000"/>
          <w:sz w:val="22"/>
        </w:rPr>
        <w:t>Assignment Date</w:t>
      </w:r>
      <w:r>
        <w:rPr>
          <w:color w:val="000000"/>
        </w:rPr>
        <w:t>”</w:t>
      </w:r>
      <w:r>
        <w:rPr>
          <w:rFonts w:ascii="Times New Roman;sans-serif" w:hAnsi="Times New Roman;sans-serif"/>
          <w:b w:val="false"/>
          <w:color w:val="000000"/>
          <w:sz w:val="22"/>
        </w:rPr>
        <w:t>) all right, title and interest in and to each such Product Trademark throughout the Territory, including all applications and registrations therefor, and the goodwill of the business symbolized by each such Product Trademark or associated with the use of each such Product Trademark.</w:t>
      </w:r>
    </w:p>
    <w:p>
      <w:pPr>
        <w:pStyle w:val="TextBody"/>
        <w:spacing w:lineRule="auto" w:line="240" w:before="0" w:after="240"/>
        <w:ind w:left="0" w:right="0" w:hanging="720"/>
        <w:jc w:val="both"/>
        <w:rPr/>
      </w:pPr>
      <w:r>
        <w:rPr>
          <w:rFonts w:ascii="Times New Roman;sans-serif" w:hAnsi="Times New Roman;sans-serif"/>
          <w:b/>
          <w:color w:val="000000"/>
          <w:sz w:val="22"/>
        </w:rPr>
        <w:t>3.2.5Selection and Registrations of Trademarks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Subject to Section 3.2.5(b), as between the Parties, Organon shall have the sole right and responsibility to select, file, prosecute, register and maintain any Product Trademark or any other Trademark for use in connection with the Exploitation of any Licensed Product or Restricted Product using counsel of Organon’s choice.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Until the Assignment Date for a Product Trademark, Daré will prosecute, register, maintain and enforce, as applicable, all Product Trademarks; </w:t>
      </w:r>
      <w:r>
        <w:rPr>
          <w:rFonts w:ascii="Times New Roman;sans-serif" w:hAnsi="Times New Roman;sans-serif"/>
          <w:b w:val="false"/>
          <w:i/>
          <w:color w:val="000000"/>
          <w:sz w:val="22"/>
        </w:rPr>
        <w:t>provided that</w:t>
      </w:r>
      <w:r>
        <w:rPr>
          <w:rFonts w:ascii="Times New Roman;sans-serif" w:hAnsi="Times New Roman;sans-serif"/>
          <w:b w:val="false"/>
          <w:color w:val="000000"/>
          <w:sz w:val="22"/>
        </w:rPr>
        <w:t>, within [***] after the Effective Date, Daré will instruct its legal representatives to take instruction from Organon with respect to the filing, prosecution, registration (including the defense against any and all oppositions) and maintenance of all Product Trademarks still owned in the name of Daré. Organon shall keep Daré advised of the status of such registrations and applications for registration of the Product Trademarks that are still owned in Daré’s name and, upon Daré’s request, shall provide advance copies of any papers related to such filing, prosecution (including the defense against any and all oppositions), registration and maintenance of such Product Trademarks.</w:t>
      </w:r>
    </w:p>
    <w:p>
      <w:pPr>
        <w:pStyle w:val="TextBody"/>
        <w:spacing w:lineRule="auto" w:line="240" w:before="0" w:after="240"/>
        <w:ind w:left="0" w:right="0" w:hanging="720"/>
        <w:jc w:val="both"/>
        <w:rPr/>
      </w:pPr>
      <w:r>
        <w:rPr>
          <w:rFonts w:ascii="Times New Roman;sans-serif" w:hAnsi="Times New Roman;sans-serif"/>
          <w:b/>
          <w:color w:val="000000"/>
          <w:sz w:val="22"/>
        </w:rPr>
        <w:t>3.2.6Enforcement</w:t>
      </w:r>
      <w:r>
        <w:rPr>
          <w:rFonts w:ascii="Times New Roman;sans-serif" w:hAnsi="Times New Roman;sans-serif"/>
          <w:b w:val="false"/>
          <w:color w:val="000000"/>
          <w:sz w:val="22"/>
        </w:rPr>
        <w:t>. Daré shall give notice to Organon promptly upon becoming aware of any infringement of any Product Trademark or any other use of any Product Trademark, whether or not such use is as a Trademark. As between the Parties, following the Assignment Date for a Product Trademark, Organon shall have the sole right to enforce such Product Trademark. Organon shall have the sole right to enforce any other Trademark selected by Organon for use in connection with the sale of any Licensed Product, anywhere in the world.</w:t>
      </w:r>
    </w:p>
    <w:p>
      <w:pPr>
        <w:pStyle w:val="TextBody"/>
        <w:spacing w:lineRule="auto" w:line="240" w:before="0" w:after="240"/>
        <w:ind w:left="0" w:right="0" w:hanging="720"/>
        <w:jc w:val="both"/>
        <w:rPr/>
      </w:pPr>
      <w:r>
        <w:rPr>
          <w:rFonts w:ascii="Times New Roman;sans-serif" w:hAnsi="Times New Roman;sans-serif"/>
          <w:b/>
          <w:color w:val="000000"/>
          <w:sz w:val="22"/>
        </w:rPr>
        <w:t>3.2.7Cooperation</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In case at any time after the Effective Date, as applicable, any further action is necessary or desirable to carry out the purposes of this Section 3.2, Daré will take such further action as Organon may reasonably request as will be deemed necessary to (i) transfer, convey and assign to Organon all of the rights, titles, interests, remedies, powers and privileges in the Product Trademarks, and (ii) otherwise effect the transactions contemplated by this Section 3.2, including (1) obtaining all necessary actions or non-actions, consents, and the making of all necessary registrations and filings and the taking of all steps as may be necessary to obtain an approval or waiver from, or to avoid an action or proceeding by, any Governmental Authority or Third Party and (2) executing and delivering any additional instruments necessary to consummate the transactions contemplated by, and to fully carry out the purpose of, this Section 3.2. In case at any time after the Assignment Date with respect to a Product Trademark any further action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024890"/>
                <wp:effectExtent l="0" t="0" r="0" b="0"/>
                <wp:wrapNone/>
                <wp:docPr id="62" name="Frame61"/>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19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19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is necessary or desirable to carry out the purposes of this Section 3.2, Organon will fully record or otherwise further document the assignment of such Product Trademark in the name of Organon.</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After the Effective Date, Daré will, without further compensation to Daré, but at the expense of Organon, and upon request of Organon, cooperate in all lawful acts as may be necessary to (i) file, prosecute, register (including with respect to filing any statement of use), maintain, abandon, or renew in any country any Trademark registration with respect to any Product Trademark, or (ii) enforce Organon’s rights in or defend against challenges to the validity or enforceability of any Product Trademark in the name under which it is registered in the respective jurisdiction. Without limiting the generality of the foregoing, after the first use in commerce of any Product Trademark, Daré will take all actions necessary to file, or facilitate the filing of, a Statement of Use with the USPTO in connection with such Product Trademark.</w:t>
      </w:r>
    </w:p>
    <w:p>
      <w:pPr>
        <w:pStyle w:val="TextBody"/>
        <w:spacing w:lineRule="auto" w:line="240" w:before="0" w:after="240"/>
        <w:ind w:left="0" w:right="0" w:hanging="720"/>
        <w:jc w:val="both"/>
        <w:rPr/>
      </w:pPr>
      <w:r>
        <w:rPr>
          <w:rFonts w:ascii="Times New Roman;sans-serif" w:hAnsi="Times New Roman;sans-serif"/>
          <w:b/>
          <w:color w:val="000000"/>
          <w:sz w:val="22"/>
        </w:rPr>
        <w:t>3.3Information Transfer</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3.3.1Daré Know-How</w:t>
      </w:r>
      <w:r>
        <w:rPr>
          <w:rFonts w:ascii="Times New Roman;sans-serif" w:hAnsi="Times New Roman;sans-serif"/>
          <w:b w:val="false"/>
          <w:color w:val="000000"/>
          <w:sz w:val="22"/>
        </w:rPr>
        <w:t xml:space="preserve">. Within [***] after the Effective Date, Daré will deliver to Organon a complete and accurate copy of all of the items of Daré Know-How that were made available to Organon through the electronic data room during the due diligence leading to the execution of this Agreement, and disclose and deliver to Organon any additional Daré Know-How, including all of the Gel Know-How, requested by Organon within [***] after the Effective Date. Thereafter, Daré shall use Commercially Reasonable Efforts on an ongoing basis during the term of this Agreement to disclose to Organon in English and in writing or in an electronic format all Daré Know-How not previously disclosed promptly after such Daré Know-How first arises. </w:t>
      </w:r>
    </w:p>
    <w:p>
      <w:pPr>
        <w:pStyle w:val="TextBody"/>
        <w:spacing w:lineRule="auto" w:line="240" w:before="0" w:after="240"/>
        <w:ind w:left="0" w:right="0" w:hanging="720"/>
        <w:jc w:val="both"/>
        <w:rPr/>
      </w:pPr>
      <w:r>
        <w:rPr>
          <w:rFonts w:ascii="Times New Roman;sans-serif" w:hAnsi="Times New Roman;sans-serif"/>
          <w:b/>
          <w:color w:val="000000"/>
          <w:sz w:val="22"/>
        </w:rPr>
        <w:t>3.3.2Assistance</w:t>
      </w:r>
      <w:r>
        <w:rPr>
          <w:rFonts w:ascii="Times New Roman;sans-serif" w:hAnsi="Times New Roman;sans-serif"/>
          <w:b w:val="false"/>
          <w:color w:val="000000"/>
          <w:sz w:val="22"/>
        </w:rPr>
        <w:t xml:space="preserve">. In connection the disclosure of Daré Know-How hereunder, Daré shall, in a timely manner, use Commercially Reasonable Efforts to assist Organon in the use and understanding of such Daré Know-How, [***]. Without limiting the generality of the foregoing, if [***] Organon shall reimburse Daré for its documented and verifiable out-of-pocket costs and expenses charged by a Third Party for providing the assistance described in this Section 3.3.2, provided such costs are pre-approved by Organon. [***]. </w:t>
      </w:r>
    </w:p>
    <w:p>
      <w:pPr>
        <w:pStyle w:val="TextBody"/>
        <w:spacing w:lineRule="auto" w:line="240" w:before="0" w:after="240"/>
        <w:ind w:left="0" w:right="0" w:hanging="720"/>
        <w:jc w:val="both"/>
        <w:rPr/>
      </w:pPr>
      <w:r>
        <w:rPr>
          <w:rFonts w:ascii="Times New Roman;sans-serif" w:hAnsi="Times New Roman;sans-serif"/>
          <w:b/>
          <w:color w:val="000000"/>
          <w:sz w:val="22"/>
        </w:rPr>
        <w:t>3.4Development and Commercialization</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3.4.1Diligence</w:t>
      </w:r>
      <w:r>
        <w:rPr>
          <w:rFonts w:ascii="Times New Roman;sans-serif" w:hAnsi="Times New Roman;sans-serif"/>
          <w:b w:val="false"/>
          <w:color w:val="000000"/>
          <w:sz w:val="22"/>
        </w:rPr>
        <w:t xml:space="preserve">. Organon shall use Commercially Reasonable Efforts to (a) upon and after completion of the assignment and transfer of the Daré Marketing Authorizations to Organon, maintain a Marketing Authorization for [***] Licensed Product in the United States, (b) effect a First Commercial Sale of a Licensed Product within [***], (c) after the First Commercial Sale of a Licensed Product within the United States, Commercialize [***] Licensed Product on an ongoing basis within the United States, (d) evaluate in good faith whether to seek and obtain Marketing Authorization for [***] Licensed Product [***], and (e) Commercialize [***] Licensed Product on an ongoing basis in each of [***]. In the event that Organon is unable to effect a First Commercial Sale of a Licensed Product within the time frame of foregoing subpart (b), the Parties’ [***] shall promptly meet, at mutually convenient time, to discuss and address the circumstances leading to the delay, and agree to a reasonable extension of time for effecting the First Commercial Sale by mutual agreement. </w:t>
      </w:r>
    </w:p>
    <w:p>
      <w:pPr>
        <w:pStyle w:val="TextBody"/>
        <w:spacing w:lineRule="auto" w:line="240" w:before="0" w:after="240"/>
        <w:ind w:left="0" w:right="0" w:hanging="720"/>
        <w:jc w:val="both"/>
        <w:rPr/>
      </w:pPr>
      <w:r>
        <w:rPr>
          <w:rFonts w:ascii="Times New Roman;sans-serif" w:hAnsi="Times New Roman;sans-serif"/>
          <w:b/>
          <w:color w:val="000000"/>
          <w:sz w:val="22"/>
        </w:rPr>
        <w:t>3.4.2Subcontracting</w:t>
      </w:r>
      <w:r>
        <w:rPr>
          <w:rFonts w:ascii="Times New Roman;sans-serif" w:hAnsi="Times New Roman;sans-serif"/>
          <w:b w:val="false"/>
          <w:color w:val="000000"/>
          <w:sz w:val="22"/>
        </w:rPr>
        <w:t xml:space="preserve">. Organon will have the right to engage any Third Party subcontractor to perform any or all of its obligations hereunder, including contract research organizations, contract manufacturing organizations and similar service providers. The applicable provisions of each agreement between Organon and a Third Party subcontractor shall be materially consistent with the corresponding provisions of this Agreement and shall include confidentiality and non-use provisions at least as stringent as those set forth in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024890"/>
                <wp:effectExtent l="0" t="0" r="0" b="0"/>
                <wp:wrapNone/>
                <wp:docPr id="63" name="Frame62"/>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Article 5. Organon’s engagement of any subcontractor pursuant to this Section 3.4.2 shall not relieve Organon of its obligations under this Agreement and Organon shall be fully responsible for any acts or omissions of its subcontractors, including compliance by such subcontractors with Anti-Corruption Laws, Privacy Laws and GxP standards, as applicable, and for compliance with all provisions of this Agreement.</w:t>
      </w:r>
    </w:p>
    <w:p>
      <w:pPr>
        <w:pStyle w:val="TextBody"/>
        <w:spacing w:lineRule="auto" w:line="240" w:before="0" w:after="240"/>
        <w:ind w:left="0" w:right="0" w:hanging="720"/>
        <w:jc w:val="both"/>
        <w:rPr/>
      </w:pPr>
      <w:r>
        <w:rPr>
          <w:rFonts w:ascii="Times New Roman;sans-serif" w:hAnsi="Times New Roman;sans-serif"/>
          <w:b/>
          <w:color w:val="000000"/>
          <w:sz w:val="22"/>
        </w:rPr>
        <w:t>3.4.3Reports</w:t>
      </w:r>
      <w:r>
        <w:rPr>
          <w:rFonts w:ascii="Times New Roman;sans-serif" w:hAnsi="Times New Roman;sans-serif"/>
          <w:b w:val="false"/>
          <w:color w:val="000000"/>
          <w:sz w:val="22"/>
        </w:rPr>
        <w:t xml:space="preserve">. With respect to each Licensed Product, Organon shall provide to Daré [***] a summary report, which shall summarize the results of the development work and regulatory activities performed during the preceding [***] and summarize the activities planned for the [***]. Such reports shall be prepared by Organon and provided to Daré between [***] and shall include status or results of any Clinical Trials conducted in the preceding year, when applicable. </w:t>
      </w:r>
    </w:p>
    <w:p>
      <w:pPr>
        <w:pStyle w:val="TextBody"/>
        <w:spacing w:lineRule="auto" w:line="240" w:before="0" w:after="240"/>
        <w:ind w:left="0" w:right="0" w:hanging="720"/>
        <w:jc w:val="both"/>
        <w:rPr/>
      </w:pPr>
      <w:r>
        <w:rPr>
          <w:rFonts w:ascii="Times New Roman;sans-serif" w:hAnsi="Times New Roman;sans-serif"/>
          <w:b/>
          <w:color w:val="000000"/>
          <w:sz w:val="22"/>
        </w:rPr>
        <w:t>3.4.4Sunshine Act</w:t>
      </w:r>
      <w:r>
        <w:rPr>
          <w:rFonts w:ascii="Times New Roman;sans-serif" w:hAnsi="Times New Roman;sans-serif"/>
          <w:b w:val="false"/>
          <w:color w:val="000000"/>
          <w:sz w:val="22"/>
        </w:rPr>
        <w:t>. The Parties acknowledge and agree that any direct or indirect payment or transfer of value, as defined in the Physician Payments Sunshine Act (42 U.S.C. § 1320a-7h) and its implementing regulations (42 C.F.R. § 403.900 et seq.), including any compensation, reimbursement for expenses, meals, travel, and medical journal reprints to any teaching hospital in the United States or any physician, physician assistant, nurse practitioner, clinical nurse specialist, certified registered nurse anesthetist, or certified nurse-midwife who is not a bona fide employee of a Party that is licensed to practice in the United States (each, a “</w:t>
      </w:r>
      <w:r>
        <w:rPr>
          <w:rFonts w:ascii="Times New Roman;sans-serif" w:hAnsi="Times New Roman;sans-serif"/>
          <w:b/>
          <w:color w:val="000000"/>
          <w:sz w:val="22"/>
        </w:rPr>
        <w:t>Covered Recipient</w:t>
      </w:r>
      <w:r>
        <w:rPr>
          <w:color w:val="000000"/>
        </w:rPr>
        <w:t>”</w:t>
      </w:r>
      <w:r>
        <w:rPr>
          <w:rFonts w:ascii="Times New Roman;sans-serif" w:hAnsi="Times New Roman;sans-serif"/>
          <w:b w:val="false"/>
          <w:color w:val="000000"/>
          <w:sz w:val="22"/>
        </w:rPr>
        <w:t xml:space="preserve">) is subject to transparency reporting requirements, including disclosure on the federal Open Payments website. The Parties shall comply with such law in their performance of this Agreement. </w:t>
      </w:r>
    </w:p>
    <w:p>
      <w:pPr>
        <w:pStyle w:val="TextBody"/>
        <w:spacing w:lineRule="auto" w:line="240" w:before="0" w:after="240"/>
        <w:ind w:left="0" w:right="0" w:hanging="720"/>
        <w:jc w:val="both"/>
        <w:rPr/>
      </w:pPr>
      <w:r>
        <w:rPr>
          <w:rFonts w:ascii="Times New Roman;sans-serif" w:hAnsi="Times New Roman;sans-serif"/>
          <w:b/>
          <w:color w:val="000000"/>
          <w:sz w:val="22"/>
        </w:rPr>
        <w:t>3.5Excused Performance</w:t>
      </w:r>
      <w:r>
        <w:rPr>
          <w:rFonts w:ascii="Times New Roman;sans-serif" w:hAnsi="Times New Roman;sans-serif"/>
          <w:b w:val="false"/>
          <w:color w:val="000000"/>
          <w:sz w:val="22"/>
        </w:rPr>
        <w:t xml:space="preserve">. In addition to the provisions of Article 7, the obligations of Organon with respect to any Licensed Product under Section 3.4 are expressly conditioned upon (a) the absence of any Serious Adverse Event demonstrated, through pharmacovigilance surveillance, where such Serious Adverse Event was not known at the time of Marketing Authorization, and (b) the ability to have the Licensed Product Manufactured and delivered to Organon in sufficient quantities;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in each case Organon notifies Daré promptly upon becoming aware of any such condition and uses Commercially Reasonable Efforts to overcome such condition as promptly as possible. The obligations of Organon under Section 3.4 with respect to any Licensed Product shall be delayed or suspended so long as any such condition or event exists. If the obligations of Organon with respect to any Licensed Product under Section 3.4 are suspended or delayed pursuant to this Section 3.5 for [***], then the Parties’ [***] shall promptly meet, at a mutually convenient time, to discuss and address the circumstances leading to the delay.</w:t>
      </w:r>
    </w:p>
    <w:p>
      <w:pPr>
        <w:pStyle w:val="TextBody"/>
        <w:spacing w:lineRule="auto" w:line="240" w:before="0" w:after="240"/>
        <w:ind w:left="0" w:right="0" w:hanging="720"/>
        <w:jc w:val="both"/>
        <w:rPr/>
      </w:pPr>
      <w:r>
        <w:rPr>
          <w:rFonts w:ascii="Times New Roman;sans-serif" w:hAnsi="Times New Roman;sans-serif"/>
          <w:b/>
          <w:color w:val="000000"/>
          <w:sz w:val="22"/>
        </w:rPr>
        <w:t>3.6New Information and Inventions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3.6.1Ownership</w:t>
      </w:r>
      <w:r>
        <w:rPr>
          <w:rFonts w:ascii="Times New Roman;sans-serif" w:hAnsi="Times New Roman;sans-serif"/>
          <w:b w:val="false"/>
          <w:color w:val="000000"/>
          <w:sz w:val="22"/>
        </w:rPr>
        <w:t>. The ownership of the entire right, title and interest in any new inventions or discoveries conceived or works created by the Parties during the term of this Agreement shall be allocated consistent with inventorship.</w:t>
      </w:r>
    </w:p>
    <w:p>
      <w:pPr>
        <w:pStyle w:val="TextBody"/>
        <w:spacing w:lineRule="auto" w:line="240" w:before="0" w:after="240"/>
        <w:ind w:left="0" w:right="0" w:hanging="720"/>
        <w:jc w:val="both"/>
        <w:rPr/>
      </w:pPr>
      <w:r>
        <w:rPr>
          <w:rFonts w:ascii="Times New Roman;sans-serif" w:hAnsi="Times New Roman;sans-serif"/>
          <w:b/>
          <w:color w:val="000000"/>
          <w:sz w:val="22"/>
        </w:rPr>
        <w:t>3.6.2Standards</w:t>
      </w:r>
      <w:r>
        <w:rPr>
          <w:rFonts w:ascii="Times New Roman;sans-serif" w:hAnsi="Times New Roman;sans-serif"/>
          <w:b w:val="false"/>
          <w:color w:val="000000"/>
          <w:sz w:val="22"/>
        </w:rPr>
        <w:t>. For the purposes of determining ownership under this Section 3.6, (a) inventorship shall be determined in accordance with United States patent laws (regardless of where the applicable activities occurred and whether or not any subject matter is patentable or patented) and (b) authorship shall be determined in accordance with United States copyright laws (regardless of where the applicable activities occurred).</w:t>
      </w:r>
    </w:p>
    <w:p>
      <w:pPr>
        <w:pStyle w:val="TextBody"/>
        <w:spacing w:lineRule="auto" w:line="240" w:before="0" w:after="240"/>
        <w:ind w:left="0" w:right="0" w:hanging="720"/>
        <w:jc w:val="both"/>
        <w:rPr/>
      </w:pPr>
      <w:r>
        <w:rPr>
          <w:rFonts w:ascii="Times New Roman;sans-serif" w:hAnsi="Times New Roman;sans-serif"/>
          <w:b/>
          <w:color w:val="000000"/>
          <w:sz w:val="22"/>
        </w:rPr>
        <w:t>3.6.3Disclosure.</w:t>
      </w:r>
      <w:r>
        <w:rPr>
          <w:color w:val="000000"/>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Each Party shall promptly disclose in writing to the other Party the development, creation, making, conception or reduction to practice of any Joint Agreement Information and Inventions.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Upon Daré becoming aware of the existence of any Other Technology Patent (as defined in the DTM Upstream License Agreement), or upon Control by Daré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24890"/>
                <wp:effectExtent l="0" t="0" r="0" b="0"/>
                <wp:wrapNone/>
                <wp:docPr id="64" name="Frame63"/>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after the Effective Date of any information, materials, discoveries, improvements, processes, methods, protocols, formulas, data, inventions, know-how, or trade secrets not generally known in the public domain and not already disclosed to Organon, in each case that could reasonably be deemed necessary or reasonably useful for Exploitation of Licensed Products in the Field, Daré will promptly disclose in writing to Organon such Other Technology Patent or such other information, materials, discoveries, improvements, processes, methods, protocols, formulas, data, inventions, know-how, or trade secrets, as applicable.</w:t>
      </w:r>
    </w:p>
    <w:p>
      <w:pPr>
        <w:pStyle w:val="TextBody"/>
        <w:spacing w:lineRule="auto" w:line="240" w:before="0" w:after="240"/>
        <w:ind w:left="0" w:right="0" w:hanging="720"/>
        <w:jc w:val="both"/>
        <w:rPr/>
      </w:pPr>
      <w:r>
        <w:rPr>
          <w:rFonts w:ascii="Times New Roman;sans-serif" w:hAnsi="Times New Roman;sans-serif"/>
          <w:b/>
          <w:color w:val="000000"/>
          <w:sz w:val="22"/>
        </w:rPr>
        <w:t>3.6.4Exploitation of Joint Agreement Information and Inventions and Joint Patents</w:t>
      </w:r>
      <w:r>
        <w:rPr>
          <w:rFonts w:ascii="Times New Roman;sans-serif" w:hAnsi="Times New Roman;sans-serif"/>
          <w:b w:val="false"/>
          <w:color w:val="000000"/>
          <w:sz w:val="22"/>
        </w:rPr>
        <w:t>. Subject to the licenses granted under this Agreement and the other terms and conditions of this Agreement, each Party shall have the non-exclusive right to exploit its interest in Joint Agreement Information and Inventions and Joint Patents, and to grant licenses under its interest in Joint Agreement Information and Inventions and Joint Patents, as it deems appropriate, without the consent of, and without accounting to, the other Party; provided, however</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that for clarity, the foregoing joint ownership rights shall not be construed as granting, conveying or creating any license or other rights to the other Party’s intellectual property. Each Party will grant and hereby does grant to the other Party all further permissions, consents, and waivers with respect to, and all licenses under, the Joint Agreement Information and Inventions and Joint Patents, throughout the world, necessary to provide the other Party with full rights of use and Exploitation of the Joint Agreement Information and Inventions and Joint Patents. </w:t>
      </w:r>
    </w:p>
    <w:p>
      <w:pPr>
        <w:pStyle w:val="TextBody"/>
        <w:spacing w:lineRule="auto" w:line="240" w:before="0" w:after="240"/>
        <w:ind w:left="0" w:right="0" w:hanging="720"/>
        <w:jc w:val="both"/>
        <w:rPr/>
      </w:pPr>
      <w:r>
        <w:rPr>
          <w:rFonts w:ascii="Times New Roman;sans-serif" w:hAnsi="Times New Roman;sans-serif"/>
          <w:b/>
          <w:color w:val="000000"/>
          <w:sz w:val="22"/>
        </w:rPr>
        <w:t>3.7Right of First Refusal</w:t>
      </w:r>
      <w:r>
        <w:rPr>
          <w:rFonts w:ascii="Times New Roman;sans-serif" w:hAnsi="Times New Roman;sans-serif"/>
          <w:b w:val="false"/>
          <w:color w:val="000000"/>
          <w:sz w:val="22"/>
        </w:rPr>
        <w:t>. Daré hereby grants to Organon the exclusive right of first refusal in the event that either (a) Daré or any of its Affiliates [***], or (b) Daré or its Affiliate [***] (any of the foregoing, a “</w:t>
      </w:r>
      <w:r>
        <w:rPr>
          <w:rFonts w:ascii="Times New Roman;sans-serif" w:hAnsi="Times New Roman;sans-serif"/>
          <w:b/>
          <w:color w:val="000000"/>
          <w:sz w:val="22"/>
        </w:rPr>
        <w:t>ROFR Activity</w:t>
      </w:r>
      <w:r>
        <w:rPr>
          <w:color w:val="000000"/>
        </w:rPr>
        <w:t>”</w:t>
      </w:r>
      <w:r>
        <w:rPr>
          <w:rFonts w:ascii="Times New Roman;sans-serif" w:hAnsi="Times New Roman;sans-serif"/>
          <w:b w:val="false"/>
          <w:color w:val="000000"/>
          <w:sz w:val="22"/>
        </w:rPr>
        <w:t xml:space="preserve">), as follows. </w:t>
      </w:r>
    </w:p>
    <w:p>
      <w:pPr>
        <w:pStyle w:val="TextBody"/>
        <w:spacing w:lineRule="auto" w:line="240" w:before="0" w:after="240"/>
        <w:ind w:left="0" w:right="0" w:hanging="720"/>
        <w:jc w:val="both"/>
        <w:rPr/>
      </w:pPr>
      <w:r>
        <w:rPr>
          <w:rFonts w:ascii="Times New Roman;sans-serif" w:hAnsi="Times New Roman;sans-serif"/>
          <w:b/>
          <w:color w:val="000000"/>
          <w:sz w:val="22"/>
        </w:rPr>
        <w:t>3.7.1First Negotiation</w:t>
      </w:r>
      <w:r>
        <w:rPr>
          <w:rFonts w:ascii="Times New Roman;sans-serif" w:hAnsi="Times New Roman;sans-serif"/>
          <w:b w:val="false"/>
          <w:color w:val="000000"/>
          <w:sz w:val="22"/>
        </w:rPr>
        <w:t>. Upon determining to engage in a ROFR Activity, Daré will notify Organon in writing of such determination and identify [***] and [***]. Organon will have an exclusive right, exercisable [***] after receipt of any such written notice from Daré [***], to notify Daré in writing as to whether Organon desires to negotiate exclusively for the rights to such ROFR Product in such jurisdictions (each, a “</w:t>
      </w:r>
      <w:r>
        <w:rPr>
          <w:rFonts w:ascii="Times New Roman;sans-serif" w:hAnsi="Times New Roman;sans-serif"/>
          <w:b/>
          <w:color w:val="000000"/>
          <w:sz w:val="22"/>
        </w:rPr>
        <w:t>ROFN Exercise Notice</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If Organon provides a ROFN Exercise Notice to Daré [***], then (i) upon Organon’s request, Daré will (A) within [***] after Organon’s request, provide Organon with [***]; and (ii) Organon will have the exclusive right for [***] to request, by notice, to enter into an agreement or an amendment to this Agreement, as applicable, with respect to the exploitation by Organon of such ROFR Product in such jurisdiction(s). If Organon notifies Daré within [***] that Organon wishes to enter into such agreement or amendment, then the Parties will [***] for [***] to execute such agreement or amendment (“</w:t>
      </w:r>
      <w:r>
        <w:rPr>
          <w:rFonts w:ascii="Times New Roman;sans-serif" w:hAnsi="Times New Roman;sans-serif"/>
          <w:b/>
          <w:color w:val="000000"/>
          <w:sz w:val="22"/>
        </w:rPr>
        <w:t>Negotiation Period</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If, with respect to a ROFR Product in the applicable jurisdiction(s), [***], such ROFR Product shall [***] and, subject to Section 3.7.2, Daré shall [***]. </w:t>
      </w:r>
    </w:p>
    <w:p>
      <w:pPr>
        <w:pStyle w:val="TextBody"/>
        <w:spacing w:lineRule="auto" w:line="240" w:before="0" w:after="240"/>
        <w:ind w:left="0" w:right="0" w:hanging="720"/>
        <w:jc w:val="both"/>
        <w:rPr/>
      </w:pPr>
      <w:r>
        <w:rPr>
          <w:rFonts w:ascii="Times New Roman;sans-serif" w:hAnsi="Times New Roman;sans-serif"/>
          <w:b/>
          <w:color w:val="000000"/>
          <w:sz w:val="22"/>
        </w:rPr>
        <w:t>3.7.2Most Favorable Terms</w:t>
      </w:r>
      <w:r>
        <w:rPr>
          <w:rFonts w:ascii="Times New Roman;sans-serif" w:hAnsi="Times New Roman;sans-serif"/>
          <w:b w:val="false"/>
          <w:color w:val="000000"/>
          <w:sz w:val="22"/>
        </w:rPr>
        <w:t xml:space="preserve">. Daré may not, during [***], transfer, license, sublicense, assign, grant, or otherwise dispose of any rights to a Third Party with respect to the ROFR Product in the applicable jurisdiction(s) that were the subject of the ROFR Activity that triggered the Negotiation Period (other than the grant of express or implied licenses/sublicenses to an agent or a consultant, contract manufacturing organization, contract research organization, distributors, or other similar type contractor acting for or on behalf of Daré or its Affiliates) upon terms that on the whole are more favorable to such Third Party than the most favorable terms on the whole offered by Daré in writing to Organon during the Negotiation Period.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24890"/>
                <wp:effectExtent l="0" t="0" r="0" b="0"/>
                <wp:wrapNone/>
                <wp:docPr id="65" name="Frame6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3.8Effects of Change of Control.</w:t>
      </w:r>
    </w:p>
    <w:p>
      <w:pPr>
        <w:pStyle w:val="TextBody"/>
        <w:spacing w:lineRule="auto" w:line="240" w:before="0" w:after="240"/>
        <w:ind w:left="0" w:right="0" w:hanging="720"/>
        <w:jc w:val="both"/>
        <w:rPr/>
      </w:pPr>
      <w:r>
        <w:rPr>
          <w:rFonts w:ascii="Times New Roman;sans-serif" w:hAnsi="Times New Roman;sans-serif"/>
          <w:b/>
          <w:color w:val="000000"/>
          <w:sz w:val="22"/>
        </w:rPr>
        <w:t>3.8.1Acquisition by Daré</w:t>
      </w:r>
      <w:r>
        <w:rPr>
          <w:rFonts w:ascii="Times New Roman;sans-serif" w:hAnsi="Times New Roman;sans-serif"/>
          <w:b w:val="false"/>
          <w:color w:val="000000"/>
          <w:sz w:val="22"/>
        </w:rPr>
        <w:t xml:space="preserve">. If Daré acquires a Third Party that becomes an Affiliate through merger, acquisition, consolidation or similar transaction or series of related transactions, and any such transaction(s) do/does not result in a Change of Control of Daré, then: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all know-how, patent rights, technology, information, materials, intellectual property rights or other items that are owned or in-licensed or controlled by the new Affiliate when such Person becomes an Affiliate of Daré constitute Daré Know-How or Daré Patents (to the extent otherwise falling within either of such definitions).</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if the new Affiliate is engaged in Commercialization of any ROFR Product, or is engaged in Development of [***], when such Person becomes an Affiliate of Daré, then, [***], each product that is the subject of such Development or Commercialization [***] for purposes of Section 3.7 [***].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xml:space="preserve">if the new Affiliate is engaged in Development, Manufacture, Commercialization or other Exploitation of [***] or Commercialization of any [***] when such Person becomes an Affiliate of Daré, then Daré and its new Affiliate will have [***] to wind down or divest to a Third Party all rights, title, and interests in and to such [***], and during such [***] period, such new Affiliate’s conduct of such [***]. </w:t>
      </w:r>
    </w:p>
    <w:p>
      <w:pPr>
        <w:pStyle w:val="TextBody"/>
        <w:spacing w:lineRule="auto" w:line="240" w:before="0" w:after="240"/>
        <w:ind w:left="0" w:right="0" w:hanging="720"/>
        <w:jc w:val="both"/>
        <w:rPr/>
      </w:pPr>
      <w:r>
        <w:rPr>
          <w:rFonts w:ascii="Times New Roman;sans-serif" w:hAnsi="Times New Roman;sans-serif"/>
          <w:b/>
          <w:color w:val="000000"/>
          <w:sz w:val="22"/>
        </w:rPr>
        <w:t>3.8.2Acquisition of Daré</w:t>
      </w:r>
      <w:r>
        <w:rPr>
          <w:rFonts w:ascii="Times New Roman;sans-serif" w:hAnsi="Times New Roman;sans-serif"/>
          <w:b w:val="false"/>
          <w:color w:val="000000"/>
          <w:sz w:val="22"/>
        </w:rPr>
        <w:t xml:space="preserve">. If a Third Party becomes an Affiliate of Daré through merger, acquisition, consolidation, or other similar transaction or series of related transactions, and any such transaction(s) do/does result in a Change of Control of Daré, then: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notwithstanding the definitions of Daré Know-How or Daré Patents, none of the know-how, patent rights, technology, information, materials, intellectual property rights or other items that are owned or in-licensed or controlled by such new Affiliate when such Person becomes an Affiliate of Daré constitute Daré Know-How or Daré Patents.</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if (i) such new Affiliate is engaged in any Development, Manufacturing, Commercialization or other Exploitation of a product that would constitute [***] when such Person becomes an Affiliate of Daré and (ii) Daré is not engaged in any of such activities for such product at or before such time, then,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if such new Affiliate is engaged in [***] when such Person becomes an Affiliate of Daré, then (i) [***], subject to Section 6.3.1(c), and (ii) [***].</w:t>
      </w:r>
    </w:p>
    <w:p>
      <w:pPr>
        <w:pStyle w:val="TextBody"/>
        <w:spacing w:lineRule="auto" w:line="240" w:before="0" w:after="240"/>
        <w:ind w:left="0" w:right="0" w:hanging="720"/>
        <w:jc w:val="both"/>
        <w:rPr/>
      </w:pPr>
      <w:r>
        <w:rPr>
          <w:rFonts w:ascii="Times New Roman;sans-serif" w:hAnsi="Times New Roman;sans-serif"/>
          <w:b/>
          <w:color w:val="000000"/>
          <w:sz w:val="22"/>
        </w:rPr>
        <w:t>3.8.3Acquisition by Organon</w:t>
      </w:r>
      <w:r>
        <w:rPr>
          <w:rFonts w:ascii="Times New Roman;sans-serif" w:hAnsi="Times New Roman;sans-serif"/>
          <w:b w:val="false"/>
          <w:color w:val="000000"/>
          <w:sz w:val="22"/>
        </w:rPr>
        <w:t>. If Organon acquires a Third Party that becomes an Affiliate through merger, acquisition, consolidation or similar transaction or series of related transactions, and any such transaction(s) do/does not result in a Change of Control of Organon, and if the new Affiliate is engaged in Commercialization of a Non-compete Product, then Organon will notify Daré thereof within [***], and can elect to either (a) wind down or divest to a Third Party all rights, title, and interest in and to such Commercialization activities within [***], and during such [***] period, such new Affiliate’s conduct of such Commercialization activities will not constitute a breach of Organon’s obligations under Section 2.3.4; or (b) treat such Non-compete Product as a Licensed Product for purposes of the calculation of Net Sales and Section 6.3 of this Agreement (in which case for the avoidance of doubt such Net Sales shall be calculated from the time of the closing of the transaction). Organon will notify Daré of Organon’s election prior to expiration of the foregoing [***] period. Organon’s failure to notify Daré of a Change of Control transaction within the foregoing [***] period [***] shall not be deemed a material breach of this Agreement.</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24890"/>
                <wp:effectExtent l="0" t="0" r="0" b="0"/>
                <wp:wrapNone/>
                <wp:docPr id="66" name="Frame6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3.8.4Acquisition of Organon</w:t>
      </w:r>
      <w:r>
        <w:rPr>
          <w:rFonts w:ascii="Times New Roman;sans-serif" w:hAnsi="Times New Roman;sans-serif"/>
          <w:b w:val="false"/>
          <w:color w:val="000000"/>
          <w:sz w:val="22"/>
        </w:rPr>
        <w:t>. If (a) a Third Party becomes an Affiliate of Organon through merger, acquisition, consolidation, or other similar transactions or series of related transactions, and any such transaction(s) do/does result in a Change of Control of Organon and (b) the new Affiliate is engaged in Commercialization of a Non-compete Product when such Person becomes an Affiliate of Organon, then the new Affiliate may continue with Commercialization of the Non-compete Product without such Affiliate’s conduct of such activities constituting a breach of Organon’s obligations under Section 2.3.4.</w:t>
      </w:r>
    </w:p>
    <w:p>
      <w:pPr>
        <w:pStyle w:val="TextBody"/>
        <w:spacing w:lineRule="auto" w:line="240" w:before="0" w:after="240"/>
        <w:ind w:left="0" w:right="0" w:hanging="720"/>
        <w:jc w:val="both"/>
        <w:rPr/>
      </w:pPr>
      <w:r>
        <w:rPr>
          <w:rFonts w:ascii="Times New Roman;sans-serif" w:hAnsi="Times New Roman;sans-serif"/>
          <w:b/>
          <w:color w:val="000000"/>
          <w:sz w:val="22"/>
        </w:rPr>
        <w:t>3.9No Implied Rights</w:t>
      </w:r>
      <w:r>
        <w:rPr>
          <w:rFonts w:ascii="Times New Roman;sans-serif" w:hAnsi="Times New Roman;sans-serif"/>
          <w:b w:val="false"/>
          <w:color w:val="000000"/>
          <w:sz w:val="22"/>
        </w:rPr>
        <w:t>. Except as specifically set forth in this Agreement, neither Party shall acquire any license or other right, title or interest, by implication, estoppel or otherwise, in any Information or Inventions or other information disclosed to it under this Agreement or under any Patents or other intellectual property rights Controlled by the other Party or any of its Affiliates, and each Party reserves all such other right, title and interest in and to such Information, Inventions, other information, Patents or other intellectual property rights.</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4MANUFACTURING.</w:t>
      </w:r>
    </w:p>
    <w:p>
      <w:pPr>
        <w:pStyle w:val="TextBody"/>
        <w:spacing w:lineRule="auto" w:line="240" w:before="0" w:after="240"/>
        <w:ind w:left="0" w:right="0" w:hanging="720"/>
        <w:jc w:val="both"/>
        <w:rPr/>
      </w:pPr>
      <w:r>
        <w:rPr>
          <w:rFonts w:ascii="Times New Roman;sans-serif" w:hAnsi="Times New Roman;sans-serif"/>
          <w:b/>
          <w:color w:val="000000"/>
          <w:sz w:val="22"/>
        </w:rPr>
        <w:t>4.1Interim Supply</w:t>
      </w:r>
      <w:r>
        <w:rPr>
          <w:rFonts w:ascii="Times New Roman;sans-serif" w:hAnsi="Times New Roman;sans-serif"/>
          <w:b w:val="false"/>
          <w:color w:val="000000"/>
          <w:sz w:val="22"/>
        </w:rPr>
        <w:t>. Prior to the completion of the Manufacturing Technology Transfer pursuant to Section 4.2, Daré will, either by itself or through a contract manufacturer(s), Manufacture and supply the Licensed Products to Organon and its Affiliates and Sublicensees until [***]. During such time, Daré appoints Organon as Daré’s exclusive distributor of the Licensed Products, and Organon or its Affiliate(s) will purchase all of Organon and its Affiliates’ requirements of such Licensed Products from Daré for use by Organon and its Affiliates and Sublicensees pursuant to a supply and distribution agreement (the “</w:t>
      </w:r>
      <w:r>
        <w:rPr>
          <w:rFonts w:ascii="Times New Roman;sans-serif" w:hAnsi="Times New Roman;sans-serif"/>
          <w:b/>
          <w:color w:val="000000"/>
          <w:sz w:val="22"/>
        </w:rPr>
        <w:t>Supply and Distribution Agreement</w:t>
      </w:r>
      <w:r>
        <w:rPr>
          <w:color w:val="000000"/>
        </w:rPr>
        <w:t>”</w:t>
      </w:r>
      <w:r>
        <w:rPr>
          <w:rFonts w:ascii="Times New Roman;sans-serif" w:hAnsi="Times New Roman;sans-serif"/>
          <w:b w:val="false"/>
          <w:color w:val="000000"/>
          <w:sz w:val="22"/>
        </w:rPr>
        <w:t xml:space="preserve">). The Parties will use Commercially Reasonable Efforts to enter into the Supply and Distribution Agreement promptly after the Effective Date and prior to [***]. The terms of the Supply and Distribution Agreement will be consistent with the terms for it specified in this Agreement, including those in this Section 4.1 and the terms set forth on </w:t>
      </w:r>
      <w:r>
        <w:rPr>
          <w:rFonts w:ascii="Times New Roman;sans-serif" w:hAnsi="Times New Roman;sans-serif"/>
          <w:b w:val="false"/>
          <w:color w:val="000000"/>
          <w:sz w:val="22"/>
          <w:u w:val="single"/>
        </w:rPr>
        <w:t>Schedule 4.1</w:t>
      </w:r>
      <w:r>
        <w:rPr>
          <w:color w:val="000000"/>
        </w:rPr>
        <w:t xml:space="preserve"> </w:t>
      </w:r>
      <w:r>
        <w:rPr>
          <w:rFonts w:ascii="Times New Roman;sans-serif" w:hAnsi="Times New Roman;sans-serif"/>
          <w:b w:val="false"/>
          <w:color w:val="000000"/>
          <w:sz w:val="22"/>
        </w:rPr>
        <w:t>(as applicable to Manufacture and supply of the Licensed Product), and other terms customary for supply arrangements between Persons in a similar relationship as the Parties</w:t>
      </w:r>
      <w:r>
        <w:rPr>
          <w:rFonts w:ascii="Times New Roman;sans-serif" w:hAnsi="Times New Roman;sans-serif"/>
          <w:b/>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4.1.1Form of Product and Price</w:t>
      </w:r>
      <w:r>
        <w:rPr>
          <w:rFonts w:ascii="Times New Roman;sans-serif" w:hAnsi="Times New Roman;sans-serif"/>
          <w:b w:val="false"/>
          <w:color w:val="000000"/>
          <w:sz w:val="22"/>
        </w:rPr>
        <w:t xml:space="preserve">. Neither Daré nor its contract manufacture(s) may initiate any changes with respect to the Manufacture of any Licensed Product that could reasonably be expected to affect the quality, performance, or requirements of the FDA in the Daré Marketing Authorization, in each case, of such Licensed Product as Manufactured by Daré or its contract manufacturer(s), without the prior written consent of Organon or as otherwise set forth in the Quality Agreement (as referenced in </w:t>
      </w:r>
      <w:r>
        <w:rPr>
          <w:rFonts w:ascii="Times New Roman;sans-serif" w:hAnsi="Times New Roman;sans-serif"/>
          <w:b w:val="false"/>
          <w:color w:val="000000"/>
          <w:sz w:val="22"/>
          <w:u w:val="single"/>
        </w:rPr>
        <w:t>Schedule 4.1</w:t>
      </w:r>
      <w:r>
        <w:rPr>
          <w:rFonts w:ascii="Times New Roman;sans-serif" w:hAnsi="Times New Roman;sans-serif"/>
          <w:b w:val="false"/>
          <w:color w:val="000000"/>
          <w:sz w:val="22"/>
        </w:rPr>
        <w:t>). Daré will Manufacture and supply the Licensed Products [***] in the Daré Marketing Authorization and Change Being Effected Day Zero (CBE0), in each case, pursuant to this Section 4.1 at a transfer price equal to Daré’s Manufacturing costs plus [***] percent ([***]%). All Manufacturing activities by or on behalf of Daré and its contract manufacturer(s) will at all times be in compliance with GMP and in compliance with Applicable Laws, and Facilities in which Licensed Product are Manufactured will at all times be in compliance with Applicable Laws. Organon hereby grants back to Daré a nonexclusive, royalty-free license to Manufacture the Licensed Products solely for supply to Organon under the terms of the Supply and Distribution Agreement.</w:t>
      </w:r>
    </w:p>
    <w:p>
      <w:pPr>
        <w:pStyle w:val="TextBody"/>
        <w:spacing w:lineRule="auto" w:line="240" w:before="0" w:after="240"/>
        <w:ind w:left="0" w:right="0" w:hanging="720"/>
        <w:jc w:val="both"/>
        <w:rPr/>
      </w:pPr>
      <w:r>
        <w:rPr>
          <w:rFonts w:ascii="Times New Roman;sans-serif" w:hAnsi="Times New Roman;sans-serif"/>
          <w:b/>
          <w:color w:val="000000"/>
          <w:sz w:val="22"/>
        </w:rPr>
        <w:t>4.1.2Inventory Transfer</w:t>
      </w:r>
      <w:r>
        <w:rPr>
          <w:rFonts w:ascii="Times New Roman;sans-serif" w:hAnsi="Times New Roman;sans-serif"/>
          <w:b w:val="false"/>
          <w:color w:val="000000"/>
          <w:sz w:val="22"/>
        </w:rPr>
        <w:t xml:space="preserve">. At Organon’s request, Daré shall, after the Effective Date, transfer, assign and deliver to Organon all Licensed Products in Daré’s (or its Affiliates’ or its contract manufacturers’) inventory. Daré hereby represents to Organon that </w:t>
      </w:r>
      <w:r>
        <w:rPr>
          <w:rFonts w:ascii="Times New Roman;sans-serif" w:hAnsi="Times New Roman;sans-serif"/>
          <w:b w:val="false"/>
          <w:color w:val="000000"/>
          <w:sz w:val="22"/>
          <w:u w:val="single"/>
        </w:rPr>
        <w:t>Schedule 4.1.2</w:t>
      </w:r>
      <w:r>
        <w:rPr>
          <w:color w:val="000000"/>
        </w:rPr>
        <w:t xml:space="preserve"> </w:t>
      </w:r>
      <w:r>
        <w:rPr>
          <w:rFonts w:ascii="Times New Roman;sans-serif" w:hAnsi="Times New Roman;sans-serif"/>
          <w:b w:val="false"/>
          <w:color w:val="000000"/>
          <w:sz w:val="22"/>
        </w:rPr>
        <w:t xml:space="preserve">sets forth a complete and accurate list of the total quantities of such inventory as of the Execution Date (and indicating whether such inventory is GMP or non-GMP). On the Effective Date, Daré shall deliver to Organon an update of </w:t>
      </w:r>
      <w:r>
        <w:rPr>
          <w:rFonts w:ascii="Times New Roman;sans-serif" w:hAnsi="Times New Roman;sans-serif"/>
          <w:b w:val="false"/>
          <w:color w:val="000000"/>
          <w:sz w:val="22"/>
          <w:u w:val="single"/>
        </w:rPr>
        <w:t>Schedule 4.1.2</w:t>
      </w:r>
      <w:r>
        <w:rPr>
          <w:color w:val="000000"/>
        </w:rPr>
        <w:t xml:space="preserve"> </w:t>
      </w:r>
      <w:r>
        <w:rPr>
          <w:rFonts w:ascii="Times New Roman;sans-serif" w:hAnsi="Times New Roman;sans-serif"/>
          <w:b w:val="false"/>
          <w:color w:val="000000"/>
          <w:sz w:val="22"/>
        </w:rPr>
        <w:t xml:space="preserve">reflecting the information therein as of the Effective Date. Daré shall make available to Organon documentation demonstrating that all such inventory to be provided to Organon was Manufactured in accordance with GMPs. Daré shall and hereby does, represent to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24890"/>
                <wp:effectExtent l="0" t="0" r="0" b="0"/>
                <wp:wrapNone/>
                <wp:docPr id="67" name="Frame66"/>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Organon that, to Daré’s Knowledge, such inventory was Manufactured in accordance with GMPs, Applicable Laws and the specifications therefor. In furtherance of and without limiting the foregoing, Daré shall provide to Organon, [***], supporting documentation within its Control with respect to such inventory and the Certificates of Analysis with respect to such inventory. Organon may, within [***] of receipt of the Certificates of Analysis, notify Daré if Organon elects to take possession of less than the inventory remaining because Organon or its Affiliates reasonably believes that any such inventory was not (and at all times up until delivery of such inventory to Organon hereunder did not remain) Manufactured or stored in accordance with all Applicable Laws (including, as applicable, GMPs), and the specifications therefor, or that such inventory were adulterated or misbranded or could not be introduced into interstate commerce. If Organon elects to take possession of less than the remaining inventory, Organon shall so notify Daré and Daré shall transfer, assign and deliver to Organon only such inventory as requested by Organon. Except as otherwise set forth in this Section 4.1.2, Organon shall accept all such inventory transferred, assigned and delivered to Organon on an as-is basis. Deliveries shall be made at Organon’s expense Ex Works (Incoterms 2020). </w:t>
      </w:r>
    </w:p>
    <w:p>
      <w:pPr>
        <w:pStyle w:val="TextBody"/>
        <w:spacing w:lineRule="auto" w:line="240" w:before="0" w:after="240"/>
        <w:ind w:left="0" w:right="0" w:hanging="720"/>
        <w:jc w:val="both"/>
        <w:rPr/>
      </w:pPr>
      <w:r>
        <w:rPr>
          <w:rFonts w:ascii="Times New Roman;sans-serif" w:hAnsi="Times New Roman;sans-serif"/>
          <w:b/>
          <w:color w:val="000000"/>
          <w:sz w:val="22"/>
        </w:rPr>
        <w:t>4.1.3Governmental Authority Action</w:t>
      </w:r>
      <w:r>
        <w:rPr>
          <w:rFonts w:ascii="Times New Roman;sans-serif" w:hAnsi="Times New Roman;sans-serif"/>
          <w:b w:val="false"/>
          <w:color w:val="000000"/>
          <w:sz w:val="22"/>
        </w:rPr>
        <w:t>. Daré shall promptly notify Organon of any information Daré receives regarding any threatened or pending action by any Governmental Authority, including any Governmental Authority non-approval or regulatory action, that may impact the Manufacture of Licensed Product by Daré or its Affiliate or its contract manufacturer. Upon receipt of such information, Daré shall consult with Organon in an effort to arrive at a mutually acceptable procedure for taking appropriate action.</w:t>
      </w:r>
    </w:p>
    <w:p>
      <w:pPr>
        <w:pStyle w:val="TextBody"/>
        <w:spacing w:lineRule="auto" w:line="240" w:before="0" w:after="240"/>
        <w:ind w:left="0" w:right="0" w:hanging="720"/>
        <w:jc w:val="both"/>
        <w:rPr/>
      </w:pPr>
      <w:r>
        <w:rPr>
          <w:rFonts w:ascii="Times New Roman;sans-serif" w:hAnsi="Times New Roman;sans-serif"/>
          <w:b/>
          <w:color w:val="000000"/>
          <w:sz w:val="22"/>
        </w:rPr>
        <w:t>4.1.4Governmental Authority Inspection</w:t>
      </w:r>
      <w:r>
        <w:rPr>
          <w:rFonts w:ascii="Times New Roman;sans-serif" w:hAnsi="Times New Roman;sans-serif"/>
          <w:b w:val="false"/>
          <w:color w:val="000000"/>
          <w:sz w:val="22"/>
        </w:rPr>
        <w:t>. Daré shall promptly notify Organon of any proposed visit or inspection of a Facility directly related to, and/or which could potentially impact, Manufacture of Licensed Product by any Governmental Authority, and agrees to use Commercially Reasonable Efforts to permit one or more qualified representatives of Organon to be present if requested by Organon. Daré shall notify Organon of any unannounced visits or inspections of a Facility as soon as reasonably practical upon becoming aware of the same. If Organon is not present during such a visit or inspection, Daré shall, [***]. Daré shall, [***]. Organon will [***].</w:t>
      </w:r>
    </w:p>
    <w:p>
      <w:pPr>
        <w:pStyle w:val="TextBody"/>
        <w:spacing w:lineRule="auto" w:line="240" w:before="0" w:after="240"/>
        <w:ind w:left="0" w:right="0" w:hanging="720"/>
        <w:jc w:val="both"/>
        <w:rPr/>
      </w:pPr>
      <w:r>
        <w:rPr>
          <w:rFonts w:ascii="Times New Roman;sans-serif" w:hAnsi="Times New Roman;sans-serif"/>
          <w:b/>
          <w:color w:val="000000"/>
          <w:sz w:val="22"/>
        </w:rPr>
        <w:t>4.1.5Audit and Inspection</w:t>
      </w:r>
      <w:r>
        <w:rPr>
          <w:rFonts w:ascii="Times New Roman;sans-serif" w:hAnsi="Times New Roman;sans-serif"/>
          <w:b w:val="false"/>
          <w:color w:val="000000"/>
          <w:sz w:val="22"/>
        </w:rPr>
        <w:t>. [***]. Organon shall have access to Daré’s contract manufacturer’s Facilities [***] to observe the Licensed Product and its components manufacturing services and to audit its compliance with cGMP and Applicable Laws in the manufacture of Licensed Products and components of Licensed Products. Organon’s access and audits shall in no way give Organon the right to any of the contract manufacturer’s confidential or proprietary information. Furthermore, such audits shall normally be limited in frequency to [***] and limited to a maximum number of [***] of Organon, each of which are deemed representatives of Organon, but [***].</w:t>
      </w:r>
    </w:p>
    <w:p>
      <w:pPr>
        <w:pStyle w:val="TextBody"/>
        <w:spacing w:lineRule="auto" w:line="240" w:before="0" w:after="240"/>
        <w:ind w:left="0" w:right="0" w:hanging="720"/>
        <w:jc w:val="both"/>
        <w:rPr/>
      </w:pPr>
      <w:r>
        <w:rPr>
          <w:rFonts w:ascii="Times New Roman;sans-serif" w:hAnsi="Times New Roman;sans-serif"/>
          <w:b/>
          <w:color w:val="000000"/>
          <w:sz w:val="22"/>
        </w:rPr>
        <w:t>4.2Manufacturing Technology Transfer</w:t>
      </w:r>
      <w:r>
        <w:rPr>
          <w:rFonts w:ascii="Times New Roman;sans-serif" w:hAnsi="Times New Roman;sans-serif"/>
          <w:b w:val="false"/>
          <w:color w:val="000000"/>
          <w:sz w:val="22"/>
        </w:rPr>
        <w:t>. Without limiting Daré’s obligations under Section 3.3, [***], Daré will, [***], transfer to Organon or its designated contract manufacturer, all Daré Know-How relating to the Manufacture of Licensed Product (the “</w:t>
      </w:r>
      <w:r>
        <w:rPr>
          <w:rFonts w:ascii="Times New Roman;sans-serif" w:hAnsi="Times New Roman;sans-serif"/>
          <w:b/>
          <w:color w:val="000000"/>
          <w:sz w:val="22"/>
        </w:rPr>
        <w:t>Manufacturing Process</w:t>
      </w:r>
      <w:r>
        <w:rPr>
          <w:color w:val="000000"/>
        </w:rPr>
        <w:t>”</w:t>
      </w:r>
      <w:r>
        <w:rPr>
          <w:rFonts w:ascii="Times New Roman;sans-serif" w:hAnsi="Times New Roman;sans-serif"/>
          <w:b w:val="false"/>
          <w:color w:val="000000"/>
          <w:sz w:val="22"/>
        </w:rPr>
        <w:t>) necessary or useful to allow Organon or its designated contract manufacturer to implement the Manufacturing Process at facilities designated by Organon (such transfer and implementation, as more fully described in this Section 4.2, the “</w:t>
      </w:r>
      <w:r>
        <w:rPr>
          <w:rFonts w:ascii="Times New Roman;sans-serif" w:hAnsi="Times New Roman;sans-serif"/>
          <w:b/>
          <w:color w:val="000000"/>
          <w:sz w:val="22"/>
        </w:rPr>
        <w:t>Manufacturing Technology Transfer</w:t>
      </w:r>
      <w:r>
        <w:rPr>
          <w:color w:val="000000"/>
        </w:rPr>
        <w:t>”</w:t>
      </w:r>
      <w:r>
        <w:rPr>
          <w:rFonts w:ascii="Times New Roman;sans-serif" w:hAnsi="Times New Roman;sans-serif"/>
          <w:b w:val="false"/>
          <w:color w:val="000000"/>
          <w:sz w:val="22"/>
        </w:rPr>
        <w:t>). Daré shall provide [***], all assistance reasonably requested by Organon to enable Organon (or its Affiliate(s) or designated contract manufacturer(s), as applicable) to implement the Manufacturing Process at the facilities designated by Organon. If requested by Organon, such assistance shall include [***]. Without limitation to the foregoing, in connection with the Manufacturing Technology Transfer:</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24890"/>
                <wp:effectExtent l="0" t="0" r="0" b="0"/>
                <wp:wrapNone/>
                <wp:docPr id="68" name="Frame67"/>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and</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5CONFIDENTIALITY AND PUBLICITY.</w:t>
      </w:r>
    </w:p>
    <w:p>
      <w:pPr>
        <w:pStyle w:val="TextBody"/>
        <w:spacing w:lineRule="auto" w:line="240" w:before="0" w:after="240"/>
        <w:ind w:left="0" w:right="0" w:hanging="720"/>
        <w:jc w:val="both"/>
        <w:rPr/>
      </w:pPr>
      <w:r>
        <w:rPr>
          <w:rFonts w:ascii="Times New Roman;sans-serif" w:hAnsi="Times New Roman;sans-serif"/>
          <w:b/>
          <w:color w:val="000000"/>
          <w:sz w:val="22"/>
        </w:rPr>
        <w:t>5.1Nondisclosure Obligation</w:t>
      </w:r>
      <w:r>
        <w:rPr>
          <w:rFonts w:ascii="Times New Roman;sans-serif" w:hAnsi="Times New Roman;sans-serif"/>
          <w:b w:val="false"/>
          <w:color w:val="000000"/>
          <w:sz w:val="22"/>
        </w:rPr>
        <w:t>. All Information disclosed by one Party to the other Party hereunder shall be maintained in confidence by the receiving Party and shall not be disclosed to any Third Party or used for any purpose except as set forth herein without the prior written consent of the disclosing Party, except to the extent that such Information:</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is known by the receiving Party at the time of its receipt, and not through a prior disclosure by the disclosing Party, as documented by the receiving Party’s business records;</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is in the public domain by use or publication before its receipt from the disclosing Party, or thereafter enters the public domain through no fault of the receiving Party;</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is subsequently disclosed to the receiving Party by a Third Party who may lawfully do so and is not under an obligation of confidentiality to the disclosing Party;</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xml:space="preserve">is developed by the receiving Party independently of Information received from the disclosing Party, as documented by the receiving Party’s business records; </w:t>
      </w:r>
    </w:p>
    <w:p>
      <w:pPr>
        <w:pStyle w:val="TextBody"/>
        <w:spacing w:lineRule="auto" w:line="240" w:before="0" w:after="240"/>
        <w:ind w:left="0" w:right="0" w:hanging="720"/>
        <w:jc w:val="both"/>
        <w:rPr/>
      </w:pPr>
      <w:r>
        <w:rPr>
          <w:rFonts w:ascii="Times New Roman;sans-serif" w:hAnsi="Times New Roman;sans-serif"/>
          <w:b/>
          <w:color w:val="000000"/>
          <w:sz w:val="22"/>
        </w:rPr>
        <w:t>(e)</w:t>
      </w:r>
      <w:r>
        <w:rPr>
          <w:rFonts w:ascii="Times New Roman;sans-serif" w:hAnsi="Times New Roman;sans-serif"/>
          <w:b w:val="false"/>
          <w:color w:val="000000"/>
          <w:sz w:val="22"/>
        </w:rPr>
        <w:t xml:space="preserve">is deemed necessary by the receiving Party to be disclosed to its Affiliates, licensees and sublicensees, agent(s), consultant(s), or other Third Parties for any and all purposes such Party and its Affiliates deem necessary or advisable in the ordinary course of business in accordance with this Agreement on the condition that such Third Parties have a need to know such Information so that the receiving Party may exercise its rights and perform its obligations hereunder and agree to be bound by confidentiality and non-use obligations that substantially are no less stringent than those confidentiality and non-use provisions contained in this Agreement; provided, however, that the term of confidentiality for such Third Parties shall be no less than [***], and the receiving Party shall be liable and responsible for such Persons’ compliance with the terms of this Article 5; or </w:t>
      </w:r>
    </w:p>
    <w:p>
      <w:pPr>
        <w:pStyle w:val="TextBody"/>
        <w:spacing w:lineRule="auto" w:line="240" w:before="0" w:after="240"/>
        <w:ind w:left="0" w:right="0" w:hanging="720"/>
        <w:jc w:val="both"/>
        <w:rPr/>
      </w:pPr>
      <w:r>
        <w:rPr>
          <w:rFonts w:ascii="Times New Roman;sans-serif" w:hAnsi="Times New Roman;sans-serif"/>
          <w:b/>
          <w:color w:val="000000"/>
          <w:sz w:val="22"/>
        </w:rPr>
        <w:t>(f)</w:t>
      </w:r>
      <w:r>
        <w:rPr>
          <w:rFonts w:ascii="Times New Roman;sans-serif" w:hAnsi="Times New Roman;sans-serif"/>
          <w:b w:val="false"/>
          <w:color w:val="000000"/>
          <w:sz w:val="22"/>
        </w:rPr>
        <w:t xml:space="preserve">is deemed necessary by counsel to the receiving Party to be disclosed to such Party’s attorneys, insurers, independent accountants or financial advisors for the sole purpose of enabling such attorneys, insurers, independent accountants or financial advisors to provide advice and services to the receiving Party, on the condition that such attorneys, insurers, independent accountants and financial advisors agree to be bound by confidentiality and non-use obligations that substantially are no less stringent than those confidentiality and non-use provisions contained in this Agreement; provided, however, that the term of confidentiality for such attorneys, insurers, independent accountants and financial advisors shall be no less than [***], and the receiving Party shall be liable and responsible for such Persons’ compliance with the terms of this Article.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24890"/>
                <wp:effectExtent l="0" t="0" r="0" b="0"/>
                <wp:wrapNone/>
                <wp:docPr id="69" name="Frame68"/>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5.2Mandatory and Permitted Disclosures</w:t>
      </w:r>
      <w:r>
        <w:rPr>
          <w:rFonts w:ascii="Times New Roman;sans-serif" w:hAnsi="Times New Roman;sans-serif"/>
          <w:b w:val="false"/>
          <w:color w:val="000000"/>
          <w:sz w:val="22"/>
        </w:rPr>
        <w:t xml:space="preserve">. Section 5.1 shall not apply to Information that the receiving Party is required by Applicable Law, or similar requirements to disclose, provided that the receiving Party provides the disclosing Party with prompt notice thereof such that the disclosing Party may seek a protective order or other appropriate remedy with respect to such Information, including, without limitation, confidential treatment to the extent available under any Applicable Law, and the receiving Party shall provide the disclosing Party with reasonable cooperation in order to obtain such a protective order or other remedy, including confidential treatment, and discloses only that portion of the confidential Information that it is legally compelled to disclose.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notwithstanding Section 5.1, Organon may disclose the information of Daré as is deemed necessary by Organon to be disclosed to a Governmental Authority to exercise Organon’s or its Affiliate’s rights or perform its obligations with respect to Patents under Article 9 or to seek, obtain or maintain Marketing Authorizations for Licensed Products. </w:t>
      </w:r>
    </w:p>
    <w:p>
      <w:pPr>
        <w:pStyle w:val="TextBody"/>
        <w:spacing w:lineRule="auto" w:line="240" w:before="0" w:after="240"/>
        <w:jc w:val="both"/>
        <w:rPr/>
      </w:pPr>
      <w:r>
        <w:rPr>
          <w:rFonts w:ascii="Times New Roman;sans-serif" w:hAnsi="Times New Roman;sans-serif"/>
          <w:b w:val="false"/>
          <w:color w:val="000000"/>
          <w:sz w:val="22"/>
        </w:rPr>
        <w:t>Information that is disclosed pursuant to this Section 5.2 shall remain otherwise subject to the confidentiality and non-use provisions of Section 5.1.</w:t>
      </w:r>
      <w:r>
        <w:rPr>
          <w:color w:val="000000"/>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5.3Daré Know-How</w:t>
      </w:r>
      <w:r>
        <w:rPr>
          <w:rFonts w:ascii="Times New Roman;sans-serif" w:hAnsi="Times New Roman;sans-serif"/>
          <w:b w:val="false"/>
          <w:color w:val="000000"/>
          <w:sz w:val="22"/>
        </w:rPr>
        <w:t>. Daré will use Commercially Reasonable Efforts to keep all Daré Know-How confidential as if the Daré Know-How were first disclosed by Organon to Daré. For the avoidance of doubt, Daré may disclose Daré Know-How as permitted in this Article 5, and otherwise to Third Parties as if Daré were a receiving Party of the Daré Know-How.</w:t>
      </w:r>
    </w:p>
    <w:p>
      <w:pPr>
        <w:pStyle w:val="TextBody"/>
        <w:spacing w:lineRule="auto" w:line="240" w:before="0" w:after="240"/>
        <w:ind w:left="0" w:right="0" w:hanging="720"/>
        <w:jc w:val="both"/>
        <w:rPr/>
      </w:pPr>
      <w:r>
        <w:rPr>
          <w:rFonts w:ascii="Times New Roman;sans-serif" w:hAnsi="Times New Roman;sans-serif"/>
          <w:b/>
          <w:color w:val="000000"/>
          <w:sz w:val="22"/>
        </w:rPr>
        <w:t>5.4Disclosure to DTM Upstream Licensors</w:t>
      </w:r>
      <w:r>
        <w:rPr>
          <w:rFonts w:ascii="Times New Roman;sans-serif" w:hAnsi="Times New Roman;sans-serif"/>
          <w:b w:val="false"/>
          <w:color w:val="000000"/>
          <w:sz w:val="22"/>
        </w:rPr>
        <w:t>. Organon acknowledges and agrees that Daré may disclose Information of Organon, and the terms of this Agreement, to MilanaPharm or TriLogic as necessary to comply with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5.5Publicity/Use of Names.</w:t>
      </w:r>
      <w:r>
        <w:rPr>
          <w:color w:val="000000"/>
        </w:rPr>
        <w:t xml:space="preserve"> </w:t>
      </w:r>
      <w:r>
        <w:rPr>
          <w:rFonts w:ascii="Times New Roman;sans-serif" w:hAnsi="Times New Roman;sans-serif"/>
          <w:b w:val="false"/>
          <w:color w:val="000000"/>
          <w:sz w:val="22"/>
        </w:rPr>
        <w:t xml:space="preserve">No disclosure of the existence, or the terms, of this Agreement may be made by either Party, and no Party shall use the name, Trademark, trade name or logo of the other Party, its Affiliates or their respective employee(s), and Organon may not use the name, trade name or logo of any Daré licensor, in any publicity, promotion, news release or disclosure relating to this Agreement or its subject matter, without the prior express written permission of the other Party, except as may be required by Applicable Law. </w:t>
      </w:r>
    </w:p>
    <w:p>
      <w:pPr>
        <w:pStyle w:val="TextBody"/>
        <w:spacing w:lineRule="auto" w:line="240" w:before="0" w:after="240"/>
        <w:ind w:left="0" w:right="0" w:hanging="720"/>
        <w:jc w:val="both"/>
        <w:rPr/>
      </w:pPr>
      <w:r>
        <w:rPr>
          <w:rFonts w:ascii="Times New Roman;sans-serif" w:hAnsi="Times New Roman;sans-serif"/>
          <w:b/>
          <w:color w:val="000000"/>
          <w:sz w:val="22"/>
        </w:rPr>
        <w:t>5.6Announcements</w:t>
      </w:r>
      <w:r>
        <w:rPr>
          <w:rFonts w:ascii="Times New Roman;sans-serif" w:hAnsi="Times New Roman;sans-serif"/>
          <w:b w:val="false"/>
          <w:color w:val="000000"/>
          <w:sz w:val="22"/>
        </w:rPr>
        <w:t xml:space="preserve">. Promptly following the Execution Date, the Parties shall issue an initial press release having the content specified in </w:t>
      </w:r>
      <w:r>
        <w:rPr>
          <w:rFonts w:ascii="Times New Roman;sans-serif" w:hAnsi="Times New Roman;sans-serif"/>
          <w:b w:val="false"/>
          <w:color w:val="000000"/>
          <w:sz w:val="22"/>
          <w:u w:val="single"/>
        </w:rPr>
        <w:t>Schedule 5.6</w:t>
      </w:r>
      <w:r>
        <w:rPr>
          <w:rFonts w:ascii="Times New Roman;sans-serif" w:hAnsi="Times New Roman;sans-serif"/>
          <w:b w:val="false"/>
          <w:color w:val="000000"/>
          <w:sz w:val="22"/>
        </w:rPr>
        <w:t>. Following such initial press release, Daré agrees [***]. Organon will have the right without obtaining Daré’s consent to make public announcements concerning the Development, Commercialization or other Exploitation of Licensed Products under this Agreement. The Parties agree that after a press release (including the initial press release or any subsequent press release, such as on or after the Effective Date) or other public announcement has been issued in accordance with this Section 5.6, each Party may make subsequent public disclosures of the information contained in such press release or other public announcement without the further approval of the other Party, so long as the information in such press release or other public announcement remains true and correct. Notwithstanding anything to the contrary set forth in this Agreement, each Party may issue a press release or public announcement as required, in the reasonable judgment of such Party, by Applicable Law, including by the rules or regulations of the United States Securities and Exchange Commission or similar regulatory agency in a country other than the United States or of any stock exchange or listing entity.</w:t>
      </w:r>
    </w:p>
    <w:p>
      <w:pPr>
        <w:pStyle w:val="TextBody"/>
        <w:spacing w:lineRule="auto" w:line="240" w:before="0" w:after="240"/>
        <w:ind w:left="0" w:right="0" w:hanging="720"/>
        <w:jc w:val="both"/>
        <w:rPr/>
      </w:pPr>
      <w:r>
        <w:rPr>
          <w:rFonts w:ascii="Times New Roman;sans-serif" w:hAnsi="Times New Roman;sans-serif"/>
          <w:b/>
          <w:color w:val="000000"/>
          <w:sz w:val="22"/>
        </w:rPr>
        <w:t>5.7Required Disclosures</w:t>
      </w:r>
      <w:r>
        <w:rPr>
          <w:rFonts w:ascii="Times New Roman;sans-serif" w:hAnsi="Times New Roman;sans-serif"/>
          <w:b w:val="false"/>
          <w:color w:val="000000"/>
          <w:sz w:val="22"/>
        </w:rPr>
        <w:t>. If either Party is required to disclose the terms of this Agreement in submissions to the U.S. Securities and Exchange Commission or other equivalent Governmental Authority, it will [***]. The requirements of this Section 5.7 shall not apply if the substance of the description of or reference to this Agreement contained in the proposed filing or disclosure has been included in any previous filing or disclosure made by either Party or otherwise approved by the other Party and such information remains accurate as of such time.</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24890"/>
                <wp:effectExtent l="0" t="0" r="0" b="0"/>
                <wp:wrapNone/>
                <wp:docPr id="70" name="Frame69"/>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5.8Publications</w:t>
      </w:r>
      <w:r>
        <w:rPr>
          <w:rFonts w:ascii="Times New Roman;sans-serif" w:hAnsi="Times New Roman;sans-serif"/>
          <w:b w:val="false"/>
          <w:color w:val="000000"/>
          <w:sz w:val="22"/>
        </w:rPr>
        <w:t>. Subject to Organon’s obligations under Section 2.6, and notwithstanding anything to the contrary in this Article 5, Organon shall have the right to disclose, publish or present all Information, including preclinical and clinical data, relating to the Licensed Products. Daré shall not disclose, publish or present any preclinical and clinical data relating to the Licensed Products to any Third Party without first submitting such disclosure, publication or presentation to Organon for review. Organon shall have [***] to review such disclosure, publication or presentation to determine whether the Information proposed to be disclosed contains any of Organon’s confidential Information or confidential Daré Know-How and issue notice of such to Daré. If notification is not received by Daré within such [***] period, Daré will be free to proceed with such disclosure, publication or presentation. If due to a valid business reason or a reasonable belief by Organon that the disclosure, publication or presentation contains (a) confidential Information of Organon or confidential Daré Know-How, or (b) subject matter for which a patentable invention should be sought, then prior to the expiration of the [***], Organon will so notify Daré, and the Daré will then (x) at the request of Organon delete any confidential Information of Organon or confidential Daré Know-How, or (y) delay public disclosure, publication or presentation of such Information for [***] to permit the preparation and filing of a patent application on the subject matter to be disclosed, published, or presented or other protective action to be taken. The determination of authorship for any paper will be in accordance with accepted scientific practice.</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6PAYMENTS; ROYALTIES AND REPORTS.</w:t>
      </w:r>
    </w:p>
    <w:p>
      <w:pPr>
        <w:pStyle w:val="TextBody"/>
        <w:spacing w:lineRule="auto" w:line="240" w:before="0" w:after="240"/>
        <w:ind w:left="0" w:right="0" w:hanging="720"/>
        <w:jc w:val="both"/>
        <w:rPr/>
      </w:pPr>
      <w:r>
        <w:rPr>
          <w:rFonts w:ascii="Times New Roman;sans-serif" w:hAnsi="Times New Roman;sans-serif"/>
          <w:b/>
          <w:color w:val="000000"/>
          <w:sz w:val="22"/>
        </w:rPr>
        <w:t xml:space="preserve">6.1License Fee and Development Milestone. </w:t>
      </w:r>
      <w:r>
        <w:rPr>
          <w:rFonts w:ascii="Times New Roman;sans-serif" w:hAnsi="Times New Roman;sans-serif"/>
          <w:b w:val="false"/>
          <w:color w:val="000000"/>
          <w:sz w:val="22"/>
        </w:rPr>
        <w:t>In partial consideration for the licenses and other rights granted to Organon herein under the Daré Patents and Daré Know-How, upon the terms and conditions contained herein, Organon shall pay to Daré $10,000,000 (“</w:t>
      </w:r>
      <w:r>
        <w:rPr>
          <w:rFonts w:ascii="Times New Roman;sans-serif" w:hAnsi="Times New Roman;sans-serif"/>
          <w:b/>
          <w:color w:val="000000"/>
          <w:sz w:val="22"/>
        </w:rPr>
        <w:t>Upfront Payment</w:t>
      </w:r>
      <w:r>
        <w:rPr>
          <w:color w:val="000000"/>
        </w:rPr>
        <w:t>”</w:t>
      </w:r>
      <w:r>
        <w:rPr>
          <w:rFonts w:ascii="Times New Roman;sans-serif" w:hAnsi="Times New Roman;sans-serif"/>
          <w:b w:val="false"/>
          <w:color w:val="000000"/>
          <w:sz w:val="22"/>
        </w:rPr>
        <w:t>) within [***] after the Effective Date, and such amount is non-refundable and non-creditable.</w:t>
      </w:r>
    </w:p>
    <w:p>
      <w:pPr>
        <w:pStyle w:val="TextBody"/>
        <w:spacing w:lineRule="auto" w:line="240" w:before="0" w:after="240"/>
        <w:ind w:left="0" w:right="0" w:hanging="720"/>
        <w:jc w:val="both"/>
        <w:rPr/>
      </w:pPr>
      <w:r>
        <w:rPr>
          <w:rFonts w:ascii="Times New Roman;sans-serif" w:hAnsi="Times New Roman;sans-serif"/>
          <w:b/>
          <w:color w:val="000000"/>
          <w:sz w:val="22"/>
        </w:rPr>
        <w:t xml:space="preserve">6.2Milestone Payments. </w:t>
      </w:r>
      <w:r>
        <w:rPr>
          <w:rFonts w:ascii="Times New Roman;sans-serif" w:hAnsi="Times New Roman;sans-serif"/>
          <w:b w:val="false"/>
          <w:color w:val="000000"/>
          <w:sz w:val="22"/>
        </w:rPr>
        <w:t>Organon shall pay to Daré the following milestone payments corresponding to the following milestone events during the term of this Agreement:</w:t>
      </w:r>
    </w:p>
    <w:p>
      <w:pPr>
        <w:pStyle w:val="TextBody"/>
        <w:spacing w:lineRule="auto" w:line="240" w:before="0" w:after="240"/>
        <w:ind w:left="0" w:right="0" w:hanging="720"/>
        <w:jc w:val="both"/>
        <w:rPr/>
      </w:pPr>
      <w:r>
        <w:rPr>
          <w:rFonts w:ascii="Times New Roman;sans-serif" w:hAnsi="Times New Roman;sans-serif"/>
          <w:b/>
          <w:color w:val="000000"/>
          <w:sz w:val="22"/>
        </w:rPr>
        <w:t xml:space="preserve">6.2.1First Commercial Sale Milestone. </w:t>
      </w:r>
      <w:r>
        <w:rPr>
          <w:rFonts w:ascii="Times New Roman;sans-serif" w:hAnsi="Times New Roman;sans-serif"/>
          <w:b w:val="false"/>
          <w:color w:val="000000"/>
          <w:sz w:val="22"/>
        </w:rPr>
        <w:t>Organon shall pay to Daré $2,500,000 for the First Commercial Sale in the United States of a Licensed Product.</w:t>
      </w:r>
    </w:p>
    <w:p>
      <w:pPr>
        <w:pStyle w:val="TextBody"/>
        <w:spacing w:lineRule="auto" w:line="240" w:before="0" w:after="240"/>
        <w:ind w:left="0" w:right="0" w:hanging="720"/>
        <w:jc w:val="both"/>
        <w:rPr/>
      </w:pPr>
      <w:r>
        <w:rPr>
          <w:rFonts w:ascii="Times New Roman;sans-serif" w:hAnsi="Times New Roman;sans-serif"/>
          <w:b/>
          <w:color w:val="000000"/>
          <w:sz w:val="22"/>
        </w:rPr>
        <w:t xml:space="preserve">6.2.2Sales Milestones. </w:t>
      </w:r>
      <w:r>
        <w:rPr>
          <w:rFonts w:ascii="Times New Roman;sans-serif" w:hAnsi="Times New Roman;sans-serif"/>
          <w:b w:val="false"/>
          <w:color w:val="000000"/>
          <w:sz w:val="22"/>
        </w:rPr>
        <w:t>Organon shall pay to Daré each of the following amounts in Table 6.2.2 below (each, a “</w:t>
      </w:r>
      <w:r>
        <w:rPr>
          <w:rFonts w:ascii="Times New Roman;sans-serif" w:hAnsi="Times New Roman;sans-serif"/>
          <w:b/>
          <w:color w:val="000000"/>
          <w:sz w:val="22"/>
        </w:rPr>
        <w:t>Sales Milestone Payment</w:t>
      </w:r>
      <w:r>
        <w:rPr>
          <w:color w:val="000000"/>
        </w:rPr>
        <w:t>”</w:t>
      </w:r>
      <w:r>
        <w:rPr>
          <w:rFonts w:ascii="Times New Roman;sans-serif" w:hAnsi="Times New Roman;sans-serif"/>
          <w:b w:val="false"/>
          <w:color w:val="000000"/>
          <w:sz w:val="22"/>
        </w:rPr>
        <w:t>) [***] as a result of the [***] of the corresponding event (each, a “</w:t>
      </w:r>
      <w:r>
        <w:rPr>
          <w:rFonts w:ascii="Times New Roman;sans-serif" w:hAnsi="Times New Roman;sans-serif"/>
          <w:b/>
          <w:color w:val="000000"/>
          <w:sz w:val="22"/>
        </w:rPr>
        <w:t>Sales Milestone Event</w:t>
      </w:r>
      <w:r>
        <w:rPr>
          <w:color w:val="000000"/>
        </w:rPr>
        <w:t>”</w:t>
      </w:r>
      <w:r>
        <w:rPr>
          <w:rFonts w:ascii="Times New Roman;sans-serif" w:hAnsi="Times New Roman;sans-serif"/>
          <w:b w:val="false"/>
          <w:color w:val="000000"/>
          <w:sz w:val="22"/>
        </w:rPr>
        <w:t xml:space="preserve">). </w:t>
      </w:r>
    </w:p>
    <w:tbl>
      <w:tblPr>
        <w:tblW w:w="7649" w:type="dxa"/>
        <w:jc w:val="left"/>
        <w:tblInd w:w="0" w:type="dxa"/>
        <w:tblCellMar>
          <w:top w:w="28" w:type="dxa"/>
          <w:left w:w="28" w:type="dxa"/>
          <w:bottom w:w="28" w:type="dxa"/>
          <w:right w:w="28" w:type="dxa"/>
        </w:tblCellMar>
      </w:tblPr>
      <w:tblGrid>
        <w:gridCol w:w="653"/>
        <w:gridCol w:w="573"/>
        <w:gridCol w:w="573"/>
        <w:gridCol w:w="1095"/>
        <w:gridCol w:w="1095"/>
        <w:gridCol w:w="1095"/>
        <w:gridCol w:w="751"/>
        <w:gridCol w:w="751"/>
        <w:gridCol w:w="1063"/>
      </w:tblGrid>
      <w:tr>
        <w:trPr/>
        <w:tc>
          <w:tcPr>
            <w:tcW w:w="65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7649" w:type="dxa"/>
            <w:gridSpan w:val="9"/>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Table 6.2.2 Sales Milestone Events and Payments</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Milestone Event No.</w:t>
            </w:r>
          </w:p>
        </w:tc>
        <w:tc>
          <w:tcPr>
            <w:tcW w:w="32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Time Milestone Event Description</w:t>
            </w:r>
          </w:p>
        </w:tc>
        <w:tc>
          <w:tcPr>
            <w:tcW w:w="2565"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Time Milestone Payment</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8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8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84" w:type="dxa"/>
            <w:gridSpan w:val="6"/>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319"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240"/>
        <w:jc w:val="both"/>
        <w:rPr/>
      </w:pPr>
      <w:r>
        <w:br w:type="page"/>
      </w: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24890"/>
                <wp:effectExtent l="0" t="0" r="0" b="0"/>
                <wp:wrapNone/>
                <wp:docPr id="71" name="Frame70"/>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240" w:after="240"/>
        <w:ind w:left="0" w:right="0" w:hanging="720"/>
        <w:jc w:val="both"/>
        <w:rPr/>
      </w:pPr>
      <w:r>
        <w:rPr>
          <w:rFonts w:ascii="Times New Roman;sans-serif" w:hAnsi="Times New Roman;sans-serif"/>
          <w:b/>
          <w:color w:val="000000"/>
          <w:sz w:val="22"/>
        </w:rPr>
        <w:t>6.2.3Regulatory Milestones</w:t>
      </w:r>
      <w:r>
        <w:rPr>
          <w:rFonts w:ascii="Times New Roman;sans-serif" w:hAnsi="Times New Roman;sans-serif"/>
          <w:b w:val="false"/>
          <w:color w:val="000000"/>
          <w:sz w:val="22"/>
        </w:rPr>
        <w:t>. Organon shall pay to Daré $[***] upon [***] (any such event described by foregoing clauses (a) and (b), a “</w:t>
      </w:r>
      <w:r>
        <w:rPr>
          <w:rFonts w:ascii="Times New Roman;sans-serif" w:hAnsi="Times New Roman;sans-serif"/>
          <w:b/>
          <w:color w:val="000000"/>
          <w:sz w:val="22"/>
        </w:rPr>
        <w:t>Regulatory Milestone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however, that</w:t>
      </w:r>
      <w:r>
        <w:rPr>
          <w:color w:val="000000"/>
        </w:rPr>
        <w:t xml:space="preserve"> </w:t>
      </w:r>
      <w:r>
        <w:rPr>
          <w:rFonts w:ascii="Times New Roman;sans-serif" w:hAnsi="Times New Roman;sans-serif"/>
          <w:b w:val="false"/>
          <w:color w:val="000000"/>
          <w:sz w:val="22"/>
        </w:rPr>
        <w:t xml:space="preserve">[***]. </w:t>
      </w:r>
    </w:p>
    <w:p>
      <w:pPr>
        <w:pStyle w:val="TextBody"/>
        <w:spacing w:lineRule="auto" w:line="240" w:before="240" w:after="240"/>
        <w:ind w:left="0" w:right="0" w:hanging="720"/>
        <w:jc w:val="both"/>
        <w:rPr/>
      </w:pPr>
      <w:r>
        <w:rPr>
          <w:rFonts w:ascii="Times New Roman;sans-serif" w:hAnsi="Times New Roman;sans-serif"/>
          <w:b/>
          <w:color w:val="000000"/>
          <w:sz w:val="22"/>
        </w:rPr>
        <w:t>6.2.4Notifications of Sales Milestones and Regulatory Milestones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Organon shall notify Daré in writing within [***] after the end of a Calendar Quarter in which the Sales Milestone Event first occurs. The Sales Milestone Payment for each such event shall be due and payable [***].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Organon shall notify Daré in writing within [***] following the achievement of each Regulatory Milestone, and shall make the appropriate milestone payment within [***].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Each milestone payment shall be payable only upon the initial achievement of the applicable corresponding milestone and no amounts shall be due hereunder for subsequent or repeated achievement of such milestone.</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6.3Royalties.</w:t>
      </w:r>
    </w:p>
    <w:p>
      <w:pPr>
        <w:pStyle w:val="TextBody"/>
        <w:spacing w:lineRule="auto" w:line="240" w:before="0" w:after="240"/>
        <w:ind w:left="0" w:right="0" w:hanging="720"/>
        <w:jc w:val="both"/>
        <w:rPr/>
      </w:pPr>
      <w:r>
        <w:rPr>
          <w:rFonts w:ascii="Times New Roman;sans-serif" w:hAnsi="Times New Roman;sans-serif"/>
          <w:b/>
          <w:color w:val="000000"/>
          <w:sz w:val="22"/>
        </w:rPr>
        <w:t>6.3.1Royalties Payable By Organon.</w:t>
      </w:r>
      <w:r>
        <w:rPr>
          <w:color w:val="000000"/>
        </w:rPr>
        <w:t xml:space="preserve"> </w:t>
      </w:r>
      <w:r>
        <w:rPr>
          <w:rFonts w:ascii="Times New Roman;sans-serif" w:hAnsi="Times New Roman;sans-serif"/>
          <w:b w:val="false"/>
          <w:color w:val="000000"/>
          <w:sz w:val="22"/>
        </w:rPr>
        <w:t>Subject to the terms and conditions of this Agreement, Organon shall pay Daré royalties, calculated on all Licensed Products and on a tiered basis, as set forth in this Section 6.3.</w:t>
      </w:r>
    </w:p>
    <w:p>
      <w:pPr>
        <w:pStyle w:val="TextBody"/>
        <w:spacing w:lineRule="auto" w:line="240" w:before="0" w:after="240"/>
        <w:ind w:left="0" w:right="0" w:hanging="720"/>
        <w:jc w:val="both"/>
        <w:rPr/>
      </w:pPr>
      <w:r>
        <w:rPr>
          <w:rFonts w:ascii="Times New Roman;sans-serif" w:hAnsi="Times New Roman;sans-serif"/>
          <w:b/>
          <w:color w:val="000000"/>
          <w:sz w:val="22"/>
        </w:rPr>
        <w:t>(a)Patent Royalties</w:t>
      </w:r>
      <w:r>
        <w:rPr>
          <w:rFonts w:ascii="Times New Roman;sans-serif" w:hAnsi="Times New Roman;sans-serif"/>
          <w:b w:val="false"/>
          <w:color w:val="000000"/>
          <w:sz w:val="22"/>
        </w:rPr>
        <w:t>. Subject to the provisions of Section 6.3.1(b) through Section 6.3.1(e), Organon shall pay Daré royalties (“</w:t>
      </w:r>
      <w:r>
        <w:rPr>
          <w:rFonts w:ascii="Times New Roman;sans-serif" w:hAnsi="Times New Roman;sans-serif"/>
          <w:b/>
          <w:color w:val="000000"/>
          <w:sz w:val="22"/>
        </w:rPr>
        <w:t>Royalties</w:t>
      </w:r>
      <w:r>
        <w:rPr>
          <w:color w:val="000000"/>
        </w:rPr>
        <w:t>”</w:t>
      </w:r>
      <w:r>
        <w:rPr>
          <w:rFonts w:ascii="Times New Roman;sans-serif" w:hAnsi="Times New Roman;sans-serif"/>
          <w:b w:val="false"/>
          <w:color w:val="000000"/>
          <w:sz w:val="22"/>
        </w:rPr>
        <w:t>) in an amount equal to the following percentage of Net Sales during a Royalty Period:</w:t>
      </w:r>
    </w:p>
    <w:p>
      <w:pPr>
        <w:pStyle w:val="TextBody"/>
        <w:spacing w:lineRule="auto" w:line="240" w:before="0" w:after="240"/>
        <w:ind w:left="0" w:right="0" w:hanging="720"/>
        <w:jc w:val="both"/>
        <w:rPr/>
      </w:pPr>
      <w:r>
        <w:rPr>
          <w:rFonts w:ascii="Times New Roman;sans-serif" w:hAnsi="Times New Roman;sans-serif"/>
          <w:b/>
          <w:color w:val="000000"/>
          <w:sz w:val="22"/>
        </w:rPr>
        <w:t>(i)</w:t>
      </w:r>
      <w:r>
        <w:rPr>
          <w:rFonts w:ascii="Times New Roman;sans-serif" w:hAnsi="Times New Roman;sans-serif"/>
          <w:b w:val="false"/>
          <w:color w:val="000000"/>
          <w:sz w:val="22"/>
        </w:rPr>
        <w:t>[***] of the aggregate of such Net Sales in each Calendar Year up to and including [***] of such Net Sales;</w:t>
      </w:r>
    </w:p>
    <w:p>
      <w:pPr>
        <w:pStyle w:val="TextBody"/>
        <w:spacing w:lineRule="auto" w:line="240" w:before="0" w:after="240"/>
        <w:ind w:left="0" w:right="0" w:hanging="720"/>
        <w:jc w:val="both"/>
        <w:rPr/>
      </w:pPr>
      <w:r>
        <w:rPr>
          <w:rFonts w:ascii="Times New Roman;sans-serif" w:hAnsi="Times New Roman;sans-serif"/>
          <w:b/>
          <w:color w:val="000000"/>
          <w:sz w:val="22"/>
        </w:rPr>
        <w:t>(ii)</w:t>
      </w:r>
      <w:r>
        <w:rPr>
          <w:rFonts w:ascii="Times New Roman;sans-serif" w:hAnsi="Times New Roman;sans-serif"/>
          <w:b w:val="false"/>
          <w:color w:val="000000"/>
          <w:sz w:val="22"/>
        </w:rPr>
        <w:t>[***] of the aggregate of such Net Sales in each Calendar Year greater than [***] of such Net Sales up to and including [***] of such Net Sales; and</w:t>
      </w:r>
    </w:p>
    <w:p>
      <w:pPr>
        <w:pStyle w:val="TextBody"/>
        <w:spacing w:lineRule="auto" w:line="240" w:before="0" w:after="240"/>
        <w:ind w:left="0" w:right="0" w:hanging="720"/>
        <w:jc w:val="both"/>
        <w:rPr/>
      </w:pPr>
      <w:r>
        <w:rPr>
          <w:rFonts w:ascii="Times New Roman;sans-serif" w:hAnsi="Times New Roman;sans-serif"/>
          <w:b/>
          <w:color w:val="000000"/>
          <w:sz w:val="22"/>
        </w:rPr>
        <w:t>(iii)</w:t>
      </w:r>
      <w:r>
        <w:rPr>
          <w:rFonts w:ascii="Times New Roman;sans-serif" w:hAnsi="Times New Roman;sans-serif"/>
          <w:b w:val="false"/>
          <w:color w:val="000000"/>
          <w:sz w:val="22"/>
        </w:rPr>
        <w:t>[***] of the aggregate of such Net Sales in each Calendar Year greater than [***] of such Net Sales up to and including [***] of such Net Sales; and</w:t>
      </w:r>
    </w:p>
    <w:p>
      <w:pPr>
        <w:pStyle w:val="TextBody"/>
        <w:spacing w:lineRule="auto" w:line="240" w:before="0" w:after="240"/>
        <w:ind w:left="0" w:right="0" w:hanging="720"/>
        <w:jc w:val="both"/>
        <w:rPr/>
      </w:pPr>
      <w:r>
        <w:rPr>
          <w:rFonts w:ascii="Times New Roman;sans-serif" w:hAnsi="Times New Roman;sans-serif"/>
          <w:b/>
          <w:color w:val="000000"/>
          <w:sz w:val="22"/>
        </w:rPr>
        <w:t>(iv)</w:t>
      </w:r>
      <w:r>
        <w:rPr>
          <w:rFonts w:ascii="Times New Roman;sans-serif" w:hAnsi="Times New Roman;sans-serif"/>
          <w:b w:val="false"/>
          <w:color w:val="000000"/>
          <w:sz w:val="22"/>
        </w:rPr>
        <w:t>[***] of the aggregate of such Net Sales in each Calendar Year greater than [***] of such Net Sales up to and including [***] of such Net Sales; and</w:t>
      </w:r>
    </w:p>
    <w:p>
      <w:pPr>
        <w:pStyle w:val="TextBody"/>
        <w:spacing w:lineRule="auto" w:line="240" w:before="0" w:after="240"/>
        <w:ind w:left="0" w:right="0" w:hanging="720"/>
        <w:jc w:val="both"/>
        <w:rPr/>
      </w:pPr>
      <w:r>
        <w:rPr>
          <w:rFonts w:ascii="Times New Roman;sans-serif" w:hAnsi="Times New Roman;sans-serif"/>
          <w:b/>
          <w:color w:val="000000"/>
          <w:sz w:val="22"/>
        </w:rPr>
        <w:t>(v)</w:t>
      </w:r>
      <w:r>
        <w:rPr>
          <w:rFonts w:ascii="Times New Roman;sans-serif" w:hAnsi="Times New Roman;sans-serif"/>
          <w:b w:val="false"/>
          <w:color w:val="000000"/>
          <w:sz w:val="22"/>
        </w:rPr>
        <w:t>[***] of the aggregate of such Net Sales in each Calendar Year greater than [***] of such Net Sales.</w:t>
      </w:r>
    </w:p>
    <w:p>
      <w:pPr>
        <w:pStyle w:val="TextBody"/>
        <w:spacing w:lineRule="auto" w:line="240" w:before="0" w:after="240"/>
        <w:ind w:left="0" w:right="0" w:hanging="720"/>
        <w:jc w:val="both"/>
        <w:rPr/>
      </w:pPr>
      <w:r>
        <w:rPr>
          <w:rFonts w:ascii="Times New Roman;sans-serif" w:hAnsi="Times New Roman;sans-serif"/>
          <w:b/>
          <w:color w:val="000000"/>
          <w:sz w:val="22"/>
        </w:rPr>
        <w:t>(b)Know-How Royalty</w:t>
      </w:r>
      <w:r>
        <w:rPr>
          <w:rFonts w:ascii="Times New Roman;sans-serif" w:hAnsi="Times New Roman;sans-serif"/>
          <w:b w:val="false"/>
          <w:color w:val="000000"/>
          <w:sz w:val="22"/>
        </w:rPr>
        <w:t xml:space="preserve">. On a Licensed Product-by-Licensed Product and country-by-country basis, if during any Calendar Quarter within the applicable Royalty Period for such Licensed Product in such country, no Valid Patent Claim exists that would be infringed, in the absence of the license granted under Section 3.1, by the sale of such Licensed Product in such country, [***], then, commencing the first Calendar Quarter thereafter and for all Calendar Quarters thereafter, Organon shall pay royalties at rates equal to [***] of the applicable royalty rate determined according to Section 6.3.1(a). Such royalties shall be calculated after first calculating royalties under Section 6.3.1(a).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24890"/>
                <wp:effectExtent l="0" t="0" r="0" b="0"/>
                <wp:wrapNone/>
                <wp:docPr id="72" name="Frame71"/>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29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29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(c)Competition</w:t>
      </w:r>
      <w:r>
        <w:rPr>
          <w:rFonts w:ascii="Times New Roman;sans-serif" w:hAnsi="Times New Roman;sans-serif"/>
          <w:b w:val="false"/>
          <w:color w:val="000000"/>
          <w:sz w:val="22"/>
        </w:rPr>
        <w:t>. On a Licensed Product-by-Licensed Product and country-by-country basis during the Royalty Period, if (i) [***] in such country and Regulatory Exclusivity for such Licensed Product has expired (or otherwise does not exist) and (ii) if [***] during [***] (the “</w:t>
      </w:r>
      <w:r>
        <w:rPr>
          <w:rFonts w:ascii="Times New Roman;sans-serif" w:hAnsi="Times New Roman;sans-serif"/>
          <w:b/>
          <w:color w:val="000000"/>
          <w:sz w:val="22"/>
        </w:rPr>
        <w:t>Competition Analysis Period</w:t>
      </w:r>
      <w:r>
        <w:rPr>
          <w:color w:val="000000"/>
        </w:rPr>
        <w:t>”</w:t>
      </w:r>
      <w:r>
        <w:rPr>
          <w:rFonts w:ascii="Times New Roman;sans-serif" w:hAnsi="Times New Roman;sans-serif"/>
          <w:b w:val="false"/>
          <w:color w:val="000000"/>
          <w:sz w:val="22"/>
        </w:rPr>
        <w:t xml:space="preserve">) is [***] during such Competition Analysis Period and (iii) aggregate Net Sales of such Licensed Product in such Competition Analysis Period is [***] during the [***], then commencing [***] after the Competition Analysis Period and each Calendar Quarter thereafter, the royalty rates set forth in Section 6.3.1(a) for such Licensed Product in such country during such next Calendar Quarter shall be reduced in such country by [***]. For purposes of the foregoing, [***]. </w:t>
      </w:r>
    </w:p>
    <w:p>
      <w:pPr>
        <w:pStyle w:val="TextBody"/>
        <w:spacing w:lineRule="auto" w:line="240" w:before="0" w:after="240"/>
        <w:ind w:left="0" w:right="0" w:hanging="720"/>
        <w:jc w:val="both"/>
        <w:rPr/>
      </w:pPr>
      <w:r>
        <w:rPr>
          <w:rFonts w:ascii="Times New Roman;sans-serif" w:hAnsi="Times New Roman;sans-serif"/>
          <w:b/>
          <w:color w:val="000000"/>
          <w:sz w:val="22"/>
        </w:rPr>
        <w:t>(d)Royalty Period and Application to Tiers and Sales Milestone Events</w:t>
      </w:r>
      <w:r>
        <w:rPr>
          <w:rFonts w:ascii="Times New Roman;sans-serif" w:hAnsi="Times New Roman;sans-serif"/>
          <w:b w:val="false"/>
          <w:color w:val="000000"/>
          <w:sz w:val="22"/>
        </w:rPr>
        <w:t>. Royalties due pursuant to Section 6.3.1(a) through Section 6.3.1(c) and Sales Milestone Events shall be calculated based on Net Sales of all Licensed Products during a Royalty Period throughout the Territory, provided that the determination of whether the royalty rate shall be reduced under Section 6.3.1(b) or Section 6.3.1(c) shall be determined on a country-by-country and Licensed Product-by-Licensed Product basis. Royalties on each Licensed Product at the applicable rates set forth above shall continue on a country-by-country and Licensed Product-by-Licensed Product basis from the First Commercial Sale of such Licensed Product in such country until the expiration of the later of: (i) the date that no Valid Patent Claim would be infringed, in the absence of the license granted hereunder, by the sale of such Licensed Product in such country occurred; (ii) for a period of ten (10) years after the end of the month in which the First Commercial Sale of such Licensed Product in such country occurred; and (iii) expiration of Regulatory Exclusivity (the “</w:t>
      </w:r>
      <w:r>
        <w:rPr>
          <w:rFonts w:ascii="Times New Roman;sans-serif" w:hAnsi="Times New Roman;sans-serif"/>
          <w:b/>
          <w:color w:val="000000"/>
          <w:sz w:val="22"/>
        </w:rPr>
        <w:t>Royalty Period</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(e)Net Sales and Royalty Conditions</w:t>
      </w:r>
      <w:r>
        <w:rPr>
          <w:rFonts w:ascii="Times New Roman;sans-serif" w:hAnsi="Times New Roman;sans-serif"/>
          <w:b w:val="false"/>
          <w:color w:val="000000"/>
          <w:sz w:val="22"/>
        </w:rPr>
        <w:t>. All Net Sales calculations and associated royalties are subject to the following conditions:</w:t>
      </w:r>
    </w:p>
    <w:p>
      <w:pPr>
        <w:pStyle w:val="TextBody"/>
        <w:spacing w:lineRule="auto" w:line="240" w:before="0" w:after="240"/>
        <w:ind w:left="0" w:right="0" w:hanging="720"/>
        <w:jc w:val="both"/>
        <w:rPr/>
      </w:pPr>
      <w:r>
        <w:rPr>
          <w:rFonts w:ascii="Times New Roman;sans-serif" w:hAnsi="Times New Roman;sans-serif"/>
          <w:b/>
          <w:color w:val="000000"/>
          <w:sz w:val="22"/>
        </w:rPr>
        <w:t>(i)</w:t>
      </w:r>
      <w:r>
        <w:rPr>
          <w:rFonts w:ascii="Times New Roman;sans-serif" w:hAnsi="Times New Roman;sans-serif"/>
          <w:b w:val="false"/>
          <w:color w:val="000000"/>
          <w:sz w:val="22"/>
        </w:rPr>
        <w:t>that only one royalty shall be due with respect to the same unit of Licensed Product; and</w:t>
      </w:r>
    </w:p>
    <w:p>
      <w:pPr>
        <w:pStyle w:val="TextBody"/>
        <w:spacing w:lineRule="auto" w:line="240" w:before="0" w:after="240"/>
        <w:ind w:left="0" w:right="0" w:hanging="720"/>
        <w:jc w:val="both"/>
        <w:rPr/>
      </w:pPr>
      <w:r>
        <w:rPr>
          <w:rFonts w:ascii="Times New Roman;sans-serif" w:hAnsi="Times New Roman;sans-serif"/>
          <w:b/>
          <w:color w:val="000000"/>
          <w:sz w:val="22"/>
        </w:rPr>
        <w:t>(ii)</w:t>
      </w:r>
      <w:r>
        <w:rPr>
          <w:rFonts w:ascii="Times New Roman;sans-serif" w:hAnsi="Times New Roman;sans-serif"/>
          <w:b w:val="false"/>
          <w:color w:val="000000"/>
          <w:sz w:val="22"/>
        </w:rPr>
        <w:t>that no Net Sales calculations will be performed for the purposes of Sales Milestone Events and no royalties shall be due upon the sale or other transfer among Related Parties where the Licensed Product will not be used or consumed by such Related Party(ies), but in such cases the Net Sales calculation and associated royalty shall be due and calculated upon Organon’s or its Related Party’s Net Sales to the first independent Third Party that is not a Related Party.</w:t>
      </w:r>
    </w:p>
    <w:p>
      <w:pPr>
        <w:pStyle w:val="TextBody"/>
        <w:spacing w:lineRule="auto" w:line="240" w:before="0" w:after="240"/>
        <w:ind w:left="0" w:right="0" w:hanging="720"/>
        <w:jc w:val="both"/>
        <w:rPr/>
      </w:pPr>
      <w:r>
        <w:rPr>
          <w:rFonts w:ascii="Times New Roman;sans-serif" w:hAnsi="Times New Roman;sans-serif"/>
          <w:b/>
          <w:color w:val="000000"/>
          <w:sz w:val="22"/>
        </w:rPr>
        <w:t>6.3.2Third Party Licenses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In the event that Organon obtains (after the Effective Date) a license under, or other rights to, Patents or know-how or other intellectual property from any Third Party(ies) that Organon reasonably determines add value, are strategically important or are useful, or are reasonably necessary or required, in order to Exploit Licensed Product(s) (“</w:t>
      </w:r>
      <w:r>
        <w:rPr>
          <w:rFonts w:ascii="Times New Roman;sans-serif" w:hAnsi="Times New Roman;sans-serif"/>
          <w:b/>
          <w:color w:val="000000"/>
          <w:sz w:val="22"/>
        </w:rPr>
        <w:t>Third Party Licenses</w:t>
      </w:r>
      <w:r>
        <w:rPr>
          <w:color w:val="000000"/>
        </w:rPr>
        <w:t>”</w:t>
      </w:r>
      <w:r>
        <w:rPr>
          <w:rFonts w:ascii="Times New Roman;sans-serif" w:hAnsi="Times New Roman;sans-serif"/>
          <w:b w:val="false"/>
          <w:color w:val="000000"/>
          <w:sz w:val="22"/>
        </w:rPr>
        <w:t>), [***] of the amounts actually paid (including milestone payments, royalties or other license fees) under such Third Party Licenses by Organon or its Related Parties as consideration for the acquisition or exploitation of such Third Party License in connection with the Exploiting of Licensed Product(s) for a Calendar Quarter shall be creditable against the royalty payments due Daré by Organon with respect to the sale of such Licensed Product in such Calendar Quarter. Amounts payable by Organon to TriLogic or MilanaPharm pursuant to the Standby Agreement shall not be subject to offset pursuant to this Section 6.3.2.</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024890"/>
                <wp:effectExtent l="0" t="0" r="0" b="0"/>
                <wp:wrapNone/>
                <wp:docPr id="73" name="Frame72"/>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Notwithstanding the foregoing provisions of this Section 6.3.2, in no event shall the royalties owed by Organon to Daré for any Calendar Quarter be reduced by more than [***] pursuant to this Section 6.3.2 (</w:t>
      </w:r>
      <w:r>
        <w:rPr>
          <w:rFonts w:ascii="Times New Roman;sans-serif" w:hAnsi="Times New Roman;sans-serif"/>
          <w:b w:val="false"/>
          <w:i/>
          <w:color w:val="000000"/>
          <w:sz w:val="22"/>
        </w:rPr>
        <w:t>provided, however, that</w:t>
      </w:r>
      <w:r>
        <w:rPr>
          <w:color w:val="000000"/>
        </w:rPr>
        <w:t xml:space="preserve"> </w:t>
      </w:r>
      <w:r>
        <w:rPr>
          <w:rFonts w:ascii="Times New Roman;sans-serif" w:hAnsi="Times New Roman;sans-serif"/>
          <w:b w:val="false"/>
          <w:color w:val="000000"/>
          <w:sz w:val="22"/>
        </w:rPr>
        <w:t>if Organon is not able to fully recover the amounts paid by Organon or its Related Parties under any Third Party License as a result of the foregoing restriction, then Organon shall be entitled to carry forward such right of offset to one or more future Calendar Quarter(s) with respect to such excess amount until the amounts have been fully offset). At the reasonable request of Organon, Daré shall provide reasonable assistance to Organon (or its Related Parties) in obtaining any such Third Party Licenses or otherwise taking reasonable action with respect Patents or know-how or other intellectual property of any Third Party(ies) that may be necessary or useful in order to Exploit Licensed Product(s) or any components of Licensed Product(s).</w:t>
      </w:r>
    </w:p>
    <w:p>
      <w:pPr>
        <w:pStyle w:val="TextBody"/>
        <w:spacing w:lineRule="auto" w:line="240" w:before="0" w:after="240"/>
        <w:ind w:left="0" w:right="0" w:hanging="720"/>
        <w:jc w:val="both"/>
        <w:rPr/>
      </w:pPr>
      <w:r>
        <w:rPr>
          <w:rFonts w:ascii="Times New Roman;sans-serif" w:hAnsi="Times New Roman;sans-serif"/>
          <w:b/>
          <w:color w:val="000000"/>
          <w:sz w:val="22"/>
        </w:rPr>
        <w:t>6.3.3Floor</w:t>
      </w:r>
      <w:r>
        <w:rPr>
          <w:rFonts w:ascii="Times New Roman;sans-serif" w:hAnsi="Times New Roman;sans-serif"/>
          <w:b w:val="false"/>
          <w:color w:val="000000"/>
          <w:sz w:val="22"/>
        </w:rPr>
        <w:t>. Notwithstanding anything to the contrary, in no event will the royalty rate that otherwise would be applicable under Section 6.3.1(a) to a Licensed Product in a country in a Calendar Quarter be reduced by more than [***].</w:t>
      </w:r>
    </w:p>
    <w:p>
      <w:pPr>
        <w:pStyle w:val="TextBody"/>
        <w:spacing w:lineRule="auto" w:line="240" w:before="0" w:after="240"/>
        <w:ind w:left="0" w:right="0" w:hanging="720"/>
        <w:jc w:val="both"/>
        <w:rPr/>
      </w:pPr>
      <w:r>
        <w:rPr>
          <w:rFonts w:ascii="Times New Roman;sans-serif" w:hAnsi="Times New Roman;sans-serif"/>
          <w:b/>
          <w:color w:val="000000"/>
          <w:sz w:val="22"/>
        </w:rPr>
        <w:t>6.4Reports; Payment of Royalty.</w:t>
      </w:r>
      <w:r>
        <w:rPr>
          <w:color w:val="000000"/>
        </w:rPr>
        <w:t xml:space="preserve"> </w:t>
      </w:r>
      <w:r>
        <w:rPr>
          <w:rFonts w:ascii="Times New Roman;sans-serif" w:hAnsi="Times New Roman;sans-serif"/>
          <w:b w:val="false"/>
          <w:color w:val="000000"/>
          <w:sz w:val="22"/>
        </w:rPr>
        <w:t xml:space="preserve">During the term of this Agreement, on a country-by-country and Licensed Product-by-Licensed Product basis, following the month in which the First Commercial Sale of a Licensed Product occurs in a country, Organon shall furnish to Daré a [***] written report for such and each subsequent [***] showing (a) [***]. Reports shall be due [***]. Royalties shall be due and payable on the date such royalty report is due. Each Related Party shall keep complete and accurate books and records pertaining to Net Sales in sufficient detail to calculate all amounts payable hereunder with respect thereto and to verify compliance with its obligations under this Agreement. Such books and records shall be retained until [***] after the end of the Calendar Year to which such books and records pertain. </w:t>
      </w:r>
    </w:p>
    <w:p>
      <w:pPr>
        <w:pStyle w:val="TextBody"/>
        <w:spacing w:lineRule="auto" w:line="240" w:before="0" w:after="240"/>
        <w:ind w:left="0" w:right="0" w:hanging="720"/>
        <w:jc w:val="both"/>
        <w:rPr/>
      </w:pPr>
      <w:r>
        <w:rPr>
          <w:rFonts w:ascii="Times New Roman;sans-serif" w:hAnsi="Times New Roman;sans-serif"/>
          <w:b/>
          <w:color w:val="000000"/>
          <w:sz w:val="22"/>
        </w:rPr>
        <w:t>6.5Audits</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6.5.1Generally</w:t>
      </w:r>
      <w:r>
        <w:rPr>
          <w:rFonts w:ascii="Times New Roman;sans-serif" w:hAnsi="Times New Roman;sans-serif"/>
          <w:b w:val="false"/>
          <w:color w:val="000000"/>
          <w:sz w:val="22"/>
        </w:rPr>
        <w:t>. Upon the written request of Daré and not more than [***], Organon shall permit an independent certified public accounting firm of nationally recognized standing selected by Daré and reasonably acceptable to Organon to have access during normal business hours to such of the records of Organon and its Affiliates as may be reasonably necessary to verify the accuracy of the royalty reports hereunder for any Calendar Year ending not more than [***] prior to the date of such request. Any records or accounting information received from Organon shall be Organon’s confidential Information, and the accounting firm will sign a confidentiality agreement in form and substance that is reasonably satisfactory to Organon prior to beginning any audit. The accounting firm shall disclose to Daré only whether the royalty reports are correct or incorrect and the amount of any discrepancy. Such disclosure by the accounting firm will be deemed confidential Information hereunder. No other Information of Organon or its Affiliate shall be provided to Daré by the accounting firm without Organon’s prior written consent.</w:t>
      </w:r>
    </w:p>
    <w:p>
      <w:pPr>
        <w:pStyle w:val="TextBody"/>
        <w:spacing w:lineRule="auto" w:line="240" w:before="0" w:after="240"/>
        <w:ind w:left="0" w:right="0" w:hanging="720"/>
        <w:jc w:val="both"/>
        <w:rPr/>
      </w:pPr>
      <w:r>
        <w:rPr>
          <w:rFonts w:ascii="Times New Roman;sans-serif" w:hAnsi="Times New Roman;sans-serif"/>
          <w:b/>
          <w:color w:val="000000"/>
          <w:sz w:val="22"/>
        </w:rPr>
        <w:t>6.5.2Discrepancy</w:t>
      </w:r>
      <w:r>
        <w:rPr>
          <w:rFonts w:ascii="Times New Roman;sans-serif" w:hAnsi="Times New Roman;sans-serif"/>
          <w:b w:val="false"/>
          <w:color w:val="000000"/>
          <w:sz w:val="22"/>
        </w:rPr>
        <w:t xml:space="preserve">. If such accounting firm correctly identifies an underpayment made during such period, Organon shall pay Daré the amount of the underpayment within [***] after the date Daré delivers to Organon such accounting firm’s written report that correctly identifies such discrepancy, or as otherwise agreed upon by the Parties. If such accounting firm identifies an overpayment made during an audited period, such overpayment will be creditable towards Organon’s future payments hereunder. The fees charged by such accounting firm shall be paid by Daré;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such audit uncovers an underpayment of royalties by Organon that exceeds [***], then the fees of such accounting firm shall be paid by Organon.</w:t>
      </w:r>
    </w:p>
    <w:p>
      <w:pPr>
        <w:pStyle w:val="TextBody"/>
        <w:spacing w:lineRule="auto" w:line="240" w:before="0" w:after="240"/>
        <w:ind w:left="0" w:right="0" w:hanging="720"/>
        <w:jc w:val="both"/>
        <w:rPr/>
      </w:pPr>
      <w:r>
        <w:rPr>
          <w:rFonts w:ascii="Times New Roman;sans-serif" w:hAnsi="Times New Roman;sans-serif"/>
          <w:b/>
          <w:color w:val="000000"/>
          <w:sz w:val="22"/>
        </w:rPr>
        <w:t>6.5.3Sublicensee Compliance</w:t>
      </w:r>
      <w:r>
        <w:rPr>
          <w:rFonts w:ascii="Times New Roman;sans-serif" w:hAnsi="Times New Roman;sans-serif"/>
          <w:b w:val="false"/>
          <w:color w:val="000000"/>
          <w:sz w:val="22"/>
        </w:rPr>
        <w:t xml:space="preserve">. Organon shall include in each sublicense granted by it pursuant to this Agreement a provision requiring the Sublicensee to make reports to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024890"/>
                <wp:effectExtent l="0" t="0" r="0" b="0"/>
                <wp:wrapNone/>
                <wp:docPr id="74" name="Frame73"/>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Organon, to keep and maintain records of sales made pursuant to such sublicense and to grant access to such records by Daré’s independent accountant to the same extent required of Organon under this Agreement. </w:t>
      </w:r>
    </w:p>
    <w:p>
      <w:pPr>
        <w:pStyle w:val="TextBody"/>
        <w:spacing w:lineRule="auto" w:line="240" w:before="0" w:after="240"/>
        <w:ind w:left="0" w:right="0" w:hanging="720"/>
        <w:jc w:val="both"/>
        <w:rPr/>
      </w:pPr>
      <w:r>
        <w:rPr>
          <w:rFonts w:ascii="Times New Roman;sans-serif" w:hAnsi="Times New Roman;sans-serif"/>
          <w:b/>
          <w:color w:val="000000"/>
          <w:sz w:val="22"/>
        </w:rPr>
        <w:t>6.5.4Confidentiality</w:t>
      </w:r>
      <w:r>
        <w:rPr>
          <w:rFonts w:ascii="Times New Roman;sans-serif" w:hAnsi="Times New Roman;sans-serif"/>
          <w:b w:val="false"/>
          <w:color w:val="000000"/>
          <w:sz w:val="22"/>
        </w:rPr>
        <w:t>. Daré shall treat all financial information subject to review under this Section 6.5 or under any sublicense agreement as the confidential Information of Organon in accordance with Article 5.</w:t>
      </w:r>
    </w:p>
    <w:p>
      <w:pPr>
        <w:pStyle w:val="TextBody"/>
        <w:spacing w:lineRule="auto" w:line="240" w:before="0" w:after="240"/>
        <w:ind w:left="0" w:right="0" w:hanging="720"/>
        <w:jc w:val="both"/>
        <w:rPr/>
      </w:pPr>
      <w:r>
        <w:rPr>
          <w:rFonts w:ascii="Times New Roman;sans-serif" w:hAnsi="Times New Roman;sans-serif"/>
          <w:b/>
          <w:color w:val="000000"/>
          <w:sz w:val="22"/>
        </w:rPr>
        <w:t>6.6Payment; Currency Exchange</w:t>
      </w:r>
      <w:r>
        <w:rPr>
          <w:rFonts w:ascii="Times New Roman;sans-serif" w:hAnsi="Times New Roman;sans-serif"/>
          <w:b w:val="false"/>
          <w:color w:val="000000"/>
          <w:sz w:val="22"/>
        </w:rPr>
        <w:t>. All payments to be made by Organon to Daré under this Agreement shall be made in United States dollars and may be paid by check made to the order of Daré or bank wire transfer in immediately available funds to such bank account in the United States as may be designated in writing by Daré from time to time. In the case of sales outside the United States, the rate of exchange to be used in computing the monthly amount of currency equivalent in United States dollars due Daré shall be made at the rate of exchange utilized by Organon in its worldwide accounting system from time to time, consistently applied.</w:t>
      </w:r>
    </w:p>
    <w:p>
      <w:pPr>
        <w:pStyle w:val="TextBody"/>
        <w:spacing w:lineRule="auto" w:line="240" w:before="0" w:after="240"/>
        <w:ind w:left="0" w:right="0" w:hanging="720"/>
        <w:jc w:val="both"/>
        <w:rPr/>
      </w:pPr>
      <w:r>
        <w:rPr>
          <w:rFonts w:ascii="Times New Roman;sans-serif" w:hAnsi="Times New Roman;sans-serif"/>
          <w:b/>
          <w:color w:val="000000"/>
          <w:sz w:val="22"/>
        </w:rPr>
        <w:t>6.7Income Tax Withholding</w:t>
      </w:r>
      <w:r>
        <w:rPr>
          <w:rFonts w:ascii="Times New Roman;sans-serif" w:hAnsi="Times New Roman;sans-serif"/>
          <w:b w:val="false"/>
          <w:color w:val="000000"/>
          <w:sz w:val="22"/>
        </w:rPr>
        <w:t>. Daré shall be liable for all income and other taxes (including interest) (“</w:t>
      </w:r>
      <w:r>
        <w:rPr>
          <w:rFonts w:ascii="Times New Roman;sans-serif" w:hAnsi="Times New Roman;sans-serif"/>
          <w:b/>
          <w:color w:val="000000"/>
          <w:sz w:val="22"/>
        </w:rPr>
        <w:t>Taxes</w:t>
      </w:r>
      <w:r>
        <w:rPr>
          <w:color w:val="000000"/>
        </w:rPr>
        <w:t>”</w:t>
      </w:r>
      <w:r>
        <w:rPr>
          <w:rFonts w:ascii="Times New Roman;sans-serif" w:hAnsi="Times New Roman;sans-serif"/>
          <w:b w:val="false"/>
          <w:color w:val="000000"/>
          <w:sz w:val="22"/>
        </w:rPr>
        <w:t xml:space="preserve">) imposed upon its income. If Applicable Laws, rules or regulations require the withholding of Taxes, Organon shall make such withholding payments and shall subtract the amount thereof from the payments due hereunder. Organon shall submit to Daré appropriate proof of payment of the withheld Taxes as well as the official receipts within a reasonable period of time. Organon shall provide Daré reasonable assistance in order to allow Daré to obtain the benefit of any present or future treaty against double taxation which may apply to the payments due hereunder. Each Party will provide the other with reasonable assistance to enable the recovery, as permitted by Applicable Law, of withholding taxes, VAT, or similar obligations resulting from payments made under this Agreement, such recovery to be for the benefit of the Party bearing such withholding tax or VAT. </w:t>
      </w:r>
    </w:p>
    <w:p>
      <w:pPr>
        <w:pStyle w:val="TextBody"/>
        <w:spacing w:lineRule="auto" w:line="240" w:before="0" w:after="240"/>
        <w:ind w:left="0" w:right="0" w:hanging="720"/>
        <w:jc w:val="both"/>
        <w:rPr/>
      </w:pPr>
      <w:r>
        <w:rPr>
          <w:rFonts w:ascii="Times New Roman;sans-serif" w:hAnsi="Times New Roman;sans-serif"/>
          <w:b/>
          <w:color w:val="000000"/>
          <w:sz w:val="22"/>
        </w:rPr>
        <w:t>6.8Late Payment</w:t>
      </w:r>
      <w:r>
        <w:rPr>
          <w:rFonts w:ascii="Times New Roman;sans-serif" w:hAnsi="Times New Roman;sans-serif"/>
          <w:b w:val="false"/>
          <w:color w:val="000000"/>
          <w:sz w:val="22"/>
        </w:rPr>
        <w:t>. Organon may not offset, deduct or withhold any amounts payable hereunder except pursuant to Section 6.7, Section 10.3.2 and as permitted under the Standby Agreement. Any payments or portions thereof due hereunder that are not paid when due (including any underpayment of Royalties) will accrue interest under this Agreement at a rate of [***] per annum or the maximum applicable legal rate, if less, calculated on the total number of days payment is delinquent.</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7REPRESENTATIONS AND WARRANTIES; COVENANTS.</w:t>
      </w:r>
    </w:p>
    <w:p>
      <w:pPr>
        <w:pStyle w:val="TextBody"/>
        <w:spacing w:lineRule="auto" w:line="240" w:before="0" w:after="240"/>
        <w:ind w:left="0" w:right="0" w:hanging="720"/>
        <w:jc w:val="both"/>
        <w:rPr/>
      </w:pPr>
      <w:r>
        <w:rPr>
          <w:rFonts w:ascii="Times New Roman;sans-serif" w:hAnsi="Times New Roman;sans-serif"/>
          <w:b/>
          <w:color w:val="000000"/>
          <w:sz w:val="22"/>
        </w:rPr>
        <w:t>7.1Representations and Warranties of Each Party.</w:t>
      </w:r>
      <w:r>
        <w:rPr>
          <w:color w:val="000000"/>
        </w:rPr>
        <w:t xml:space="preserve"> </w:t>
      </w:r>
      <w:r>
        <w:rPr>
          <w:rFonts w:ascii="Times New Roman;sans-serif" w:hAnsi="Times New Roman;sans-serif"/>
          <w:b w:val="false"/>
          <w:color w:val="000000"/>
          <w:sz w:val="22"/>
        </w:rPr>
        <w:t>Each Party represents and warrants to the other Party that as of the Execution Date, and unless also limited to just the Execution Date, then again as of the Effective Date:</w:t>
      </w:r>
    </w:p>
    <w:p>
      <w:pPr>
        <w:pStyle w:val="TextBody"/>
        <w:spacing w:lineRule="auto" w:line="240" w:before="0" w:after="240"/>
        <w:ind w:left="0" w:right="0" w:hanging="720"/>
        <w:jc w:val="both"/>
        <w:rPr/>
      </w:pPr>
      <w:r>
        <w:rPr>
          <w:rFonts w:ascii="Times New Roman;sans-serif" w:hAnsi="Times New Roman;sans-serif"/>
          <w:b/>
          <w:color w:val="000000"/>
          <w:sz w:val="22"/>
        </w:rPr>
        <w:t>7.1.1</w:t>
      </w:r>
      <w:r>
        <w:rPr>
          <w:rFonts w:ascii="Times New Roman;sans-serif" w:hAnsi="Times New Roman;sans-serif"/>
          <w:b w:val="false"/>
          <w:color w:val="000000"/>
          <w:sz w:val="22"/>
        </w:rPr>
        <w:t>such Party is duly organized and validly existing under the laws of the state or jurisdiction of its organization and has full corporate right, power and authority to enter into this Agreement and to perform its obligations hereunder;</w:t>
      </w:r>
    </w:p>
    <w:p>
      <w:pPr>
        <w:pStyle w:val="TextBody"/>
        <w:spacing w:lineRule="auto" w:line="240" w:before="0" w:after="240"/>
        <w:ind w:left="0" w:right="0" w:hanging="720"/>
        <w:jc w:val="both"/>
        <w:rPr/>
      </w:pPr>
      <w:r>
        <w:rPr>
          <w:rFonts w:ascii="Times New Roman;sans-serif" w:hAnsi="Times New Roman;sans-serif"/>
          <w:b/>
          <w:color w:val="000000"/>
          <w:sz w:val="22"/>
        </w:rPr>
        <w:t>7.1.2</w:t>
      </w:r>
      <w:r>
        <w:rPr>
          <w:rFonts w:ascii="Times New Roman;sans-serif" w:hAnsi="Times New Roman;sans-serif"/>
          <w:b w:val="false"/>
          <w:color w:val="000000"/>
          <w:sz w:val="22"/>
        </w:rPr>
        <w:t>the execution and delivery of this Agreement and the consummation of the transactions contemplated hereby have been duly authorized by the necessary corporate actions of such Party. This Agreement has been duly executed by such Party. This Agreement and any other documents contemplated hereby constitute valid and legally binding obligations of such Party enforceable against it in accordance with their respective terms, except to the extent that enforcement of the rights and remedies created thereby is subject to bankruptcy, insolvency, reorganization, moratorium and other similar laws of general application affecting the rights and remedies of creditors; and</w:t>
      </w:r>
    </w:p>
    <w:p>
      <w:pPr>
        <w:pStyle w:val="TextBody"/>
        <w:spacing w:lineRule="auto" w:line="240" w:before="0" w:after="240"/>
        <w:ind w:left="0" w:right="0" w:hanging="720"/>
        <w:jc w:val="both"/>
        <w:rPr/>
      </w:pPr>
      <w:r>
        <w:rPr>
          <w:rFonts w:ascii="Times New Roman;sans-serif" w:hAnsi="Times New Roman;sans-serif"/>
          <w:b/>
          <w:color w:val="000000"/>
          <w:sz w:val="22"/>
        </w:rPr>
        <w:t>7.1.3</w:t>
      </w:r>
      <w:r>
        <w:rPr>
          <w:rFonts w:ascii="Times New Roman;sans-serif" w:hAnsi="Times New Roman;sans-serif"/>
          <w:b w:val="false"/>
          <w:color w:val="000000"/>
          <w:sz w:val="22"/>
        </w:rPr>
        <w:t xml:space="preserve">the execution, delivery and performance by such Party of this Agreement and any other agreements and instruments contemplated hereunder will not (a) in any respect violate any statute, regulation, judgment, order, decree or other restriction of any Governmental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24890"/>
                <wp:effectExtent l="0" t="0" r="0" b="0"/>
                <wp:wrapNone/>
                <wp:docPr id="75" name="Frame7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Authority to which such Party is subject, (b) violate any provision of the corporate charter, by-laws or other organizational documents of such Party, or (c) constitute a material violation or breach by such Party of any provision of any material contract, agreement or instrument to which such Party is a party or to which such Party is otherwise bound.</w:t>
      </w:r>
    </w:p>
    <w:p>
      <w:pPr>
        <w:pStyle w:val="TextBody"/>
        <w:spacing w:lineRule="auto" w:line="240" w:before="0" w:after="240"/>
        <w:ind w:left="0" w:right="0" w:hanging="720"/>
        <w:jc w:val="both"/>
        <w:rPr/>
      </w:pPr>
      <w:r>
        <w:rPr>
          <w:rFonts w:ascii="Times New Roman;sans-serif" w:hAnsi="Times New Roman;sans-serif"/>
          <w:b/>
          <w:color w:val="000000"/>
          <w:sz w:val="22"/>
        </w:rPr>
        <w:t>7.2Daré Representations and Warranties</w:t>
      </w:r>
      <w:r>
        <w:rPr>
          <w:rFonts w:ascii="Times New Roman;sans-serif" w:hAnsi="Times New Roman;sans-serif"/>
          <w:b w:val="false"/>
          <w:color w:val="000000"/>
          <w:sz w:val="22"/>
        </w:rPr>
        <w:t>. Daré represents and warrants to Organon that as of the Execution Date, and unless also limited to just the Execution Date, then again as of the Effective Date:</w:t>
      </w:r>
    </w:p>
    <w:p>
      <w:pPr>
        <w:pStyle w:val="TextBody"/>
        <w:spacing w:lineRule="auto" w:line="240" w:before="0" w:after="240"/>
        <w:ind w:left="0" w:right="0" w:hanging="720"/>
        <w:jc w:val="both"/>
        <w:rPr/>
      </w:pPr>
      <w:r>
        <w:rPr>
          <w:rFonts w:ascii="Times New Roman;sans-serif" w:hAnsi="Times New Roman;sans-serif"/>
          <w:b/>
          <w:color w:val="000000"/>
          <w:sz w:val="22"/>
        </w:rPr>
        <w:t>7.2.1</w:t>
      </w: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Schedule 1.33</w:t>
      </w:r>
      <w:r>
        <w:rPr>
          <w:color w:val="000000"/>
        </w:rPr>
        <w:t xml:space="preserve"> </w:t>
      </w:r>
      <w:r>
        <w:rPr>
          <w:rFonts w:ascii="Times New Roman;sans-serif" w:hAnsi="Times New Roman;sans-serif"/>
          <w:b w:val="false"/>
          <w:color w:val="000000"/>
          <w:sz w:val="22"/>
        </w:rPr>
        <w:t xml:space="preserve">sets forth a true, correct and complete list of Daré Patents, and </w:t>
      </w:r>
      <w:r>
        <w:rPr>
          <w:rFonts w:ascii="Times New Roman;sans-serif" w:hAnsi="Times New Roman;sans-serif"/>
          <w:b w:val="false"/>
          <w:color w:val="000000"/>
          <w:sz w:val="22"/>
          <w:u w:val="single"/>
        </w:rPr>
        <w:t>Schedule 1.95</w:t>
      </w:r>
      <w:r>
        <w:rPr>
          <w:color w:val="000000"/>
        </w:rPr>
        <w:t xml:space="preserve"> </w:t>
      </w:r>
      <w:r>
        <w:rPr>
          <w:rFonts w:ascii="Times New Roman;sans-serif" w:hAnsi="Times New Roman;sans-serif"/>
          <w:b w:val="false"/>
          <w:color w:val="000000"/>
          <w:sz w:val="22"/>
        </w:rPr>
        <w:t>sets forth a true, correct and complete list of all Product Trademarks, existing as of the Execution Date; and (b) the Daré Patents, Product Trademarks, and Daré Know-How constitute all intellectual property owned by or licensed to Daré (or any of its Affiliates) that are necessary or useful for Exploitation of the Licensed Products in the Field;</w:t>
      </w:r>
    </w:p>
    <w:p>
      <w:pPr>
        <w:pStyle w:val="TextBody"/>
        <w:spacing w:lineRule="auto" w:line="240" w:before="0" w:after="240"/>
        <w:ind w:left="0" w:right="0" w:hanging="720"/>
        <w:jc w:val="both"/>
        <w:rPr/>
      </w:pPr>
      <w:r>
        <w:rPr>
          <w:rFonts w:ascii="Times New Roman;sans-serif" w:hAnsi="Times New Roman;sans-serif"/>
          <w:b/>
          <w:color w:val="000000"/>
          <w:sz w:val="22"/>
        </w:rPr>
        <w:t>7.2.2</w:t>
      </w:r>
      <w:r>
        <w:rPr>
          <w:rFonts w:ascii="Times New Roman;sans-serif" w:hAnsi="Times New Roman;sans-serif"/>
          <w:b w:val="false"/>
          <w:color w:val="000000"/>
          <w:sz w:val="22"/>
        </w:rPr>
        <w:t>all Patents within the Daré Patents and Trademarks within the Product Trademarks are subsisting and in full force and effect, and, to Daré’s Knowledge, the issued Daré Patents are not invalid or unenforceable, in whole or in part;</w:t>
      </w:r>
    </w:p>
    <w:p>
      <w:pPr>
        <w:pStyle w:val="TextBody"/>
        <w:spacing w:lineRule="auto" w:line="240" w:before="0" w:after="240"/>
        <w:ind w:left="0" w:right="0" w:hanging="720"/>
        <w:jc w:val="both"/>
        <w:rPr/>
      </w:pPr>
      <w:r>
        <w:rPr>
          <w:rFonts w:ascii="Times New Roman;sans-serif" w:hAnsi="Times New Roman;sans-serif"/>
          <w:b/>
          <w:color w:val="000000"/>
          <w:sz w:val="22"/>
        </w:rPr>
        <w:t>7.2.3</w:t>
      </w:r>
      <w:r>
        <w:rPr>
          <w:rFonts w:ascii="Times New Roman;sans-serif" w:hAnsi="Times New Roman;sans-serif"/>
          <w:b w:val="false"/>
          <w:color w:val="000000"/>
          <w:sz w:val="22"/>
        </w:rPr>
        <w:t>it has the full right, power and authority and sufficient resources to perform the activities hereunder and to grant the licenses granted hereunder (including under Article 3);</w:t>
      </w:r>
    </w:p>
    <w:p>
      <w:pPr>
        <w:pStyle w:val="TextBody"/>
        <w:spacing w:lineRule="auto" w:line="240" w:before="0" w:after="240"/>
        <w:ind w:left="0" w:right="0" w:hanging="720"/>
        <w:jc w:val="both"/>
        <w:rPr/>
      </w:pPr>
      <w:r>
        <w:rPr>
          <w:rFonts w:ascii="Times New Roman;sans-serif" w:hAnsi="Times New Roman;sans-serif"/>
          <w:b/>
          <w:color w:val="000000"/>
          <w:sz w:val="22"/>
        </w:rPr>
        <w:t>7.2.4</w:t>
      </w:r>
      <w:r>
        <w:rPr>
          <w:rFonts w:ascii="Times New Roman;sans-serif" w:hAnsi="Times New Roman;sans-serif"/>
          <w:b w:val="false"/>
          <w:color w:val="000000"/>
          <w:sz w:val="22"/>
        </w:rPr>
        <w:t>it has not (a) assigned, transferred, conveyed, licensed or otherwise encumbered its right, title and interest in or to Daré Patents, Daré Know-How or Product Trademarks or (b) otherwise granted any rights, covenant not to sue, or immunity from suit to any Person; in each case of (a) and (b) that would conflict with the rights granted to Organon hereunder;</w:t>
      </w:r>
    </w:p>
    <w:p>
      <w:pPr>
        <w:pStyle w:val="TextBody"/>
        <w:spacing w:lineRule="auto" w:line="240" w:before="0" w:after="240"/>
        <w:ind w:left="0" w:right="0" w:hanging="720"/>
        <w:jc w:val="both"/>
        <w:rPr/>
      </w:pPr>
      <w:r>
        <w:rPr>
          <w:rFonts w:ascii="Times New Roman;sans-serif" w:hAnsi="Times New Roman;sans-serif"/>
          <w:b/>
          <w:color w:val="000000"/>
          <w:sz w:val="22"/>
        </w:rPr>
        <w:t>7.2.5</w:t>
      </w:r>
      <w:r>
        <w:rPr>
          <w:rFonts w:ascii="Times New Roman;sans-serif" w:hAnsi="Times New Roman;sans-serif"/>
          <w:b w:val="false"/>
          <w:color w:val="000000"/>
          <w:sz w:val="22"/>
        </w:rPr>
        <w:t>Daré’s right, title and interest in the Daré Patents, Daré Know-How and Product Trademarks is free and clear of any liens, charges, restrictions and encumbrances (other than restrictions and encumbrances of the DTM Upstream License Agreement and other than Joint Agreement Information and Inventions and Joint Patents), and no Third Party (including any Governmental Authority or subdivision thereof), has or shall have any claim of ownership whatsoever with respect to the Daré Patents and Daré Know-How (other than ownership by the licensors under the DTM Upstream License Agreement) and Product Trademarks;</w:t>
      </w:r>
    </w:p>
    <w:p>
      <w:pPr>
        <w:pStyle w:val="TextBody"/>
        <w:spacing w:lineRule="auto" w:line="240" w:before="0" w:after="240"/>
        <w:ind w:left="0" w:right="0" w:hanging="720"/>
        <w:jc w:val="both"/>
        <w:rPr/>
      </w:pPr>
      <w:r>
        <w:rPr>
          <w:rFonts w:ascii="Times New Roman;sans-serif" w:hAnsi="Times New Roman;sans-serif"/>
          <w:b/>
          <w:color w:val="000000"/>
          <w:sz w:val="22"/>
        </w:rPr>
        <w:t>7.2.6</w:t>
      </w:r>
      <w:r>
        <w:rPr>
          <w:rFonts w:ascii="Times New Roman;sans-serif" w:hAnsi="Times New Roman;sans-serif"/>
          <w:b w:val="false"/>
          <w:color w:val="000000"/>
          <w:sz w:val="22"/>
        </w:rPr>
        <w:t>to Daré’s Knowledge, but without any further inquiry or investigation, the Manufacture, use, sale, offer for sale, or importation of the Licensed Product in the form that is the subject of the Daré Marketing Authorization as of the Execution Date, does not and will not infringe, misappropriate, or otherwise violate any intellectual property rights that exist as of the Execution Date (and again as of the Effective Date) of any Person;</w:t>
      </w:r>
    </w:p>
    <w:p>
      <w:pPr>
        <w:pStyle w:val="TextBody"/>
        <w:spacing w:lineRule="auto" w:line="240" w:before="0" w:after="240"/>
        <w:ind w:left="0" w:right="0" w:hanging="720"/>
        <w:jc w:val="both"/>
        <w:rPr/>
      </w:pPr>
      <w:r>
        <w:rPr>
          <w:rFonts w:ascii="Times New Roman;sans-serif" w:hAnsi="Times New Roman;sans-serif"/>
          <w:b/>
          <w:color w:val="000000"/>
          <w:sz w:val="22"/>
        </w:rPr>
        <w:t>7.2.7</w:t>
      </w:r>
      <w:r>
        <w:rPr>
          <w:rFonts w:ascii="Times New Roman;sans-serif" w:hAnsi="Times New Roman;sans-serif"/>
          <w:b w:val="false"/>
          <w:color w:val="000000"/>
          <w:sz w:val="22"/>
        </w:rPr>
        <w:t>neither it nor any of its Affiliates has received any written notification from a Third Party that the Exploitation of any Licensed Product or component thereof, or the use of any Product Trademark, infringes or misappropriates or will infringe or misappropriate the Patents or other intellectual property rights of any Person, and Daré has no Knowledge that any Person has any basis for any such claim;</w:t>
      </w:r>
    </w:p>
    <w:p>
      <w:pPr>
        <w:pStyle w:val="TextBody"/>
        <w:spacing w:lineRule="auto" w:line="240" w:before="0" w:after="240"/>
        <w:ind w:left="0" w:right="0" w:hanging="720"/>
        <w:jc w:val="both"/>
        <w:rPr/>
      </w:pPr>
      <w:r>
        <w:rPr>
          <w:rFonts w:ascii="Times New Roman;sans-serif" w:hAnsi="Times New Roman;sans-serif"/>
          <w:b/>
          <w:color w:val="000000"/>
          <w:sz w:val="22"/>
        </w:rPr>
        <w:t>7.2.8</w:t>
      </w:r>
      <w:r>
        <w:rPr>
          <w:rFonts w:ascii="Times New Roman;sans-serif" w:hAnsi="Times New Roman;sans-serif"/>
          <w:b w:val="false"/>
          <w:color w:val="000000"/>
          <w:sz w:val="22"/>
        </w:rPr>
        <w:t>there are no claims, judgments or settlements against or owed by Daré (or any of its Affiliates) or, to Daré’s Knowledge, threatened claims or litigation, in each case relating to the Daré Patents, Product Trademarks, or Daré Know-How;</w:t>
      </w:r>
    </w:p>
    <w:p>
      <w:pPr>
        <w:pStyle w:val="TextBody"/>
        <w:spacing w:lineRule="auto" w:line="240" w:before="0" w:after="240"/>
        <w:ind w:left="0" w:right="0" w:hanging="720"/>
        <w:jc w:val="both"/>
        <w:rPr/>
      </w:pPr>
      <w:r>
        <w:rPr>
          <w:rFonts w:ascii="Times New Roman;sans-serif" w:hAnsi="Times New Roman;sans-serif"/>
          <w:b/>
          <w:color w:val="000000"/>
          <w:sz w:val="22"/>
        </w:rPr>
        <w:t>7.2.9</w:t>
      </w:r>
      <w:r>
        <w:rPr>
          <w:rFonts w:ascii="Times New Roman;sans-serif" w:hAnsi="Times New Roman;sans-serif"/>
          <w:b w:val="false"/>
          <w:color w:val="000000"/>
          <w:sz w:val="22"/>
        </w:rPr>
        <w:t xml:space="preserve">Daré has disclosed to Organon all reasonably relevant information Controlled by Daré regarding (a) the Licensed Products, including the Facilities at which the Licensed Products may be Manufactured by Daré or its contract manufacturer(s), and (b) the Daré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024890"/>
                <wp:effectExtent l="0" t="0" r="0" b="0"/>
                <wp:wrapNone/>
                <wp:docPr id="76" name="Frame7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Patents and Daré Know-How licensed under this Agreement, including (i) any licenses and binding agreements related to the Daré Patents, Product Trademarks, and Daré Know-How to which Daré is a party, and (ii) and safety or efficacy information related to the Licensed Products or any component thereof of which Daré has Knowledge, and none of the foregoing information disclosed by Daré to Organon is not Controlled by Daré; </w:t>
      </w:r>
    </w:p>
    <w:p>
      <w:pPr>
        <w:pStyle w:val="TextBody"/>
        <w:spacing w:lineRule="auto" w:line="240" w:before="0" w:after="240"/>
        <w:ind w:left="0" w:right="0" w:hanging="720"/>
        <w:jc w:val="both"/>
        <w:rPr/>
      </w:pPr>
      <w:r>
        <w:rPr>
          <w:rFonts w:ascii="Times New Roman;sans-serif" w:hAnsi="Times New Roman;sans-serif"/>
          <w:b/>
          <w:color w:val="000000"/>
          <w:sz w:val="22"/>
        </w:rPr>
        <w:t>7.2.10</w:t>
      </w:r>
      <w:r>
        <w:rPr>
          <w:rFonts w:ascii="Times New Roman;sans-serif" w:hAnsi="Times New Roman;sans-serif"/>
          <w:b w:val="false"/>
          <w:color w:val="000000"/>
          <w:sz w:val="22"/>
        </w:rPr>
        <w:t xml:space="preserve">Daré has disclosed to Organon the existence of any patent opinions or results of freedom to operate or patentability searches of which Daré is aware that are related to the Daré Patents and Daré Know-How licensed under this Agreement; </w:t>
      </w:r>
    </w:p>
    <w:p>
      <w:pPr>
        <w:pStyle w:val="TextBody"/>
        <w:spacing w:lineRule="auto" w:line="240" w:before="0" w:after="240"/>
        <w:ind w:left="0" w:right="0" w:hanging="720"/>
        <w:jc w:val="both"/>
        <w:rPr/>
      </w:pPr>
      <w:r>
        <w:rPr>
          <w:rFonts w:ascii="Times New Roman;sans-serif" w:hAnsi="Times New Roman;sans-serif"/>
          <w:b/>
          <w:color w:val="000000"/>
          <w:sz w:val="22"/>
        </w:rPr>
        <w:t>7.2.11</w:t>
      </w:r>
      <w:r>
        <w:rPr>
          <w:rFonts w:ascii="Times New Roman;sans-serif" w:hAnsi="Times New Roman;sans-serif"/>
          <w:b w:val="false"/>
          <w:color w:val="000000"/>
          <w:sz w:val="22"/>
        </w:rPr>
        <w:t>Daré has disclosed to Organon all material information and data and all material correspondences to/from any Regulatory Authority related to Licensed Products and Facilities at which Licensed Products may be Manufactured by Daré or its contract manufacturer(s) Controlled by Daré, regardless of whether such data and information would have a positive, negative or neutral impact on the potential commercial, scientific or strategic value or attractiveness of the Licensed Products;</w:t>
      </w:r>
    </w:p>
    <w:p>
      <w:pPr>
        <w:pStyle w:val="TextBody"/>
        <w:spacing w:lineRule="auto" w:line="240" w:before="0" w:after="240"/>
        <w:ind w:left="0" w:right="0" w:hanging="720"/>
        <w:jc w:val="both"/>
        <w:rPr/>
      </w:pPr>
      <w:r>
        <w:rPr>
          <w:rFonts w:ascii="Times New Roman;sans-serif" w:hAnsi="Times New Roman;sans-serif"/>
          <w:b/>
          <w:color w:val="000000"/>
          <w:sz w:val="22"/>
        </w:rPr>
        <w:t>7.2.12</w:t>
      </w:r>
      <w:r>
        <w:rPr>
          <w:rFonts w:ascii="Times New Roman;sans-serif" w:hAnsi="Times New Roman;sans-serif"/>
          <w:b w:val="false"/>
          <w:color w:val="000000"/>
          <w:sz w:val="22"/>
        </w:rPr>
        <w:t>Daré has obtained all necessary consents, approvals and authorizations of all Governmental Authorities and other Persons required to be obtained by it as of the Effective Date, as applicable, in connection with the execution, delivery and performance of this Agreement;</w:t>
      </w:r>
    </w:p>
    <w:p>
      <w:pPr>
        <w:pStyle w:val="TextBody"/>
        <w:spacing w:lineRule="auto" w:line="240" w:before="0" w:after="240"/>
        <w:ind w:left="0" w:right="0" w:hanging="720"/>
        <w:jc w:val="both"/>
        <w:rPr/>
      </w:pPr>
      <w:r>
        <w:rPr>
          <w:rFonts w:ascii="Times New Roman;sans-serif" w:hAnsi="Times New Roman;sans-serif"/>
          <w:b/>
          <w:color w:val="000000"/>
          <w:sz w:val="22"/>
        </w:rPr>
        <w:t>7.2.13</w:t>
      </w:r>
      <w:r>
        <w:rPr>
          <w:rFonts w:ascii="Times New Roman;sans-serif" w:hAnsi="Times New Roman;sans-serif"/>
          <w:b w:val="false"/>
          <w:color w:val="000000"/>
          <w:sz w:val="22"/>
        </w:rPr>
        <w:t>except for the Regulatory Materials and Marketing Authorizations assigned by Daré to Organon pursuant to Section 2.1, neither Daré nor any of its Affiliates has obtained, or filed for, any Marketing Authorizations, pricing or reimbursement approvals from any Governmental Authority (whether or not required to legally market, distribute, offer for sale or sell a product), INDs or NDAs for any Licensed Products, ROFR Products, Restricted Products, Competitive Products or Non-Compete Products;</w:t>
      </w:r>
    </w:p>
    <w:p>
      <w:pPr>
        <w:pStyle w:val="TextBody"/>
        <w:spacing w:lineRule="auto" w:line="240" w:before="0" w:after="240"/>
        <w:ind w:left="0" w:right="0" w:hanging="720"/>
        <w:jc w:val="both"/>
        <w:rPr/>
      </w:pPr>
      <w:r>
        <w:rPr>
          <w:rFonts w:ascii="Times New Roman;sans-serif" w:hAnsi="Times New Roman;sans-serif"/>
          <w:b/>
          <w:color w:val="000000"/>
          <w:sz w:val="22"/>
        </w:rPr>
        <w:t>7.2.14</w:t>
      </w:r>
      <w:r>
        <w:rPr>
          <w:rFonts w:ascii="Times New Roman;sans-serif" w:hAnsi="Times New Roman;sans-serif"/>
          <w:b w:val="false"/>
          <w:color w:val="000000"/>
          <w:sz w:val="22"/>
        </w:rPr>
        <w:t>Daré and its Affiliates have not ever been, nor are they currently, the subject of a proceeding that could lead to Daré or its Affiliates becoming a Debarred Entity, Excluded Entity or Convicted Entity and it and its Affiliates will not, to its Knowledge, use in any capacity, in connection with the obligations to be performed under this Agreement, any person who is a Debarred Individual, Excluded Individual or a Convicted Individual, where for purposes of this provision, the following definitions shall apply: (a) a “</w:t>
      </w:r>
      <w:r>
        <w:rPr>
          <w:rFonts w:ascii="Times New Roman;sans-serif" w:hAnsi="Times New Roman;sans-serif"/>
          <w:b/>
          <w:color w:val="000000"/>
          <w:sz w:val="22"/>
        </w:rPr>
        <w:t>Debarred Individual</w:t>
      </w:r>
      <w:r>
        <w:rPr>
          <w:color w:val="000000"/>
        </w:rPr>
        <w:t xml:space="preserve">” </w:t>
      </w:r>
      <w:r>
        <w:rPr>
          <w:rFonts w:ascii="Times New Roman;sans-serif" w:hAnsi="Times New Roman;sans-serif"/>
          <w:b w:val="false"/>
          <w:color w:val="000000"/>
          <w:sz w:val="22"/>
        </w:rPr>
        <w:t>is an individual who has been debarred by the FDA pursuant to 21 U.S.C. §335a (a) or (b) from providing services in any capacity to a Person that has an approved or pending drug or biological product application, (b) a “</w:t>
      </w:r>
      <w:r>
        <w:rPr>
          <w:rFonts w:ascii="Times New Roman;sans-serif" w:hAnsi="Times New Roman;sans-serif"/>
          <w:b/>
          <w:color w:val="000000"/>
          <w:sz w:val="22"/>
        </w:rPr>
        <w:t>Debarred Entity</w:t>
      </w:r>
      <w:r>
        <w:rPr>
          <w:color w:val="000000"/>
        </w:rPr>
        <w:t xml:space="preserve">” </w:t>
      </w:r>
      <w:r>
        <w:rPr>
          <w:rFonts w:ascii="Times New Roman;sans-serif" w:hAnsi="Times New Roman;sans-serif"/>
          <w:b w:val="false"/>
          <w:color w:val="000000"/>
          <w:sz w:val="22"/>
        </w:rPr>
        <w:t>is a corporation, partnership or association that has been debarred by the FDA pursuant to 21 U.S.C. §335a (a) or (b) from submitting or assisting in the submission of any abbreviated drug application, or a subsidiary or affiliate of a Debarred Entity, (c) an “</w:t>
      </w:r>
      <w:r>
        <w:rPr>
          <w:rFonts w:ascii="Times New Roman;sans-serif" w:hAnsi="Times New Roman;sans-serif"/>
          <w:b/>
          <w:color w:val="000000"/>
          <w:sz w:val="22"/>
        </w:rPr>
        <w:t>Excluded Individual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Excluded Entity</w:t>
      </w:r>
      <w:r>
        <w:rPr>
          <w:color w:val="000000"/>
        </w:rPr>
        <w:t xml:space="preserve">” </w:t>
      </w:r>
      <w:r>
        <w:rPr>
          <w:rFonts w:ascii="Times New Roman;sans-serif" w:hAnsi="Times New Roman;sans-serif"/>
          <w:b w:val="false"/>
          <w:color w:val="000000"/>
          <w:sz w:val="22"/>
        </w:rPr>
        <w:t>is (i)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(ii) is an individual or entity, as applicable, who has been excluded, debarred, suspended or is otherwise ineligible to participate in U.S. federal procurement and non-procurement programs, including those produced by the U.S. General Services Administration (GSA), and (d) a “</w:t>
      </w:r>
      <w:r>
        <w:rPr>
          <w:rFonts w:ascii="Times New Roman;sans-serif" w:hAnsi="Times New Roman;sans-serif"/>
          <w:b/>
          <w:color w:val="000000"/>
          <w:sz w:val="22"/>
        </w:rPr>
        <w:t>Convicted Individual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Convicted Entity</w:t>
      </w:r>
      <w:r>
        <w:rPr>
          <w:color w:val="000000"/>
        </w:rPr>
        <w:t xml:space="preserve">” </w:t>
      </w:r>
      <w:r>
        <w:rPr>
          <w:rFonts w:ascii="Times New Roman;sans-serif" w:hAnsi="Times New Roman;sans-serif"/>
          <w:b w:val="false"/>
          <w:color w:val="000000"/>
          <w:sz w:val="22"/>
        </w:rPr>
        <w:t xml:space="preserve">is an individual or entity, as applicable, who has been convicted of a criminal offense that falls within the ambit of 21 U.S.C. §335a (a) or 42 U.S.C. §1320a-7(a), but has not yet been excluded, debarred, suspended or otherwise declared ineligible; </w:t>
      </w:r>
    </w:p>
    <w:p>
      <w:pPr>
        <w:pStyle w:val="TextBody"/>
        <w:spacing w:lineRule="auto" w:line="240" w:before="0" w:after="240"/>
        <w:ind w:left="0" w:right="0" w:hanging="720"/>
        <w:jc w:val="both"/>
        <w:rPr/>
      </w:pPr>
      <w:r>
        <w:rPr>
          <w:rFonts w:ascii="Times New Roman;sans-serif" w:hAnsi="Times New Roman;sans-serif"/>
          <w:b/>
          <w:color w:val="000000"/>
          <w:sz w:val="22"/>
        </w:rPr>
        <w:t>7.2.15</w:t>
      </w:r>
      <w:r>
        <w:rPr>
          <w:rFonts w:ascii="Times New Roman;sans-serif" w:hAnsi="Times New Roman;sans-serif"/>
          <w:b w:val="false"/>
          <w:color w:val="000000"/>
          <w:sz w:val="22"/>
        </w:rPr>
        <w:t xml:space="preserve">all research and development (including non-clinical studies and Clinical Trials) performed by Daré, and, to Daré’s Knowledge, on behalf of Daré, related to the Licensed Products prior to the Effective Date has been conducted in accordance with all Applicable Laws;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024890"/>
                <wp:effectExtent l="0" t="0" r="0" b="0"/>
                <wp:wrapNone/>
                <wp:docPr id="77" name="Frame76"/>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7.2.16</w:t>
      </w:r>
      <w:r>
        <w:rPr>
          <w:rFonts w:ascii="Times New Roman;sans-serif" w:hAnsi="Times New Roman;sans-serif"/>
          <w:b w:val="false"/>
          <w:color w:val="000000"/>
          <w:sz w:val="22"/>
        </w:rPr>
        <w:t>all information, data and statements provided by Daré, and, to Daré’s Knowledge, on behalf of Daré, to each Regulatory Authority in connection with the Licensed Product were, and remain, true and accurate and complete in all material respects and there have been no material omissions from such information, data or statements, and Daré has not disclosed, failed to disclose, or cause to be disclosed, any information, data or statements that would reasonably be expected to cause the information, data and statements that has been disclosed to any Regulatory Authority to be misleading in any material respect; and</w:t>
      </w:r>
    </w:p>
    <w:p>
      <w:pPr>
        <w:pStyle w:val="TextBody"/>
        <w:spacing w:lineRule="auto" w:line="240" w:before="0" w:after="240"/>
        <w:ind w:left="0" w:right="0" w:hanging="720"/>
        <w:jc w:val="both"/>
        <w:rPr/>
      </w:pPr>
      <w:r>
        <w:rPr>
          <w:rFonts w:ascii="Times New Roman;sans-serif" w:hAnsi="Times New Roman;sans-serif"/>
          <w:b/>
          <w:color w:val="000000"/>
          <w:sz w:val="22"/>
        </w:rPr>
        <w:t>7.2.17</w:t>
      </w:r>
      <w:r>
        <w:rPr>
          <w:rFonts w:ascii="Times New Roman;sans-serif" w:hAnsi="Times New Roman;sans-serif"/>
          <w:b w:val="false"/>
          <w:color w:val="000000"/>
          <w:sz w:val="22"/>
        </w:rPr>
        <w:t>all information and data provided by or on behalf of Daré to Organon on or before the Effective Date in contemplation of this Agreement was and is, to Daré’s Knowledge, true and accurate and complete in all material respects, and Daré has not knowingly disclosed, failed to disclose, or cause to be disclosed, any information or data that would reasonably be expected to cause the information and data that has been disclosed to be misleading in any material respect.</w:t>
      </w:r>
    </w:p>
    <w:p>
      <w:pPr>
        <w:pStyle w:val="TextBody"/>
        <w:spacing w:lineRule="auto" w:line="240" w:before="0" w:after="240"/>
        <w:ind w:left="0" w:right="0" w:hanging="720"/>
        <w:jc w:val="both"/>
        <w:rPr/>
      </w:pPr>
      <w:r>
        <w:rPr>
          <w:rFonts w:ascii="Times New Roman;sans-serif" w:hAnsi="Times New Roman;sans-serif"/>
          <w:b/>
          <w:color w:val="000000"/>
          <w:sz w:val="22"/>
        </w:rPr>
        <w:t>7.3Daré Upstream License Agreements Representations and Warranties</w:t>
      </w:r>
      <w:r>
        <w:rPr>
          <w:rFonts w:ascii="Times New Roman;sans-serif" w:hAnsi="Times New Roman;sans-serif"/>
          <w:b w:val="false"/>
          <w:color w:val="000000"/>
          <w:sz w:val="22"/>
        </w:rPr>
        <w:t>. Daré represents and warrants to Organon that as of the Execution Date, and unless also limited to just the Execution Date, then again as of the Effective Date:</w:t>
      </w:r>
    </w:p>
    <w:p>
      <w:pPr>
        <w:pStyle w:val="TextBody"/>
        <w:spacing w:lineRule="auto" w:line="240" w:before="0" w:after="240"/>
        <w:ind w:left="0" w:right="0" w:hanging="720"/>
        <w:jc w:val="both"/>
        <w:rPr/>
      </w:pPr>
      <w:r>
        <w:rPr>
          <w:rFonts w:ascii="Times New Roman;sans-serif" w:hAnsi="Times New Roman;sans-serif"/>
          <w:b/>
          <w:color w:val="000000"/>
          <w:sz w:val="22"/>
        </w:rPr>
        <w:t>7.3.1</w:t>
      </w:r>
      <w:r>
        <w:rPr>
          <w:rFonts w:ascii="Times New Roman;sans-serif" w:hAnsi="Times New Roman;sans-serif"/>
          <w:b w:val="false"/>
          <w:color w:val="000000"/>
          <w:sz w:val="22"/>
        </w:rPr>
        <w:t>except for the DTM Upstream License Agreement, there are no agreements (including any licenses), written or oral, granting any licenses or other rights to (or from) Daré (or any of its Affiliates) relating to the Licensed Products or the Daré Know-How or Daré Patents;</w:t>
      </w:r>
    </w:p>
    <w:p>
      <w:pPr>
        <w:pStyle w:val="TextBody"/>
        <w:spacing w:lineRule="auto" w:line="240" w:before="0" w:after="240"/>
        <w:ind w:left="0" w:right="0" w:hanging="720"/>
        <w:jc w:val="both"/>
        <w:rPr/>
      </w:pPr>
      <w:r>
        <w:rPr>
          <w:rFonts w:ascii="Times New Roman;sans-serif" w:hAnsi="Times New Roman;sans-serif"/>
          <w:b/>
          <w:color w:val="000000"/>
          <w:sz w:val="22"/>
        </w:rPr>
        <w:t>7.3.2</w:t>
      </w:r>
      <w:r>
        <w:rPr>
          <w:rFonts w:ascii="Times New Roman;sans-serif" w:hAnsi="Times New Roman;sans-serif"/>
          <w:b w:val="false"/>
          <w:color w:val="000000"/>
          <w:sz w:val="22"/>
        </w:rPr>
        <w:t>with respect to the DTM Upstream License Agreement, (a) it is in full force and effect; (b) neither Daré nor any of its Affiliates is in breach thereof; (c) neither Daré nor any of its Affiliates has received any notice of breach or notice of threatened breach thereof; and (d) neither Daré nor any of its Affiliates has received any notice from the counterparty to such DTM Upstream License Agreement of intent to reduce the scope of the field thereof or render any of the licenses thereunder non-exclusive;</w:t>
      </w:r>
    </w:p>
    <w:p>
      <w:pPr>
        <w:pStyle w:val="TextBody"/>
        <w:spacing w:lineRule="auto" w:line="240" w:before="0" w:after="240"/>
        <w:ind w:left="0" w:right="0" w:hanging="720"/>
        <w:jc w:val="both"/>
        <w:rPr/>
      </w:pPr>
      <w:r>
        <w:rPr>
          <w:rFonts w:ascii="Times New Roman;sans-serif" w:hAnsi="Times New Roman;sans-serif"/>
          <w:b/>
          <w:color w:val="000000"/>
          <w:sz w:val="22"/>
        </w:rPr>
        <w:t>7.3.3</w:t>
      </w:r>
      <w:r>
        <w:rPr>
          <w:rFonts w:ascii="Times New Roman;sans-serif" w:hAnsi="Times New Roman;sans-serif"/>
          <w:b w:val="false"/>
          <w:color w:val="000000"/>
          <w:sz w:val="22"/>
        </w:rPr>
        <w:t xml:space="preserve">Daré has provided to Organon as of the Effective date a true, correct and complete (but with commercial information redacted) copy of each of the DTM Upstream License Agreement, including any and all amendments, restatements, side letters, and other modifications thereto, as such DTM Upstream License Agreement is in effect as of the Effective Date; </w:t>
      </w:r>
    </w:p>
    <w:p>
      <w:pPr>
        <w:pStyle w:val="TextBody"/>
        <w:spacing w:lineRule="auto" w:line="240" w:before="0" w:after="240"/>
        <w:ind w:left="0" w:right="0" w:hanging="720"/>
        <w:jc w:val="both"/>
        <w:rPr/>
      </w:pPr>
      <w:r>
        <w:rPr>
          <w:rFonts w:ascii="Times New Roman;sans-serif" w:hAnsi="Times New Roman;sans-serif"/>
          <w:b/>
          <w:color w:val="000000"/>
          <w:sz w:val="22"/>
        </w:rPr>
        <w:t>7.3.4</w:t>
      </w:r>
      <w:r>
        <w:rPr>
          <w:rFonts w:ascii="Times New Roman;sans-serif" w:hAnsi="Times New Roman;sans-serif"/>
          <w:b w:val="false"/>
          <w:color w:val="000000"/>
          <w:sz w:val="22"/>
        </w:rPr>
        <w:t>that the payments required to be paid by Organon pursuant to this Agreement are sufficient to satisfy Daré’s obligation under Section 2.1.3(ii) of the DTM Upstream License Agreement; and</w:t>
      </w:r>
    </w:p>
    <w:p>
      <w:pPr>
        <w:pStyle w:val="TextBody"/>
        <w:spacing w:lineRule="auto" w:line="240" w:before="0" w:after="240"/>
        <w:ind w:left="0" w:right="0" w:hanging="720"/>
        <w:jc w:val="both"/>
        <w:rPr/>
      </w:pPr>
      <w:r>
        <w:rPr>
          <w:rFonts w:ascii="Times New Roman;sans-serif" w:hAnsi="Times New Roman;sans-serif"/>
          <w:b/>
          <w:color w:val="000000"/>
          <w:sz w:val="22"/>
        </w:rPr>
        <w:t>7.3.5</w:t>
      </w:r>
      <w:r>
        <w:rPr>
          <w:rFonts w:ascii="Times New Roman;sans-serif" w:hAnsi="Times New Roman;sans-serif"/>
          <w:b w:val="false"/>
          <w:color w:val="000000"/>
          <w:sz w:val="22"/>
        </w:rPr>
        <w:t>to Daré’s Knowledge, Hammock has retained no right, title or interest in or to any intellectual property rights or Information under the DTM Upstream License Agreement relating to any (a) product that would constitute at any time Licensed Product, ROFR Product or Competitive Product, (b) Daré Patents, Joint Patents, or Daré Know-How, (c) Daré Marketing Authorizations or Daré Regulatory Materials, (d) any intellectual property rights licensed under the DTM Upstream License Agreement, and (e) any Technology and Data (as defined in the Assignment Agreement between Daré and Hammock, effective December 5, 2018); and to Daré’s Knowledge, there is no Hammock Data (as defined in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7.4Covenants</w:t>
      </w:r>
      <w:r>
        <w:rPr>
          <w:rFonts w:ascii="Times New Roman;sans-serif" w:hAnsi="Times New Roman;sans-serif"/>
          <w:b w:val="false"/>
          <w:color w:val="000000"/>
          <w:sz w:val="22"/>
        </w:rPr>
        <w:t>. Each of the following provisions are effective as of the Execution Date and remain in effect during the term of this Agreement unless otherwise noted.</w:t>
      </w:r>
    </w:p>
    <w:p>
      <w:pPr>
        <w:pStyle w:val="TextBody"/>
        <w:spacing w:lineRule="auto" w:line="240" w:before="0" w:after="240"/>
        <w:ind w:left="0" w:right="0" w:hanging="720"/>
        <w:jc w:val="both"/>
        <w:rPr/>
      </w:pPr>
      <w:r>
        <w:rPr>
          <w:rFonts w:ascii="Times New Roman;sans-serif" w:hAnsi="Times New Roman;sans-serif"/>
          <w:b/>
          <w:color w:val="000000"/>
          <w:sz w:val="22"/>
        </w:rPr>
        <w:t>7.4.1Compliance with Laws</w:t>
      </w:r>
      <w:r>
        <w:rPr>
          <w:rFonts w:ascii="Times New Roman;sans-serif" w:hAnsi="Times New Roman;sans-serif"/>
          <w:b w:val="false"/>
          <w:color w:val="000000"/>
          <w:sz w:val="22"/>
        </w:rPr>
        <w:t xml:space="preserve">. Each Party hereby covenants to the other Party that, in the performance of its obligations under this Agreement, such covenanting Party shall comply, and shall cause its and its Affiliates’ and sublicensees’ and its and their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024890"/>
                <wp:effectExtent l="0" t="0" r="0" b="0"/>
                <wp:wrapNone/>
                <wp:docPr id="78" name="Frame77"/>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employees and subcontractors to comply, with all Applicable Laws, including (a) all Anti-Corruption Laws, (b) all Privacy Laws, (c) all current governmental regulations concerning GxP, as applicable, and (d) national and international pharmaceutical industry codes of practice.</w:t>
      </w:r>
    </w:p>
    <w:p>
      <w:pPr>
        <w:pStyle w:val="TextBody"/>
        <w:spacing w:lineRule="auto" w:line="240" w:before="0" w:after="240"/>
        <w:ind w:left="0" w:right="0" w:hanging="720"/>
        <w:jc w:val="both"/>
        <w:rPr/>
      </w:pPr>
      <w:r>
        <w:rPr>
          <w:rFonts w:ascii="Times New Roman;sans-serif" w:hAnsi="Times New Roman;sans-serif"/>
          <w:b/>
          <w:color w:val="000000"/>
          <w:sz w:val="22"/>
        </w:rPr>
        <w:t>7.4.2No Kickback</w:t>
      </w:r>
      <w:r>
        <w:rPr>
          <w:rFonts w:ascii="Times New Roman;sans-serif" w:hAnsi="Times New Roman;sans-serif"/>
          <w:b w:val="false"/>
          <w:color w:val="000000"/>
          <w:sz w:val="22"/>
        </w:rPr>
        <w:t>. Each Party hereby covenants to the other Party that such covenanting Party and its Affiliates’ employees and contractors shall not, in connection with the performance of its obligations under this Agreement, directly or indirectly through Third Parties, pay, promise, or offer to pay, or authorize the payment of, any money or give any promise or offer to give, or authorize the giving of anything of value to a Public Official or other person for purpose of obtaining or retaining business for or with, or directing business to, any person, and shall not directly or indirectly promise, offer, or provide any corrupt payment, gratuity, emolument, bribe, kickback, illicit gift, or hospitality or other illegal or unethical benefit to a Public Official or any other person in connection with the performance of its obligations under this Agreement.</w:t>
      </w:r>
    </w:p>
    <w:p>
      <w:pPr>
        <w:pStyle w:val="TextBody"/>
        <w:spacing w:lineRule="auto" w:line="240" w:before="0" w:after="240"/>
        <w:ind w:left="0" w:right="0" w:hanging="720"/>
        <w:jc w:val="both"/>
        <w:rPr/>
      </w:pPr>
      <w:r>
        <w:rPr>
          <w:rFonts w:ascii="Times New Roman;sans-serif" w:hAnsi="Times New Roman;sans-serif"/>
          <w:b/>
          <w:color w:val="000000"/>
          <w:sz w:val="22"/>
        </w:rPr>
        <w:t>7.4.3Notice of Violation</w:t>
      </w:r>
      <w:r>
        <w:rPr>
          <w:rFonts w:ascii="Times New Roman;sans-serif" w:hAnsi="Times New Roman;sans-serif"/>
          <w:b w:val="false"/>
          <w:color w:val="000000"/>
          <w:sz w:val="22"/>
        </w:rPr>
        <w:t>. Each Party hereby covenants to the other Party that such covenanting Party shall immediately notify the other Party if such Party has any information or suspicion that there may be a violation of any Anti-Corruption Laws, any Privacy Laws, or any other Applicable Laws in connection with its performance of this Agreement or its or its Affiliates’ or sublicensees’ Exploitation of any Licensed Product.</w:t>
      </w:r>
    </w:p>
    <w:p>
      <w:pPr>
        <w:pStyle w:val="TextBody"/>
        <w:spacing w:lineRule="auto" w:line="240" w:before="0" w:after="240"/>
        <w:ind w:left="0" w:right="0" w:hanging="720"/>
        <w:jc w:val="both"/>
        <w:rPr/>
      </w:pPr>
      <w:r>
        <w:rPr>
          <w:rFonts w:ascii="Times New Roman;sans-serif" w:hAnsi="Times New Roman;sans-serif"/>
          <w:b/>
          <w:color w:val="000000"/>
          <w:sz w:val="22"/>
        </w:rPr>
        <w:t>7.4.4Organon Policies</w:t>
      </w:r>
      <w:r>
        <w:rPr>
          <w:rFonts w:ascii="Times New Roman;sans-serif" w:hAnsi="Times New Roman;sans-serif"/>
          <w:b w:val="false"/>
          <w:color w:val="000000"/>
          <w:sz w:val="22"/>
        </w:rPr>
        <w:t>. Organon hereby covenants to Daré that (a) Organon and its Affiliates shall maintain and enforce a compliance and ethics program containing adequate systems, policies and procedures for the detection, investigation, documentation, and remediation of any allegations, reports or findings related to a potential violation of Applicable Laws, including Anti-Corruption Laws, with respect to the Licensed Products and payments and activities under this Agreement, (b) such policies and procedures will set out rules governing interactions with healthcare providers, Public Officials, the engagement of Third Parties, and where appropriate, conducting due diligence, and the investigation, documentation and remediation of any allegations, reports or findings related to a potential violation of Applicable Laws, and (c) Organon shall comply and shall cause its and its Affiliates’ employees and contractors to comply with all such policies and procedures in connection with the performance of its obligations under this Agreement.</w:t>
      </w:r>
    </w:p>
    <w:p>
      <w:pPr>
        <w:pStyle w:val="TextBody"/>
        <w:spacing w:lineRule="auto" w:line="240" w:before="0" w:after="240"/>
        <w:ind w:left="0" w:right="0" w:hanging="720"/>
        <w:jc w:val="both"/>
        <w:rPr/>
      </w:pPr>
      <w:r>
        <w:rPr>
          <w:rFonts w:ascii="Times New Roman;sans-serif" w:hAnsi="Times New Roman;sans-serif"/>
          <w:b/>
          <w:color w:val="000000"/>
          <w:sz w:val="22"/>
        </w:rPr>
        <w:t>7.4.5Daré Policies</w:t>
      </w:r>
      <w:r>
        <w:rPr>
          <w:rFonts w:ascii="Times New Roman;sans-serif" w:hAnsi="Times New Roman;sans-serif"/>
          <w:b w:val="false"/>
          <w:color w:val="000000"/>
          <w:sz w:val="22"/>
        </w:rPr>
        <w:t xml:space="preserve">. Daré hereby covenants to Organon that Daré shall maintain a “Code of Business Conduct and Ethics” approved by its Board of Directors of a scope substantially equivalent to, and in any event no less stringent than, Daré’s Code of Business Conduct and Ethics that is in effect as of the Execution Date and, in the performance of its obligations under this Agreement, Daré shall comply and shall require its and its Affiliates’ employees and contractors to comply with such Code of Business Conduct and Ethics. </w:t>
      </w:r>
    </w:p>
    <w:p>
      <w:pPr>
        <w:pStyle w:val="TextBody"/>
        <w:spacing w:lineRule="auto" w:line="240" w:before="0" w:after="240"/>
        <w:ind w:left="0" w:right="0" w:hanging="720"/>
        <w:jc w:val="both"/>
        <w:rPr/>
      </w:pPr>
      <w:r>
        <w:rPr>
          <w:rFonts w:ascii="Times New Roman;sans-serif" w:hAnsi="Times New Roman;sans-serif"/>
          <w:b/>
          <w:color w:val="000000"/>
          <w:sz w:val="22"/>
        </w:rPr>
        <w:t>7.4.6No Encumbrances</w:t>
      </w:r>
      <w:r>
        <w:rPr>
          <w:rFonts w:ascii="Times New Roman;sans-serif" w:hAnsi="Times New Roman;sans-serif"/>
          <w:b w:val="false"/>
          <w:color w:val="000000"/>
          <w:sz w:val="22"/>
        </w:rPr>
        <w:t>. Daré will not enter into any assignment, transfer, license, conveyance or encumbrance of, or otherwise assign, transfer, license, convey or encumber, its right, title, or interest in or to the Daré Patents, Joint Patents or Daré Know-How or grant to any Person any such right, title, or interest, in each case that conflicts with the rights and licenses granted, or to be granted, to Organon under this Agreement.</w:t>
      </w:r>
    </w:p>
    <w:p>
      <w:pPr>
        <w:pStyle w:val="TextBody"/>
        <w:spacing w:lineRule="auto" w:line="240" w:before="0" w:after="240"/>
        <w:ind w:left="0" w:right="0" w:hanging="720"/>
        <w:jc w:val="both"/>
        <w:rPr/>
      </w:pPr>
      <w:r>
        <w:rPr>
          <w:rFonts w:ascii="Times New Roman;sans-serif" w:hAnsi="Times New Roman;sans-serif"/>
          <w:b/>
          <w:color w:val="000000"/>
          <w:sz w:val="22"/>
        </w:rPr>
        <w:t>7.4.7Upstream Licenses</w:t>
      </w:r>
      <w:r>
        <w:rPr>
          <w:rFonts w:ascii="Times New Roman;sans-serif" w:hAnsi="Times New Roman;sans-serif"/>
          <w:b w:val="false"/>
          <w:color w:val="000000"/>
          <w:sz w:val="22"/>
        </w:rPr>
        <w:t xml:space="preserve">. Daré further covenants and agrees that Daré (a) shall satisfy all of its obligations under (including making all payments), and take all reasonable and lawful steps to maintain in full force and effect, the DTM Upstream License Agreement in all manner necessary to prevent any adverse effect on the rights of Organon under this Agreement; (b) will not assign (except an assignment to a party to which this Agreement has been assigned as permitted under Section 12.2), amend, restate, amend and restate, terminate in whole or in part, or otherwise modify the DTM Upstream License Agreement without the prior written consent of Organon, in all manner necessary to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024890"/>
                <wp:effectExtent l="0" t="0" r="0" b="0"/>
                <wp:wrapNone/>
                <wp:docPr id="79" name="Frame78"/>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prevent an adverse effect on the rights of Organon under this Agreement; and (c) will provide Organon with prompt notice of any claim of a breach under the DTM Upstream License Agreement or notice of termination of the DTM Upstream License Agreement, made by either Daré or the counterparty to such DTM Upstream License Agreements (or any party acting on behalf of such counterparty). For the purposes of clarity, Daré (and not Organon) shall be responsible for all of the financial and other obligations of Daré (or any of its Affiliates) under the DTM Upstream License Agreement, including any and all financial obligations thereunder with respect to Net Sales of the Related Parties or other payments due or made by Organon under this Agreement. </w:t>
      </w:r>
    </w:p>
    <w:p>
      <w:pPr>
        <w:pStyle w:val="TextBody"/>
        <w:spacing w:lineRule="auto" w:line="240" w:before="0" w:after="240"/>
        <w:ind w:left="0" w:right="0" w:hanging="720"/>
        <w:jc w:val="both"/>
        <w:rPr/>
      </w:pPr>
      <w:r>
        <w:rPr>
          <w:rFonts w:ascii="Times New Roman;sans-serif" w:hAnsi="Times New Roman;sans-serif"/>
          <w:b/>
          <w:color w:val="000000"/>
          <w:sz w:val="22"/>
        </w:rPr>
        <w:t>7.4.8Patent Maintenance</w:t>
      </w:r>
      <w:r>
        <w:rPr>
          <w:rFonts w:ascii="Times New Roman;sans-serif" w:hAnsi="Times New Roman;sans-serif"/>
          <w:b w:val="false"/>
          <w:color w:val="000000"/>
          <w:sz w:val="22"/>
        </w:rPr>
        <w:t>. Between the Execution Date and the Effective Date Daré will (a) diligently prepare, file, prosecute and maintain the Daré Patents licensed to Organon under this Agreement, (b) keep Organon informed of all material actions taken or intended to be taken in connection with the preparation, filing, prosecution and maintenance of such Daré Patents and (c) consult with Organon and reasonably consider Organon’s reasonable requests with respect to the preparation, filing, prosecution and maintenance of such Daré Patents.</w:t>
      </w:r>
    </w:p>
    <w:p>
      <w:pPr>
        <w:pStyle w:val="TextBody"/>
        <w:spacing w:lineRule="auto" w:line="240" w:before="0" w:after="240"/>
        <w:ind w:left="0" w:right="0" w:hanging="720"/>
        <w:jc w:val="both"/>
        <w:rPr/>
      </w:pPr>
      <w:r>
        <w:rPr>
          <w:rFonts w:ascii="Times New Roman;sans-serif" w:hAnsi="Times New Roman;sans-serif"/>
          <w:b/>
          <w:color w:val="000000"/>
          <w:sz w:val="22"/>
        </w:rPr>
        <w:t>7.4.9Trademark Maintenance</w:t>
      </w:r>
      <w:r>
        <w:rPr>
          <w:rFonts w:ascii="Times New Roman;sans-serif" w:hAnsi="Times New Roman;sans-serif"/>
          <w:b w:val="false"/>
          <w:color w:val="000000"/>
          <w:sz w:val="22"/>
        </w:rPr>
        <w:t>. Between the Execution Date and the Assignment Date, Daré will (a) diligently prepare, file, prosecute, register and maintain the Product Trademarks, (b) keep Organon informed of all material actions taken or intended to be taken in connection with the preparation, filing, prosecution, registration, and maintenance of Product Trademark, and (c) consult with Organon and reasonably consider Organon’s reasonable requests with respect to the preparation, filing, prosecution, registration, and maintenance of Product Trademarks.</w:t>
      </w:r>
    </w:p>
    <w:p>
      <w:pPr>
        <w:pStyle w:val="TextBody"/>
        <w:spacing w:lineRule="auto" w:line="240" w:before="0" w:after="240"/>
        <w:ind w:left="0" w:right="0" w:hanging="720"/>
        <w:jc w:val="both"/>
        <w:rPr/>
      </w:pPr>
      <w:r>
        <w:rPr>
          <w:rFonts w:ascii="Times New Roman;sans-serif" w:hAnsi="Times New Roman;sans-serif"/>
          <w:b/>
          <w:color w:val="000000"/>
          <w:sz w:val="22"/>
        </w:rPr>
        <w:t>7.4.10[***]</w:t>
      </w:r>
      <w:r>
        <w:rPr>
          <w:color w:val="000000"/>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7.5Disclaimers</w:t>
      </w:r>
      <w:r>
        <w:rPr>
          <w:rFonts w:ascii="Times New Roman;sans-serif" w:hAnsi="Times New Roman;sans-serif"/>
          <w:b w:val="false"/>
          <w:color w:val="000000"/>
          <w:sz w:val="22"/>
        </w:rPr>
        <w:t xml:space="preserve">. EXCEPT AS OTHERWISE EXPRESSLY PROVIDED IN THIS AGREEMENT, NEITHER PARTY MAKES ANY REPRESENTATION OR EXTENDS ANY WARRANTY OF ANY KIND, EITHER EXPRESS OR IMPLIED (AND EACH PARTY EXPRESSLY DISCLAIMS ANY AND ALL REPRESENTATIONS AND WARRANTIES NOT EXPRESSLY PROVIDED IN THIS AGREEMENT), INCLUDING WITH RESPECT TO ANY PATENTS, PATENT APPLICATIONS, KNOW-HOW, PRODUCTS AND MATERIALS, INCLUDING WARRANTIES OF VALIDITY OR ENFORCEABILITY OF ANY PATENTS OR THAT PATENTS WILL ISSUE UPON APPLICATIONS, OR THE TITLE, QUALITY, COMPLETENESS, ACCURACY, MERCHANTABILITY, FITNESS FOR A PARTICULAR USE OR PURPOSE, PERFORMANCE AND NONINFRINGEMENT OF ANY THIRD PARTY PATENTS OR OTHER INTELLECTUAL PROPERTY RIGHTS. </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8INDEMNIFICATION.</w:t>
      </w:r>
    </w:p>
    <w:p>
      <w:pPr>
        <w:pStyle w:val="TextBody"/>
        <w:spacing w:lineRule="auto" w:line="240" w:before="0" w:after="240"/>
        <w:ind w:left="0" w:right="0" w:hanging="720"/>
        <w:jc w:val="both"/>
        <w:rPr/>
      </w:pPr>
      <w:r>
        <w:rPr>
          <w:rFonts w:ascii="Times New Roman;sans-serif" w:hAnsi="Times New Roman;sans-serif"/>
          <w:b/>
          <w:color w:val="000000"/>
          <w:sz w:val="22"/>
        </w:rPr>
        <w:t>8.1Indemnification by Organon</w:t>
      </w:r>
      <w:r>
        <w:rPr>
          <w:rFonts w:ascii="Times New Roman;sans-serif" w:hAnsi="Times New Roman;sans-serif"/>
          <w:b w:val="false"/>
          <w:color w:val="000000"/>
          <w:sz w:val="22"/>
        </w:rPr>
        <w:t>. Organon shall indemnify Daré and its Affiliates and their respective licensors (including TriLogic and MilanaPharm), directors, officers, employees, and agents (each, a “</w:t>
      </w:r>
      <w:r>
        <w:rPr>
          <w:rFonts w:ascii="Times New Roman;sans-serif" w:hAnsi="Times New Roman;sans-serif"/>
          <w:b/>
          <w:color w:val="000000"/>
          <w:sz w:val="22"/>
        </w:rPr>
        <w:t>Daré Indemnitee</w:t>
      </w:r>
      <w:r>
        <w:rPr>
          <w:color w:val="000000"/>
        </w:rPr>
        <w:t>”</w:t>
      </w:r>
      <w:r>
        <w:rPr>
          <w:rFonts w:ascii="Times New Roman;sans-serif" w:hAnsi="Times New Roman;sans-serif"/>
          <w:b w:val="false"/>
          <w:color w:val="000000"/>
          <w:sz w:val="22"/>
        </w:rPr>
        <w:t>) and defend each of them (subject to Section 9.5) and hold each of them harmless from and against any and all liabilities, damages, expenses, fines, penalties, costs and losses, including reasonable legal expenses and attorneys’ fees (and excluding any multiplier of attorneys’ fees or similar penalty payable to Daré Indemnitees based upon a contingency fee arrangement with their attorneys) (collectively, “</w:t>
      </w:r>
      <w:r>
        <w:rPr>
          <w:rFonts w:ascii="Times New Roman;sans-serif" w:hAnsi="Times New Roman;sans-serif"/>
          <w:b/>
          <w:color w:val="000000"/>
          <w:sz w:val="22"/>
        </w:rPr>
        <w:t>Losses</w:t>
      </w:r>
      <w:r>
        <w:rPr>
          <w:color w:val="000000"/>
        </w:rPr>
        <w:t>”</w:t>
      </w:r>
      <w:r>
        <w:rPr>
          <w:rFonts w:ascii="Times New Roman;sans-serif" w:hAnsi="Times New Roman;sans-serif"/>
          <w:b w:val="false"/>
          <w:color w:val="000000"/>
          <w:sz w:val="22"/>
        </w:rPr>
        <w:t>), to which any Daré Indemnitee may become subject as a result of any claim, demand, action, or other proceeding by any Third Party (each, a “</w:t>
      </w:r>
      <w:r>
        <w:rPr>
          <w:rFonts w:ascii="Times New Roman;sans-serif" w:hAnsi="Times New Roman;sans-serif"/>
          <w:b/>
          <w:color w:val="000000"/>
          <w:sz w:val="22"/>
        </w:rPr>
        <w:t>Third-Party Claim</w:t>
      </w:r>
      <w:r>
        <w:rPr>
          <w:color w:val="000000"/>
        </w:rPr>
        <w:t>”</w:t>
      </w:r>
      <w:r>
        <w:rPr>
          <w:rFonts w:ascii="Times New Roman;sans-serif" w:hAnsi="Times New Roman;sans-serif"/>
          <w:b w:val="false"/>
          <w:color w:val="000000"/>
          <w:sz w:val="22"/>
        </w:rPr>
        <w:t xml:space="preserve">) to the extent such Losses arise out of or relate to: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the Exploitation of any Licensed Product by or on behalf of Organon or its Affiliates or Sublicensees;</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the negligence or willful misconduct of any Organon Indemnitee;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024890"/>
                <wp:effectExtent l="0" t="0" r="0" b="0"/>
                <wp:wrapNone/>
                <wp:docPr id="80" name="Frame79"/>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xml:space="preserve">use or disclosure of Research Data Sets and Non-Identifiable Data; or </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xml:space="preserve">the breach by Organon of any warranty, representation, covenant, or agreement made by Organon in this Agreement,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in each case (a) thru (d), to the extent such Losses arise out of any activities set forth in Section 8.2 for which Daré is obligated to indemnify any Organon Indemnitee under Section 8.2. </w:t>
      </w:r>
    </w:p>
    <w:p>
      <w:pPr>
        <w:pStyle w:val="TextBody"/>
        <w:spacing w:lineRule="auto" w:line="240" w:before="0" w:after="240"/>
        <w:ind w:left="0" w:right="0" w:hanging="720"/>
        <w:jc w:val="both"/>
        <w:rPr/>
      </w:pPr>
      <w:r>
        <w:rPr>
          <w:rFonts w:ascii="Times New Roman;sans-serif" w:hAnsi="Times New Roman;sans-serif"/>
          <w:b/>
          <w:color w:val="000000"/>
          <w:sz w:val="22"/>
        </w:rPr>
        <w:t>8.2Indemnification by Daré</w:t>
      </w:r>
      <w:r>
        <w:rPr>
          <w:rFonts w:ascii="Times New Roman;sans-serif" w:hAnsi="Times New Roman;sans-serif"/>
          <w:b w:val="false"/>
          <w:color w:val="000000"/>
          <w:sz w:val="22"/>
        </w:rPr>
        <w:t>. Daré shall indemnify Organon and its Affiliates and their respective directors, officers, employees, and agents (each, an “</w:t>
      </w:r>
      <w:r>
        <w:rPr>
          <w:rFonts w:ascii="Times New Roman;sans-serif" w:hAnsi="Times New Roman;sans-serif"/>
          <w:b/>
          <w:color w:val="000000"/>
          <w:sz w:val="22"/>
        </w:rPr>
        <w:t>Organon Indemnitee</w:t>
      </w:r>
      <w:r>
        <w:rPr>
          <w:color w:val="000000"/>
        </w:rPr>
        <w:t>”</w:t>
      </w:r>
      <w:r>
        <w:rPr>
          <w:rFonts w:ascii="Times New Roman;sans-serif" w:hAnsi="Times New Roman;sans-serif"/>
          <w:b w:val="false"/>
          <w:color w:val="000000"/>
          <w:sz w:val="22"/>
        </w:rPr>
        <w:t xml:space="preserve">) and defend each of them (subject to Section 9.5) and hold each of them harmless from and against any and all Losses (and excluding any multiplier of attorneys’ fees or similar penalty payable to Organon Indemnitees based upon a contingency fee arrangement with their attorneys) to which any Organon Indemnitee may become subject as a result of any Third-Party Claim to the extent such Losses arise out of or relate to: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xml:space="preserve">the Exploitation of any Licensed Product by or on behalf of, or for, Daré, its Affiliates, or its or their sublicensees anywhere in the world;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the negligence or willful misconduct of any Daré Indemnitee; or</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the breach by Daré of any warranty, representation, covenant, or agreement made by Daré in this Agreement,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in each case (a) thru (c), to the extent such Losses arise out of any activities set forth in Section 8.1 for which Organon is obligated to indemnify any Daré Indemnitee under Section 8.1. </w:t>
      </w:r>
    </w:p>
    <w:p>
      <w:pPr>
        <w:pStyle w:val="TextBody"/>
        <w:spacing w:lineRule="auto" w:line="240" w:before="0" w:after="240"/>
        <w:ind w:left="0" w:right="0" w:hanging="720"/>
        <w:jc w:val="both"/>
        <w:rPr/>
      </w:pPr>
      <w:r>
        <w:rPr>
          <w:rFonts w:ascii="Times New Roman;sans-serif" w:hAnsi="Times New Roman;sans-serif"/>
          <w:b/>
          <w:color w:val="000000"/>
          <w:sz w:val="22"/>
        </w:rPr>
        <w:t>8.3Indemnification Procedure</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8.3.1Defense</w:t>
      </w:r>
      <w:r>
        <w:rPr>
          <w:rFonts w:ascii="Times New Roman;sans-serif" w:hAnsi="Times New Roman;sans-serif"/>
          <w:b w:val="false"/>
          <w:color w:val="000000"/>
          <w:sz w:val="22"/>
        </w:rPr>
        <w:t>. The Party claiming indemnity under this Article 8 (the “</w:t>
      </w:r>
      <w:r>
        <w:rPr>
          <w:rFonts w:ascii="Times New Roman;sans-serif" w:hAnsi="Times New Roman;sans-serif"/>
          <w:b/>
          <w:color w:val="000000"/>
          <w:sz w:val="22"/>
        </w:rPr>
        <w:t>Indemnified Party</w:t>
      </w:r>
      <w:r>
        <w:rPr>
          <w:color w:val="000000"/>
        </w:rPr>
        <w:t>”</w:t>
      </w:r>
      <w:r>
        <w:rPr>
          <w:rFonts w:ascii="Times New Roman;sans-serif" w:hAnsi="Times New Roman;sans-serif"/>
          <w:b w:val="false"/>
          <w:color w:val="000000"/>
          <w:sz w:val="22"/>
        </w:rPr>
        <w:t>) from a Third-Party Claim shall give written notice to the Party from whom indemnity is being sought (the “</w:t>
      </w:r>
      <w:r>
        <w:rPr>
          <w:rFonts w:ascii="Times New Roman;sans-serif" w:hAnsi="Times New Roman;sans-serif"/>
          <w:b/>
          <w:color w:val="000000"/>
          <w:sz w:val="22"/>
        </w:rPr>
        <w:t>Indemnifying Party</w:t>
      </w:r>
      <w:r>
        <w:rPr>
          <w:color w:val="000000"/>
        </w:rPr>
        <w:t>”</w:t>
      </w:r>
      <w:r>
        <w:rPr>
          <w:rFonts w:ascii="Times New Roman;sans-serif" w:hAnsi="Times New Roman;sans-serif"/>
          <w:b w:val="false"/>
          <w:color w:val="000000"/>
          <w:sz w:val="22"/>
        </w:rPr>
        <w:t xml:space="preserve">) promptly after learning of such Third-Party Claim; provided, however, that failure to promptly notify the Indemnifying Party shall not relieve it of its obligations under this Article 8, unless such failure materially prejudices the Indemnifying Party’s ability to defend the Third-Party Claim. </w:t>
      </w:r>
    </w:p>
    <w:p>
      <w:pPr>
        <w:pStyle w:val="TextBody"/>
        <w:spacing w:lineRule="auto" w:line="240" w:before="0" w:after="240"/>
        <w:ind w:left="0" w:right="0" w:hanging="720"/>
        <w:jc w:val="both"/>
        <w:rPr/>
      </w:pPr>
      <w:r>
        <w:rPr>
          <w:rFonts w:ascii="Times New Roman;sans-serif" w:hAnsi="Times New Roman;sans-serif"/>
          <w:b/>
          <w:color w:val="000000"/>
          <w:sz w:val="22"/>
        </w:rPr>
        <w:t>8.3.2Cooperation</w:t>
      </w:r>
      <w:r>
        <w:rPr>
          <w:rFonts w:ascii="Times New Roman;sans-serif" w:hAnsi="Times New Roman;sans-serif"/>
          <w:b w:val="false"/>
          <w:color w:val="000000"/>
          <w:sz w:val="22"/>
        </w:rPr>
        <w:t xml:space="preserve">. Subject to Section 9.5, the Indemnified Party: (a) shall allow the Indemnifying Party to control the defense and settlement of the Third-Party Claim; (b) shall provide the Indemnifying Party with reasonable assistance, at the Indemnifying Party’s request and expense, in connection with the defense of the Third-Party Claim for which indemnity is being sought; and (c) may participate in and monitor such defense with counsel of its own choice at its own expense. </w:t>
      </w:r>
    </w:p>
    <w:p>
      <w:pPr>
        <w:pStyle w:val="TextBody"/>
        <w:spacing w:lineRule="auto" w:line="240" w:before="0" w:after="240"/>
        <w:ind w:left="0" w:right="0" w:hanging="720"/>
        <w:jc w:val="both"/>
        <w:rPr/>
      </w:pPr>
      <w:r>
        <w:rPr>
          <w:rFonts w:ascii="Times New Roman;sans-serif" w:hAnsi="Times New Roman;sans-serif"/>
          <w:b/>
          <w:color w:val="000000"/>
          <w:sz w:val="22"/>
        </w:rPr>
        <w:t>8.3.3Settlement</w:t>
      </w:r>
      <w:r>
        <w:rPr>
          <w:rFonts w:ascii="Times New Roman;sans-serif" w:hAnsi="Times New Roman;sans-serif"/>
          <w:b w:val="false"/>
          <w:color w:val="000000"/>
          <w:sz w:val="22"/>
        </w:rPr>
        <w:t xml:space="preserve">. The Indemnifying Party shall not settle any Third-Party Claim without the prior written consent of the Indemnified Party, which shall not be unreasonably withheld, conditioned or delayed,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consent is necessary if the settlement involves only the payment of money (which will be paid by the Indemnifying Party), no admission of wrong-doing or fault by the Indemnified Party, and no restriction on the future actions or activities of the Indemnified Party. Subject to Section 9.5, so long as the Indemnifying Party is actively defending the Third-Party Claim in good faith, the Indemnified Party shall not settle such Third-Party Claim without the prior written consent of the Indemnifying Party, which shall not be unreasonably withheld, conditioned or delayed. </w:t>
      </w:r>
    </w:p>
    <w:p>
      <w:pPr>
        <w:pStyle w:val="TextBody"/>
        <w:spacing w:lineRule="auto" w:line="240" w:before="0" w:after="240"/>
        <w:ind w:left="0" w:right="0" w:hanging="720"/>
        <w:jc w:val="both"/>
        <w:rPr/>
      </w:pPr>
      <w:r>
        <w:rPr>
          <w:rFonts w:ascii="Times New Roman;sans-serif" w:hAnsi="Times New Roman;sans-serif"/>
          <w:b/>
          <w:color w:val="000000"/>
          <w:sz w:val="22"/>
        </w:rPr>
        <w:t>8.3.4Control by Indemnified Party</w:t>
      </w:r>
      <w:r>
        <w:rPr>
          <w:rFonts w:ascii="Times New Roman;sans-serif" w:hAnsi="Times New Roman;sans-serif"/>
          <w:b w:val="false"/>
          <w:color w:val="000000"/>
          <w:sz w:val="22"/>
        </w:rPr>
        <w:t xml:space="preserve">. If the Indemnifying Party does not assume and conduct the defense of the Third-Party Claim as provided in Section 8.3.1 or if the Indemnified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024890"/>
                <wp:effectExtent l="0" t="0" r="0" b="0"/>
                <wp:wrapNone/>
                <wp:docPr id="81" name="Frame80"/>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Party has the right to control such defense under Section 9.5, (a) the Indemnified Party may defend against and consent to the entry of any judgment, or enter into any settlement with respect to, the Third-Party Claim in any manner the Indemnified Party may deem reasonably appropriate (and the Indemnified Party need not consult with, or obtain any consent from, the Indemnifying Party in connection therewith), and (b) the Indemnifying Party will remain responsible to indemnify and hold harmless the Indemnified Party as provided in this Article 8. </w:t>
      </w:r>
    </w:p>
    <w:p>
      <w:pPr>
        <w:pStyle w:val="TextBody"/>
        <w:spacing w:lineRule="auto" w:line="240" w:before="0" w:after="240"/>
        <w:ind w:left="0" w:right="0" w:hanging="720"/>
        <w:jc w:val="both"/>
        <w:rPr/>
      </w:pPr>
      <w:r>
        <w:rPr>
          <w:rFonts w:ascii="Times New Roman;sans-serif" w:hAnsi="Times New Roman;sans-serif"/>
          <w:b/>
          <w:color w:val="000000"/>
          <w:sz w:val="22"/>
        </w:rPr>
        <w:t>8.4Insurance</w:t>
      </w:r>
      <w:r>
        <w:rPr>
          <w:rFonts w:ascii="Times New Roman;sans-serif" w:hAnsi="Times New Roman;sans-serif"/>
          <w:b w:val="false"/>
          <w:color w:val="000000"/>
          <w:sz w:val="22"/>
        </w:rPr>
        <w:t xml:space="preserve">. Each Party, at its own expense, shall maintain insurance (or self-insurance), including commercial general liability insurance, product liability insurance and other appropriate insurance, in amounts [***]. Each Party shall maintain such insurance for the period commencing on the Effective Date until [***] after expiration or termination of this Agreement. Each Party shall provide a certificate of insurance evidencing such coverage to the other Party upon request. It is understood that such insurance shall not be construed to create any limit of either Party’s obligations or liabilities with respect to its indemnification obligations under this Agreement. </w:t>
      </w:r>
    </w:p>
    <w:p>
      <w:pPr>
        <w:pStyle w:val="TextBody"/>
        <w:spacing w:lineRule="auto" w:line="240" w:before="0" w:after="240"/>
        <w:ind w:left="0" w:right="0" w:hanging="720"/>
        <w:jc w:val="both"/>
        <w:rPr/>
      </w:pPr>
      <w:r>
        <w:rPr>
          <w:rFonts w:ascii="Times New Roman;sans-serif" w:hAnsi="Times New Roman;sans-serif"/>
          <w:b/>
          <w:color w:val="000000"/>
          <w:sz w:val="22"/>
        </w:rPr>
        <w:t>8.5Limitation of Liability</w:t>
      </w:r>
      <w:r>
        <w:rPr>
          <w:rFonts w:ascii="Times New Roman;sans-serif" w:hAnsi="Times New Roman;sans-serif"/>
          <w:b w:val="false"/>
          <w:color w:val="000000"/>
          <w:sz w:val="22"/>
        </w:rPr>
        <w:t>. EXCEPT FOR (A) DAMAGES THAT ARE CAUSED BY (I) A PARTY’S WILLFUL MISCONDUCT OR FRAUD, (II) A PARTY’S BREACH OF ITS OBLIGATIONS UNDER ARTICLE 5, (III) DARÉ’S FAILURE TO ASSIGN THE DARÉ MARKETING AUTHORIZATIONS AND DARÉ REGULATORY MATERIALS TO ORGANON AND FAILURE TO COOPERATE WITH ORGANON FOR PURPOSES OF EFFECTING AN ORDERLY TRANSITION OF CONTROL OF DARÉ MARKETING AUTHORIZATIONS IN BREACH OF SECTION 2.1, OR (IV) DARÉ’S BREACH OF SECTION 2.3, THE FIRST SENTENCE OF SECTION 2.5, THE FIRST SENTENCE OF SECTION 3.3.1, OR THE FIRST SENTENCE OF SECTION 4.2 (AND IN EACH CASE WHERE SUCH BREACH IS NOT CURED WITHIN [***] OF RECEIPT OF NOTICE FROM ORGANON DESCRIBING THE BREACH), AND (B) AMOUNTS PAYABLE PURSUANT TO INDEMNIFICATION UNDER SECTION 8.1 OR SECTION 8.2, NEITHER PARTY SHALL BE LIABLE IN CONTRACT, TORT, NEGLIGENCE, BREACH OF STATUTORY DUTY, OR OTHERWISE FOR [***] SUFFERED BY THE OTHER PARTY (OR ITS AFFILIATES OR (SUB)LICENSEES), [***]. DAMAGES CAUSED BY A PARTY’S INFRINGEMENT OF THE OTHER PARTY’S INTELLECTUAL PROPERTY RIGHTS ARE NOT LIMITED BY THIS SECTION 8.5.</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ARTICLE 9PATENT PROVISIONS. </w:t>
      </w:r>
    </w:p>
    <w:p>
      <w:pPr>
        <w:pStyle w:val="TextBody"/>
        <w:spacing w:lineRule="auto" w:line="240" w:before="0" w:after="240"/>
        <w:ind w:left="0" w:right="0" w:hanging="720"/>
        <w:jc w:val="both"/>
        <w:rPr/>
      </w:pPr>
      <w:r>
        <w:rPr>
          <w:rFonts w:ascii="Times New Roman;sans-serif" w:hAnsi="Times New Roman;sans-serif"/>
          <w:b/>
          <w:color w:val="000000"/>
          <w:sz w:val="22"/>
        </w:rPr>
        <w:t>9.1Filing, Prosecution and Maintenance of Patents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9.1.1Product-Specific Patents</w:t>
      </w:r>
      <w:r>
        <w:rPr>
          <w:rFonts w:ascii="Times New Roman;sans-serif" w:hAnsi="Times New Roman;sans-serif"/>
          <w:b w:val="false"/>
          <w:color w:val="000000"/>
          <w:sz w:val="22"/>
        </w:rPr>
        <w:t xml:space="preserve">. As between the Parties, after the Effective Date, [***] shall have the first right, but not the obligation, to prepare, file, prosecute, and maintain (a) the Daré Patents that are set forth on </w:t>
      </w:r>
      <w:r>
        <w:rPr>
          <w:rFonts w:ascii="Times New Roman;sans-serif" w:hAnsi="Times New Roman;sans-serif"/>
          <w:b w:val="false"/>
          <w:color w:val="000000"/>
          <w:sz w:val="22"/>
          <w:u w:val="single"/>
        </w:rPr>
        <w:t xml:space="preserve">Schedule 9.1.1 </w:t>
      </w:r>
      <w:r>
        <w:rPr>
          <w:rFonts w:ascii="Times New Roman;sans-serif" w:hAnsi="Times New Roman;sans-serif"/>
          <w:b w:val="false"/>
          <w:color w:val="000000"/>
          <w:sz w:val="22"/>
        </w:rPr>
        <w:t>and all Patents that claim priority thereto, whether existing as of the Effective Date or first existing thereafter, (b) Daré Patents first Controlled by Daré or its Affiliates after the Effective Date that [***], (c) Daré Patents first Controlled by Daré or its Affiliates after the Effective Date that [***], and (d) Daré Patents first Controlled by Daré or its Affiliates after the Effective Date that [***]; and in each of foregoing clauses (b) through (e), within the Field and to the extent not otherwise the subject of foregoing clause (a) (each of the Daré Patents described in foregoing clauses (a)–(d), collectively, the “</w:t>
      </w:r>
      <w:r>
        <w:rPr>
          <w:rFonts w:ascii="Times New Roman;sans-serif" w:hAnsi="Times New Roman;sans-serif"/>
          <w:b/>
          <w:color w:val="000000"/>
          <w:sz w:val="22"/>
        </w:rPr>
        <w:t>Product-Specific Patents</w:t>
      </w:r>
      <w:r>
        <w:rPr>
          <w:color w:val="000000"/>
        </w:rPr>
        <w:t>”</w:t>
      </w:r>
      <w:r>
        <w:rPr>
          <w:rFonts w:ascii="Times New Roman;sans-serif" w:hAnsi="Times New Roman;sans-serif"/>
          <w:b w:val="false"/>
          <w:color w:val="000000"/>
          <w:sz w:val="22"/>
        </w:rPr>
        <w:t xml:space="preserve">), [***]. Product-Specific Patents include the Patents set forth on </w:t>
      </w:r>
      <w:r>
        <w:rPr>
          <w:rFonts w:ascii="Times New Roman;sans-serif" w:hAnsi="Times New Roman;sans-serif"/>
          <w:b w:val="false"/>
          <w:color w:val="000000"/>
          <w:sz w:val="22"/>
          <w:u w:val="single"/>
        </w:rPr>
        <w:t>Schedule 9.1.1</w:t>
      </w:r>
      <w:r>
        <w:rPr>
          <w:color w:val="000000"/>
        </w:rPr>
        <w:t xml:space="preserve"> </w:t>
      </w:r>
      <w:r>
        <w:rPr>
          <w:rFonts w:ascii="Times New Roman;sans-serif" w:hAnsi="Times New Roman;sans-serif"/>
          <w:b w:val="false"/>
          <w:color w:val="000000"/>
          <w:sz w:val="22"/>
        </w:rPr>
        <w:t>and all Patents that claim priority to or have common priority with any such Patents, in whole or in part, as of the Effective Date or at any time hereafter. [***] shall give [***] at least [***] to review the text of any new patent application filed within the Product-Specific Patents [***], and shall supply [***] with a copy of the application and other material filings as filed, together with notice of its filing date and serial number. [***] shall keep [***] regularly advised of the status of the Product-Specific Patents, including upon [***] request. [***] shall promptly give notice to [***] of the grant, lapse, or invalidation of any Product-</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024890"/>
                <wp:effectExtent l="0" t="0" r="0" b="0"/>
                <wp:wrapNone/>
                <wp:docPr id="82" name="Frame81"/>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39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39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Specific Patents. [***] shall give notice to [***] of any desire to cease prosecution or maintenance, or abandonment, of Product-Specific Patents [***] in the Territory, and shall permit [***] to continue prosecution or maintenance of such Product-Specific Patents [***]. If [***] elects to continue prosecution or maintenance of such Product-Specific Patents, [***] shall execute documents in a timely manner as may be reasonably necessary to allow [***] to continue such prosecution or maintenance.</w:t>
      </w:r>
    </w:p>
    <w:p>
      <w:pPr>
        <w:pStyle w:val="TextBody"/>
        <w:spacing w:lineRule="auto" w:line="240" w:before="0" w:after="240"/>
        <w:ind w:left="0" w:right="0" w:hanging="720"/>
        <w:jc w:val="both"/>
        <w:rPr/>
      </w:pPr>
      <w:r>
        <w:rPr>
          <w:rFonts w:ascii="Times New Roman;sans-serif" w:hAnsi="Times New Roman;sans-serif"/>
          <w:b/>
          <w:color w:val="000000"/>
          <w:sz w:val="22"/>
        </w:rPr>
        <w:t>9.1.2Joint Patents.</w:t>
      </w:r>
      <w:r>
        <w:rPr>
          <w:color w:val="000000"/>
        </w:rPr>
        <w:t xml:space="preserve"> </w:t>
      </w:r>
      <w:r>
        <w:rPr>
          <w:rFonts w:ascii="Times New Roman;sans-serif" w:hAnsi="Times New Roman;sans-serif"/>
          <w:b w:val="false"/>
          <w:color w:val="000000"/>
          <w:sz w:val="22"/>
        </w:rPr>
        <w:t xml:space="preserve">[***] shall have the first right, but not the obligation, to prepare, file, prosecute, and maintain patents and patent applications claiming Joint Agreement Information and Inventions. [***] shall give [***] at least [***] to review the text of any patent application and a reasonable opportunity to review any other material filing before submission, [***], and shall supply [***] with a copy of the application and other material filings as filed, together with notice of its filing date and serial number. [***] shall keep [***] regularly advised of the status of the Joint Patents[***]. [***] shall promptly give notice to [***] of the grant, lapse, or invalidation of any Joint Patents. [***] shall give notice to Daré of any desire to cease prosecution or maintenance, or abandonment, of Joint Patents [***] in the Territory, and shall permit [***] to continue prosecution or maintenance of such Joint Patents [***]. If [***] elects to continue prosecution or maintenance of such Joint Patents, [***] shall execute documents in a timely manner as may be reasonably necessary to allow [***] to continue such prosecution or maintenance. </w:t>
      </w:r>
    </w:p>
    <w:p>
      <w:pPr>
        <w:pStyle w:val="TextBody"/>
        <w:spacing w:lineRule="auto" w:line="240" w:before="0" w:after="240"/>
        <w:ind w:left="0" w:right="0" w:hanging="720"/>
        <w:jc w:val="both"/>
        <w:rPr/>
      </w:pPr>
      <w:r>
        <w:rPr>
          <w:rFonts w:ascii="Times New Roman;sans-serif" w:hAnsi="Times New Roman;sans-serif"/>
          <w:b/>
          <w:color w:val="000000"/>
          <w:sz w:val="22"/>
        </w:rPr>
        <w:t>9.1.3Patent Term Extension.</w:t>
      </w:r>
      <w:r>
        <w:rPr>
          <w:color w:val="000000"/>
        </w:rPr>
        <w:t xml:space="preserve"> </w:t>
      </w:r>
      <w:r>
        <w:rPr>
          <w:rFonts w:ascii="Times New Roman;sans-serif" w:hAnsi="Times New Roman;sans-serif"/>
          <w:b w:val="false"/>
          <w:color w:val="000000"/>
          <w:sz w:val="22"/>
        </w:rPr>
        <w:t>The Parties shall cooperate fully with each other to provide necessary information and assistance, as the other Party may reasonably request, in obtaining patent term extension or supplemental protection certificates or their equivalents in any country in the Territory where applicable to Product-Specific Patents and Joint Patents. [***]</w:t>
      </w:r>
    </w:p>
    <w:p>
      <w:pPr>
        <w:pStyle w:val="TextBody"/>
        <w:spacing w:lineRule="auto" w:line="240" w:before="0" w:after="240"/>
        <w:ind w:left="0" w:right="0" w:hanging="720"/>
        <w:jc w:val="both"/>
        <w:rPr/>
      </w:pPr>
      <w:r>
        <w:rPr>
          <w:rFonts w:ascii="Times New Roman;sans-serif" w:hAnsi="Times New Roman;sans-serif"/>
          <w:b/>
          <w:color w:val="000000"/>
          <w:sz w:val="22"/>
        </w:rPr>
        <w:t>9.1.4Other Cooperation.</w:t>
      </w:r>
      <w:r>
        <w:rPr>
          <w:color w:val="000000"/>
        </w:rPr>
        <w:t xml:space="preserve"> </w:t>
      </w:r>
      <w:r>
        <w:rPr>
          <w:rFonts w:ascii="Times New Roman;sans-serif" w:hAnsi="Times New Roman;sans-serif"/>
          <w:b w:val="false"/>
          <w:color w:val="000000"/>
          <w:sz w:val="22"/>
        </w:rPr>
        <w:t xml:space="preserve">The Parties agree to cooperate fully and provide any information and assistance that either may reasonably request for the filing, prosecution and maintenance of Daré Patents and Joint Patents. The Parties will, and will cause their Affiliates to, cooperate and implement reasonable patent filing and prosecution strategies (including filing divisionals, continuations, or otherwise) so that, to the extent reasonably feasible, Daré Patents and Joint Patents are pursued in mutually exclusive patent applications of the other Party’s Patents. Such prosecution strategies will include the obligation of each Party to refrain from the use of statements that disparage the other Party’s Patents. The Parties further agree to take reasonable actions to maximize the protections available under the safe harbor provisions of 35 U.S.C. § 102(c) for U.S. patents and patent applications. </w:t>
      </w:r>
    </w:p>
    <w:p>
      <w:pPr>
        <w:pStyle w:val="TextBody"/>
        <w:spacing w:lineRule="auto" w:line="240" w:before="0" w:after="240"/>
        <w:ind w:left="0" w:right="0" w:hanging="720"/>
        <w:jc w:val="both"/>
        <w:rPr/>
      </w:pPr>
      <w:r>
        <w:rPr>
          <w:rFonts w:ascii="Times New Roman;sans-serif" w:hAnsi="Times New Roman;sans-serif"/>
          <w:b/>
          <w:color w:val="000000"/>
          <w:sz w:val="22"/>
        </w:rPr>
        <w:t xml:space="preserve">9.1.5Filing, Prosecution and Maintenance </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With respect to all filing, prosecution and maintenance activities under this Section 9.1, the filing or prosecuting Party shall be responsible [***].</w:t>
      </w:r>
    </w:p>
    <w:p>
      <w:pPr>
        <w:pStyle w:val="TextBody"/>
        <w:spacing w:lineRule="auto" w:line="240" w:before="0" w:after="240"/>
        <w:ind w:left="0" w:right="0" w:hanging="720"/>
        <w:jc w:val="both"/>
        <w:rPr/>
      </w:pPr>
      <w:r>
        <w:rPr>
          <w:rFonts w:ascii="Times New Roman;sans-serif" w:hAnsi="Times New Roman;sans-serif"/>
          <w:b/>
          <w:color w:val="000000"/>
          <w:sz w:val="22"/>
        </w:rPr>
        <w:t>9.1.6Inventor Remuneration.</w:t>
      </w:r>
      <w:r>
        <w:rPr>
          <w:color w:val="000000"/>
        </w:rPr>
        <w:t xml:space="preserve"> </w:t>
      </w:r>
      <w:r>
        <w:rPr>
          <w:rFonts w:ascii="Times New Roman;sans-serif" w:hAnsi="Times New Roman;sans-serif"/>
          <w:b w:val="false"/>
          <w:color w:val="000000"/>
          <w:sz w:val="22"/>
        </w:rPr>
        <w:t>Daré shall comply with all applicable country-specific inventor remuneration laws and regulations associated with Daré Owned Patents when inventor remuneration obligations are triggered by an employee of Daré or its Affiliates, or a Third Party acting on behalf of Daré or its Affiliates.</w:t>
      </w:r>
    </w:p>
    <w:p>
      <w:pPr>
        <w:pStyle w:val="TextBody"/>
        <w:spacing w:lineRule="auto" w:line="240" w:before="0" w:after="240"/>
        <w:ind w:left="0" w:right="0" w:hanging="720"/>
        <w:jc w:val="both"/>
        <w:rPr/>
      </w:pPr>
      <w:r>
        <w:rPr>
          <w:rFonts w:ascii="Times New Roman;sans-serif" w:hAnsi="Times New Roman;sans-serif"/>
          <w:b/>
          <w:color w:val="000000"/>
          <w:sz w:val="22"/>
        </w:rPr>
        <w:t>9.1.7</w:t>
      </w:r>
      <w:r>
        <w:rPr>
          <w:rFonts w:ascii="Times New Roman;sans-serif" w:hAnsi="Times New Roman;sans-serif"/>
          <w:b w:val="false"/>
          <w:color w:val="000000"/>
          <w:sz w:val="22"/>
        </w:rPr>
        <w:t xml:space="preserve">[***] </w:t>
      </w:r>
      <w:r>
        <w:rPr>
          <w:rFonts w:ascii="Times New Roman;sans-serif" w:hAnsi="Times New Roman;sans-serif"/>
          <w:b/>
          <w:color w:val="000000"/>
          <w:sz w:val="22"/>
        </w:rPr>
        <w:t>Patents.</w:t>
      </w:r>
      <w:r>
        <w:rPr>
          <w:color w:val="000000"/>
        </w:rPr>
        <w:t xml:space="preserve"> </w:t>
      </w:r>
      <w:r>
        <w:rPr>
          <w:rFonts w:ascii="Times New Roman;sans-serif" w:hAnsi="Times New Roman;sans-serif"/>
          <w:b w:val="false"/>
          <w:color w:val="000000"/>
          <w:sz w:val="22"/>
        </w:rPr>
        <w:t xml:space="preserve">As between the Parties, [***] shall have the exclusive right to file Patent applications [***] and to prosecute, maintain, seek patent term extensions and abandon such Patents, and to conduct or defend against any interference, derivation proceeding, opposition, reexamination requested by a Third Party, </w:t>
      </w:r>
      <w:r>
        <w:rPr>
          <w:rFonts w:ascii="Times New Roman;sans-serif" w:hAnsi="Times New Roman;sans-serif"/>
          <w:b w:val="false"/>
          <w:i/>
          <w:color w:val="000000"/>
          <w:sz w:val="22"/>
        </w:rPr>
        <w:t>inter partes</w:t>
      </w:r>
      <w:r>
        <w:rPr>
          <w:color w:val="000000"/>
        </w:rPr>
        <w:t xml:space="preserve"> </w:t>
      </w:r>
      <w:r>
        <w:rPr>
          <w:rFonts w:ascii="Times New Roman;sans-serif" w:hAnsi="Times New Roman;sans-serif"/>
          <w:b w:val="false"/>
          <w:color w:val="000000"/>
          <w:sz w:val="22"/>
        </w:rPr>
        <w:t>review, post-grant review or similar contested administrative proceeding involving a Third Party relating to any of the foregoing[***].</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24890"/>
                <wp:effectExtent l="0" t="0" r="0" b="0"/>
                <wp:wrapNone/>
                <wp:docPr id="83" name="Frame82"/>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9.1.8</w:t>
      </w:r>
      <w:r>
        <w:rPr>
          <w:rFonts w:ascii="Times New Roman;sans-serif" w:hAnsi="Times New Roman;sans-serif"/>
          <w:b w:val="false"/>
          <w:color w:val="000000"/>
          <w:sz w:val="22"/>
        </w:rPr>
        <w:t xml:space="preserve">[***] </w:t>
      </w:r>
      <w:r>
        <w:rPr>
          <w:rFonts w:ascii="Times New Roman;sans-serif" w:hAnsi="Times New Roman;sans-serif"/>
          <w:b/>
          <w:color w:val="000000"/>
          <w:sz w:val="22"/>
        </w:rPr>
        <w:t>Patents.</w:t>
      </w:r>
      <w:r>
        <w:rPr>
          <w:color w:val="000000"/>
        </w:rPr>
        <w:t xml:space="preserve"> </w:t>
      </w:r>
      <w:r>
        <w:rPr>
          <w:rFonts w:ascii="Times New Roman;sans-serif" w:hAnsi="Times New Roman;sans-serif"/>
          <w:b w:val="false"/>
          <w:color w:val="000000"/>
          <w:sz w:val="22"/>
        </w:rPr>
        <w:t xml:space="preserve">As between the Parties, with respect to [***] shall have the exclusive right to file Patent applications and to prosecute, maintain, seek patent term extensions and abandon Patents, and to conduct or defend against any interference, derivation proceeding, opposition, reexamination requested by a Third Party, </w:t>
      </w:r>
      <w:r>
        <w:rPr>
          <w:rFonts w:ascii="Times New Roman;sans-serif" w:hAnsi="Times New Roman;sans-serif"/>
          <w:b w:val="false"/>
          <w:i/>
          <w:color w:val="000000"/>
          <w:sz w:val="22"/>
        </w:rPr>
        <w:t>inter partes</w:t>
      </w:r>
      <w:r>
        <w:rPr>
          <w:color w:val="000000"/>
        </w:rPr>
        <w:t xml:space="preserve"> </w:t>
      </w:r>
      <w:r>
        <w:rPr>
          <w:rFonts w:ascii="Times New Roman;sans-serif" w:hAnsi="Times New Roman;sans-serif"/>
          <w:b w:val="false"/>
          <w:color w:val="000000"/>
          <w:sz w:val="22"/>
        </w:rPr>
        <w:t xml:space="preserve">review, post-grant review or similar contested administrative proceeding relating to any of the foregoing[***]. </w:t>
      </w:r>
    </w:p>
    <w:p>
      <w:pPr>
        <w:pStyle w:val="TextBody"/>
        <w:spacing w:lineRule="auto" w:line="240" w:before="0" w:after="240"/>
        <w:ind w:left="0" w:right="0" w:hanging="720"/>
        <w:jc w:val="both"/>
        <w:rPr/>
      </w:pPr>
      <w:r>
        <w:rPr>
          <w:rFonts w:ascii="Times New Roman;sans-serif" w:hAnsi="Times New Roman;sans-serif"/>
          <w:b/>
          <w:color w:val="000000"/>
          <w:sz w:val="22"/>
        </w:rPr>
        <w:t>9.1.9    Decision Not to Prosecute.</w:t>
      </w:r>
      <w:r>
        <w:rPr>
          <w:color w:val="000000"/>
        </w:rPr>
        <w:t xml:space="preserve"> </w:t>
      </w:r>
      <w:r>
        <w:rPr>
          <w:rFonts w:ascii="Times New Roman;sans-serif" w:hAnsi="Times New Roman;sans-serif"/>
          <w:b w:val="false"/>
          <w:color w:val="000000"/>
          <w:sz w:val="22"/>
        </w:rPr>
        <w:t xml:space="preserve">In the event that [***] decides not to prepare, file, prosecute, or maintain any Product-Specific Patent in any country or jurisdiction, [***] shall provide reasonable prior written notice to [***] of such intention (which notice shall, in any event, be given no later than [***] prior to the next deadline for any action that may be taken with respect to such Product-Specific Patent in such country or jurisdiction). [***] shall thereupon have the option, in its sole discretion, to assume the control and direction of the preparation, filing, prosecution, and maintenance of such Product-Specific Patent at its expense in such country or jurisdiction. If [***] exercises this option, it shall promptly notify [***] thereof, and provide written instructions to [***] to transfer control of such Product-Specific Patent to counsel instructed by [***]. </w:t>
      </w:r>
    </w:p>
    <w:p>
      <w:pPr>
        <w:pStyle w:val="TextBody"/>
        <w:spacing w:lineRule="auto" w:line="240" w:before="0" w:after="240"/>
        <w:ind w:left="0" w:right="0" w:hanging="720"/>
        <w:jc w:val="both"/>
        <w:rPr/>
      </w:pPr>
      <w:r>
        <w:rPr>
          <w:rFonts w:ascii="Times New Roman;sans-serif" w:hAnsi="Times New Roman;sans-serif"/>
          <w:b/>
          <w:color w:val="000000"/>
          <w:sz w:val="22"/>
        </w:rPr>
        <w:t xml:space="preserve">9.2Interference, Derivation, Opposition, Reexamination, Reissue, Supplemental Examination, </w:t>
      </w:r>
      <w:r>
        <w:rPr>
          <w:rFonts w:ascii="Times New Roman;sans-serif" w:hAnsi="Times New Roman;sans-serif"/>
          <w:b/>
          <w:i/>
          <w:color w:val="000000"/>
          <w:sz w:val="22"/>
        </w:rPr>
        <w:t>Inter Partes</w:t>
      </w:r>
      <w:r>
        <w:rPr>
          <w:color w:val="000000"/>
        </w:rPr>
        <w:t xml:space="preserve"> </w:t>
      </w:r>
      <w:r>
        <w:rPr>
          <w:rFonts w:ascii="Times New Roman;sans-serif" w:hAnsi="Times New Roman;sans-serif"/>
          <w:b/>
          <w:color w:val="000000"/>
          <w:sz w:val="22"/>
        </w:rPr>
        <w:t>Review and Post-Grant Review Proceedings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 xml:space="preserve">9.2.1Third Party Initiated Proceedings. </w:t>
      </w:r>
      <w:r>
        <w:rPr>
          <w:rFonts w:ascii="Times New Roman;sans-serif" w:hAnsi="Times New Roman;sans-serif"/>
          <w:b w:val="false"/>
          <w:color w:val="000000"/>
          <w:sz w:val="22"/>
        </w:rPr>
        <w:t xml:space="preserve">Each Party shall, within [***] after learning of such event, inform the other Party of any request for, or filing or declaration of, any interference, derivation proceeding, opposition, reexamination requested by a Third Party, </w:t>
      </w:r>
      <w:r>
        <w:rPr>
          <w:rFonts w:ascii="Times New Roman;sans-serif" w:hAnsi="Times New Roman;sans-serif"/>
          <w:b w:val="false"/>
          <w:i/>
          <w:color w:val="000000"/>
          <w:sz w:val="22"/>
        </w:rPr>
        <w:t>inter partes</w:t>
      </w:r>
      <w:r>
        <w:rPr>
          <w:color w:val="000000"/>
        </w:rPr>
        <w:t xml:space="preserve"> </w:t>
      </w:r>
      <w:r>
        <w:rPr>
          <w:rFonts w:ascii="Times New Roman;sans-serif" w:hAnsi="Times New Roman;sans-serif"/>
          <w:b w:val="false"/>
          <w:color w:val="000000"/>
          <w:sz w:val="22"/>
        </w:rPr>
        <w:t>review, post-grant review or similar contested administrative proceeding involving a Third Party relating to Daré Patents or Joint Patents. [***] shall have the first right, but not the obligation, to control such proceedings with respect to Product-Specific Patents, and Joint Patents, [***].</w:t>
      </w:r>
    </w:p>
    <w:p>
      <w:pPr>
        <w:pStyle w:val="TextBody"/>
        <w:spacing w:lineRule="auto" w:line="240" w:before="0" w:after="240"/>
        <w:ind w:left="0" w:right="0" w:hanging="720"/>
        <w:jc w:val="both"/>
        <w:rPr/>
      </w:pPr>
      <w:r>
        <w:rPr>
          <w:rFonts w:ascii="Times New Roman;sans-serif" w:hAnsi="Times New Roman;sans-serif"/>
          <w:b/>
          <w:color w:val="000000"/>
          <w:sz w:val="22"/>
        </w:rPr>
        <w:t>9.2.2Party Initiated Proceedings.</w:t>
      </w:r>
      <w:r>
        <w:rPr>
          <w:color w:val="000000"/>
        </w:rPr>
        <w:t xml:space="preserve"> </w:t>
      </w:r>
      <w:r>
        <w:rPr>
          <w:rFonts w:ascii="Times New Roman;sans-serif" w:hAnsi="Times New Roman;sans-serif"/>
          <w:b w:val="false"/>
          <w:color w:val="000000"/>
          <w:sz w:val="22"/>
        </w:rPr>
        <w:t>[***] shall have the first right, but not the obligation, to initiate a reexamination, supplemental examination, reissue or similar administrative proceeding relating to Product-Specific Patents or Joint Patents [***].</w:t>
      </w:r>
    </w:p>
    <w:p>
      <w:pPr>
        <w:pStyle w:val="TextBody"/>
        <w:spacing w:lineRule="auto" w:line="240" w:before="0" w:after="240"/>
        <w:ind w:left="0" w:right="0" w:hanging="720"/>
        <w:jc w:val="both"/>
        <w:rPr/>
      </w:pPr>
      <w:r>
        <w:rPr>
          <w:rFonts w:ascii="Times New Roman;sans-serif" w:hAnsi="Times New Roman;sans-serif"/>
          <w:b/>
          <w:color w:val="000000"/>
          <w:sz w:val="22"/>
        </w:rPr>
        <w:t>9.2.3Cooperation.</w:t>
      </w:r>
      <w:r>
        <w:rPr>
          <w:color w:val="000000"/>
        </w:rPr>
        <w:t xml:space="preserve"> </w:t>
      </w:r>
      <w:r>
        <w:rPr>
          <w:rFonts w:ascii="Times New Roman;sans-serif" w:hAnsi="Times New Roman;sans-serif"/>
          <w:b w:val="false"/>
          <w:color w:val="000000"/>
          <w:sz w:val="22"/>
        </w:rPr>
        <w:t xml:space="preserve">In connection with any administrative proceeding under Sections 9.2.1 or 9.2.2, Organon and Daré shall cooperate fully and provide each other with any information or assistance that either may reasonably request. [***] </w:t>
      </w:r>
    </w:p>
    <w:p>
      <w:pPr>
        <w:pStyle w:val="TextBody"/>
        <w:spacing w:lineRule="auto" w:line="240" w:before="0" w:after="240"/>
        <w:ind w:left="0" w:right="0" w:hanging="720"/>
        <w:jc w:val="both"/>
        <w:rPr/>
      </w:pPr>
      <w:r>
        <w:rPr>
          <w:rFonts w:ascii="Times New Roman;sans-serif" w:hAnsi="Times New Roman;sans-serif"/>
          <w:b/>
          <w:color w:val="000000"/>
          <w:sz w:val="22"/>
        </w:rPr>
        <w:t>9.2.4</w:t>
      </w:r>
      <w:r>
        <w:rPr>
          <w:color w:val="000000"/>
        </w:rPr>
        <w:t xml:space="preserve"> </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9.3Enforcement and Defense</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9.3.1Notice; [***] First Right.</w:t>
      </w:r>
      <w:r>
        <w:rPr>
          <w:color w:val="000000"/>
        </w:rPr>
        <w:t xml:space="preserve"> </w:t>
      </w:r>
      <w:r>
        <w:rPr>
          <w:rFonts w:ascii="Times New Roman;sans-serif" w:hAnsi="Times New Roman;sans-serif"/>
          <w:b w:val="false"/>
          <w:color w:val="000000"/>
          <w:sz w:val="22"/>
        </w:rPr>
        <w:t xml:space="preserve">The Parties shall give notice to each other promptly upon becoming aware of either (a) any infringement of Daré Patents or Joint Patents, or (b) any misappropriation or misuse of Daré Know-How. With respect to Product-Specific Patents and Joint Patents, [***]. After the Effective Date, [***] shall have the first right, but not the obligation, to initiate and prosecute such legal action within the Field at its own expense and in the name of [***] and to control the defense of any declaratory judgment action relating to Product-Specific Patents or Joint Patents[***]. </w:t>
      </w:r>
    </w:p>
    <w:p>
      <w:pPr>
        <w:pStyle w:val="TextBody"/>
        <w:spacing w:lineRule="auto" w:line="240" w:before="0" w:after="240"/>
        <w:ind w:left="0" w:right="0" w:hanging="720"/>
        <w:jc w:val="both"/>
        <w:rPr/>
      </w:pPr>
      <w:r>
        <w:rPr>
          <w:rFonts w:ascii="Times New Roman;sans-serif" w:hAnsi="Times New Roman;sans-serif"/>
          <w:b/>
          <w:color w:val="000000"/>
          <w:sz w:val="22"/>
        </w:rPr>
        <w:t>9.3.2</w:t>
      </w:r>
      <w:r>
        <w:rPr>
          <w:rFonts w:ascii="Times New Roman;sans-serif" w:hAnsi="Times New Roman;sans-serif"/>
          <w:b w:val="false"/>
          <w:color w:val="000000"/>
          <w:sz w:val="22"/>
        </w:rPr>
        <w:t xml:space="preserve">[***] </w:t>
      </w:r>
      <w:r>
        <w:rPr>
          <w:rFonts w:ascii="Times New Roman;sans-serif" w:hAnsi="Times New Roman;sans-serif"/>
          <w:b/>
          <w:color w:val="000000"/>
          <w:sz w:val="22"/>
        </w:rPr>
        <w:t>Backup Right.</w:t>
      </w:r>
      <w:r>
        <w:rPr>
          <w:color w:val="000000"/>
        </w:rPr>
        <w:t xml:space="preserve"> </w:t>
      </w:r>
      <w:r>
        <w:rPr>
          <w:rFonts w:ascii="Times New Roman;sans-serif" w:hAnsi="Times New Roman;sans-serif"/>
          <w:b w:val="false"/>
          <w:color w:val="000000"/>
          <w:sz w:val="22"/>
        </w:rPr>
        <w:t xml:space="preserve">[***] shall promptly inform [***] if [***] elects not to exercise its first right under Section 9.3.1 to initiate and prosecute legal action, and [***] shall thereafter have the right, at its own cost and expense, to either initiate and prosecute such action or to control the defense of such declaratory judgment action [***]. [***] shall have the right to be represented by counsel of its own choice [***]. </w:t>
      </w:r>
    </w:p>
    <w:p>
      <w:pPr>
        <w:pStyle w:val="TextBody"/>
        <w:spacing w:lineRule="auto" w:line="240" w:before="0" w:after="240"/>
        <w:ind w:left="0" w:right="0" w:hanging="720"/>
        <w:jc w:val="both"/>
        <w:rPr/>
      </w:pPr>
      <w:r>
        <w:rPr>
          <w:rFonts w:ascii="Times New Roman;sans-serif" w:hAnsi="Times New Roman;sans-serif"/>
          <w:b/>
          <w:color w:val="000000"/>
          <w:sz w:val="22"/>
        </w:rPr>
        <w:t>9.3.3Joinder.</w:t>
      </w:r>
      <w:r>
        <w:rPr>
          <w:color w:val="000000"/>
        </w:rPr>
        <w:t xml:space="preserve"> </w:t>
      </w:r>
      <w:r>
        <w:rPr>
          <w:rFonts w:ascii="Times New Roman;sans-serif" w:hAnsi="Times New Roman;sans-serif"/>
          <w:b w:val="false"/>
          <w:color w:val="000000"/>
          <w:sz w:val="22"/>
        </w:rPr>
        <w:t xml:space="preserve">For any action to enforce any infringement of Product-Specific Patents or Joint Patents against a Third Party, in the event that a Party is unable, as a matter of law, to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24890"/>
                <wp:effectExtent l="0" t="0" r="0" b="0"/>
                <wp:wrapNone/>
                <wp:docPr id="84" name="Frame83"/>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initiate or prosecute such action solely in its own name, the other Party will [***] join such action voluntarily and will execute and cause its Affiliates to execute all documents necessary for the Party to initiate litigation to prosecute and maintain such action under this Section 9.3. In connection with any action or potential action, Organon and Daré will cooperate fully and will provide each other with any information or assistance that either may reasonably request[***]. Each Party shall keep the other informed of developments in any action or proceeding. In connection with any defense pursuant to this Section 9.3.3, the controlling Party shall (a) [***], (b) keep the other Party reasonably informed of material steps taken in the course of such defense, and (c) provide copies of all documents filed in connection with such defense.</w:t>
      </w:r>
    </w:p>
    <w:p>
      <w:pPr>
        <w:pStyle w:val="TextBody"/>
        <w:spacing w:lineRule="auto" w:line="240" w:before="0" w:after="240"/>
        <w:ind w:left="0" w:right="0" w:hanging="720"/>
        <w:jc w:val="both"/>
        <w:rPr/>
      </w:pPr>
      <w:r>
        <w:rPr>
          <w:rFonts w:ascii="Times New Roman;sans-serif" w:hAnsi="Times New Roman;sans-serif"/>
          <w:b/>
          <w:color w:val="000000"/>
          <w:sz w:val="22"/>
        </w:rPr>
        <w:t>9.3.4Recoveries.</w:t>
      </w:r>
      <w:r>
        <w:rPr>
          <w:color w:val="000000"/>
        </w:rPr>
        <w:t xml:space="preserve"> </w:t>
      </w:r>
      <w:r>
        <w:rPr>
          <w:rFonts w:ascii="Times New Roman;sans-serif" w:hAnsi="Times New Roman;sans-serif"/>
          <w:b w:val="false"/>
          <w:color w:val="000000"/>
          <w:sz w:val="22"/>
        </w:rPr>
        <w:t>Any recovery obtained by either or both Organon and Daré in connection with or as a result of any action contemplated by this Section 9.3, whether by settlement or otherwise, shall be shared in order as follows:</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xml:space="preserve">the amount of any recovery remaining shall then [***]. </w:t>
      </w:r>
    </w:p>
    <w:p>
      <w:pPr>
        <w:pStyle w:val="TextBody"/>
        <w:spacing w:lineRule="auto" w:line="240" w:before="0" w:after="240"/>
        <w:ind w:left="0" w:right="0" w:hanging="720"/>
        <w:jc w:val="both"/>
        <w:rPr/>
      </w:pPr>
      <w:r>
        <w:rPr>
          <w:rFonts w:ascii="Times New Roman;sans-serif" w:hAnsi="Times New Roman;sans-serif"/>
          <w:b/>
          <w:color w:val="000000"/>
          <w:sz w:val="22"/>
        </w:rPr>
        <w:t>9.3.5Generic Certification.</w:t>
      </w:r>
      <w:r>
        <w:rPr>
          <w:color w:val="000000"/>
        </w:rPr>
        <w:t xml:space="preserve"> </w:t>
      </w:r>
      <w:r>
        <w:rPr>
          <w:rFonts w:ascii="Times New Roman;sans-serif" w:hAnsi="Times New Roman;sans-serif"/>
          <w:b w:val="false"/>
          <w:color w:val="000000"/>
          <w:sz w:val="22"/>
        </w:rPr>
        <w:t>Each Party shall inform the other Party of any notice of certification regarding any Daré Patents or Joint Patents it has received pursuant to either 21 U.S.C. §§ 355(b)(2)(A)(iv) or (j)(2)(A)(vii)(IV), or its successor provisions or any similar provisions in a country in the Territory other than the United States, and shall provide a copy of such notice of certification within [***] after its receipt. [***] has the first right, but not the obligation, to initiate and prosecute any legal action as a result of such notice of certification with respect to Product-Specific Patents or Joint Patents; provided, however, that [***] shall inform [***] of such decision to initiate such action within [***]after its receipt of the notice of certification, after which time, [***]. Regardless of which Party has the right to initiate and prosecute such action, both Parties shall, as soon as practicable after receiving notice of such notice of certification, convene and consult with each other regarding the appropriate course of conduct for such action. The non-initiating Party shall [***]. Daré’s and Organon’s rights and obligations with respect to the prosecution of any legal action as a result of such notice of certification and any recovery obtained as a result of such legal action shall be as defined in Sections 9.3.3 and 9.3.4.</w:t>
      </w:r>
    </w:p>
    <w:p>
      <w:pPr>
        <w:pStyle w:val="TextBody"/>
        <w:spacing w:lineRule="auto" w:line="240" w:before="0" w:after="240"/>
        <w:ind w:left="0" w:right="0" w:hanging="720"/>
        <w:jc w:val="both"/>
        <w:rPr/>
      </w:pPr>
      <w:r>
        <w:rPr>
          <w:rFonts w:ascii="Times New Roman;sans-serif" w:hAnsi="Times New Roman;sans-serif"/>
          <w:b/>
          <w:color w:val="000000"/>
          <w:sz w:val="22"/>
        </w:rPr>
        <w:t>9.3.6Organon Patents.</w:t>
      </w:r>
      <w:r>
        <w:rPr>
          <w:color w:val="000000"/>
        </w:rPr>
        <w:t xml:space="preserve"> </w:t>
      </w:r>
      <w:r>
        <w:rPr>
          <w:rFonts w:ascii="Times New Roman;sans-serif" w:hAnsi="Times New Roman;sans-serif"/>
          <w:b w:val="false"/>
          <w:color w:val="000000"/>
          <w:sz w:val="22"/>
        </w:rPr>
        <w:t>As between the Parties, Organon shall have the exclusive right to enforce any of the rights in the Organon Patents and Organon Know-How, in each case in its sole discretion.</w:t>
      </w:r>
    </w:p>
    <w:p>
      <w:pPr>
        <w:pStyle w:val="TextBody"/>
        <w:spacing w:lineRule="auto" w:line="240" w:before="0" w:after="240"/>
        <w:ind w:left="0" w:right="0" w:hanging="720"/>
        <w:jc w:val="both"/>
        <w:rPr/>
      </w:pPr>
      <w:r>
        <w:rPr>
          <w:rFonts w:ascii="Times New Roman;sans-serif" w:hAnsi="Times New Roman;sans-serif"/>
          <w:b/>
          <w:color w:val="000000"/>
          <w:sz w:val="22"/>
        </w:rPr>
        <w:t>9.3.7Other Daré Patents.</w:t>
      </w:r>
      <w:r>
        <w:rPr>
          <w:color w:val="000000"/>
        </w:rPr>
        <w:t xml:space="preserve"> </w:t>
      </w:r>
      <w:r>
        <w:rPr>
          <w:rFonts w:ascii="Times New Roman;sans-serif" w:hAnsi="Times New Roman;sans-serif"/>
          <w:b w:val="false"/>
          <w:color w:val="000000"/>
          <w:sz w:val="22"/>
        </w:rPr>
        <w:t>As between the Parties, Daré shall have the exclusive right to enforce any of the rights in the Daré Patents that are not Product-Specific Patents or Joint Patents, in each case in its sole discretion.</w:t>
      </w:r>
    </w:p>
    <w:p>
      <w:pPr>
        <w:pStyle w:val="TextBody"/>
        <w:spacing w:lineRule="auto" w:line="240" w:before="0" w:after="240"/>
        <w:ind w:left="0" w:right="0" w:hanging="720"/>
        <w:jc w:val="both"/>
        <w:rPr/>
      </w:pPr>
      <w:r>
        <w:rPr>
          <w:rFonts w:ascii="Times New Roman;sans-serif" w:hAnsi="Times New Roman;sans-serif"/>
          <w:b/>
          <w:color w:val="000000"/>
          <w:sz w:val="22"/>
        </w:rPr>
        <w:t>9.4Orange Book Listings</w:t>
      </w:r>
      <w:r>
        <w:rPr>
          <w:rFonts w:ascii="Times New Roman;sans-serif" w:hAnsi="Times New Roman;sans-serif"/>
          <w:b w:val="false"/>
          <w:color w:val="000000"/>
          <w:sz w:val="22"/>
        </w:rPr>
        <w:t>. After the Effective Date, [***] will [***] determine which, if any, of the Product-Specific Patents should be listed in any governmental registers in any country requiring or permitting a listing of patents covering a Licensed Product which has received Marketing Authorization in such country, including, but not limited to, the Orange Book and the Canadian Patent Register. [***]make any such filings and listings, and will have [***].</w:t>
      </w:r>
    </w:p>
    <w:p>
      <w:pPr>
        <w:pStyle w:val="TextBody"/>
        <w:spacing w:lineRule="auto" w:line="240" w:before="0" w:after="240"/>
        <w:ind w:left="0" w:right="0" w:hanging="720"/>
        <w:jc w:val="both"/>
        <w:rPr/>
      </w:pPr>
      <w:r>
        <w:rPr>
          <w:rFonts w:ascii="Times New Roman;sans-serif" w:hAnsi="Times New Roman;sans-serif"/>
          <w:b/>
          <w:color w:val="000000"/>
          <w:sz w:val="22"/>
        </w:rPr>
        <w:t>9.5Infringement of Third Party Patents</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9.5.1Notice</w:t>
      </w:r>
      <w:r>
        <w:rPr>
          <w:rFonts w:ascii="Times New Roman;sans-serif" w:hAnsi="Times New Roman;sans-serif"/>
          <w:b w:val="false"/>
          <w:color w:val="000000"/>
          <w:sz w:val="22"/>
        </w:rPr>
        <w:t xml:space="preserve">. If any claim, suit, or proceeding is brought by a Third Party against either Party, its Affiliates, Sublicensees or its or its Affiliates’ sublicensees, as applicable, alleging patent infringement by such Party, its Affiliates, Sublicensees or its or its Affiliates’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024890"/>
                <wp:effectExtent l="0" t="0" r="0" b="0"/>
                <wp:wrapNone/>
                <wp:docPr id="85" name="Frame8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sublicensees caused by the Exploitation of a Licensed Product, such Party shall promptly notify the other Party in writing. </w:t>
      </w:r>
    </w:p>
    <w:p>
      <w:pPr>
        <w:pStyle w:val="TextBody"/>
        <w:spacing w:lineRule="auto" w:line="240" w:before="0" w:after="240"/>
        <w:ind w:left="0" w:right="0" w:hanging="720"/>
        <w:jc w:val="both"/>
        <w:rPr/>
      </w:pPr>
      <w:r>
        <w:rPr>
          <w:rFonts w:ascii="Times New Roman;sans-serif" w:hAnsi="Times New Roman;sans-serif"/>
          <w:b/>
          <w:color w:val="000000"/>
          <w:sz w:val="22"/>
        </w:rPr>
        <w:t>9.5.2Control and Cooperation</w:t>
      </w:r>
      <w:r>
        <w:rPr>
          <w:rFonts w:ascii="Times New Roman;sans-serif" w:hAnsi="Times New Roman;sans-serif"/>
          <w:b w:val="false"/>
          <w:color w:val="000000"/>
          <w:sz w:val="22"/>
        </w:rPr>
        <w:t xml:space="preserve">. As between the Parties, each Party shall have the right to defend itself against any such claim, suit, or proceeding that names such Party, its Affiliates, Sublicensees or its or its Affiliates’ sublicensees as a defendant. The other Party shall provide such defendant Party with such reasonable assistance in such defense, at the defendant Party’s expense, as the defendant Party may request. The defendant Party shall keep the other Party reasonably informed of all material developments in connection with any such claim, suit, or proceeding. However, if such claim, suit or proceeding is subject to a Party’s obligation to indemnify and hold harmless the other Party in accordance with Sections 8.1 or 8.2, then this Section 9.5.2 shall not apply to such claim, suit or proceeding, and the provisions of Sections 8.1 or 8.2 shall apply. [***]. </w:t>
      </w:r>
    </w:p>
    <w:p>
      <w:pPr>
        <w:pStyle w:val="TextBody"/>
        <w:spacing w:lineRule="auto" w:line="240" w:before="0" w:after="240"/>
        <w:ind w:left="0" w:right="0" w:hanging="720"/>
        <w:jc w:val="both"/>
        <w:rPr/>
      </w:pPr>
      <w:r>
        <w:rPr>
          <w:rFonts w:ascii="Times New Roman;sans-serif" w:hAnsi="Times New Roman;sans-serif"/>
          <w:b/>
          <w:color w:val="000000"/>
          <w:sz w:val="22"/>
        </w:rPr>
        <w:t>9.6</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10TERM AND TERMINATION.</w:t>
      </w:r>
    </w:p>
    <w:p>
      <w:pPr>
        <w:pStyle w:val="TextBody"/>
        <w:spacing w:lineRule="auto" w:line="240" w:before="0" w:after="240"/>
        <w:ind w:left="0" w:right="0" w:hanging="720"/>
        <w:jc w:val="both"/>
        <w:rPr/>
      </w:pPr>
      <w:r>
        <w:rPr>
          <w:rFonts w:ascii="Times New Roman;sans-serif" w:hAnsi="Times New Roman;sans-serif"/>
          <w:b/>
          <w:color w:val="000000"/>
          <w:sz w:val="22"/>
        </w:rPr>
        <w:t>10.1Term and Expiration.</w:t>
      </w:r>
      <w:r>
        <w:rPr>
          <w:color w:val="000000"/>
        </w:rPr>
        <w:t xml:space="preserve"> </w:t>
      </w:r>
      <w:r>
        <w:rPr>
          <w:rFonts w:ascii="Times New Roman;sans-serif" w:hAnsi="Times New Roman;sans-serif"/>
          <w:b w:val="false"/>
          <w:color w:val="000000"/>
          <w:sz w:val="22"/>
        </w:rPr>
        <w:t xml:space="preserve">This Agreement shall be effective as of the Effective Date and unless terminated earlier pursuant to Section 10.2, Section 10.3, Section 10.4 or Section 10.5, this Agreement shall expire on a Licensed Product-by-Licensed Product and country-by-country basis, upon the expiration of the Royalty Period for such Licensed Product in such country, at which point Organon’s license to the applicable Daré Patents and Daré Know-How in the applicable country pursuant to Section 3.1 shall become fully paid-up, irrevocable, perpetual, and survive termination for any reason. </w:t>
      </w:r>
    </w:p>
    <w:p>
      <w:pPr>
        <w:pStyle w:val="TextBody"/>
        <w:spacing w:lineRule="auto" w:line="240" w:before="0" w:after="240"/>
        <w:ind w:left="0" w:right="0" w:hanging="720"/>
        <w:jc w:val="both"/>
        <w:rPr/>
      </w:pPr>
      <w:r>
        <w:rPr>
          <w:rFonts w:ascii="Times New Roman;sans-serif" w:hAnsi="Times New Roman;sans-serif"/>
          <w:b/>
          <w:color w:val="000000"/>
          <w:sz w:val="22"/>
        </w:rPr>
        <w:t>10.2Termination by Organon for Convenience.</w:t>
      </w:r>
      <w:r>
        <w:rPr>
          <w:color w:val="000000"/>
        </w:rPr>
        <w:t xml:space="preserve"> </w:t>
      </w:r>
      <w:r>
        <w:rPr>
          <w:rFonts w:ascii="Times New Roman;sans-serif" w:hAnsi="Times New Roman;sans-serif"/>
          <w:b w:val="false"/>
          <w:color w:val="000000"/>
          <w:sz w:val="22"/>
        </w:rPr>
        <w:t>Following the first (1</w:t>
      </w:r>
      <w:r>
        <w:rPr>
          <w:rFonts w:ascii="Times New Roman;sans-serif" w:hAnsi="Times New Roman;sans-serif"/>
          <w:b w:val="false"/>
          <w:color w:val="000000"/>
          <w:sz w:val="14"/>
        </w:rPr>
        <w:t>st</w:t>
      </w:r>
      <w:r>
        <w:rPr>
          <w:rFonts w:ascii="Times New Roman;sans-serif" w:hAnsi="Times New Roman;sans-serif"/>
          <w:b w:val="false"/>
          <w:color w:val="000000"/>
          <w:sz w:val="22"/>
        </w:rPr>
        <w:t>) anniversary of the Effective Date, Organon shall have the right to terminate this Agreement in its entirety or on a country-by-country basis at any time in its sole discretion by giving one hundred twenty (120) days’ advance written</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notice to Daré. Any termination by Organon under this Section 10.2 can be effected only through a written notice specifically referring to this Section 10.2.</w:t>
      </w:r>
    </w:p>
    <w:p>
      <w:pPr>
        <w:pStyle w:val="TextBody"/>
        <w:spacing w:lineRule="auto" w:line="240" w:before="0" w:after="240"/>
        <w:ind w:left="0" w:right="0" w:hanging="720"/>
        <w:jc w:val="both"/>
        <w:rPr/>
      </w:pPr>
      <w:r>
        <w:rPr>
          <w:rFonts w:ascii="Times New Roman;sans-serif" w:hAnsi="Times New Roman;sans-serif"/>
          <w:b/>
          <w:color w:val="000000"/>
          <w:sz w:val="22"/>
        </w:rPr>
        <w:t>10.3Material Breach; Patent Challenge</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10.3.1Termination for Material Breach</w:t>
      </w:r>
      <w:r>
        <w:rPr>
          <w:rFonts w:ascii="Times New Roman;sans-serif" w:hAnsi="Times New Roman;sans-serif"/>
          <w:b w:val="false"/>
          <w:color w:val="000000"/>
          <w:sz w:val="22"/>
        </w:rPr>
        <w:t>. This Agreement may be terminated at any time during the term of this Agreement upon written notice by either Party if the other Party is in material breach of this Agreement and has not cured such breach within [***] after notice requesting cure of the breach; provided, however, [***].</w:t>
      </w:r>
    </w:p>
    <w:p>
      <w:pPr>
        <w:pStyle w:val="TextBody"/>
        <w:spacing w:lineRule="auto" w:line="240" w:before="0" w:after="240"/>
        <w:ind w:left="0" w:right="0" w:hanging="720"/>
        <w:jc w:val="both"/>
        <w:rPr/>
      </w:pPr>
      <w:r>
        <w:rPr>
          <w:rFonts w:ascii="Times New Roman;sans-serif" w:hAnsi="Times New Roman;sans-serif"/>
          <w:b/>
          <w:color w:val="000000"/>
          <w:sz w:val="22"/>
        </w:rPr>
        <w:t>10.3.2Organon’s Alternative Remedy</w:t>
      </w:r>
      <w:r>
        <w:rPr>
          <w:rFonts w:ascii="Times New Roman;sans-serif" w:hAnsi="Times New Roman;sans-serif"/>
          <w:b w:val="false"/>
          <w:color w:val="000000"/>
          <w:sz w:val="22"/>
        </w:rPr>
        <w:t xml:space="preserve">. If Organon has the right to terminate this Agreement under Section 10.3.1 (either as a result of resolution of a Dispute pursuant to Section 12.7, or because Daré does not dispute Organon’s ability to do so), then in lieu of Organon terminating this Agreement pursuant to Section 10.3.1 [***], Organon may, upon notice to Daré, [***] have this Agreement continue in full force as modified by this Section 10.3.2, in which case, effective as of the date Organon delivers such waiver notice to Daré to exercise this alternative remedy: (i) any milestone payments payable by Organon to Daré shall be reduced by [***]%; (ii) the royalty rates payable by Organon to Daré pursuant to Section 6.3.1 shall be replaced with the royalty rates set forth in clauses (a) through (d) below; (iii) Organon shall be entitled [***], and (iv) all other provisions of this Agreement shall remain in full force and effect without change. </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 of the aggregate of such Net Sales in each Calendar Year up to and including [***] of such Net Sales;</w:t>
      </w:r>
    </w:p>
    <w:p>
      <w:pPr>
        <w:pStyle w:val="TextBody"/>
        <w:spacing w:lineRule="auto" w:line="240" w:before="0" w:after="24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NTD: This time period has been publicly disclosed, including in Daré’s 8-K filed 3/31/2022.</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024890"/>
                <wp:effectExtent l="0" t="0" r="0" b="0"/>
                <wp:wrapNone/>
                <wp:docPr id="86" name="Frame8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xml:space="preserve">[***] of the aggregate of such Net Sales in each Calendar Year greater than [***] of such Net Sales up to and including $50,000,000 of such Net Sales;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 of the aggregate of such Net Sales in each Calendar Year greater than [***] of such Net Sales up to and including [***] of such Net Sales; and</w:t>
      </w:r>
    </w:p>
    <w:p>
      <w:pPr>
        <w:pStyle w:val="TextBody"/>
        <w:spacing w:lineRule="auto" w:line="240" w:before="0" w:after="240"/>
        <w:ind w:left="0" w:right="0" w:hanging="720"/>
        <w:jc w:val="both"/>
        <w:rPr/>
      </w:pPr>
      <w:r>
        <w:rPr>
          <w:rFonts w:ascii="Times New Roman;sans-serif" w:hAnsi="Times New Roman;sans-serif"/>
          <w:b/>
          <w:color w:val="000000"/>
          <w:sz w:val="22"/>
        </w:rPr>
        <w:t>(d)</w:t>
      </w:r>
      <w:r>
        <w:rPr>
          <w:rFonts w:ascii="Times New Roman;sans-serif" w:hAnsi="Times New Roman;sans-serif"/>
          <w:b w:val="false"/>
          <w:color w:val="000000"/>
          <w:sz w:val="22"/>
        </w:rPr>
        <w:t>[***] of the aggregate of such Net Sales in each Calendar Year greater than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Organon notifies Daré that Organon believes it has the right to terminate this Agreement under Section 10.3.1 (whether or not it is at such time electing to do so), then, upon and after such notice, Organon may [***]. If such right to terminate is confirmed, then [***]. If such right to terminate is determined to be incorrect, then [***]. </w:t>
      </w:r>
    </w:p>
    <w:p>
      <w:pPr>
        <w:pStyle w:val="TextBody"/>
        <w:spacing w:lineRule="auto" w:line="240" w:before="0" w:after="240"/>
        <w:ind w:left="0" w:right="0" w:hanging="720"/>
        <w:jc w:val="both"/>
        <w:rPr/>
      </w:pPr>
      <w:r>
        <w:rPr>
          <w:rFonts w:ascii="Times New Roman;sans-serif" w:hAnsi="Times New Roman;sans-serif"/>
          <w:b/>
          <w:color w:val="000000"/>
          <w:sz w:val="22"/>
        </w:rPr>
        <w:t>10.3.3Termination for Patent Challenge</w:t>
      </w:r>
      <w:r>
        <w:rPr>
          <w:rFonts w:ascii="Times New Roman;sans-serif" w:hAnsi="Times New Roman;sans-serif"/>
          <w:b w:val="false"/>
          <w:color w:val="000000"/>
          <w:sz w:val="22"/>
        </w:rPr>
        <w:t>. Daré may terminate this Agreement [***] if Organon or its Affiliate individually or in association with any other Person, asserts[***] a Patent Challenge with respect to [***] other than (a) as permitted in accordance with Section 9.2.2 or (b) as part of a defense or counterclaim to any action brought or threatened by Daré against Organon or any of its Affiliates. If a Sublicensee individually or in association with any other Person, asserts, voluntarily assists or directs a Patent Challenge with respect to [***] and either (i) Organon does not [***] or (ii) such Patent Challenge with respect to such [***] is not stopped and withdrawn within [***] of commencement, then Daré may terminate this Agreement with respect to [***]. “</w:t>
      </w:r>
      <w:r>
        <w:rPr>
          <w:rFonts w:ascii="Times New Roman;sans-serif" w:hAnsi="Times New Roman;sans-serif"/>
          <w:b/>
          <w:color w:val="000000"/>
          <w:sz w:val="22"/>
        </w:rPr>
        <w:t>Patent Challenge</w:t>
      </w:r>
      <w:r>
        <w:rPr>
          <w:color w:val="000000"/>
        </w:rPr>
        <w:t xml:space="preserve">” </w:t>
      </w:r>
      <w:r>
        <w:rPr>
          <w:rFonts w:ascii="Times New Roman;sans-serif" w:hAnsi="Times New Roman;sans-serif"/>
          <w:b w:val="false"/>
          <w:color w:val="000000"/>
          <w:sz w:val="22"/>
        </w:rPr>
        <w:t>means [***].</w:t>
      </w:r>
    </w:p>
    <w:p>
      <w:pPr>
        <w:pStyle w:val="TextBody"/>
        <w:spacing w:lineRule="auto" w:line="240" w:before="0" w:after="240"/>
        <w:ind w:left="0" w:right="0" w:hanging="720"/>
        <w:jc w:val="both"/>
        <w:rPr/>
      </w:pPr>
      <w:r>
        <w:rPr>
          <w:rFonts w:ascii="Times New Roman;sans-serif" w:hAnsi="Times New Roman;sans-serif"/>
          <w:b/>
          <w:color w:val="000000"/>
          <w:sz w:val="22"/>
        </w:rPr>
        <w:t>10.4Termination for Insolvency</w:t>
      </w:r>
      <w:r>
        <w:rPr>
          <w:rFonts w:ascii="Times New Roman;sans-serif" w:hAnsi="Times New Roman;sans-serif"/>
          <w:b w:val="false"/>
          <w:color w:val="000000"/>
          <w:sz w:val="22"/>
        </w:rPr>
        <w:t xml:space="preserve">. This Agreement may be terminated at any time during the term of this Agreement immediately upon written notice by either Party, in the event the other Party files for protection under bankruptcy Applicable Laws, makes an assignment for the benefit of creditors, appoints or suffers appointment of a receiver or trustee over its property, files a petition under any bankruptcy or insolvency act or has any such petition filed against it which is not discharged within [***] of the filing thereof. </w:t>
      </w:r>
    </w:p>
    <w:p>
      <w:pPr>
        <w:pStyle w:val="TextBody"/>
        <w:spacing w:lineRule="auto" w:line="240" w:before="0" w:after="240"/>
        <w:ind w:left="0" w:right="0" w:hanging="720"/>
        <w:jc w:val="both"/>
        <w:rPr/>
      </w:pPr>
      <w:r>
        <w:rPr>
          <w:rFonts w:ascii="Times New Roman;sans-serif" w:hAnsi="Times New Roman;sans-serif"/>
          <w:b/>
          <w:color w:val="000000"/>
          <w:sz w:val="22"/>
        </w:rPr>
        <w:t>10.5Termination for Safety</w:t>
      </w:r>
      <w:r>
        <w:rPr>
          <w:rFonts w:ascii="Times New Roman;sans-serif" w:hAnsi="Times New Roman;sans-serif"/>
          <w:b w:val="false"/>
          <w:color w:val="000000"/>
          <w:sz w:val="22"/>
        </w:rPr>
        <w:t>. This Agreement may be terminated on a Licensed Product-by-Licensed Product basis at any time during the term of this Agreement immediately upon written notice by Organon, if Organon reasonably believes in good faith, after due inquiry and in a manner consistent with Organon’s then-current decision-making process with respect to such a determination (where a reasonable summary of such inquiry and Organon’s conclusions are included in such notice), that Development or commercialization of such Licensed Product should be terminated due to there being a Serious Adverse Event related to such Licensed Product (where such adverse effect was not included in the FDA-approved label for such Licensed Product at the time the Marketing Authorization was obtained for such Licensed Product) that is based upon and demonstrated by (a) preclinical safety data, including data from animal toxicology studies, (b) the observation of one or more Serious Adverse Events in humans after such Licensed Product has been administered to humans, such as during a Clinical Trial of such Licensed Product, or (c) with respect to such Licensed Product, (i) any other safety concern required to be reported under 21 C.F.R. § 312.32(c)(1)(iii) or the equivalent in any non U.S. jurisdiction, or (ii) a material toxicity or material drug safety issue or any other evidence of a Serious Adverse Event reasonably related to a Licensed Product (any of the foregoing reasons, a “</w:t>
      </w:r>
      <w:r>
        <w:rPr>
          <w:rFonts w:ascii="Times New Roman;sans-serif" w:hAnsi="Times New Roman;sans-serif"/>
          <w:b/>
          <w:color w:val="000000"/>
          <w:sz w:val="22"/>
        </w:rPr>
        <w:t>Safety Reason</w:t>
      </w:r>
      <w:r>
        <w:rPr>
          <w:color w:val="000000"/>
        </w:rPr>
        <w:t>”</w:t>
      </w:r>
      <w:r>
        <w:rPr>
          <w:rFonts w:ascii="Times New Roman;sans-serif" w:hAnsi="Times New Roman;sans-serif"/>
          <w:b w:val="false"/>
          <w:color w:val="000000"/>
          <w:sz w:val="22"/>
        </w:rPr>
        <w:t>). If the Parties reasonably disagree as to the existence of a Safety Reason, the Parties’ [***] shall promptly meet, at a mutually convenient time, to discuss and address the disagreement and possible resolution.</w:t>
      </w:r>
    </w:p>
    <w:p>
      <w:pPr>
        <w:pStyle w:val="TextBody"/>
        <w:spacing w:lineRule="auto" w:line="240" w:before="0" w:after="240"/>
        <w:ind w:left="0" w:right="0" w:hanging="720"/>
        <w:jc w:val="both"/>
        <w:rPr/>
      </w:pPr>
      <w:r>
        <w:rPr>
          <w:rFonts w:ascii="Times New Roman;sans-serif" w:hAnsi="Times New Roman;sans-serif"/>
          <w:b/>
          <w:color w:val="000000"/>
          <w:sz w:val="22"/>
        </w:rPr>
        <w:t>10.6Effects of Termination</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10.6.1General Consequences</w:t>
      </w:r>
      <w:r>
        <w:rPr>
          <w:rFonts w:ascii="Times New Roman;sans-serif" w:hAnsi="Times New Roman;sans-serif"/>
          <w:b w:val="false"/>
          <w:color w:val="000000"/>
          <w:sz w:val="22"/>
        </w:rPr>
        <w:t xml:space="preserve">. Upon termination of this Agreement in its entirety, or upon termination for a specific country pursuant to Section 10.2, except for the licenses that are fully paid-up and except for the surviving provisions set forth in this Section 10.6 or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024890"/>
                <wp:effectExtent l="0" t="0" r="0" b="0"/>
                <wp:wrapNone/>
                <wp:docPr id="87" name="Frame86"/>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10.7, the provisions of this Agreement are of no further force or effect as of the effective date of such termination and the terms of this Section 10.6 shall apply.</w:t>
      </w:r>
    </w:p>
    <w:p>
      <w:pPr>
        <w:pStyle w:val="TextBody"/>
        <w:spacing w:lineRule="auto" w:line="240" w:before="0" w:after="240"/>
        <w:ind w:left="0" w:right="0" w:hanging="720"/>
        <w:jc w:val="both"/>
        <w:rPr/>
      </w:pPr>
      <w:r>
        <w:rPr>
          <w:rFonts w:ascii="Times New Roman;sans-serif" w:hAnsi="Times New Roman;sans-serif"/>
          <w:b/>
          <w:color w:val="000000"/>
          <w:sz w:val="22"/>
        </w:rPr>
        <w:t>10.6.2Confidential Information</w:t>
      </w:r>
      <w:r>
        <w:rPr>
          <w:rFonts w:ascii="Times New Roman;sans-serif" w:hAnsi="Times New Roman;sans-serif"/>
          <w:b w:val="false"/>
          <w:color w:val="000000"/>
          <w:sz w:val="22"/>
        </w:rPr>
        <w:t xml:space="preserve">. Upon termination of this Agreement in its entirety, either Party may request in writing, and the other Party shall either promptly return to the requesting Party, or as soon as reasonably practicable delete or destroy, all of the requesting Party’s Information in such other Party’s Control to which such other Party does not retain rights under the surviving provisions of this Agreement;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 xml:space="preserve">such other Party may keep one copy of such materials for legal archival purposes subject to continuing confidentiality obligations, and </w:t>
      </w:r>
      <w:r>
        <w:rPr>
          <w:rFonts w:ascii="Times New Roman;sans-serif" w:hAnsi="Times New Roman;sans-serif"/>
          <w:b w:val="false"/>
          <w:i/>
          <w:color w:val="000000"/>
          <w:sz w:val="22"/>
        </w:rPr>
        <w:t>further provided that</w:t>
      </w:r>
      <w:r>
        <w:rPr>
          <w:rFonts w:ascii="Times New Roman;sans-serif" w:hAnsi="Times New Roman;sans-serif"/>
          <w:b w:val="false"/>
          <w:color w:val="000000"/>
          <w:sz w:val="22"/>
        </w:rPr>
        <w:t>, if any license to Organon is deemed fully paid up at the time of such termination, then Organon shall be entitled to retain Daré’s Information necessary or reasonably useful for the Exploitation of such license. Notwithstanding the foregoing, such other Party also shall be permitted to retain such additional copies of or any computer records or files containing such confidential Information that (a) it is required by Applicable Law to retain (the disclosure of which shall continue to be governed by the provisions of Article 5), or (b) have been created solely by such Party’s automatic archiving and back-up procedures, to the extent created and retained in a manner consistent with such other Party’s standard archiving and back-up procedures, but not for any other use or purpose.</w:t>
      </w:r>
    </w:p>
    <w:p>
      <w:pPr>
        <w:pStyle w:val="TextBody"/>
        <w:spacing w:lineRule="auto" w:line="240" w:before="0" w:after="240"/>
        <w:ind w:left="0" w:right="0" w:hanging="720"/>
        <w:jc w:val="both"/>
        <w:rPr/>
      </w:pPr>
      <w:r>
        <w:rPr>
          <w:rFonts w:ascii="Times New Roman;sans-serif" w:hAnsi="Times New Roman;sans-serif"/>
          <w:b/>
          <w:color w:val="000000"/>
          <w:sz w:val="22"/>
        </w:rPr>
        <w:t>10.6.3Sublicenses</w:t>
      </w:r>
      <w:r>
        <w:rPr>
          <w:rFonts w:ascii="Times New Roman;sans-serif" w:hAnsi="Times New Roman;sans-serif"/>
          <w:b w:val="false"/>
          <w:color w:val="000000"/>
          <w:sz w:val="22"/>
        </w:rPr>
        <w:t xml:space="preserve">. In the event of termination of this Agreement under Section 10.2 or by Daré under Section 10.3 or Section 10.4, at the request of Organon received by Daré by notice within [***] after the effective date of such termination,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such Sublicensee is not then in default of its obligations under its sublicense agreement with Organon, Daré shall consider in good faith whether or not to enter into a license with such Sublicensee granting such Sublicensee rights under the Daré Know-How and Daré Patents (or the subset of the Daré Know-How and Daré Patents that were sublicensed to such Sublicensee), that do not conflict with the remaining rights granted to Organon hereunder, on commercially reasonable terms, and subject to the requirements of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10.6.4Commercial Inventory</w:t>
      </w:r>
      <w:r>
        <w:rPr>
          <w:rFonts w:ascii="Times New Roman;sans-serif" w:hAnsi="Times New Roman;sans-serif"/>
          <w:b w:val="false"/>
          <w:color w:val="000000"/>
          <w:sz w:val="22"/>
        </w:rPr>
        <w:t xml:space="preserve">. In the event of termination of this Agreement for a specific country or termination of this Agreement in its entirety, Organon, its Affiliates and its and their Sublicensees and distributors shall be entitled, during the [***] period immediately following the effective date of such termination, to finish work-in-progress and to sell any Licensed Product remaining in inventory in accordance with the terms of this Agreement; </w:t>
      </w:r>
      <w:r>
        <w:rPr>
          <w:rFonts w:ascii="Times New Roman;sans-serif" w:hAnsi="Times New Roman;sans-serif"/>
          <w:b w:val="false"/>
          <w:i/>
          <w:color w:val="000000"/>
          <w:sz w:val="22"/>
        </w:rPr>
        <w:t>provided that</w:t>
      </w:r>
      <w:r>
        <w:rPr>
          <w:rFonts w:ascii="Times New Roman;sans-serif" w:hAnsi="Times New Roman;sans-serif"/>
          <w:b w:val="false"/>
          <w:color w:val="000000"/>
          <w:sz w:val="22"/>
        </w:rPr>
        <w:t xml:space="preserve">, for a period of [***] ending on the last day of such [***] period, Organon will offer to sell to Daré inventories of any Licensed Products that are not Combination Products and that can be sold legally and solely in such terminated country(ies) and that remain in Organon’s and its Affiliates’ and their contract manufacturers’ inventory at the end of such [***] period at [***]); </w:t>
      </w:r>
      <w:r>
        <w:rPr>
          <w:rFonts w:ascii="Times New Roman;sans-serif" w:hAnsi="Times New Roman;sans-serif"/>
          <w:b w:val="false"/>
          <w:i/>
          <w:color w:val="000000"/>
          <w:sz w:val="22"/>
        </w:rPr>
        <w:t>provided further that</w:t>
      </w:r>
      <w:r>
        <w:rPr>
          <w:rFonts w:ascii="Times New Roman;sans-serif" w:hAnsi="Times New Roman;sans-serif"/>
          <w:b w:val="false"/>
          <w:color w:val="000000"/>
          <w:sz w:val="22"/>
        </w:rPr>
        <w:t>, if the Parties cannot agree upon a price or Daré elects not to purchase the entire remaining inventory of such Licensed Product, Organon and its Affiliates can continue selling such inventories of Licensed Product that can be sold legally solely in such terminated country for [***] period. For the avoidance of doubt, such sales constitute Net Sales and are subject to Royalties if the sales are not to Daré or its Affiliates.</w:t>
      </w:r>
    </w:p>
    <w:p>
      <w:pPr>
        <w:pStyle w:val="TextBody"/>
        <w:spacing w:lineRule="auto" w:line="240" w:before="0" w:after="240"/>
        <w:ind w:left="0" w:right="0" w:hanging="720"/>
        <w:jc w:val="both"/>
        <w:rPr/>
      </w:pPr>
      <w:r>
        <w:rPr>
          <w:rFonts w:ascii="Times New Roman;sans-serif" w:hAnsi="Times New Roman;sans-serif"/>
          <w:b/>
          <w:color w:val="000000"/>
          <w:sz w:val="22"/>
        </w:rPr>
        <w:t>10.6.5License to Organon</w:t>
      </w:r>
      <w:r>
        <w:rPr>
          <w:rFonts w:ascii="Times New Roman;sans-serif" w:hAnsi="Times New Roman;sans-serif"/>
          <w:b w:val="false"/>
          <w:color w:val="000000"/>
          <w:sz w:val="22"/>
        </w:rPr>
        <w:t>. In the event of termination of this Agreement for any reason in a particular country, effective as of the date of such termination, the licenses granted by Daré to Organon under Section 3.1 and Section 3.2 shall automatically terminate in such country if not fully paid up before the date of such termination, except that Daré grants to Organon, its Affiliates and Sublicensees (as the case may be) nonexclusive licenses or rights of reference to any Daré Know-How, Daré Patents and Product Trademarks in such country that are reasonably necessary for Organon, its Affiliates or Sublicensees to exercise its rights or fulfill its obligations set forth in this Section 10.6.</w:t>
      </w:r>
    </w:p>
    <w:p>
      <w:pPr>
        <w:pStyle w:val="TextBody"/>
        <w:spacing w:lineRule="auto" w:line="240" w:before="0" w:after="240"/>
        <w:ind w:left="0" w:right="0" w:hanging="720"/>
        <w:jc w:val="both"/>
        <w:rPr/>
      </w:pPr>
      <w:r>
        <w:rPr>
          <w:rFonts w:ascii="Times New Roman;sans-serif" w:hAnsi="Times New Roman;sans-serif"/>
          <w:b/>
          <w:color w:val="000000"/>
          <w:sz w:val="22"/>
        </w:rPr>
        <w:t>10.6.6Reversion License</w:t>
      </w:r>
      <w:r>
        <w:rPr>
          <w:rFonts w:ascii="Times New Roman;sans-serif" w:hAnsi="Times New Roman;sans-serif"/>
          <w:b w:val="false"/>
          <w:color w:val="000000"/>
          <w:sz w:val="22"/>
        </w:rPr>
        <w:t xml:space="preserv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024890"/>
                <wp:effectExtent l="0" t="0" r="0" b="0"/>
                <wp:wrapNone/>
                <wp:docPr id="88" name="Frame87"/>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In the event of termination of this Agreement under Section 10.2 or by Daré under Section 10.3, Organon shall, and hereby does, grant to Daré, effective on the effective date of termination, an exclusive (even as to Organon and its Affiliates), royalty-bearing license, with the right to sublicense through multiple tiers, under the Organon Patents that claim inventions conceived or reduced to practice during the term of this Agreement, Joint Patents and Organon Know-How created or conceived during the term of this Agreement to Exploit Licensed Products in the Field in the portion of the Territory terminated, which Licensed Products are or have been made or sold in the portion of the Territory terminated during the term of this Agreement, as such Licensed Products exist as of the effective date of termination (the “</w:t>
      </w:r>
      <w:r>
        <w:rPr>
          <w:rFonts w:ascii="Times New Roman;sans-serif" w:hAnsi="Times New Roman;sans-serif"/>
          <w:b/>
          <w:color w:val="000000"/>
          <w:sz w:val="22"/>
        </w:rPr>
        <w:t>Reversion License</w:t>
      </w:r>
      <w:r>
        <w:rPr>
          <w:color w:val="000000"/>
        </w:rPr>
        <w:t>”</w:t>
      </w:r>
      <w:r>
        <w:rPr>
          <w:rFonts w:ascii="Times New Roman;sans-serif" w:hAnsi="Times New Roman;sans-serif"/>
          <w:b w:val="false"/>
          <w:color w:val="000000"/>
          <w:sz w:val="22"/>
        </w:rPr>
        <w:t xml:space="preserve">). In all cases, the Reversion License excludes any Organon Patents to the extent that such Patent claims or covers the composition of any Other Product in a Combination Product.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The royalty(ies) to be paid by Daré to Organon under the Reversion License shall [***] (“</w:t>
      </w:r>
      <w:r>
        <w:rPr>
          <w:rFonts w:ascii="Times New Roman;sans-serif" w:hAnsi="Times New Roman;sans-serif"/>
          <w:b/>
          <w:color w:val="000000"/>
          <w:sz w:val="22"/>
        </w:rPr>
        <w:t>Reversion Royalty Dispute</w:t>
      </w:r>
      <w:r>
        <w:rPr>
          <w:color w:val="000000"/>
        </w:rPr>
        <w:t>”</w:t>
      </w:r>
      <w:r>
        <w:rPr>
          <w:rFonts w:ascii="Times New Roman;sans-serif" w:hAnsi="Times New Roman;sans-serif"/>
          <w:b w:val="false"/>
          <w:color w:val="000000"/>
          <w:sz w:val="22"/>
        </w:rPr>
        <w:t xml:space="preserve">), the Reversion Royalty Dispute shall be resolved in accordance with Section 12.7. </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In connection with the negotiation and execution of a Reversion License, with respect to any Organon Patent or Organon Know-How that is licensed by Organon from Third Parties and sublicensed to Daré, [***].</w:t>
      </w:r>
    </w:p>
    <w:p>
      <w:pPr>
        <w:pStyle w:val="TextBody"/>
        <w:spacing w:lineRule="auto" w:line="240" w:before="0" w:after="240"/>
        <w:ind w:left="0" w:right="0" w:hanging="720"/>
        <w:jc w:val="both"/>
        <w:rPr/>
      </w:pPr>
      <w:r>
        <w:rPr>
          <w:rFonts w:ascii="Times New Roman;sans-serif" w:hAnsi="Times New Roman;sans-serif"/>
          <w:b/>
          <w:color w:val="000000"/>
          <w:sz w:val="22"/>
        </w:rPr>
        <w:t>10.6.7Assignment of Regulatory Materials; Trademarks</w:t>
      </w:r>
      <w:r>
        <w:rPr>
          <w:rFonts w:ascii="Times New Roman;sans-serif" w:hAnsi="Times New Roman;sans-serif"/>
          <w:b w:val="false"/>
          <w:color w:val="000000"/>
          <w:sz w:val="22"/>
        </w:rPr>
        <w:t>. In the event of termination of this Agreement by Organon under Section 10.2, or by Daré under Sections 10.3.1 or 10.3.3, or by either Party under Section 10.4, or by Organon under Section 10.5 but where the Safety Reason does not result in either a recall of the Licensed Product or the withdrawal of Marketing Authorization of the Licensed Product, in each case as required by a Regulatory Authority, then Organon shall promptly:</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where permitted by Applicable Law, assign and transfer (or cause to be assigned and transferred) to Daré or its designee (and, if in Organon’s possession or control, provide copies of) all (i) Daré Marketing Authorizations and Daré Regulatory Materials and (ii) Marketing Authorizations that are Controlled by Organon, and obtained during the term of this Agreement and solely relating to Licensed Products (“</w:t>
      </w:r>
      <w:r>
        <w:rPr>
          <w:rFonts w:ascii="Times New Roman;sans-serif" w:hAnsi="Times New Roman;sans-serif"/>
          <w:b/>
          <w:color w:val="000000"/>
          <w:sz w:val="22"/>
        </w:rPr>
        <w:t>Organon Marketing Authorizations</w:t>
      </w:r>
      <w:r>
        <w:rPr>
          <w:color w:val="000000"/>
        </w:rPr>
        <w:t>”</w:t>
      </w:r>
      <w:r>
        <w:rPr>
          <w:rFonts w:ascii="Times New Roman;sans-serif" w:hAnsi="Times New Roman;sans-serif"/>
          <w:b w:val="false"/>
          <w:color w:val="000000"/>
          <w:sz w:val="22"/>
        </w:rPr>
        <w:t xml:space="preserve">) and Regulatory Materials that are Controlled by Organon and solely relating to Organon Marketing Authorizations, in each case within this clause (a), solely relating to the Licensed Products in the Field and in the portion of the Territory terminated and that are the subject of the license granted in Section 10.6.6; and </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if this Agreement is terminated in its entirety, assign to Daré or its designee all of Organon’s and its Affiliates’ rights, title, and interest in and to all Product Trademarks that are in actual use in the portion of the Territory terminated at the time of such termination as a Trademark solely in connection with the sale of Licensed Products in the Field and all Internet domain names and social media accounts that incorporate any such Product Trademarks, in each case, that are solely used in connection with the sale of Licensed Products in the Field in the portion of the Territory terminated, including the goodwill symbolized by, or associated with the use of, such Product Trademarks.</w:t>
      </w:r>
    </w:p>
    <w:p>
      <w:pPr>
        <w:pStyle w:val="TextBody"/>
        <w:spacing w:lineRule="auto" w:line="240" w:before="0" w:after="240"/>
        <w:ind w:left="0" w:right="0" w:hanging="720"/>
        <w:jc w:val="both"/>
        <w:rPr/>
      </w:pPr>
      <w:r>
        <w:rPr>
          <w:rFonts w:ascii="Times New Roman;sans-serif" w:hAnsi="Times New Roman;sans-serif"/>
          <w:b/>
          <w:color w:val="000000"/>
          <w:sz w:val="22"/>
        </w:rPr>
        <w:t>10.6.8Joint Patents</w:t>
      </w:r>
      <w:r>
        <w:rPr>
          <w:rFonts w:ascii="Times New Roman;sans-serif" w:hAnsi="Times New Roman;sans-serif"/>
          <w:b w:val="false"/>
          <w:color w:val="000000"/>
          <w:sz w:val="22"/>
        </w:rPr>
        <w:t>. In the event of termination of this Agreement by Organon under Section 10.3 or Section 10.4, Daré will assign, and hereby does assign, to Organon all of Daré’s right, title and interest in and to the Joint Patents. In the event of any other termination of this Agreement, the Parties shall confer to determine how ownership of the Joint Patents will be addressed, subject to Section 10.6.14.</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024890"/>
                <wp:effectExtent l="0" t="0" r="0" b="0"/>
                <wp:wrapNone/>
                <wp:docPr id="89" name="Frame88"/>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10.6.9Manufacturing</w:t>
      </w:r>
      <w:r>
        <w:rPr>
          <w:rFonts w:ascii="Times New Roman;sans-serif" w:hAnsi="Times New Roman;sans-serif"/>
          <w:b w:val="false"/>
          <w:color w:val="000000"/>
          <w:sz w:val="22"/>
        </w:rPr>
        <w:t>. In the event of termination of this Agreement in its entirety under Section 10.2 or by Daré under Section 10.3 or Section 10.4, the Parties shall negotiate in good faith with respect to the transition of the then-current Manufacturing Process from Organon (or its Affiliates or designated contract manufacturer) to Daré.</w:t>
      </w:r>
    </w:p>
    <w:p>
      <w:pPr>
        <w:pStyle w:val="TextBody"/>
        <w:spacing w:lineRule="auto" w:line="240" w:before="0" w:after="240"/>
        <w:ind w:left="0" w:right="0" w:hanging="720"/>
        <w:jc w:val="both"/>
        <w:rPr/>
      </w:pPr>
      <w:r>
        <w:rPr>
          <w:rFonts w:ascii="Times New Roman;sans-serif" w:hAnsi="Times New Roman;sans-serif"/>
          <w:b/>
          <w:color w:val="000000"/>
          <w:sz w:val="22"/>
        </w:rPr>
        <w:t>10.6.10Bankruptcy</w:t>
      </w:r>
      <w:r>
        <w:rPr>
          <w:rFonts w:ascii="Times New Roman;sans-serif" w:hAnsi="Times New Roman;sans-serif"/>
          <w:b w:val="false"/>
          <w:color w:val="000000"/>
          <w:sz w:val="22"/>
        </w:rPr>
        <w:t>. If this Agreement is terminated by Organon under Section 10.4 due to the rejection of this Agreement by or on behalf of Daré under Section 365 of the United States Bankruptcy Code (the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 all licenses and rights to licenses granted under or pursuant to this Agreement by Daré to Organon are, and shall otherwise be deemed to be, for purposes of Section 365(n) of the Code, licenses of rights to “intellectual property” as defined under Section 101(35A) of the Code. The Parties agree that Organon, as a licensee of such rights under this Agreement, shall retain and may fully exercise all of its rights and elections under the Code, and that upon commencement of a bankruptcy proceeding by or against Daré under the Code, Organon shall be entitled to a complete duplicate of or complete access to (as Organon deems appropriate), any such intellectual property and all embodiments of such intellectual property. Such intellectual property and all embodiments thereof shall be promptly delivered to Organon (a) upon any such commencement of a bankruptcy proceeding upon written request therefore by Organon, unless Daré elects to continue to perform all of its obligations under this Agreement or (b) if not delivered under clause (a) above, upon the rejection of this Agreement by or on behalf of Daré upon written request therefore by Organon. Unless required by Applicable Law, Daré will not reject any license hereunder in bankruptcy proceedings outside of the United States.</w:t>
      </w:r>
    </w:p>
    <w:p>
      <w:pPr>
        <w:pStyle w:val="TextBody"/>
        <w:spacing w:lineRule="auto" w:line="240" w:before="0" w:after="240"/>
        <w:ind w:left="0" w:right="0" w:hanging="720"/>
        <w:jc w:val="both"/>
        <w:rPr/>
      </w:pPr>
      <w:r>
        <w:rPr>
          <w:rFonts w:ascii="Times New Roman;sans-serif" w:hAnsi="Times New Roman;sans-serif"/>
          <w:b/>
          <w:color w:val="000000"/>
          <w:sz w:val="22"/>
        </w:rPr>
        <w:t>10.6.11Remedies</w:t>
      </w:r>
      <w:r>
        <w:rPr>
          <w:rFonts w:ascii="Times New Roman;sans-serif" w:hAnsi="Times New Roman;sans-serif"/>
          <w:b w:val="false"/>
          <w:color w:val="000000"/>
          <w:sz w:val="22"/>
        </w:rPr>
        <w:t>. Except as otherwise expressly provided herein, termination of this Agreement as permitted herein shall not limit remedies that may otherwise be available in law or equity, all of which are cumulative.</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10.6.12[***]</w:t>
      </w:r>
    </w:p>
    <w:p>
      <w:pPr>
        <w:pStyle w:val="TextBody"/>
        <w:spacing w:lineRule="auto" w:line="240" w:before="0" w:after="240"/>
        <w:ind w:left="0" w:right="0" w:hanging="720"/>
        <w:jc w:val="both"/>
        <w:rPr/>
      </w:pPr>
      <w:r>
        <w:rPr>
          <w:rFonts w:ascii="Times New Roman;sans-serif" w:hAnsi="Times New Roman;sans-serif"/>
          <w:b/>
          <w:color w:val="000000"/>
          <w:sz w:val="22"/>
        </w:rPr>
        <w:t>10.6.13Patent Matters.</w:t>
      </w:r>
      <w:r>
        <w:rPr>
          <w:color w:val="000000"/>
        </w:rPr>
        <w:t xml:space="preserve"> </w:t>
      </w:r>
      <w:r>
        <w:rPr>
          <w:rFonts w:ascii="Times New Roman;sans-serif" w:hAnsi="Times New Roman;sans-serif"/>
          <w:b w:val="false"/>
          <w:color w:val="000000"/>
          <w:sz w:val="22"/>
        </w:rPr>
        <w:t>If [***] has assumed the prosecution or enforcement of any of the Product-Specific Patents, then upon termination of this Agreement for any reason, [***] shall ensure that the prosecution and enforcement of such Patents in each country of the Territory that was terminated is transferred to [***] in a prompt and orderly fashion such that no deadline is missed in respect of such prosecution or enforcement and that the scope of such Patents is not limited or restricted as a consequence of such transfer. [***] will cooperate with [***] and provide [***] with reasonable assistance in the transfer of all prosecution, maintenance, defense and enforcement activities, filings and documents with respect to such Patents. After any such transfer, if [***] has retained any right to prosecute or enforce any Product-Specific Patents anywhere in the Territory, [***] will keep [***] reasonably informed of any prosecution and enforcement conducted by or on behalf of [***] with respect to any Product-Specific Patents, including by: [***]. If this Agreement is terminated by Organon pursuant to Section 10.3 or Section 10.4, then [***].</w:t>
      </w:r>
    </w:p>
    <w:p>
      <w:pPr>
        <w:pStyle w:val="TextBody"/>
        <w:spacing w:lineRule="auto" w:line="240" w:before="0" w:after="240"/>
        <w:ind w:left="0" w:right="0" w:hanging="720"/>
        <w:jc w:val="both"/>
        <w:rPr/>
      </w:pPr>
      <w:r>
        <w:rPr>
          <w:rFonts w:ascii="Times New Roman;sans-serif" w:hAnsi="Times New Roman;sans-serif"/>
          <w:b/>
          <w:color w:val="000000"/>
          <w:sz w:val="22"/>
        </w:rPr>
        <w:t xml:space="preserve">10.6.14Transition Plan. </w:t>
      </w:r>
      <w:r>
        <w:rPr>
          <w:rFonts w:ascii="Times New Roman;sans-serif" w:hAnsi="Times New Roman;sans-serif"/>
          <w:b w:val="false"/>
          <w:color w:val="000000"/>
          <w:sz w:val="22"/>
        </w:rPr>
        <w:t>If this Agreement is terminated in its entirety or in a country by Organon under Section 10.2, or by Daré under Sections 10.3.1 or 10.3.3, or by either Party under Section 10.4, or by Organon under Section 10.5 but where the Safety Reason does not result in either a recall of the Licensed Product or the withdrawal of Marketing Authorization of the Licensed Product, in each case as required by a Regulatory Authority, then the</w:t>
      </w:r>
      <w:r>
        <w:rPr>
          <w:color w:val="000000"/>
        </w:rPr>
        <w:t xml:space="preserve"> </w:t>
      </w:r>
      <w:r>
        <w:rPr>
          <w:rFonts w:ascii="Times New Roman;sans-serif" w:hAnsi="Times New Roman;sans-serif"/>
          <w:b w:val="false"/>
          <w:color w:val="000000"/>
          <w:sz w:val="22"/>
        </w:rPr>
        <w:t>Parties will promptly discuss in good faith the terms and conditions of a written plan (“</w:t>
      </w:r>
      <w:r>
        <w:rPr>
          <w:rFonts w:ascii="Times New Roman;sans-serif" w:hAnsi="Times New Roman;sans-serif"/>
          <w:b/>
          <w:color w:val="000000"/>
          <w:sz w:val="22"/>
        </w:rPr>
        <w:t>Transition Plan</w:t>
      </w:r>
      <w:r>
        <w:rPr>
          <w:color w:val="000000"/>
        </w:rPr>
        <w:t>”</w:t>
      </w:r>
      <w:r>
        <w:rPr>
          <w:rFonts w:ascii="Times New Roman;sans-serif" w:hAnsi="Times New Roman;sans-serif"/>
          <w:b w:val="false"/>
          <w:color w:val="000000"/>
          <w:sz w:val="22"/>
        </w:rPr>
        <w:t xml:space="preserve">) pursuant to which they will effectuate and coordinate an orderly transition of the relevant obligations and rights to Daré as reasonably necessary for Daré to Develop, Manufacture, Commercialize and otherwise Exploit Licensed Products that are not Combination Products after such termination in a manner consistent with Applicable Law and standards of ethical conduct and as promptly as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024890"/>
                <wp:effectExtent l="0" t="0" r="0" b="0"/>
                <wp:wrapNone/>
                <wp:docPr id="90" name="Frame89"/>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possible. The Transition Plan shall be subject to Section 10.6 and is expected to address at least:</w:t>
      </w:r>
    </w:p>
    <w:p>
      <w:pPr>
        <w:pStyle w:val="TextBody"/>
        <w:spacing w:lineRule="auto" w:line="240" w:before="0" w:after="240"/>
        <w:ind w:left="0" w:right="0" w:hanging="720"/>
        <w:jc w:val="both"/>
        <w:rPr/>
      </w:pPr>
      <w:r>
        <w:rPr>
          <w:rFonts w:ascii="Times New Roman;sans-serif" w:hAnsi="Times New Roman;sans-serif"/>
          <w:b/>
          <w:color w:val="000000"/>
          <w:sz w:val="22"/>
        </w:rPr>
        <w:t>(a)</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(b)</w:t>
      </w:r>
      <w:r>
        <w:rPr>
          <w:rFonts w:ascii="Times New Roman;sans-serif" w:hAnsi="Times New Roman;sans-serif"/>
          <w:b w:val="false"/>
          <w:color w:val="000000"/>
          <w:sz w:val="22"/>
        </w:rPr>
        <w:t>[***]; and</w:t>
      </w:r>
    </w:p>
    <w:p>
      <w:pPr>
        <w:pStyle w:val="TextBody"/>
        <w:spacing w:lineRule="auto" w:line="240" w:before="0" w:after="240"/>
        <w:ind w:left="0" w:right="0" w:hanging="720"/>
        <w:jc w:val="both"/>
        <w:rPr/>
      </w:pPr>
      <w:r>
        <w:rPr>
          <w:rFonts w:ascii="Times New Roman;sans-serif" w:hAnsi="Times New Roman;sans-serif"/>
          <w:b/>
          <w:color w:val="000000"/>
          <w:sz w:val="22"/>
        </w:rPr>
        <w:t>(c)</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10.7Survival</w:t>
      </w:r>
      <w:r>
        <w:rPr>
          <w:rFonts w:ascii="Times New Roman;sans-serif" w:hAnsi="Times New Roman;sans-serif"/>
          <w:b w:val="false"/>
          <w:color w:val="000000"/>
          <w:sz w:val="22"/>
        </w:rPr>
        <w:t>.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including the obligation to make payments under Article 6, which obligation accrued prior to such expiration or termination. Organon will provide a final royalty report and royalty payment in accordance with Section 6.4 within [***] after the end of the Calendar Quarter in which expiration or termination occurs, and the obligation of Related Parties to keep books and records under Section 6.4 shall survive termination for the period specified therein. The provisions of Article 5 shall survive the expiration or termination of this Agreement and shall continue in effect for [***]. In addition, the provisions of Article 1, Article 8, Article 9 (with respect to [***]) and Article 12, and Sections 2.6, 3.9, 6.5 through 6.8 (with respect to payment obligations accruing hereunder), 7.5, 10.6, and 10.7 shall survive any expiration or termination of this Agreement.</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 xml:space="preserve">ARTICLE 11EFFECTIVENESS. </w:t>
      </w:r>
    </w:p>
    <w:p>
      <w:pPr>
        <w:pStyle w:val="TextBody"/>
        <w:spacing w:lineRule="auto" w:line="240" w:before="0" w:after="240"/>
        <w:ind w:left="0" w:right="0" w:hanging="720"/>
        <w:jc w:val="both"/>
        <w:rPr/>
      </w:pPr>
      <w:r>
        <w:rPr>
          <w:rFonts w:ascii="Times New Roman;sans-serif" w:hAnsi="Times New Roman;sans-serif"/>
          <w:b/>
          <w:color w:val="000000"/>
          <w:sz w:val="22"/>
        </w:rPr>
        <w:t>11.1Effective Date</w:t>
      </w:r>
      <w:r>
        <w:rPr>
          <w:rFonts w:ascii="Times New Roman;sans-serif" w:hAnsi="Times New Roman;sans-serif"/>
          <w:b w:val="false"/>
          <w:color w:val="000000"/>
          <w:sz w:val="22"/>
        </w:rPr>
        <w:t>. Except for the Parties’ obligations under Article 5 and this Article 11 or other provisions specified to occur, be effective or based on the Execution Date or “during the term of this Agreement”, all of which will be effective as of the Execution Date, the other provisions of this Agreement will become effective on [***] after all of the Closing Conditions have been met or if Organon waives such Closing Conditions by notice to Daré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the Effective Date will not occur (a) if either Party exercises its termination right under Section 11.3 or under Article 10 prior to the Antitrust Clearance Date, (b) if and for so long as there is in force any Applicable Law (i) enjoining or prohibiting the consummation of the transactions contemplated by this Agreement or (ii) imposing any conditions in connection with such effectiveness, or (c) there is any action, proceeding, or investigation brought by a Governmental Authority pending that would reasonably be expected to lead to any of the foregoing that would be material in the context of the transactions contemplated by this Agreement.</w:t>
      </w:r>
    </w:p>
    <w:p>
      <w:pPr>
        <w:pStyle w:val="TextBody"/>
        <w:spacing w:lineRule="auto" w:line="240" w:before="0" w:after="240"/>
        <w:ind w:left="0" w:right="0" w:hanging="720"/>
        <w:jc w:val="both"/>
        <w:rPr/>
      </w:pPr>
      <w:r>
        <w:rPr>
          <w:rFonts w:ascii="Times New Roman;sans-serif" w:hAnsi="Times New Roman;sans-serif"/>
          <w:b/>
          <w:color w:val="000000"/>
          <w:sz w:val="22"/>
        </w:rPr>
        <w:t>11.2Filings.</w:t>
      </w:r>
      <w:r>
        <w:rPr>
          <w:color w:val="000000"/>
        </w:rPr>
        <w:t xml:space="preserve"> </w:t>
      </w:r>
      <w:r>
        <w:rPr>
          <w:rFonts w:ascii="Times New Roman;sans-serif" w:hAnsi="Times New Roman;sans-serif"/>
          <w:b w:val="false"/>
          <w:color w:val="000000"/>
          <w:sz w:val="22"/>
        </w:rPr>
        <w:t>Each Party will, unless otherwise agreed by the Parties, within [***] following the Execution Date, file those Antitrust Filings required under the applicable Antitrust Laws (the “</w:t>
      </w:r>
      <w:r>
        <w:rPr>
          <w:rFonts w:ascii="Times New Roman;sans-serif" w:hAnsi="Times New Roman;sans-serif"/>
          <w:b/>
          <w:color w:val="000000"/>
          <w:sz w:val="22"/>
        </w:rPr>
        <w:t>Required Filings</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11.2.1Cooperation</w:t>
      </w:r>
      <w:r>
        <w:rPr>
          <w:rFonts w:ascii="Times New Roman;sans-serif" w:hAnsi="Times New Roman;sans-serif"/>
          <w:b w:val="false"/>
          <w:color w:val="000000"/>
          <w:sz w:val="22"/>
        </w:rPr>
        <w:t xml:space="preserve">. The Parties will reasonably cooperate with one another to the extent necessary in the preparation and execution of all such documents that are required to be filed pursuant to the Required Filings. </w:t>
      </w:r>
    </w:p>
    <w:p>
      <w:pPr>
        <w:pStyle w:val="TextBody"/>
        <w:spacing w:lineRule="auto" w:line="240" w:before="0" w:after="240"/>
        <w:ind w:left="0" w:right="0" w:hanging="720"/>
        <w:jc w:val="both"/>
        <w:rPr/>
      </w:pPr>
      <w:r>
        <w:rPr>
          <w:rFonts w:ascii="Times New Roman;sans-serif" w:hAnsi="Times New Roman;sans-serif"/>
          <w:b/>
          <w:color w:val="000000"/>
          <w:sz w:val="22"/>
        </w:rPr>
        <w:t>11.2.2Costs</w:t>
      </w:r>
      <w:r>
        <w:rPr>
          <w:rFonts w:ascii="Times New Roman;sans-serif" w:hAnsi="Times New Roman;sans-serif"/>
          <w:b w:val="false"/>
          <w:color w:val="000000"/>
          <w:sz w:val="22"/>
        </w:rPr>
        <w:t xml:space="preserve">. Each Party will be responsible for [***] associated with any such Required Filing, including premerger filing fees incurred by each Party associated with any such Required Filing. </w:t>
      </w:r>
    </w:p>
    <w:p>
      <w:pPr>
        <w:pStyle w:val="TextBody"/>
        <w:spacing w:lineRule="auto" w:line="240" w:before="0" w:after="240"/>
        <w:ind w:left="0" w:right="0" w:hanging="720"/>
        <w:jc w:val="both"/>
        <w:rPr/>
      </w:pPr>
      <w:r>
        <w:rPr>
          <w:rFonts w:ascii="Times New Roman;sans-serif" w:hAnsi="Times New Roman;sans-serif"/>
          <w:b/>
          <w:color w:val="000000"/>
          <w:sz w:val="22"/>
        </w:rPr>
        <w:t>11.2.3Waiting Period</w:t>
      </w:r>
      <w:r>
        <w:rPr>
          <w:rFonts w:ascii="Times New Roman;sans-serif" w:hAnsi="Times New Roman;sans-serif"/>
          <w:b w:val="false"/>
          <w:color w:val="000000"/>
          <w:sz w:val="22"/>
        </w:rPr>
        <w:t xml:space="preserve">. With respect to the Required Filings, the Parties will use Commercially Reasonable Efforts to obtain any necessary approvals or consents under such applicable Antitrust Law, [***]. </w:t>
      </w:r>
    </w:p>
    <w:p>
      <w:pPr>
        <w:pStyle w:val="TextBody"/>
        <w:spacing w:lineRule="auto" w:line="240" w:before="0" w:after="240"/>
        <w:ind w:left="0" w:right="0" w:hanging="720"/>
        <w:jc w:val="both"/>
        <w:rPr/>
      </w:pPr>
      <w:r>
        <w:rPr>
          <w:rFonts w:ascii="Times New Roman;sans-serif" w:hAnsi="Times New Roman;sans-serif"/>
          <w:b/>
          <w:color w:val="000000"/>
          <w:sz w:val="22"/>
        </w:rPr>
        <w:t>11.2.4Communications</w:t>
      </w:r>
      <w:r>
        <w:rPr>
          <w:rFonts w:ascii="Times New Roman;sans-serif" w:hAnsi="Times New Roman;sans-serif"/>
          <w:b w:val="false"/>
          <w:color w:val="000000"/>
          <w:sz w:val="22"/>
        </w:rPr>
        <w:t xml:space="preserve">. To the extent permitted under Applicable Law and by the applicable Governmental Authorities, the Parties will (a) provide each other reasonable advance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024890"/>
                <wp:effectExtent l="0" t="0" r="0" b="0"/>
                <wp:wrapNone/>
                <wp:docPr id="91" name="Frame90"/>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written notice of any meetings or telephone conferences with a Governmental Authority under the HSR Act relating to the transactions contemplated by this Agreement, and (b) permit each other to attend and participate in those meetings and telephone conferences. Each Party will (i) provide the other with reasonable opportunity to review and comment on any written submissions, and will consider comments in good faith, and (ii) keep the other Party apprised of the status of any communications with, and any inquiries or requests for information from, any Governmental Authority under the HSR Act, regardless of whether such other Party declines to participate in any meetings or telephone conferences; </w:t>
      </w:r>
      <w:r>
        <w:rPr>
          <w:rFonts w:ascii="Times New Roman;sans-serif" w:hAnsi="Times New Roman;sans-serif"/>
          <w:b w:val="false"/>
          <w:i/>
          <w:color w:val="000000"/>
          <w:sz w:val="22"/>
        </w:rPr>
        <w:t>provided that</w:t>
      </w:r>
      <w:r>
        <w:rPr>
          <w:color w:val="000000"/>
        </w:rPr>
        <w:t xml:space="preserve"> </w:t>
      </w:r>
      <w:r>
        <w:rPr>
          <w:rFonts w:ascii="Times New Roman;sans-serif" w:hAnsi="Times New Roman;sans-serif"/>
          <w:b w:val="false"/>
          <w:color w:val="000000"/>
          <w:sz w:val="22"/>
        </w:rPr>
        <w:t xml:space="preserve">neither Party will be obligated to disclose any commercially sensitive or privileged information, and to the extent the Parties agree to share information of this nature, such exchange and review will be limited to the Parties’ outside counsel only. </w:t>
      </w:r>
    </w:p>
    <w:p>
      <w:pPr>
        <w:pStyle w:val="TextBody"/>
        <w:spacing w:lineRule="auto" w:line="240" w:before="0" w:after="240"/>
        <w:ind w:left="0" w:right="0" w:hanging="720"/>
        <w:jc w:val="both"/>
        <w:rPr/>
      </w:pPr>
      <w:r>
        <w:rPr>
          <w:rFonts w:ascii="Times New Roman;sans-serif" w:hAnsi="Times New Roman;sans-serif"/>
          <w:b/>
          <w:color w:val="000000"/>
          <w:sz w:val="22"/>
        </w:rPr>
        <w:t>11.2.5Not Required</w:t>
      </w:r>
      <w:r>
        <w:rPr>
          <w:rFonts w:ascii="Times New Roman;sans-serif" w:hAnsi="Times New Roman;sans-serif"/>
          <w:b w:val="false"/>
          <w:color w:val="000000"/>
          <w:sz w:val="22"/>
        </w:rPr>
        <w:t>. Notwithstanding any provision to the contrary set forth in this Agreement, nothing in this Agreement (including this Section 11.2) will require either Party or any of its Affiliates to [***].</w:t>
      </w:r>
    </w:p>
    <w:p>
      <w:pPr>
        <w:pStyle w:val="TextBody"/>
        <w:spacing w:lineRule="auto" w:line="240" w:before="0" w:after="240"/>
        <w:ind w:left="0" w:right="0" w:hanging="720"/>
        <w:jc w:val="both"/>
        <w:rPr/>
      </w:pPr>
      <w:r>
        <w:rPr>
          <w:rFonts w:ascii="Times New Roman;sans-serif" w:hAnsi="Times New Roman;sans-serif"/>
          <w:b/>
          <w:color w:val="000000"/>
          <w:sz w:val="22"/>
        </w:rPr>
        <w:t>11.3Outside Date</w:t>
      </w:r>
      <w:r>
        <w:rPr>
          <w:rFonts w:ascii="Times New Roman;sans-serif" w:hAnsi="Times New Roman;sans-serif"/>
          <w:b w:val="false"/>
          <w:color w:val="000000"/>
          <w:sz w:val="22"/>
        </w:rPr>
        <w:t xml:space="preserve">. This Agreement will terminate at the election of either Party, immediately upon written notice to the other Party, (a) if any Governmental Authority [***] injunction under applicable Antitrust Laws against the Parties to enjoin the transactions contemplated by this Agreement; or (b) in the event that the Antitrust Clearance Date has not occurred on or prior to [***], and the Parties have not agreed in writing to extend the Antitrust Clearance Date. In the event of such termination, this Agreement will be of no further force and effect, except for the Parties’ continued obligations under Article 5, which shall survive such termination. </w:t>
      </w:r>
    </w:p>
    <w:p>
      <w:pPr>
        <w:pStyle w:val="TextBody"/>
        <w:spacing w:lineRule="auto" w:line="240" w:before="0" w:after="240"/>
        <w:ind w:left="0" w:right="0" w:hanging="720"/>
        <w:jc w:val="both"/>
        <w:rPr/>
      </w:pPr>
      <w:r>
        <w:rPr>
          <w:rFonts w:ascii="Times New Roman;sans-serif" w:hAnsi="Times New Roman;sans-serif"/>
          <w:b/>
          <w:color w:val="000000"/>
          <w:sz w:val="22"/>
        </w:rPr>
        <w:t>11.4Closing Conditions</w:t>
      </w:r>
      <w:r>
        <w:rPr>
          <w:rFonts w:ascii="Times New Roman;sans-serif" w:hAnsi="Times New Roman;sans-serif"/>
          <w:b w:val="false"/>
          <w:color w:val="000000"/>
          <w:sz w:val="22"/>
        </w:rPr>
        <w:t>. Unless waived by Organon, this Agreement will not become effective until each of the following conditions (each a “</w:t>
      </w:r>
      <w:r>
        <w:rPr>
          <w:rFonts w:ascii="Times New Roman;sans-serif" w:hAnsi="Times New Roman;sans-serif"/>
          <w:b/>
          <w:color w:val="000000"/>
          <w:sz w:val="22"/>
        </w:rPr>
        <w:t>Closing Condition</w:t>
      </w:r>
      <w:r>
        <w:rPr>
          <w:color w:val="000000"/>
        </w:rPr>
        <w:t>”</w:t>
      </w:r>
      <w:r>
        <w:rPr>
          <w:rFonts w:ascii="Times New Roman;sans-serif" w:hAnsi="Times New Roman;sans-serif"/>
          <w:b w:val="false"/>
          <w:color w:val="000000"/>
          <w:sz w:val="22"/>
        </w:rPr>
        <w:t>) have been met:</w:t>
      </w:r>
    </w:p>
    <w:p>
      <w:pPr>
        <w:pStyle w:val="TextBody"/>
        <w:spacing w:lineRule="auto" w:line="240" w:before="0" w:after="240"/>
        <w:ind w:left="0" w:right="0" w:hanging="720"/>
        <w:jc w:val="both"/>
        <w:rPr/>
      </w:pPr>
      <w:r>
        <w:rPr>
          <w:rFonts w:ascii="Times New Roman;sans-serif" w:hAnsi="Times New Roman;sans-serif"/>
          <w:b/>
          <w:color w:val="000000"/>
          <w:sz w:val="22"/>
        </w:rPr>
        <w:t>11.4.1Antitrust</w:t>
      </w:r>
      <w:r>
        <w:rPr>
          <w:rFonts w:ascii="Times New Roman;sans-serif" w:hAnsi="Times New Roman;sans-serif"/>
          <w:b w:val="false"/>
          <w:color w:val="000000"/>
          <w:sz w:val="22"/>
        </w:rPr>
        <w:t>. the occurrence of the Antitrust Clearance Date;</w:t>
      </w:r>
    </w:p>
    <w:p>
      <w:pPr>
        <w:pStyle w:val="TextBody"/>
        <w:spacing w:lineRule="auto" w:line="240" w:before="0" w:after="240"/>
        <w:ind w:left="0" w:right="0" w:hanging="720"/>
        <w:jc w:val="both"/>
        <w:rPr/>
      </w:pPr>
      <w:r>
        <w:rPr>
          <w:rFonts w:ascii="Times New Roman;sans-serif" w:hAnsi="Times New Roman;sans-serif"/>
          <w:b/>
          <w:color w:val="000000"/>
          <w:sz w:val="22"/>
        </w:rPr>
        <w:t>11.4.2[***]</w:t>
      </w:r>
      <w:r>
        <w:rPr>
          <w:rFonts w:ascii="Times New Roman;sans-serif" w:hAnsi="Times New Roman;sans-serif"/>
          <w:b w:val="false"/>
          <w:color w:val="000000"/>
          <w:sz w:val="22"/>
        </w:rPr>
        <w:t>;</w:t>
      </w:r>
    </w:p>
    <w:p>
      <w:pPr>
        <w:pStyle w:val="TextBody"/>
        <w:spacing w:lineRule="auto" w:line="240" w:before="0" w:after="240"/>
        <w:ind w:left="0" w:right="0" w:hanging="720"/>
        <w:jc w:val="both"/>
        <w:rPr/>
      </w:pPr>
      <w:r>
        <w:rPr>
          <w:rFonts w:ascii="Times New Roman;sans-serif" w:hAnsi="Times New Roman;sans-serif"/>
          <w:b/>
          <w:color w:val="000000"/>
          <w:sz w:val="22"/>
        </w:rPr>
        <w:t>11.4.3[***]</w:t>
      </w:r>
      <w:r>
        <w:rPr>
          <w:rFonts w:ascii="Times New Roman;sans-serif" w:hAnsi="Times New Roman;sans-serif"/>
          <w:b w:val="false"/>
          <w:color w:val="000000"/>
          <w:sz w:val="22"/>
        </w:rPr>
        <w:t xml:space="preserve">; and </w:t>
      </w:r>
    </w:p>
    <w:p>
      <w:pPr>
        <w:pStyle w:val="TextBody"/>
        <w:spacing w:lineRule="auto" w:line="240" w:before="0" w:after="240"/>
        <w:ind w:left="0" w:right="0" w:hanging="720"/>
        <w:jc w:val="both"/>
        <w:rPr/>
      </w:pPr>
      <w:r>
        <w:rPr>
          <w:rFonts w:ascii="Times New Roman;sans-serif" w:hAnsi="Times New Roman;sans-serif"/>
          <w:b/>
          <w:color w:val="000000"/>
          <w:sz w:val="22"/>
        </w:rPr>
        <w:t>11.4.4Bring Down</w:t>
      </w:r>
      <w:r>
        <w:rPr>
          <w:rFonts w:ascii="Times New Roman;sans-serif" w:hAnsi="Times New Roman;sans-serif"/>
          <w:b w:val="false"/>
          <w:color w:val="000000"/>
          <w:sz w:val="22"/>
        </w:rPr>
        <w:t>. all representations and warranties of Daré in this Agreement shall be true and correct as of the Effective Date, Daré will have, up through the Effective Date, complied with all of its obligations set forth in Section 7.4 and Daré will have delivered to Organon a certificate executed by an officer of Daré certifying the accuracy of the foregoing.</w:t>
      </w:r>
    </w:p>
    <w:p>
      <w:pPr>
        <w:pStyle w:val="TextBody"/>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ARTICLE 12MISCELLANEOUS.</w:t>
      </w:r>
    </w:p>
    <w:p>
      <w:pPr>
        <w:pStyle w:val="TextBody"/>
        <w:spacing w:lineRule="auto" w:line="240" w:before="0" w:after="240"/>
        <w:ind w:left="0" w:right="0" w:hanging="720"/>
        <w:jc w:val="both"/>
        <w:rPr/>
      </w:pPr>
      <w:r>
        <w:rPr>
          <w:rFonts w:ascii="Times New Roman;sans-serif" w:hAnsi="Times New Roman;sans-serif"/>
          <w:b/>
          <w:color w:val="000000"/>
          <w:sz w:val="22"/>
        </w:rPr>
        <w:t>12.1Force Majeure</w:t>
      </w:r>
      <w:r>
        <w:rPr>
          <w:rFonts w:ascii="Times New Roman;sans-serif" w:hAnsi="Times New Roman;sans-serif"/>
          <w:b w:val="false"/>
          <w:color w:val="000000"/>
          <w:sz w:val="22"/>
        </w:rPr>
        <w:t>. Neither Party shall be held liable to the other Party nor be deemed to have defaulted under or breached this Agreement for failure or delay in performing any obligation under this Agreement, except for the obligation to make payment,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pStyle w:val="TextBody"/>
        <w:spacing w:lineRule="auto" w:line="240" w:before="0" w:after="240"/>
        <w:ind w:left="0" w:right="0" w:hanging="720"/>
        <w:jc w:val="both"/>
        <w:rPr/>
      </w:pPr>
      <w:r>
        <w:rPr>
          <w:rFonts w:ascii="Times New Roman;sans-serif" w:hAnsi="Times New Roman;sans-serif"/>
          <w:b/>
          <w:color w:val="000000"/>
          <w:sz w:val="22"/>
        </w:rPr>
        <w:t>12.2Assignment</w:t>
      </w:r>
      <w:r>
        <w:rPr>
          <w:rFonts w:ascii="Times New Roman;sans-serif" w:hAnsi="Times New Roman;sans-serif"/>
          <w:b w:val="false"/>
          <w:color w:val="000000"/>
          <w:sz w:val="22"/>
        </w:rPr>
        <w:t xml:space="preserve">. Either Party may, without consent of the other Party, assign this Agreement in its entirety and all of its rights and obligations hereunder to an Affiliate or in connection with the transfer or sale of all or substantially all of its assets related to the subject matter of this Agreement. Except as provided in the preceding sentence, this Agreement may not be assigned,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024890"/>
                <wp:effectExtent l="0" t="0" r="0" b="0"/>
                <wp:wrapNone/>
                <wp:docPr id="92" name="Frame91"/>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49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49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nor may any right or obligation hereunder be assigned, by either Party without the consent of the other Party. Any attempted assignment not in accordance with this Section 12.2 shall be void. Any permitted assignee shall assume all assigned obligations of its assignor under this Agreement.</w:t>
      </w:r>
    </w:p>
    <w:p>
      <w:pPr>
        <w:pStyle w:val="TextBody"/>
        <w:spacing w:lineRule="auto" w:line="240" w:before="0" w:after="240"/>
        <w:ind w:left="0" w:right="0" w:hanging="720"/>
        <w:jc w:val="both"/>
        <w:rPr/>
      </w:pPr>
      <w:r>
        <w:rPr>
          <w:rFonts w:ascii="Times New Roman;sans-serif" w:hAnsi="Times New Roman;sans-serif"/>
          <w:b/>
          <w:color w:val="000000"/>
          <w:sz w:val="22"/>
        </w:rPr>
        <w:t>12.3Use of Affiliates</w:t>
      </w:r>
      <w:r>
        <w:rPr>
          <w:rFonts w:ascii="Times New Roman;sans-serif" w:hAnsi="Times New Roman;sans-serif"/>
          <w:b w:val="false"/>
          <w:color w:val="000000"/>
          <w:sz w:val="22"/>
        </w:rPr>
        <w:t>. Each Party shall have the right to exercise its rights and perform its obligations under this Agreement either itself or through any of its Affiliates, and each Party’s Affiliates will have the benefit of all rights (including all licenses) of such Party under this Agreement. Accordingly, in this Agreement “Daré” will be interpreted to mean “Daré or its Affiliates” and “Organon” will be interpreted to mean “Organon or its Affiliates” where necessary to give each Party’s Affiliates the benefit of the rights provided to the applicable Party in this Agreement; provided, however, that in any event each Party will remain responsible hereunder for the acts and omissions of its respective Affiliates.</w:t>
      </w:r>
    </w:p>
    <w:p>
      <w:pPr>
        <w:pStyle w:val="TextBody"/>
        <w:spacing w:lineRule="auto" w:line="240" w:before="0" w:after="240"/>
        <w:ind w:left="0" w:right="0" w:hanging="720"/>
        <w:jc w:val="both"/>
        <w:rPr/>
      </w:pPr>
      <w:r>
        <w:rPr>
          <w:rFonts w:ascii="Times New Roman;sans-serif" w:hAnsi="Times New Roman;sans-serif"/>
          <w:b/>
          <w:color w:val="000000"/>
          <w:sz w:val="22"/>
        </w:rPr>
        <w:t>12.4Severability</w:t>
      </w:r>
      <w:r>
        <w:rPr>
          <w:rFonts w:ascii="Times New Roman;sans-serif" w:hAnsi="Times New Roman;sans-serif"/>
          <w:b w:val="false"/>
          <w:color w:val="000000"/>
          <w:sz w:val="22"/>
        </w:rPr>
        <w:t>. 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reasonable efforts to replace the invalid, illegal or unenforceable provision(s) with valid, legal and enforceable provision(s) which, insofar as practical, implement the purposes of this Agreement.</w:t>
      </w:r>
    </w:p>
    <w:p>
      <w:pPr>
        <w:pStyle w:val="TextBody"/>
        <w:spacing w:lineRule="auto" w:line="240" w:before="0" w:after="240"/>
        <w:ind w:left="0" w:right="0" w:hanging="720"/>
        <w:jc w:val="both"/>
        <w:rPr/>
      </w:pPr>
      <w:r>
        <w:rPr>
          <w:rFonts w:ascii="Times New Roman;sans-serif" w:hAnsi="Times New Roman;sans-serif"/>
          <w:b/>
          <w:color w:val="000000"/>
          <w:sz w:val="22"/>
        </w:rPr>
        <w:t>12.5Notices</w:t>
      </w:r>
      <w:r>
        <w:rPr>
          <w:rFonts w:ascii="Times New Roman;sans-serif" w:hAnsi="Times New Roman;sans-serif"/>
          <w:b w:val="false"/>
          <w:color w:val="000000"/>
          <w:sz w:val="22"/>
        </w:rPr>
        <w:t>. All notices which are required or permitted hereunder shall be in writing and sufficient if sent by internationally-recognized commercial courier, addressed as follows:</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024890"/>
                <wp:effectExtent l="0" t="0" r="0" b="0"/>
                <wp:wrapNone/>
                <wp:docPr id="93" name="Frame92"/>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50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50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tbl>
      <w:tblPr>
        <w:tblW w:w="8924" w:type="dxa"/>
        <w:jc w:val="left"/>
        <w:tblInd w:w="0" w:type="dxa"/>
        <w:tblCellMar>
          <w:top w:w="28" w:type="dxa"/>
          <w:left w:w="28" w:type="dxa"/>
          <w:bottom w:w="28" w:type="dxa"/>
          <w:right w:w="28" w:type="dxa"/>
        </w:tblCellMar>
      </w:tblPr>
      <w:tblGrid>
        <w:gridCol w:w="1696"/>
        <w:gridCol w:w="1496"/>
        <w:gridCol w:w="1503"/>
        <w:gridCol w:w="1237"/>
        <w:gridCol w:w="1237"/>
        <w:gridCol w:w="1755"/>
      </w:tblGrid>
      <w:tr>
        <w:trPr/>
        <w:tc>
          <w:tcPr>
            <w:tcW w:w="1696"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Daré, to:</w:t>
            </w:r>
          </w:p>
        </w:tc>
        <w:tc>
          <w:tcPr>
            <w:tcW w:w="422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Daré Bioscience, Inc.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3655 Nobel Drive, Suite 260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92122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Sabrina Johnson, CEO</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Mintz Levin</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3580 Carmel Mountain Rd. #300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92130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Tali Tuchin</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Organon, to:</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International GmBH</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Weystrasse 20, 6006 Lucerne, Switzerland</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LLC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30 Hudson Street, Floor 33</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New Jersey, NJ, USA 07302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SVP, Business Development</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Via electronic mail to:</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LLC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30 Hudson Street, Floor 33</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New Jersey, NJ, USA 07302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ableContents"/>
              <w:spacing w:before="0" w:after="60"/>
              <w:jc w:val="both"/>
              <w:rPr/>
            </w:pPr>
            <w:r>
              <w:rPr/>
            </w:r>
          </w:p>
          <w:p>
            <w:pPr>
              <w:pStyle w:val="TableContents"/>
              <w:spacing w:lineRule="auto" w:line="240" w:before="0" w:after="60"/>
              <w:jc w:val="both"/>
              <w:rPr>
                <w:color w:val="000000"/>
              </w:rPr>
            </w:pPr>
            <w:r>
              <w:rPr>
                <w:color w:val="000000"/>
              </w:rPr>
              <w:t>  </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Jones Day</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4655 Executive Drive, Suite 1500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92121-3134</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Thomas Briggs and Jonn Beeson</w:t>
            </w:r>
          </w:p>
          <w:p>
            <w:pPr>
              <w:pStyle w:val="TableContents"/>
              <w:spacing w:before="0" w:after="60"/>
              <w:jc w:val="both"/>
              <w:rPr/>
            </w:pPr>
            <w:r>
              <w:rPr/>
            </w:r>
          </w:p>
        </w:tc>
      </w:tr>
    </w:tbl>
    <w:p>
      <w:pPr>
        <w:pStyle w:val="TextBody"/>
        <w:spacing w:before="0" w:after="240"/>
        <w:jc w:val="both"/>
        <w:rPr/>
      </w:pPr>
      <w:r>
        <w:br w:type="page"/>
      </w: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024890"/>
                <wp:effectExtent l="0" t="0" r="0" b="0"/>
                <wp:wrapNone/>
                <wp:docPr id="94" name="Frame93"/>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51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51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to such other address(es) as the Party to whom notice is to be given may have furnished to the other Party in writing in accordance herewith. Any such notice shall be deemed to have been given upon receipt. The Parties hereby agree that, to the extent permitted by Applicable Law, any notice provided in accordance with this Section 12.5 shall constitute due service of process with respect to any legal proceeding between the Parties arising hereunder and that compliance with the Hague Convention for the Service of Process, if otherwise applicable, shall not be required.</w:t>
      </w:r>
    </w:p>
    <w:p>
      <w:pPr>
        <w:pStyle w:val="TextBody"/>
        <w:spacing w:lineRule="auto" w:line="240" w:before="0" w:after="240"/>
        <w:ind w:left="0" w:right="0" w:hanging="720"/>
        <w:jc w:val="both"/>
        <w:rPr/>
      </w:pPr>
      <w:r>
        <w:rPr>
          <w:rFonts w:ascii="Times New Roman;sans-serif" w:hAnsi="Times New Roman;sans-serif"/>
          <w:b/>
          <w:color w:val="000000"/>
          <w:sz w:val="22"/>
        </w:rPr>
        <w:t>12.6Applicable Law</w:t>
      </w:r>
      <w:r>
        <w:rPr>
          <w:rFonts w:ascii="Times New Roman;sans-serif" w:hAnsi="Times New Roman;sans-serif"/>
          <w:b w:val="false"/>
          <w:color w:val="000000"/>
          <w:sz w:val="22"/>
        </w:rPr>
        <w:t xml:space="preserve">. This Agreement shall be governed by and construed in accordance with the laws of the State of Delaware without reference to any rules of conflict of laws or venue. </w:t>
      </w:r>
    </w:p>
    <w:p>
      <w:pPr>
        <w:pStyle w:val="TextBody"/>
        <w:spacing w:lineRule="auto" w:line="240" w:before="0" w:after="240"/>
        <w:ind w:left="0" w:right="0" w:hanging="720"/>
        <w:jc w:val="both"/>
        <w:rPr/>
      </w:pPr>
      <w:r>
        <w:rPr>
          <w:rFonts w:ascii="Times New Roman;sans-serif" w:hAnsi="Times New Roman;sans-serif"/>
          <w:b/>
          <w:color w:val="000000"/>
          <w:sz w:val="22"/>
        </w:rPr>
        <w:t>12.7Dispute Resolution</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12.7.1</w:t>
      </w:r>
      <w:r>
        <w:rPr>
          <w:rFonts w:ascii="Times New Roman;sans-serif" w:hAnsi="Times New Roman;sans-serif"/>
          <w:b w:val="false"/>
          <w:color w:val="000000"/>
          <w:sz w:val="22"/>
        </w:rPr>
        <w:t>The Parties shall negotiate in good faith and use reasonable efforts to settle any dispute, controversy or claim arising from or related to this Agreement or the breach thereof (a “</w:t>
      </w:r>
      <w:r>
        <w:rPr>
          <w:rFonts w:ascii="Times New Roman;sans-serif" w:hAnsi="Times New Roman;sans-serif"/>
          <w:b/>
          <w:color w:val="000000"/>
          <w:sz w:val="22"/>
        </w:rPr>
        <w:t>Dispute</w:t>
      </w:r>
      <w:r>
        <w:rPr>
          <w:color w:val="000000"/>
        </w:rPr>
        <w:t>”</w:t>
      </w:r>
      <w:r>
        <w:rPr>
          <w:rFonts w:ascii="Times New Roman;sans-serif" w:hAnsi="Times New Roman;sans-serif"/>
          <w:b w:val="false"/>
          <w:color w:val="000000"/>
          <w:sz w:val="22"/>
        </w:rPr>
        <w:t>). Any Party shall give the other Party written notice of any Dispute not resolved in the normal course of business. Within [***] from the date of delivery of such notice, the receiving Party shall submit to the other Party a written response. The notice and response shall include (a) a statement of that Party’s position and a summary of arguments supporting that position, and (b) the name and title of the executive who will represent that Party and of any other person who will accompany the executive. Within [***] from the date of delivery of the initial notice, the executives of both Parties shall meet at a mutually acceptable time and place, and thereafter as often as they reasonably deem necessary, to attempt to resolve the Dispute. These executives shall have the authority to settle the Dispute and shall be at a higher level of management than the persons with direct responsibility for administration of this Agreement. All negotiations pursuant to this paragraph are confidential and shall be treated as compromise and settlement negotiations for purposes of applicable rules of evidence.    </w:t>
      </w:r>
    </w:p>
    <w:p>
      <w:pPr>
        <w:pStyle w:val="TextBody"/>
        <w:spacing w:lineRule="auto" w:line="240" w:before="0" w:after="240"/>
        <w:ind w:left="0" w:right="0" w:hanging="720"/>
        <w:jc w:val="both"/>
        <w:rPr/>
      </w:pPr>
      <w:r>
        <w:rPr>
          <w:rFonts w:ascii="Times New Roman;sans-serif" w:hAnsi="Times New Roman;sans-serif"/>
          <w:b/>
          <w:color w:val="000000"/>
          <w:sz w:val="22"/>
        </w:rPr>
        <w:t>12.7.2</w:t>
      </w:r>
      <w:r>
        <w:rPr>
          <w:rFonts w:ascii="Times New Roman;sans-serif" w:hAnsi="Times New Roman;sans-serif"/>
          <w:b w:val="false"/>
          <w:color w:val="000000"/>
          <w:sz w:val="22"/>
        </w:rPr>
        <w:t>If the Parties do not fully settle following the procedure in Section 12.7.1, and a Party wishes to pursue the matter, each dispute, controversy or claim arising from or related to this Agreement or the breach thereof that is not an “</w:t>
      </w:r>
      <w:r>
        <w:rPr>
          <w:rFonts w:ascii="Times New Roman;sans-serif" w:hAnsi="Times New Roman;sans-serif"/>
          <w:b/>
          <w:color w:val="000000"/>
          <w:sz w:val="22"/>
        </w:rPr>
        <w:t>Excluded Claim</w:t>
      </w:r>
      <w:r>
        <w:rPr>
          <w:color w:val="000000"/>
        </w:rPr>
        <w:t xml:space="preserve">” </w:t>
      </w:r>
      <w:r>
        <w:rPr>
          <w:rFonts w:ascii="Times New Roman;sans-serif" w:hAnsi="Times New Roman;sans-serif"/>
          <w:b w:val="false"/>
          <w:color w:val="000000"/>
          <w:sz w:val="22"/>
        </w:rPr>
        <w:t>shall be brought in the federal court for the District of Delaware, if federal jurisdiction is available, or, alternatively, in the state courts in Wilmington, Delaware. Each of the Parties hereby submits to the exclusive jurisdiction of such courts for the purpose of any such litigation; provided, that a final judgment in any such litigation shall be conclusive and may be enforced in other jurisdictions by suit on the judgment or in any other manner provided by law.</w:t>
      </w:r>
      <w:r>
        <w:rPr>
          <w:color w:val="000000"/>
        </w:rPr>
        <w:t xml:space="preserve"> </w:t>
      </w:r>
      <w:r>
        <w:rPr>
          <w:rFonts w:ascii="Times New Roman;sans-serif" w:hAnsi="Times New Roman;sans-serif"/>
          <w:b/>
          <w:color w:val="000000"/>
          <w:sz w:val="22"/>
        </w:rPr>
        <w:t>Each party irrevocably and unconditionally agrees not to assert (a) any objection which it may ever have to the laying of venue of any such litigation in such courts, (b) any claim that any such litigation brought in any such court has been brought in an inconvenient forum, and (c) any claim that such court does not have jurisdiction with respect to such litigation. EACH PARTY IRREVOCABLY AND UNCONDITIONALLY WAIVES ANY RIGHT TO A TRIAL BY JURY AND AGREES THAT ANY OF THEM MAY FILE A COPY OF THIS PARAGRAPH WITH ANY COURT AS WRITTEN EVIDENCE OF THE KNOWING, VOLUNTARY AND BARGAINED-FOR AGREEMENT AMONG THE PARTIES IRREVOCABLY TO WAIVE ITS RIGHT TO TRIAL BY JURY IN ANY LITIGATION.</w:t>
      </w:r>
    </w:p>
    <w:p>
      <w:pPr>
        <w:pStyle w:val="TextBody"/>
        <w:spacing w:lineRule="auto" w:line="240" w:before="0" w:after="240"/>
        <w:ind w:left="0" w:right="0" w:hanging="720"/>
        <w:jc w:val="both"/>
        <w:rPr/>
      </w:pPr>
      <w:r>
        <w:rPr>
          <w:rFonts w:ascii="Times New Roman;sans-serif" w:hAnsi="Times New Roman;sans-serif"/>
          <w:b/>
          <w:color w:val="000000"/>
          <w:sz w:val="22"/>
        </w:rPr>
        <w:t>12.8DTM Upstream License Agreement Licensors</w:t>
      </w:r>
      <w:r>
        <w:rPr>
          <w:rFonts w:ascii="Times New Roman;sans-serif" w:hAnsi="Times New Roman;sans-serif"/>
          <w:b w:val="false"/>
          <w:color w:val="000000"/>
          <w:sz w:val="22"/>
        </w:rPr>
        <w:t>. Organon acknowledges that neither TriLogic nor MilanaPharm provides any representations, warranties, indemnities or has any liabilities to Organon pursuant to this Agreement.</w:t>
      </w:r>
    </w:p>
    <w:p>
      <w:pPr>
        <w:pStyle w:val="TextBody"/>
        <w:spacing w:lineRule="auto" w:line="240" w:before="0" w:after="240"/>
        <w:ind w:left="0" w:right="0" w:hanging="720"/>
        <w:jc w:val="both"/>
        <w:rPr/>
      </w:pPr>
      <w:r>
        <w:rPr>
          <w:rFonts w:ascii="Times New Roman;sans-serif" w:hAnsi="Times New Roman;sans-serif"/>
          <w:b/>
          <w:color w:val="000000"/>
          <w:sz w:val="22"/>
        </w:rPr>
        <w:t>12.9Entire Agreement; Amendments</w:t>
      </w:r>
      <w:r>
        <w:rPr>
          <w:rFonts w:ascii="Times New Roman;sans-serif" w:hAnsi="Times New Roman;sans-serif"/>
          <w:b w:val="false"/>
          <w:color w:val="000000"/>
          <w:sz w:val="22"/>
        </w:rPr>
        <w:t xml:space="preserve">. This Agreement, together with the Schedules hereto, contains the entire understanding of the Parties with respect to the subject matter hereof and the licenses granted hereunder. Any other express or implied agreements and understandings, negotiations, writings and commitments, either oral or written, with respect to the subject matter hereof and the licenses granted hereunder are superseded by the terms of this Agreement. The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024890"/>
                <wp:effectExtent l="0" t="0" r="0" b="0"/>
                <wp:wrapNone/>
                <wp:docPr id="95" name="Frame94"/>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52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52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Schedules to this Agreement are incorporated herein by reference and shall be deemed a part of this Agreement. This Agreement may be amended, or any term hereof modified, only by a written instrument duly executed by authorized representative(s) of both Parties hereto.</w:t>
      </w:r>
    </w:p>
    <w:p>
      <w:pPr>
        <w:pStyle w:val="TextBody"/>
        <w:spacing w:lineRule="auto" w:line="240" w:before="0" w:after="240"/>
        <w:ind w:left="0" w:right="0" w:hanging="720"/>
        <w:jc w:val="both"/>
        <w:rPr/>
      </w:pPr>
      <w:r>
        <w:rPr>
          <w:rFonts w:ascii="Times New Roman;sans-serif" w:hAnsi="Times New Roman;sans-serif"/>
          <w:b/>
          <w:color w:val="000000"/>
          <w:sz w:val="22"/>
        </w:rPr>
        <w:t>12.10Headings</w:t>
      </w:r>
      <w:r>
        <w:rPr>
          <w:rFonts w:ascii="Times New Roman;sans-serif" w:hAnsi="Times New Roman;sans-serif"/>
          <w:b w:val="false"/>
          <w:color w:val="000000"/>
          <w:sz w:val="22"/>
        </w:rPr>
        <w:t>. The captions to the several Articles, Sections and subsections hereof are not a part of this Agreement, but are merely for convenience to assist in locating and reading the several Articles and Sections hereof.</w:t>
      </w:r>
    </w:p>
    <w:p>
      <w:pPr>
        <w:pStyle w:val="TextBody"/>
        <w:spacing w:lineRule="auto" w:line="240" w:before="0" w:after="240"/>
        <w:ind w:left="0" w:right="0" w:hanging="720"/>
        <w:jc w:val="both"/>
        <w:rPr/>
      </w:pPr>
      <w:r>
        <w:rPr>
          <w:rFonts w:ascii="Times New Roman;sans-serif" w:hAnsi="Times New Roman;sans-serif"/>
          <w:b/>
          <w:color w:val="000000"/>
          <w:sz w:val="22"/>
        </w:rPr>
        <w:t>12.11Independent Contractors</w:t>
      </w:r>
      <w:r>
        <w:rPr>
          <w:rFonts w:ascii="Times New Roman;sans-serif" w:hAnsi="Times New Roman;sans-serif"/>
          <w:b w:val="false"/>
          <w:color w:val="000000"/>
          <w:sz w:val="22"/>
        </w:rPr>
        <w:t>. It is expressly agreed that Daré and Organon shall be independent contractors and that the relationship between the two Parties shall not constitute a partnership, joint venture or agency. Neither Daré nor Organon shall have the authority to make any statements, representations or commitments of any kind, or to take any action, which shall be binding on the other Party, without the prior written consent of the other Party.</w:t>
      </w:r>
    </w:p>
    <w:p>
      <w:pPr>
        <w:pStyle w:val="TextBody"/>
        <w:spacing w:lineRule="auto" w:line="240" w:before="0" w:after="240"/>
        <w:ind w:left="0" w:right="0" w:hanging="720"/>
        <w:jc w:val="both"/>
        <w:rPr/>
      </w:pPr>
      <w:r>
        <w:rPr>
          <w:rFonts w:ascii="Times New Roman;sans-serif" w:hAnsi="Times New Roman;sans-serif"/>
          <w:b/>
          <w:color w:val="000000"/>
          <w:sz w:val="22"/>
        </w:rPr>
        <w:t>12.12Expenses</w:t>
      </w:r>
      <w:r>
        <w:rPr>
          <w:rFonts w:ascii="Times New Roman;sans-serif" w:hAnsi="Times New Roman;sans-serif"/>
          <w:b w:val="false"/>
          <w:color w:val="000000"/>
          <w:sz w:val="22"/>
        </w:rPr>
        <w:t>. Except as specifically provided in this Agreement, each Party will be responsible for its own costs and expenses associated with its negotiation, execution, delivery and performance of this Agreement.</w:t>
      </w:r>
    </w:p>
    <w:p>
      <w:pPr>
        <w:pStyle w:val="TextBody"/>
        <w:spacing w:lineRule="auto" w:line="240" w:before="0" w:after="240"/>
        <w:ind w:left="0" w:right="0" w:hanging="720"/>
        <w:jc w:val="both"/>
        <w:rPr/>
      </w:pPr>
      <w:r>
        <w:rPr>
          <w:rFonts w:ascii="Times New Roman;sans-serif" w:hAnsi="Times New Roman;sans-serif"/>
          <w:b/>
          <w:color w:val="000000"/>
          <w:sz w:val="22"/>
        </w:rPr>
        <w:t>12.13Waiver</w:t>
      </w:r>
      <w:r>
        <w:rPr>
          <w:rFonts w:ascii="Times New Roman;sans-serif" w:hAnsi="Times New Roman;sans-serif"/>
          <w:b w:val="false"/>
          <w:color w:val="000000"/>
          <w:sz w:val="22"/>
        </w:rPr>
        <w:t>. The waiver by either Party hereto of any right hereunder, or of any failure of the other Party to perform, or of any breach by the other Party, shall not be deemed a waiver of any other right hereunder or of any other breach by or failure of such other Party whether of a similar nature or otherwise.</w:t>
      </w:r>
    </w:p>
    <w:p>
      <w:pPr>
        <w:pStyle w:val="TextBody"/>
        <w:spacing w:lineRule="auto" w:line="240" w:before="0" w:after="240"/>
        <w:ind w:left="0" w:right="0" w:hanging="720"/>
        <w:jc w:val="both"/>
        <w:rPr/>
      </w:pPr>
      <w:r>
        <w:rPr>
          <w:rFonts w:ascii="Times New Roman;sans-serif" w:hAnsi="Times New Roman;sans-serif"/>
          <w:b/>
          <w:color w:val="000000"/>
          <w:sz w:val="22"/>
        </w:rPr>
        <w:t>12.14Waiver of Rule of Construction</w:t>
      </w:r>
      <w:r>
        <w:rPr>
          <w:rFonts w:ascii="Times New Roman;sans-serif" w:hAnsi="Times New Roman;sans-serif"/>
          <w:b w:val="false"/>
          <w:color w:val="000000"/>
          <w:sz w:val="22"/>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pStyle w:val="TextBody"/>
        <w:spacing w:lineRule="auto" w:line="240" w:before="0" w:after="240"/>
        <w:ind w:left="0" w:right="0" w:hanging="720"/>
        <w:jc w:val="both"/>
        <w:rPr/>
      </w:pPr>
      <w:r>
        <w:rPr>
          <w:rFonts w:ascii="Times New Roman;sans-serif" w:hAnsi="Times New Roman;sans-serif"/>
          <w:b/>
          <w:color w:val="000000"/>
          <w:sz w:val="22"/>
        </w:rPr>
        <w:t>12.15Certain Conventions</w:t>
      </w:r>
      <w:r>
        <w:rPr>
          <w:rFonts w:ascii="Times New Roman;sans-serif" w:hAnsi="Times New Roman;sans-serif"/>
          <w:b w:val="false"/>
          <w:color w:val="000000"/>
          <w:sz w:val="22"/>
        </w:rPr>
        <w:t>. Any reference in this Agreement to an Article, Section, subsection, paragraph, clause or Schedule shall be deemed to be a reference to an Article, Section, subsection, paragraph, clause or Schedule, of or to, as the case may be, this Agreement, unless otherwise indicated. Whenever this Agreement refers to a number of days, unless otherwise specified, such number refers to calendar days. Unless the context of this Agreement otherwise requires, (a) words of any gender include any other gender, (b) words such as “herein”, “hereof”, and “hereunder” refer to this Agreement as a whole and not merely to the particular provision in which such words appear, (c) words using the singular shall include the plural, and vice versa, (d) each use of the word “including” is not limiting and is deemed to be followed by the words “without limitation”, (e) the words “shall” and “will” have the same meaning unless the context dictates otherwise, (f) use of the words “or,” “either” or “any” will not be exclusive, and (g) the word “or” will be interpreted in the inclusive sense commonly associated with the term “and/or.”</w:t>
      </w:r>
    </w:p>
    <w:p>
      <w:pPr>
        <w:pStyle w:val="TextBody"/>
        <w:spacing w:lineRule="auto" w:line="240" w:before="0" w:after="240"/>
        <w:ind w:left="0" w:right="0" w:hanging="720"/>
        <w:jc w:val="both"/>
        <w:rPr/>
      </w:pPr>
      <w:r>
        <w:rPr>
          <w:rFonts w:ascii="Times New Roman;sans-serif" w:hAnsi="Times New Roman;sans-serif"/>
          <w:b/>
          <w:color w:val="000000"/>
          <w:sz w:val="22"/>
        </w:rPr>
        <w:t>12.16Counterparts</w:t>
      </w:r>
      <w:r>
        <w:rPr>
          <w:rFonts w:ascii="Times New Roman;sans-serif" w:hAnsi="Times New Roman;sans-serif"/>
          <w:b w:val="false"/>
          <w:color w:val="000000"/>
          <w:sz w:val="22"/>
        </w:rPr>
        <w:t>. This Agreement may be signed in any number of counterparts (including by facsimile or electronic transmission), each of which shall be deemed an original, but all of which shall constitute one and the same instrument. After facsimile or electronic transmission, the Parties agree to execute and exchange documents with original signatures.</w:t>
      </w:r>
    </w:p>
    <w:p>
      <w:pPr>
        <w:pStyle w:val="TextBody"/>
        <w:spacing w:lineRule="auto" w:line="240" w:before="0" w:after="240"/>
        <w:ind w:left="0" w:right="0" w:hanging="720"/>
        <w:jc w:val="both"/>
        <w:rPr/>
      </w:pPr>
      <w:r>
        <w:rPr>
          <w:rFonts w:ascii="Times New Roman;sans-serif" w:hAnsi="Times New Roman;sans-serif"/>
          <w:b/>
          <w:color w:val="000000"/>
          <w:sz w:val="22"/>
        </w:rPr>
        <w:t>12.17Further Assurances</w:t>
      </w:r>
      <w:r>
        <w:rPr>
          <w:rFonts w:ascii="Times New Roman;sans-serif" w:hAnsi="Times New Roman;sans-serif"/>
          <w:b w:val="false"/>
          <w:color w:val="000000"/>
          <w:sz w:val="22"/>
        </w:rPr>
        <w:t>. From time to time, each Party will execute, acknowledge and deliver to each other any further documents, assurances and other matters, and will take any other action consistent with the terms and conditions of this Agreement, that may reasonably be requested by a Party and necessary or desirable to carry out the purpose of this Agreement.</w:t>
      </w:r>
    </w:p>
    <w:p>
      <w:pPr>
        <w:pStyle w:val="TextBody"/>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[SIGNATURES ON FOLLOWING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center"/>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024890"/>
                <wp:effectExtent l="0" t="0" r="0" b="0"/>
                <wp:wrapNone/>
                <wp:docPr id="96" name="Frame95"/>
                <a:graphic xmlns:a="http://schemas.openxmlformats.org/drawingml/2006/main">
                  <a:graphicData uri="http://schemas.microsoft.com/office/word/2010/wordprocessingShape">
                    <wps:wsp>
                      <wps:cNvSpPr txBox="1"/>
                      <wps:spPr>
                        <a:xfrm>
                          <a:off x="0" y="0"/>
                          <a:ext cx="6480175" cy="1024890"/>
                        </a:xfrm>
                        <a:prstGeom prst="rect"/>
                      </wps:spPr>
                      <wps:txbx>
                        <w:txbxContent>
                          <w:p>
                            <w:pPr>
                              <w:pStyle w:val="TextBody"/>
                              <w:spacing w:lineRule="auto" w:line="252" w:before="0" w:after="240"/>
                              <w:rPr/>
                            </w:pPr>
                            <w:r>
                              <w:rPr>
                                <w:color w:val="000000"/>
                              </w:rPr>
                              <w:t>    </w:t>
                            </w:r>
                            <w:r>
                              <w:rPr>
                                <w:rFonts w:ascii="Times New Roman;sans-serif" w:hAnsi="Times New Roman;sans-serif"/>
                                <w:b w:val="false"/>
                                <w:color w:val="000000"/>
                                <w:sz w:val="22"/>
                              </w:rPr>
                              <w:t>53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52" w:before="0" w:after="240"/>
                        <w:rPr/>
                      </w:pPr>
                      <w:r>
                        <w:rPr>
                          <w:color w:val="000000"/>
                        </w:rPr>
                        <w:t>    </w:t>
                      </w:r>
                      <w:r>
                        <w:rPr>
                          <w:rFonts w:ascii="Times New Roman;sans-serif" w:hAnsi="Times New Roman;sans-serif"/>
                          <w:b w:val="false"/>
                          <w:color w:val="000000"/>
                          <w:sz w:val="22"/>
                        </w:rPr>
                        <w:t>53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before="0" w:after="200"/>
        <w:jc w:val="center"/>
        <w:rPr/>
      </w:pPr>
      <w:r>
        <w:rPr/>
      </w:r>
    </w:p>
    <w:p>
      <w:pPr>
        <w:pStyle w:val="TextBody"/>
        <w:spacing w:lineRule="auto" w:line="240"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executed this Agreement by their duly authorized representatives as of the Execution Date.</w:t>
      </w:r>
    </w:p>
    <w:tbl>
      <w:tblPr>
        <w:tblW w:w="6988" w:type="dxa"/>
        <w:jc w:val="left"/>
        <w:tblInd w:w="0" w:type="dxa"/>
        <w:tblCellMar>
          <w:top w:w="28" w:type="dxa"/>
          <w:left w:w="28" w:type="dxa"/>
          <w:bottom w:w="28" w:type="dxa"/>
          <w:right w:w="28" w:type="dxa"/>
        </w:tblCellMar>
      </w:tblPr>
      <w:tblGrid>
        <w:gridCol w:w="1408"/>
        <w:gridCol w:w="1236"/>
        <w:gridCol w:w="1240"/>
        <w:gridCol w:w="908"/>
        <w:gridCol w:w="908"/>
        <w:gridCol w:w="1288"/>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ORGANON INTERNATIONAL GMBH</w:t>
            </w:r>
          </w:p>
        </w:tc>
        <w:tc>
          <w:tcPr>
            <w:tcW w:w="3104"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DARÉ BIOSCIENCE, INC.</w:t>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Thomas Morlet</w:t>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Sabrina Johnson</w:t>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Thomas Morlet</w:t>
            </w:r>
          </w:p>
        </w:tc>
        <w:tc>
          <w:tcPr>
            <w:tcW w:w="3104"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Sabrina Johnson</w:t>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Managing Officer</w:t>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r>
    </w:tbl>
    <w:p>
      <w:pPr>
        <w:pStyle w:val="TextBody"/>
        <w:spacing w:before="0" w:after="240"/>
        <w:jc w:val="both"/>
        <w:rPr/>
      </w:pPr>
      <w:r>
        <w:rPr/>
      </w:r>
    </w:p>
    <w:p>
      <w:pPr>
        <w:pStyle w:val="TextBody"/>
        <w:spacing w:before="0" w:after="240"/>
        <w:jc w:val="center"/>
        <w:rPr/>
      </w:pPr>
      <w:r>
        <w:rPr/>
      </w:r>
    </w:p>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88975"/>
                <wp:effectExtent l="0" t="0" r="0" b="0"/>
                <wp:wrapNone/>
                <wp:docPr id="97" name="Frame96"/>
                <a:graphic xmlns:a="http://schemas.openxmlformats.org/drawingml/2006/main">
                  <a:graphicData uri="http://schemas.microsoft.com/office/word/2010/wordprocessingShape">
                    <wps:wsp>
                      <wps:cNvSpPr txBox="1"/>
                      <wps:spPr>
                        <a:xfrm>
                          <a:off x="0" y="0"/>
                          <a:ext cx="6480175" cy="688975"/>
                        </a:xfrm>
                        <a:prstGeom prst="rect"/>
                      </wps:spPr>
                      <wps:txb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25pt;mso-wrap-distance-left:0pt;mso-wrap-distance-right:0pt;mso-wrap-distance-top:0pt;mso-wrap-distance-bottom:0pt;margin-top:0pt;mso-position-vertical:top;mso-position-vertical-relative:text;margin-left:-425.15pt;mso-position-horizontal:left;mso-position-horizontal-relative:text">
                <v:textbo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NAI-1530421791v2</w:t>
                            </w:r>
                          </w:p>
                        </w:tc>
                      </w:tr>
                    </w:tbl>
                    <w:p>
                      <w:pPr>
                        <w:pStyle w:val="TextBody"/>
                        <w:spacing w:before="0" w:after="283"/>
                        <w:rPr/>
                      </w:pPr>
                      <w:r>
                        <w:rPr/>
                      </w:r>
                    </w:p>
                  </w:txbxContent>
                </v:textbox>
              </v:rect>
            </w:pict>
          </mc:Fallback>
        </mc:AlternateContent>
      </w:r>
    </w:p>
    <w:p>
      <w:pPr>
        <w:pStyle w:val="TextBody"/>
        <w:spacing w:before="0" w:after="0"/>
        <w:jc w:val="right"/>
        <w:rPr/>
      </w:pPr>
      <w:r>
        <w:rPr/>
      </w:r>
    </w:p>
    <w:p>
      <w:pPr>
        <w:pStyle w:val="TextBody"/>
        <w:spacing w:before="0" w:after="24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CERTAIN INFORMATION HAS BEEN OMITTED FROM THIS EXHIBIT BECAUSE IT IS BOTH NOT MATERIAL AND IS THE TYPE THAT THE REGISTRANT TREATS AS PRIVATE OR CONFIDENTIAL. IN THIS EXHIBIT, “[***]” INDICATES WHERE SUCH INFORMATION HAS BEEN OMITTED.</w:t>
      </w:r>
    </w:p>
    <w:p>
      <w:pPr>
        <w:pStyle w:val="TextBody"/>
        <w:spacing w:before="0" w:after="2"/>
        <w:rPr/>
      </w:pPr>
      <w:r>
        <w:rPr/>
      </w:r>
    </w:p>
    <w:p>
      <w:pPr>
        <w:pStyle w:val="TextBody"/>
        <w:spacing w:before="0" w:after="2"/>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CONSENT, WAIVER AND STAND-BY LICENSE AGREEMENT</w:t>
      </w:r>
    </w:p>
    <w:p>
      <w:pPr>
        <w:pStyle w:val="TextBody"/>
        <w:spacing w:before="0" w:after="2"/>
        <w:jc w:val="center"/>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2"/>
        </w:rPr>
        <w:t>This CONSENT, WAIVER AND STAND-BY LICENSE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dated March 30, 2022 (“</w:t>
      </w:r>
      <w:r>
        <w:rPr>
          <w:rFonts w:ascii="Times New Roman;sans-serif" w:hAnsi="Times New Roman;sans-serif"/>
          <w:b/>
          <w:color w:val="000000"/>
          <w:sz w:val="22"/>
        </w:rPr>
        <w:t>Execution Date</w:t>
      </w:r>
      <w:r>
        <w:rPr>
          <w:color w:val="000000"/>
        </w:rPr>
        <w:t>”</w:t>
      </w:r>
      <w:r>
        <w:rPr>
          <w:rFonts w:ascii="Times New Roman;sans-serif" w:hAnsi="Times New Roman;sans-serif"/>
          <w:b w:val="false"/>
          <w:color w:val="000000"/>
          <w:sz w:val="22"/>
        </w:rPr>
        <w:t>), is by and among TriLogic Pharma, LLC, a limited liability company organized under the laws of Delaware (“</w:t>
      </w:r>
      <w:r>
        <w:rPr>
          <w:rFonts w:ascii="Times New Roman;sans-serif" w:hAnsi="Times New Roman;sans-serif"/>
          <w:b/>
          <w:color w:val="000000"/>
          <w:sz w:val="22"/>
        </w:rPr>
        <w:t>TriLogic</w:t>
      </w:r>
      <w:r>
        <w:rPr>
          <w:color w:val="000000"/>
        </w:rPr>
        <w:t>”</w:t>
      </w:r>
      <w:r>
        <w:rPr>
          <w:rFonts w:ascii="Times New Roman;sans-serif" w:hAnsi="Times New Roman;sans-serif"/>
          <w:b w:val="false"/>
          <w:color w:val="000000"/>
          <w:sz w:val="22"/>
        </w:rPr>
        <w:t>), MilanaPharm LCC, a limited liability company organized under the laws of Delaware (“</w:t>
      </w:r>
      <w:r>
        <w:rPr>
          <w:rFonts w:ascii="Times New Roman;sans-serif" w:hAnsi="Times New Roman;sans-serif"/>
          <w:b/>
          <w:color w:val="000000"/>
          <w:sz w:val="22"/>
        </w:rPr>
        <w:t>MilanaPharm</w:t>
      </w:r>
      <w:r>
        <w:rPr>
          <w:color w:val="000000"/>
        </w:rPr>
        <w:t>”</w:t>
      </w:r>
      <w:r>
        <w:rPr>
          <w:rFonts w:ascii="Times New Roman;sans-serif" w:hAnsi="Times New Roman;sans-serif"/>
          <w:b w:val="false"/>
          <w:color w:val="000000"/>
          <w:sz w:val="22"/>
        </w:rPr>
        <w:t>), Daré Bioscience, Inc., a corporation organized and existing under the laws of Delaware (“</w:t>
      </w:r>
      <w:r>
        <w:rPr>
          <w:rFonts w:ascii="Times New Roman;sans-serif" w:hAnsi="Times New Roman;sans-serif"/>
          <w:b/>
          <w:color w:val="000000"/>
          <w:sz w:val="22"/>
        </w:rPr>
        <w:t>Daré</w:t>
      </w:r>
      <w:r>
        <w:rPr>
          <w:color w:val="000000"/>
        </w:rPr>
        <w:t>”</w:t>
      </w:r>
      <w:r>
        <w:rPr>
          <w:rFonts w:ascii="Times New Roman;sans-serif" w:hAnsi="Times New Roman;sans-serif"/>
          <w:b w:val="false"/>
          <w:color w:val="000000"/>
          <w:sz w:val="22"/>
        </w:rPr>
        <w:t>), and Organon International GmbH, a limited liability company organized and existing under the laws of Switzerland (“</w:t>
      </w:r>
      <w:r>
        <w:rPr>
          <w:rFonts w:ascii="Times New Roman;sans-serif" w:hAnsi="Times New Roman;sans-serif"/>
          <w:b/>
          <w:color w:val="000000"/>
          <w:sz w:val="22"/>
        </w:rPr>
        <w:t>Organon</w:t>
      </w:r>
      <w:r>
        <w:rPr>
          <w:color w:val="000000"/>
        </w:rPr>
        <w:t>”</w:t>
      </w:r>
      <w:r>
        <w:rPr>
          <w:rFonts w:ascii="Times New Roman;sans-serif" w:hAnsi="Times New Roman;sans-serif"/>
          <w:b w:val="false"/>
          <w:color w:val="000000"/>
          <w:sz w:val="22"/>
        </w:rPr>
        <w:t>).</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lineRule="auto" w:line="240" w:before="0" w:after="2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TriLogic, MilanaPharm and Hammock Pharmaceuticals, Inc. (“</w:t>
      </w:r>
      <w:r>
        <w:rPr>
          <w:rFonts w:ascii="Times New Roman;sans-serif" w:hAnsi="Times New Roman;sans-serif"/>
          <w:b/>
          <w:color w:val="000000"/>
          <w:sz w:val="22"/>
        </w:rPr>
        <w:t>Hammock</w:t>
      </w:r>
      <w:r>
        <w:rPr>
          <w:color w:val="000000"/>
        </w:rPr>
        <w:t>”</w:t>
      </w:r>
      <w:r>
        <w:rPr>
          <w:rFonts w:ascii="Times New Roman;sans-serif" w:hAnsi="Times New Roman;sans-serif"/>
          <w:b w:val="false"/>
          <w:color w:val="000000"/>
          <w:sz w:val="22"/>
        </w:rPr>
        <w:t>) entered into that Exclusive License Agreement effective as of January 9, 2017 (the “</w:t>
      </w:r>
      <w:r>
        <w:rPr>
          <w:rFonts w:ascii="Times New Roman;sans-serif" w:hAnsi="Times New Roman;sans-serif"/>
          <w:b/>
          <w:color w:val="000000"/>
          <w:sz w:val="22"/>
        </w:rPr>
        <w:t>Original License Agreement</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 xml:space="preserve">Hammock assigned to Daré Hammock’s entire right, title and interest in the Original License Agreement pursuant to that Assignment Agreement between Hammock and Daré effective as of December 5, 2018. </w:t>
      </w:r>
    </w:p>
    <w:p>
      <w:pPr>
        <w:pStyle w:val="TextBody"/>
        <w:spacing w:lineRule="auto" w:line="240" w:before="0" w:after="2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Daré, TriLogic and MilanaPharm amended the Original License Agreement pursuant to that First Amendment to License Agreement effective as of December 5, 2018, that Amendment No. 2 to License Agreement effective as of December 3, 2019 and that Second Amendment to License Agreement effective as of September 21, 2021 (the Original License Agreement, as amended, the “</w:t>
      </w:r>
      <w:r>
        <w:rPr>
          <w:rFonts w:ascii="Times New Roman;sans-serif" w:hAnsi="Times New Roman;sans-serif"/>
          <w:b/>
          <w:color w:val="000000"/>
          <w:sz w:val="22"/>
        </w:rPr>
        <w:t>DTM Upstream License Agreement</w:t>
      </w:r>
      <w:r>
        <w:rPr>
          <w:color w:val="000000"/>
        </w:rPr>
        <w:t>”</w:t>
      </w:r>
      <w:r>
        <w:rPr>
          <w:rFonts w:ascii="Times New Roman;sans-serif" w:hAnsi="Times New Roman;sans-serif"/>
          <w:b w:val="false"/>
          <w:color w:val="000000"/>
          <w:sz w:val="22"/>
        </w:rPr>
        <w:t>).</w:t>
      </w:r>
    </w:p>
    <w:p>
      <w:pPr>
        <w:pStyle w:val="TextBody"/>
        <w:spacing w:lineRule="auto" w:line="240" w:before="0" w:after="2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Daré desires to sublicense to Organon, and Organon desires to receive a sublicense from Daré, under rights granted to Daré in the DTM Upstream License Agreement as set forth in the Exclusive License Agreement between Daré and Organon being entered as of the Execution Date (the “</w:t>
      </w:r>
      <w:r>
        <w:rPr>
          <w:rFonts w:ascii="Times New Roman;sans-serif" w:hAnsi="Times New Roman;sans-serif"/>
          <w:b/>
          <w:color w:val="000000"/>
          <w:sz w:val="22"/>
        </w:rPr>
        <w:t>Daré-Organon Sublicense Agreement</w:t>
      </w:r>
      <w:r>
        <w:rPr>
          <w:color w:val="000000"/>
        </w:rPr>
        <w:t>”</w:t>
      </w:r>
      <w:r>
        <w:rPr>
          <w:rFonts w:ascii="Times New Roman;sans-serif" w:hAnsi="Times New Roman;sans-serif"/>
          <w:b w:val="false"/>
          <w:color w:val="000000"/>
          <w:sz w:val="22"/>
        </w:rPr>
        <w:t xml:space="preserve">), a redacted copy of which is attached as </w:t>
      </w:r>
      <w:r>
        <w:rPr>
          <w:rFonts w:ascii="Times New Roman;sans-serif" w:hAnsi="Times New Roman;sans-serif"/>
          <w:b/>
          <w:color w:val="000000"/>
          <w:sz w:val="22"/>
        </w:rPr>
        <w:t>Schedule A</w:t>
      </w:r>
      <w:r>
        <w:rPr>
          <w:rFonts w:ascii="Times New Roman;sans-serif" w:hAnsi="Times New Roman;sans-serif"/>
          <w:b w:val="false"/>
          <w:color w:val="000000"/>
          <w:sz w:val="22"/>
        </w:rPr>
        <w:t>.</w:t>
      </w:r>
    </w:p>
    <w:p>
      <w:pPr>
        <w:pStyle w:val="TextBody"/>
        <w:spacing w:lineRule="auto" w:line="240" w:before="0" w:after="240"/>
        <w:jc w:val="both"/>
        <w:rPr/>
      </w:pPr>
      <w:r>
        <w:rPr>
          <w:rFonts w:ascii="Times New Roman;sans-serif" w:hAnsi="Times New Roman;sans-serif"/>
          <w:b/>
          <w:color w:val="000000"/>
          <w:sz w:val="22"/>
        </w:rPr>
        <w:t>E.    </w:t>
      </w:r>
      <w:r>
        <w:rPr>
          <w:rFonts w:ascii="Times New Roman;sans-serif" w:hAnsi="Times New Roman;sans-serif"/>
          <w:b w:val="false"/>
          <w:color w:val="000000"/>
          <w:sz w:val="22"/>
        </w:rPr>
        <w:t>As a condition to entering into the Daré-Organon Sublicense Agreement: (i) Organon requested Daré to obtain from TriLogic and MilanaPharm consent to the Daré-Organon Sublicense Agreement as a sublicense under the DTM Upstream License Agreement, including waivers of any requirements for such sublicensing to the extent not satisfied by the Daré-Organon Sublicense Agreement, (ii) Organon requested TriLogic and MilanaPharm to provide Organon certain assurances regarding Organon’s rights and obligations should the DTM Upstream License Agreement be terminated, and (iii) Daré requested TriLogic and MilanaPharm to further amend the Original License Agreement.</w:t>
      </w:r>
    </w:p>
    <w:p>
      <w:pPr>
        <w:pStyle w:val="TextBody"/>
        <w:spacing w:lineRule="auto" w:line="240" w:before="0" w:after="240"/>
        <w:jc w:val="both"/>
        <w:rPr/>
      </w:pPr>
      <w:r>
        <w:rPr>
          <w:rFonts w:ascii="Times New Roman;sans-serif" w:hAnsi="Times New Roman;sans-serif"/>
          <w:b/>
          <w:color w:val="000000"/>
          <w:sz w:val="22"/>
        </w:rPr>
        <w:t>F.</w:t>
      </w:r>
      <w:r>
        <w:rPr>
          <w:color w:val="000000"/>
        </w:rPr>
        <w:t>    </w:t>
      </w:r>
      <w:r>
        <w:rPr>
          <w:rFonts w:ascii="Times New Roman;sans-serif" w:hAnsi="Times New Roman;sans-serif"/>
          <w:b w:val="false"/>
          <w:color w:val="000000"/>
          <w:sz w:val="22"/>
        </w:rPr>
        <w:t>TriLogic and MilanaPharm have agreed to provide such consent, waivers, assurances and amendments to the extent set forth below.</w:t>
      </w:r>
    </w:p>
    <w:p>
      <w:pPr>
        <w:pStyle w:val="TextBody"/>
        <w:spacing w:lineRule="auto" w:line="240" w:before="0" w:after="24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foregoing premises and the mutual covenants contained herein, the receipt and sufficiency of which are hereby acknowledged, Daré, TriLogic, MilanaPharm and Organon hereby agree as follows:</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36575"/>
                <wp:effectExtent l="0" t="0" r="0" b="0"/>
                <wp:wrapNone/>
                <wp:docPr id="98" name="Frame97"/>
                <a:graphic xmlns:a="http://schemas.openxmlformats.org/drawingml/2006/main">
                  <a:graphicData uri="http://schemas.microsoft.com/office/word/2010/wordprocessingShape">
                    <wps:wsp>
                      <wps:cNvSpPr txBox="1"/>
                      <wps:spPr>
                        <a:xfrm>
                          <a:off x="0" y="0"/>
                          <a:ext cx="6480175" cy="536575"/>
                        </a:xfrm>
                        <a:prstGeom prst="rect"/>
                      </wps:spPr>
                      <wps:txb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ARTICLE 1</w:t>
      </w:r>
      <w:r>
        <w:rPr>
          <w:rFonts w:ascii="Times New Roman;sans-serif" w:hAnsi="Times New Roman;sans-serif"/>
          <w:b/>
          <w:color w:val="000000"/>
          <w:sz w:val="24"/>
        </w:rPr>
        <w:t>DEFINITIONS.</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Unless specifically set forth to the contrary herein, the following terms, whether used in the singular or plural, shall have the respective meanings set forth below.</w:t>
      </w:r>
    </w:p>
    <w:p>
      <w:pPr>
        <w:pStyle w:val="TextBody"/>
        <w:spacing w:lineRule="auto" w:line="240" w:before="0" w:after="240"/>
        <w:ind w:left="0" w:right="0" w:hanging="720"/>
        <w:jc w:val="both"/>
        <w:rPr/>
      </w:pPr>
      <w:r>
        <w:rPr>
          <w:rFonts w:ascii="Times New Roman;sans-serif" w:hAnsi="Times New Roman;sans-serif"/>
          <w:b/>
          <w:color w:val="000000"/>
          <w:sz w:val="22"/>
        </w:rPr>
        <w:t>1.1</w:t>
      </w: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a Person or entity that controls, is controlled by or is under common control with a Party, but only for so long as such control exists. For the purposes of this definition, the word “control” (including, with correlative meaning, the terms “controlled by” or “under common control with”) means the actual power, either directly or indirectly through one or more intermediaries, to direct the management and policies of such Person or entity, whether by the ownership of more than 50% of the voting stock of such entity, or by contract or otherwise. The Parties acknowledge that in the case of certain entities organized under the laws of certain countries outside of the United States, the maximum percentage ownership permitted by law for a foreign investor may be less than 50%, and that in such case such lower percentage shall be substituted in the preceding sentence, provided that such foreign investor has the power to direct the management or policies of such entity.</w:t>
      </w:r>
    </w:p>
    <w:p>
      <w:pPr>
        <w:pStyle w:val="TextBody"/>
        <w:spacing w:lineRule="auto" w:line="240" w:before="0" w:after="240"/>
        <w:ind w:left="0" w:right="0" w:hanging="720"/>
        <w:jc w:val="both"/>
        <w:rPr/>
      </w:pPr>
      <w:r>
        <w:rPr>
          <w:rFonts w:ascii="Times New Roman;sans-serif" w:hAnsi="Times New Roman;sans-serif"/>
          <w:b/>
          <w:color w:val="000000"/>
          <w:sz w:val="22"/>
        </w:rPr>
        <w:t>1.2</w:t>
      </w:r>
      <w:r>
        <w:rPr>
          <w:color w:val="000000"/>
        </w:rPr>
        <w:t>“</w:t>
      </w:r>
      <w:r>
        <w:rPr>
          <w:rFonts w:ascii="Times New Roman;sans-serif" w:hAnsi="Times New Roman;sans-serif"/>
          <w:b/>
          <w:color w:val="000000"/>
          <w:sz w:val="22"/>
        </w:rPr>
        <w:t>Effective Date</w:t>
      </w:r>
      <w:r>
        <w:rPr>
          <w:color w:val="000000"/>
        </w:rPr>
        <w:t xml:space="preserve">” </w:t>
      </w:r>
      <w:r>
        <w:rPr>
          <w:rFonts w:ascii="Times New Roman;sans-serif" w:hAnsi="Times New Roman;sans-serif"/>
          <w:b w:val="false"/>
          <w:color w:val="000000"/>
          <w:sz w:val="22"/>
        </w:rPr>
        <w:t>means the Effective Date of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1.3</w:t>
      </w:r>
      <w:r>
        <w:rPr>
          <w:color w:val="000000"/>
        </w:rPr>
        <w:t>“</w:t>
      </w:r>
      <w:r>
        <w:rPr>
          <w:rFonts w:ascii="Times New Roman;sans-serif" w:hAnsi="Times New Roman;sans-serif"/>
          <w:b/>
          <w:color w:val="000000"/>
          <w:sz w:val="22"/>
        </w:rPr>
        <w:t>Parties</w:t>
      </w:r>
      <w:r>
        <w:rPr>
          <w:color w:val="000000"/>
        </w:rPr>
        <w:t xml:space="preserve">” </w:t>
      </w:r>
      <w:r>
        <w:rPr>
          <w:rFonts w:ascii="Times New Roman;sans-serif" w:hAnsi="Times New Roman;sans-serif"/>
          <w:b w:val="false"/>
          <w:color w:val="000000"/>
          <w:sz w:val="22"/>
        </w:rPr>
        <w:t>means, collectively, TriLogic, MilanaPharm, Daré and Organon.</w:t>
      </w:r>
    </w:p>
    <w:p>
      <w:pPr>
        <w:pStyle w:val="TextBody"/>
        <w:spacing w:lineRule="auto" w:line="240" w:before="0" w:after="240"/>
        <w:ind w:left="0" w:right="0" w:hanging="720"/>
        <w:jc w:val="both"/>
        <w:rPr/>
      </w:pPr>
      <w:r>
        <w:rPr>
          <w:rFonts w:ascii="Times New Roman;sans-serif" w:hAnsi="Times New Roman;sans-serif"/>
          <w:b/>
          <w:color w:val="000000"/>
          <w:sz w:val="22"/>
        </w:rPr>
        <w:t>1.4</w:t>
      </w:r>
      <w:r>
        <w:rPr>
          <w:color w:val="000000"/>
        </w:rPr>
        <w:t>“</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means one of TriLogic, MilanaPharm, Daré and Organon.</w:t>
      </w:r>
    </w:p>
    <w:p>
      <w:pPr>
        <w:pStyle w:val="TextBody"/>
        <w:spacing w:lineRule="auto" w:line="240" w:before="0" w:after="240"/>
        <w:ind w:left="0" w:right="0" w:hanging="720"/>
        <w:jc w:val="both"/>
        <w:rPr/>
      </w:pPr>
      <w:r>
        <w:rPr>
          <w:rFonts w:ascii="Times New Roman;sans-serif" w:hAnsi="Times New Roman;sans-serif"/>
          <w:b/>
          <w:color w:val="000000"/>
          <w:sz w:val="22"/>
        </w:rPr>
        <w:t>1.5</w:t>
      </w: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individual, partnership, joint venture, limited liability company, corporation, firm, trust, association, unincorporated organization, governmental authority or agency, or any other entity not specifically listed herein.</w:t>
      </w:r>
    </w:p>
    <w:p>
      <w:pPr>
        <w:pStyle w:val="TextBody"/>
        <w:spacing w:lineRule="auto" w:line="240" w:before="0" w:after="240"/>
        <w:jc w:val="both"/>
        <w:rPr/>
      </w:pPr>
      <w:r>
        <w:rPr>
          <w:rFonts w:ascii="Times New Roman;sans-serif" w:hAnsi="Times New Roman;sans-serif"/>
          <w:b/>
          <w:color w:val="000000"/>
          <w:sz w:val="24"/>
        </w:rPr>
        <w:t>ARTICLE 2</w:t>
      </w:r>
      <w:r>
        <w:rPr>
          <w:rFonts w:ascii="Times New Roman;sans-serif" w:hAnsi="Times New Roman;sans-serif"/>
          <w:b/>
          <w:color w:val="000000"/>
          <w:sz w:val="24"/>
        </w:rPr>
        <w:t>CONSENT TO SUBLICENSE, WAIVERS AND COOPERATION.</w:t>
      </w:r>
    </w:p>
    <w:p>
      <w:pPr>
        <w:pStyle w:val="TextBody"/>
        <w:spacing w:lineRule="auto" w:line="240" w:before="0" w:after="240"/>
        <w:ind w:left="0" w:right="0" w:hanging="720"/>
        <w:jc w:val="both"/>
        <w:rPr/>
      </w:pPr>
      <w:r>
        <w:rPr>
          <w:rFonts w:ascii="Times New Roman;sans-serif" w:hAnsi="Times New Roman;sans-serif"/>
          <w:b/>
          <w:color w:val="000000"/>
          <w:sz w:val="22"/>
        </w:rPr>
        <w:t>2.1Consent to Daré-Organon Sublicense Agreement</w:t>
      </w:r>
      <w:r>
        <w:rPr>
          <w:rFonts w:ascii="Times New Roman;sans-serif" w:hAnsi="Times New Roman;sans-serif"/>
          <w:b w:val="false"/>
          <w:color w:val="000000"/>
          <w:sz w:val="22"/>
        </w:rPr>
        <w:t xml:space="preserve">. TriLogic and MilanaPharm each consent to the Daré-Organon Sublicense Agreement as a sublicense under the DTM Upstream License Agreement and agree that, notwithstanding anything to the contrary in the DTM Upstream License Agreement, the terms of this Agreement together with the provisions of the Daré-Organon Sublicense Agreement satisfy all of the obligations of Daré related to sublicensing under the DTM Upstream License Agreement, including those specified in Section 2.1.3 (Sublicensing) of or elsewhere in the DTM Upstream License Agreement. To the extent that any provision of this Agreement or the Daré-Organon Sublicense Agreement conflicts with or otherwise could/would be deemed not to satisfy any right of TriLogic or MilanaPharm or any obligation of Daré regarding a grant of a sublicense under the DTM Upstream License Agreement, each of TriLogic and MilanaPharm hereby waives each such right or obligation, including any such right or obligation specified in Section 2.1.3 (Sublicensing) or elsewhere in the DTM Upstream License Agreement. </w:t>
      </w:r>
    </w:p>
    <w:p>
      <w:pPr>
        <w:pStyle w:val="TextBody"/>
        <w:spacing w:lineRule="auto" w:line="240" w:before="0" w:after="240"/>
        <w:ind w:left="0" w:right="0" w:hanging="720"/>
        <w:jc w:val="both"/>
        <w:rPr/>
      </w:pPr>
      <w:r>
        <w:rPr>
          <w:rFonts w:ascii="Times New Roman;sans-serif" w:hAnsi="Times New Roman;sans-serif"/>
          <w:b/>
          <w:color w:val="000000"/>
          <w:sz w:val="22"/>
        </w:rPr>
        <w:t>2.2Waivers Of Certain Obligations of Daré under DTM Upstream License Agreement.</w:t>
      </w:r>
      <w:r>
        <w:rPr>
          <w:color w:val="000000"/>
        </w:rPr>
        <w:t xml:space="preserve"> </w:t>
      </w:r>
      <w:r>
        <w:rPr>
          <w:rFonts w:ascii="Times New Roman;sans-serif" w:hAnsi="Times New Roman;sans-serif"/>
          <w:b w:val="false"/>
          <w:color w:val="000000"/>
          <w:sz w:val="22"/>
        </w:rPr>
        <w:t xml:space="preserve">To the extent that Organon’s performance of its obligations under the Daré-Organon Sublicense Agreement would not otherwise satisfy any of Daré’s obligations to TriLogic or MilanaPharm under the DTM Upstream License Agreement, then, effective as of the Effective Date, TriLogic and MilanaPharm each hereby waive such obligation(s) of Daré. Without limiting the foregoing, as of the Effective Date, TriLogic and MilanaPharm each hereby waive Daré’s obligation under: </w:t>
      </w:r>
    </w:p>
    <w:p>
      <w:pPr>
        <w:pStyle w:val="TextBody"/>
        <w:spacing w:lineRule="auto" w:line="240" w:before="0" w:after="240"/>
        <w:ind w:left="0" w:right="0" w:hanging="720"/>
        <w:jc w:val="both"/>
        <w:rPr/>
      </w:pPr>
      <w:r>
        <w:rPr>
          <w:rFonts w:ascii="Times New Roman;sans-serif" w:hAnsi="Times New Roman;sans-serif"/>
          <w:b/>
          <w:color w:val="000000"/>
          <w:sz w:val="22"/>
        </w:rPr>
        <w:t>2.2.1</w:t>
      </w:r>
      <w:r>
        <w:rPr>
          <w:rFonts w:ascii="Times New Roman;sans-serif" w:hAnsi="Times New Roman;sans-serif"/>
          <w:b w:val="false"/>
          <w:color w:val="000000"/>
          <w:sz w:val="22"/>
        </w:rPr>
        <w:t xml:space="preserve">Section 2.1.3(iii)(b) of the DTM Upstream License Agreement to include copies of Sections 4.5 (Royalty Records), 4.6 (Review), 9.1 (Indemnification by Hammock) and Articles 5 (Confidentiality) and 11 (Insurance) of the DTM Upstream License Agreement in the Daré-Organon Sublicense Agreement and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026160"/>
                <wp:effectExtent l="0" t="0" r="0" b="0"/>
                <wp:wrapNone/>
                <wp:docPr id="99" name="Frame98"/>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waive Organon’s, but not Daré’s, obligation to comply with the provisions of such Section and Articles;</w:t>
      </w:r>
      <w:r>
        <w:rPr>
          <w:color w:val="000000"/>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2.2.2</w:t>
      </w:r>
      <w:r>
        <w:rPr>
          <w:rFonts w:ascii="Times New Roman;sans-serif" w:hAnsi="Times New Roman;sans-serif"/>
          <w:b w:val="false"/>
          <w:color w:val="000000"/>
          <w:sz w:val="22"/>
        </w:rPr>
        <w:t>Section 2.1.3(vi)(b) of the DTM Upstream License Agreement to require that further sublicenses of rights granted to Organon under the Daré-Organon Sublicense Agreement be consistent with the terms and requirements of the DTM Upstream License Agreement and include all provisions that Daré is required to include in a sublicense</w:t>
      </w:r>
      <w:r>
        <w:rPr>
          <w:rFonts w:ascii="Times New Roman;sans-serif" w:hAnsi="Times New Roman;sans-serif"/>
          <w:b w:val="false"/>
          <w:i/>
          <w:color w:val="000000"/>
          <w:sz w:val="22"/>
        </w:rPr>
        <w:t>; provided that</w:t>
      </w:r>
      <w:r>
        <w:rPr>
          <w:rFonts w:ascii="Times New Roman;sans-serif" w:hAnsi="Times New Roman;sans-serif"/>
          <w:b w:val="false"/>
          <w:color w:val="000000"/>
          <w:sz w:val="22"/>
        </w:rPr>
        <w:t>, the Daré-Organon Sublicense Agreement will require that further sublicenses of the rights granted to Organon under the Daré-Organon Sublicense Agreement will be consistent with the license set forth in Section 2.3 (Further Sublicensing by Organon) of this Agreement.</w:t>
      </w:r>
    </w:p>
    <w:p>
      <w:pPr>
        <w:pStyle w:val="TextBody"/>
        <w:spacing w:lineRule="auto" w:line="240" w:before="0" w:after="240"/>
        <w:ind w:left="0" w:right="0" w:hanging="720"/>
        <w:jc w:val="both"/>
        <w:rPr/>
      </w:pPr>
      <w:r>
        <w:rPr>
          <w:rFonts w:ascii="Times New Roman;sans-serif" w:hAnsi="Times New Roman;sans-serif"/>
          <w:b/>
          <w:color w:val="000000"/>
          <w:sz w:val="22"/>
        </w:rPr>
        <w:t>2.2.3</w:t>
      </w:r>
      <w:r>
        <w:rPr>
          <w:rFonts w:ascii="Times New Roman;sans-serif" w:hAnsi="Times New Roman;sans-serif"/>
          <w:b w:val="false"/>
          <w:color w:val="000000"/>
          <w:sz w:val="22"/>
        </w:rPr>
        <w:t>Section 3.2 (Diligence) of the DTM Upstream License Agreement to use commercially reasonable efforts and resources to develop and commercialize and continue to commercialize a Licensed Product (as defined in the DTM Upstream License Agreement) in the Field (as defined in the DTM Upstream License Agreement) in at least one of Canada or any country in the EU Major Market (as defined in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2.2.4</w:t>
      </w:r>
      <w:r>
        <w:rPr>
          <w:rFonts w:ascii="Times New Roman;sans-serif" w:hAnsi="Times New Roman;sans-serif"/>
          <w:b w:val="false"/>
          <w:color w:val="000000"/>
          <w:sz w:val="22"/>
        </w:rPr>
        <w:t xml:space="preserve">Section 3.4 (Hammock Data) of the DTM Upstream License Agreement to disclose to TriLogic or MilanaPharm any Data (as defined in the DTM Upstream License Agreement) disclosed by Organon to Daré or obtained by Daré on behalf of Organon; </w:t>
      </w:r>
    </w:p>
    <w:p>
      <w:pPr>
        <w:pStyle w:val="TextBody"/>
        <w:spacing w:lineRule="auto" w:line="240" w:before="0" w:after="240"/>
        <w:ind w:left="0" w:right="0" w:hanging="720"/>
        <w:jc w:val="both"/>
        <w:rPr/>
      </w:pPr>
      <w:r>
        <w:rPr>
          <w:rFonts w:ascii="Times New Roman;sans-serif" w:hAnsi="Times New Roman;sans-serif"/>
          <w:b/>
          <w:color w:val="000000"/>
          <w:sz w:val="22"/>
        </w:rPr>
        <w:t>2.2.5</w:t>
      </w:r>
      <w:r>
        <w:rPr>
          <w:rFonts w:ascii="Times New Roman;sans-serif" w:hAnsi="Times New Roman;sans-serif"/>
          <w:b w:val="false"/>
          <w:color w:val="000000"/>
          <w:sz w:val="22"/>
        </w:rPr>
        <w:t xml:space="preserve">Section 3.6 (Reports) of the DTM Upstream License Agreement to provide MilanaPharm reports on the regulatory activities performed by Organon or by Daré on behalf of Organon in connection with the Daré-Organon Sublicense Agreement; </w:t>
      </w:r>
      <w:r>
        <w:rPr>
          <w:rFonts w:ascii="Times New Roman;sans-serif" w:hAnsi="Times New Roman;sans-serif"/>
          <w:b w:val="false"/>
          <w:i/>
          <w:color w:val="000000"/>
          <w:sz w:val="22"/>
        </w:rPr>
        <w:t>provided that</w:t>
      </w:r>
      <w:r>
        <w:rPr>
          <w:rFonts w:ascii="Times New Roman;sans-serif" w:hAnsi="Times New Roman;sans-serif"/>
          <w:b w:val="false"/>
          <w:color w:val="000000"/>
          <w:sz w:val="22"/>
        </w:rPr>
        <w:t xml:space="preserve">, Daré shall be required to deliver to MilanaPharm a copy of all such reports or other notifications relating to regulatory activities prepared by it or received by it from Organon or any other source relating to the Licensed Products within [***] of any such report becoming available to it; and </w:t>
      </w:r>
    </w:p>
    <w:p>
      <w:pPr>
        <w:pStyle w:val="TextBody"/>
        <w:spacing w:lineRule="auto" w:line="240" w:before="0" w:after="240"/>
        <w:ind w:left="0" w:right="0" w:hanging="720"/>
        <w:jc w:val="both"/>
        <w:rPr/>
      </w:pPr>
      <w:r>
        <w:rPr>
          <w:rFonts w:ascii="Times New Roman;sans-serif" w:hAnsi="Times New Roman;sans-serif"/>
          <w:b/>
          <w:color w:val="000000"/>
          <w:sz w:val="22"/>
        </w:rPr>
        <w:t>1.1.6</w:t>
      </w:r>
      <w:r>
        <w:rPr>
          <w:rFonts w:ascii="Times New Roman;sans-serif" w:hAnsi="Times New Roman;sans-serif"/>
          <w:b w:val="false"/>
          <w:color w:val="000000"/>
          <w:sz w:val="22"/>
        </w:rPr>
        <w:t>Section 12.5 (Discontinuation of Sales) of the DTM Upstream License Agreement to notify MilanaPharm in the event that the sale of a Licensed Product (as defined in the DTM Upstream License Agreement) is discontinued indefinitely in a country after being launched in such country and TriLogic and MilanaPharm each waive their right under Section 12.5 (Discontinuation of Sales) of the DTM Upstream License Agreement to terminate the license granted under Section 2.1.1 (Grant of License) of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2.3Further Sublicensing by Organon</w:t>
      </w:r>
      <w:r>
        <w:rPr>
          <w:rFonts w:ascii="Times New Roman;sans-serif" w:hAnsi="Times New Roman;sans-serif"/>
          <w:b w:val="false"/>
          <w:color w:val="000000"/>
          <w:sz w:val="22"/>
        </w:rPr>
        <w:t>. Without limiting the generality of Sections 2.1 (Consent to Daré-Organon Sublicense Agreement) and 2.2 (Waiver of Certain Obligations of Daré under DTM Upstream License Agreement) of this Agreement, as of the Effective Date, TriLogic and MilanaPharm hereby grant Daré the right to allow Organon to grant further sublicenses of Organon’s rights under the Daré-Organon Sublicense Agreement where such sublicenses are consistent with the terms and conditions of the Daré-Organon Sublicense Agreement and with the terms and conditions of the DTM Upstream License as amended by and with the waivers provided in this Agreement with respect to such sublicenses to the same extent as to Organon.</w:t>
      </w:r>
    </w:p>
    <w:p>
      <w:pPr>
        <w:pStyle w:val="TextBody"/>
        <w:spacing w:lineRule="auto" w:line="240" w:before="0" w:after="240"/>
        <w:ind w:left="0" w:right="0" w:hanging="720"/>
        <w:jc w:val="both"/>
        <w:rPr/>
      </w:pPr>
      <w:r>
        <w:rPr>
          <w:rFonts w:ascii="Times New Roman;sans-serif" w:hAnsi="Times New Roman;sans-serif"/>
          <w:b/>
          <w:color w:val="000000"/>
          <w:sz w:val="22"/>
        </w:rPr>
        <w:t>2.4Patent Cooperation</w:t>
      </w:r>
      <w:r>
        <w:rPr>
          <w:rFonts w:ascii="Times New Roman;sans-serif" w:hAnsi="Times New Roman;sans-serif"/>
          <w:b w:val="false"/>
          <w:color w:val="000000"/>
          <w:sz w:val="22"/>
        </w:rPr>
        <w:t>. As of the Effective Date:</w:t>
      </w:r>
    </w:p>
    <w:p>
      <w:pPr>
        <w:pStyle w:val="TextBody"/>
        <w:spacing w:lineRule="auto" w:line="240" w:before="0" w:after="240"/>
        <w:ind w:left="0" w:right="0" w:hanging="720"/>
        <w:jc w:val="both"/>
        <w:rPr/>
      </w:pPr>
      <w:r>
        <w:rPr>
          <w:rFonts w:ascii="Times New Roman;sans-serif" w:hAnsi="Times New Roman;sans-serif"/>
          <w:b/>
          <w:color w:val="000000"/>
          <w:sz w:val="22"/>
        </w:rPr>
        <w:t>2.4.1</w:t>
      </w:r>
      <w:r>
        <w:rPr>
          <w:rFonts w:ascii="Times New Roman;sans-serif" w:hAnsi="Times New Roman;sans-serif"/>
          <w:b w:val="false"/>
          <w:color w:val="000000"/>
          <w:sz w:val="22"/>
        </w:rPr>
        <w:t xml:space="preserve">Organon, upon notice to TriLogic and MilanaPharm, shall have the first right, but not the obligation, to initiate and prosecute any legal action to terminate an infringement of the Licensed Patents (as defined in the DTM Upstream License Agreement) within the Field (as defined in the Daré-Organon Sublicense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26160"/>
                <wp:effectExtent l="0" t="0" r="0" b="0"/>
                <wp:wrapNone/>
                <wp:docPr id="100" name="Frame99"/>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and to control the defense against challenges to the validity or enforceability of such Licensed Patents within such Field, at its own expense and in its own name, in which case Organon shall keep TriLogic and MilanaPharm updated with respect to any such action, including providing copies of all material documents received, prepared and filed in connection with any such action, and shall consult with TriLogic and MilanaPharm to determine a course of action with respect to any defense of the validity and/or enforceability of any such Licensed Patents in such Field and shall consider in good faith all reasonable comments, requests, and suggestions provided by TriLogic and MilanaPharm with respect thereto. Subject to Organon’s obligations to Daré under the Daré-Organon Sublicense Agreement, Organon shall have the right to enter into a settlement of any matter under this Section 2.4.1 (Patent Control), without MilanaPharm’s and TriLogic’s consent, so long as (a) such settlement does not involve any express statement or admission of any fault of, breach of contract by, or violation of applicable law by, MilanaPharm, (b) MilanaPharm is not liable under such settlement agreement to pay any monetary damages or other payments, for which Organon shall agree not to seek any indemnification from MilanaPharm, and does not include any requirement that MilanaPharm take or refrain from taking any actions other than compliance with any nondisclosure obligations related to the terms of such settlement contained in the settlement agreement, (c) such settlement includes a release of MilanaPharm on the same terms as such release applies to Organon, (d) such settlement agreement includes a reasonable confidentiality obligation by the third party claimant or defendant of the terms of the settlement, and (e) to the extent MilanaPharm is not a direct signatory of such settlement agreement, MilanaPharm is designated as an express third party beneficiary of the settlement agreement, entitled to enforce the applicable terms of such settlement agreement; in any other event, TriLogic and MilanaPharm’s consent shall be required (such consent not to be unreasonably withheld, conditioned or delayed).</w:t>
      </w:r>
    </w:p>
    <w:p>
      <w:pPr>
        <w:pStyle w:val="TextBody"/>
        <w:spacing w:lineRule="auto" w:line="240" w:before="0" w:after="240"/>
        <w:ind w:left="0" w:right="0" w:hanging="720"/>
        <w:jc w:val="both"/>
        <w:rPr/>
      </w:pPr>
      <w:r>
        <w:rPr>
          <w:rFonts w:ascii="Times New Roman;sans-serif" w:hAnsi="Times New Roman;sans-serif"/>
          <w:b/>
          <w:color w:val="000000"/>
          <w:sz w:val="22"/>
        </w:rPr>
        <w:t>2.4.2</w:t>
      </w:r>
      <w:r>
        <w:rPr>
          <w:rFonts w:ascii="Times New Roman;sans-serif" w:hAnsi="Times New Roman;sans-serif"/>
          <w:b w:val="false"/>
          <w:color w:val="000000"/>
          <w:sz w:val="22"/>
        </w:rPr>
        <w:t>Each of TriLogic and MilanaPharm will fully cooperate with Organon and provide any information and assistance that Organon may reasonably request for the filing, prosecution, maintenance and defense of, and in connection with all administrative proceedings contemplated by Sections 9.2.1 (Third Party Initiated Proceedings) and 9.2.2 (Party Initiated Proceedings) of the Daré-Organon Sublicense Agreement with respect to, all Patents (as defined in the Daré-Organon Sublicense Agreement) that Organon has the right to file, prosecute, maintain and defend under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2.4.3</w:t>
      </w:r>
      <w:r>
        <w:rPr>
          <w:rFonts w:ascii="Times New Roman;sans-serif" w:hAnsi="Times New Roman;sans-serif"/>
          <w:b w:val="false"/>
          <w:color w:val="000000"/>
          <w:sz w:val="22"/>
        </w:rPr>
        <w:t xml:space="preserve">In the event that Organon is unable, as a matter of law, to initiate, prosecute or maintain, in its own name, any action to enforce any intellectual property rights that are exclusively licensed to Organon pursuant to the Daré-Organon Sublicense Agreement and any of TriLogic or MilanaPharm have any right, title or interest in or to such intellectual property rights, then each of TriLogic and MilanaPharm will, at Organon’s expense, join such action voluntarily and will execute and cause its Affiliates to execute all documents where necessary for Organon to initiate, prosecute or maintain such action. In connection with any such action or potential action, each of TriLogic and MilanaPharm that has any right, title or interest in or to the intellectual property rights that are the subject of, or otherwise involved in, such action or potential action, will, at Organon’s expense, cooperate fully with Organon and will provide Organon with any information or assistance that Organon may reasonably request, including cooperating with regard to any pre-litigation review of such intellectual property rights. </w:t>
      </w:r>
    </w:p>
    <w:p>
      <w:pPr>
        <w:pStyle w:val="TextBody"/>
        <w:spacing w:lineRule="auto" w:line="240" w:before="0" w:after="240"/>
        <w:ind w:left="0" w:right="0" w:hanging="720"/>
        <w:jc w:val="both"/>
        <w:rPr/>
      </w:pPr>
      <w:r>
        <w:rPr>
          <w:rFonts w:ascii="Times New Roman;sans-serif" w:hAnsi="Times New Roman;sans-serif"/>
          <w:b/>
          <w:color w:val="000000"/>
          <w:sz w:val="22"/>
        </w:rPr>
        <w:t>2.4.4</w:t>
      </w:r>
      <w:r>
        <w:rPr>
          <w:rFonts w:ascii="Times New Roman;sans-serif" w:hAnsi="Times New Roman;sans-serif"/>
          <w:b w:val="false"/>
          <w:color w:val="000000"/>
          <w:sz w:val="22"/>
        </w:rPr>
        <w:t xml:space="preserve">All recoveries in connection with an enforcement contemplated by Section 2.4.1 (Patent Control) of this Agreement will be shared in the manner contemplated by Section 9.3.4 (Recoveries) of the Daré-Organon Sublicense Agreement.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026160"/>
                <wp:effectExtent l="0" t="0" r="0" b="0"/>
                <wp:wrapNone/>
                <wp:docPr id="101" name="Frame100"/>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2.5Proof of Insurance</w:t>
      </w:r>
      <w:r>
        <w:rPr>
          <w:rFonts w:ascii="Times New Roman;sans-serif" w:hAnsi="Times New Roman;sans-serif"/>
          <w:b w:val="false"/>
          <w:color w:val="000000"/>
          <w:sz w:val="22"/>
        </w:rPr>
        <w:t>. Upon MilanaPharm or TriLogic’s request, Daré will exercise its rights under Sections 8.4 and 5.4 of the Daré-Organon Sublicense Agreement to obtain a copy of Organon’s certificate of insurance evidencing insurance (or self-insurance) and Daré will provide such copy to MilanaPharm or TriLogic, respectively.</w:t>
      </w:r>
    </w:p>
    <w:p>
      <w:pPr>
        <w:pStyle w:val="TextBody"/>
        <w:spacing w:lineRule="auto" w:line="240" w:before="0" w:after="240"/>
        <w:jc w:val="both"/>
        <w:rPr/>
      </w:pPr>
      <w:r>
        <w:rPr>
          <w:rFonts w:ascii="Times New Roman;sans-serif" w:hAnsi="Times New Roman;sans-serif"/>
          <w:b/>
          <w:color w:val="000000"/>
          <w:sz w:val="24"/>
        </w:rPr>
        <w:t>ARTICLE 3</w:t>
      </w:r>
      <w:r>
        <w:rPr>
          <w:rFonts w:ascii="Times New Roman;sans-serif" w:hAnsi="Times New Roman;sans-serif"/>
          <w:b/>
          <w:color w:val="000000"/>
          <w:sz w:val="24"/>
        </w:rPr>
        <w:t>AMENDMENTS.</w:t>
      </w:r>
    </w:p>
    <w:p>
      <w:pPr>
        <w:pStyle w:val="TextBody"/>
        <w:spacing w:lineRule="auto" w:line="240" w:before="0" w:after="240"/>
        <w:ind w:left="0" w:right="0" w:hanging="720"/>
        <w:jc w:val="both"/>
        <w:rPr/>
      </w:pPr>
      <w:r>
        <w:rPr>
          <w:rFonts w:ascii="Times New Roman;sans-serif" w:hAnsi="Times New Roman;sans-serif"/>
          <w:b/>
          <w:color w:val="000000"/>
          <w:sz w:val="22"/>
        </w:rPr>
        <w:t>3.1Net Sales, Royalties and Reporting</w:t>
      </w:r>
      <w:r>
        <w:rPr>
          <w:rFonts w:ascii="Times New Roman;sans-serif" w:hAnsi="Times New Roman;sans-serif"/>
          <w:b w:val="false"/>
          <w:color w:val="000000"/>
          <w:sz w:val="22"/>
        </w:rPr>
        <w:t>. Effective as of the Effective Date, and during the term of this Agreement and solely as applied to “Licensed Products” as defined in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3.1.1Net Sales</w:t>
      </w:r>
      <w:r>
        <w:rPr>
          <w:rFonts w:ascii="Times New Roman;sans-serif" w:hAnsi="Times New Roman;sans-serif"/>
          <w:b w:val="false"/>
          <w:color w:val="000000"/>
          <w:sz w:val="22"/>
        </w:rPr>
        <w:t xml:space="preserve">. Section 1.24 (“Net Sales”) of the DTM Upstream License Agreement is deleted in its entirety and replaced with Section 1.75 (“Net Sales”) of the Daré-Organon Sublicense Agreement.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definitions of the Daré-Organon Sublicense Agreement on which Section 1.75 (“Net Sales”) of the Daré-Organon Sublicense Agreement depends and that correspond to definitions of the DTM Upstream License Agreement, replace such definitions of the DTM Upstream License Agreement. All other definitions of the Daré-Organon Sublicense Agreement on which Section 1.75 (“Net Sales”) of the Daré-Organon Sublicense Agreement depends are added in alphabetical order to Article 1 (Definitions) of the DTM Upstream License Agreement and all Section references in Article 1 (Definitions) of the DTM Upstream License Agreement are updated accordingly.</w:t>
      </w:r>
    </w:p>
    <w:p>
      <w:pPr>
        <w:pStyle w:val="TextBody"/>
        <w:spacing w:lineRule="auto" w:line="240" w:before="0" w:after="240"/>
        <w:ind w:left="0" w:right="0" w:hanging="720"/>
        <w:jc w:val="both"/>
        <w:rPr/>
      </w:pPr>
      <w:r>
        <w:rPr>
          <w:rFonts w:ascii="Times New Roman;sans-serif" w:hAnsi="Times New Roman;sans-serif"/>
          <w:b/>
          <w:color w:val="000000"/>
          <w:sz w:val="22"/>
        </w:rPr>
        <w:t>1.1.2Royalty Rate</w:t>
      </w:r>
      <w:r>
        <w:rPr>
          <w:rFonts w:ascii="Times New Roman;sans-serif" w:hAnsi="Times New Roman;sans-serif"/>
          <w:b w:val="false"/>
          <w:color w:val="000000"/>
          <w:sz w:val="22"/>
        </w:rPr>
        <w:t>. Section 4.3.1 (Royalty Rate) of the DTM Upstream License Agreement is hereby amended by [***] the Percentage of Annual Net Sales for each category of Annual Net Sales by [***] (</w:t>
      </w:r>
      <w:r>
        <w:rPr>
          <w:rFonts w:ascii="Times New Roman;sans-serif" w:hAnsi="Times New Roman;sans-serif"/>
          <w:b w:val="false"/>
          <w:i/>
          <w:color w:val="000000"/>
          <w:sz w:val="22"/>
        </w:rPr>
        <w:t>i.e.</w:t>
      </w:r>
      <w:r>
        <w:rPr>
          <w:rFonts w:ascii="Times New Roman;sans-serif" w:hAnsi="Times New Roman;sans-serif"/>
          <w:b w:val="false"/>
          <w:color w:val="000000"/>
          <w:sz w:val="22"/>
        </w:rPr>
        <w:t>, the Percentage of Annual Net Sales shall be [***] for Annual Net Sales [***]; the Percentage of Annual Net Sales shall be [***] for the portion of Annual Net Sales equal to or greater than [***] but less than [***], etc.).</w:t>
      </w:r>
    </w:p>
    <w:p>
      <w:pPr>
        <w:pStyle w:val="TextBody"/>
        <w:spacing w:lineRule="auto" w:line="240" w:before="0" w:after="240"/>
        <w:ind w:left="0" w:right="0" w:hanging="720"/>
        <w:jc w:val="both"/>
        <w:rPr/>
      </w:pPr>
      <w:r>
        <w:rPr>
          <w:rFonts w:ascii="Times New Roman;sans-serif" w:hAnsi="Times New Roman;sans-serif"/>
          <w:b/>
          <w:color w:val="000000"/>
          <w:sz w:val="22"/>
        </w:rPr>
        <w:t>1.1.3Royalty Payments</w:t>
      </w:r>
      <w:r>
        <w:rPr>
          <w:rFonts w:ascii="Times New Roman;sans-serif" w:hAnsi="Times New Roman;sans-serif"/>
          <w:b w:val="false"/>
          <w:color w:val="000000"/>
          <w:sz w:val="22"/>
        </w:rPr>
        <w:t>. Section 4.4.1 (Payment of Royalties) of the DTM Upstream License Agreement is deleted in its entirety and replaced as follows: “Daré shall make royalty payments owed to MilanaPharm hereunder in arrears, [***] after receipt of the corresponding payment(s) from Daré’s Sublicensee(s). Each royalty payment shall be accompanied by a report for each country in which sales of Licensed Products occurred in the Calendar Quarter covered by such statement, containing information sufficient to calculate the royalty payable on a country-by-country basis, including all amounts included in the calculation of Net Sales, the aggregate of deductions taken in such calculation, amounts from all Affiliates and Sublicensees.”</w:t>
      </w:r>
    </w:p>
    <w:p>
      <w:pPr>
        <w:pStyle w:val="TextBody"/>
        <w:spacing w:lineRule="auto" w:line="240" w:before="0" w:after="240"/>
        <w:ind w:left="0" w:right="0" w:hanging="720"/>
        <w:jc w:val="both"/>
        <w:rPr/>
      </w:pPr>
      <w:r>
        <w:rPr>
          <w:rFonts w:ascii="Times New Roman;sans-serif" w:hAnsi="Times New Roman;sans-serif"/>
          <w:b/>
          <w:color w:val="000000"/>
          <w:sz w:val="22"/>
        </w:rPr>
        <w:t>3.2Competition; Third Party Payments</w:t>
      </w:r>
      <w:r>
        <w:rPr>
          <w:rFonts w:ascii="Times New Roman;sans-serif" w:hAnsi="Times New Roman;sans-serif"/>
          <w:b w:val="false"/>
          <w:color w:val="000000"/>
          <w:sz w:val="22"/>
        </w:rPr>
        <w:t>. Effective as of the Effective Date, and during the term of this Agreement and solely as applied to “Licensed Products” as defined in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3.2.1</w:t>
      </w:r>
      <w:r>
        <w:rPr>
          <w:rFonts w:ascii="Times New Roman;sans-serif" w:hAnsi="Times New Roman;sans-serif"/>
          <w:b w:val="false"/>
          <w:color w:val="000000"/>
          <w:sz w:val="22"/>
        </w:rPr>
        <w:t xml:space="preserve">Section 6.3.1(c) (Competition) of the Daré-Organon Sublicense Agreement is added after Section 4.3.3(iii) (Generic Competition) of the DTM Upstream License Agreement as new Section 4.3.3(iv) (Generic Competition) of the DTM Upstream License Agreement.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definitions of the Daré-Organon Sublicense Agreement on which Section 6.3.1(c) (Competition) of the Daré-Organon Sublicense Agreement depends and that correspond to definitions of the DTM Upstream License Agreement, replace such definitions of the DTM Upstream License Agreement. All other definitions of the Daré-Organon Sublicense Agreement on which Section 6.3.1(c)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026160"/>
                <wp:effectExtent l="0" t="0" r="0" b="0"/>
                <wp:wrapNone/>
                <wp:docPr id="102" name="Frame101"/>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(Competition) of the Daré-Organon Sublicense Agreement depends are added in alphabetical order to Article 1 (Definitions) of the DTM Upstream License Agreement and all Section references in Article 1 (Definitions) of the DTM Upstream License Agreement are updated accordingly.</w:t>
      </w:r>
    </w:p>
    <w:p>
      <w:pPr>
        <w:pStyle w:val="TextBody"/>
        <w:spacing w:lineRule="auto" w:line="240" w:before="0" w:after="240"/>
        <w:ind w:left="0" w:right="0" w:hanging="720"/>
        <w:jc w:val="both"/>
        <w:rPr/>
      </w:pPr>
      <w:r>
        <w:rPr>
          <w:rFonts w:ascii="Times New Roman;sans-serif" w:hAnsi="Times New Roman;sans-serif"/>
          <w:b/>
          <w:color w:val="000000"/>
          <w:sz w:val="22"/>
        </w:rPr>
        <w:t>3.2.2</w:t>
      </w:r>
      <w:r>
        <w:rPr>
          <w:rFonts w:ascii="Times New Roman;sans-serif" w:hAnsi="Times New Roman;sans-serif"/>
          <w:b w:val="false"/>
          <w:color w:val="000000"/>
          <w:sz w:val="22"/>
        </w:rPr>
        <w:t xml:space="preserve">Section 4.3.4(ii) (Third Party Offset) of the DTM Upstream License Agreement is deleted in its entirety and replaced with Section 6.3.2 (Third Party Licenses) from the Daré-Organon Sublicense Agreement.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definitions of the Daré-Organon Sublicense Agreement on which Section 6.3.2 (Third Party Licenses) of the Daré-Organon Sublicense Agreement depends and that correspond to definitions of the DTM Upstream License Agreement, replace such definitions of the DTM Upstream License Agreement. All other definitions of the Daré-Organon Sublicense Agreement on which Section 6.3.2 (Third Party Licenses) of the Daré-Organon Sublicense Agreement depends are added in alphabetical order to Article 1 (Definitions) of the DTM Upstream License Agreement and all Section references in Article 1 (Definitions) of the DTM Upstream License Agreement are updated accordingly.</w:t>
      </w:r>
    </w:p>
    <w:p>
      <w:pPr>
        <w:pStyle w:val="TextBody"/>
        <w:spacing w:lineRule="auto" w:line="240" w:before="0" w:after="240"/>
        <w:ind w:left="0" w:right="0" w:hanging="720"/>
        <w:jc w:val="both"/>
        <w:rPr/>
      </w:pPr>
      <w:r>
        <w:rPr>
          <w:rFonts w:ascii="Times New Roman;sans-serif" w:hAnsi="Times New Roman;sans-serif"/>
          <w:b/>
          <w:color w:val="000000"/>
          <w:sz w:val="22"/>
        </w:rPr>
        <w:t>3.2.3</w:t>
      </w:r>
      <w:r>
        <w:rPr>
          <w:rFonts w:ascii="Times New Roman;sans-serif" w:hAnsi="Times New Roman;sans-serif"/>
          <w:b w:val="false"/>
          <w:color w:val="000000"/>
          <w:sz w:val="22"/>
        </w:rPr>
        <w:t xml:space="preserve">The following is added immediately after Section 4.3.4 (Third Party Payments) of the DTM Upstream License Agreement as new Section 4.3.5 (Floor) of the DTM Upstream License Agreement: “Notwithstanding anything to the contrary in this Agreement: (a) in no event will the royalty rate that otherwise would be applicable under Section 4.3.1 (Royalty Rate) of this Agreement be [***] through application of the provisions of Section 4.3.3(vi) (Generic Competition), or Section 4.3.4 (Third Party Payments) of this Agreement; and (b) the application of clauses (a) through (c) of Section 1.24 (“Net Sales”) of this Agreement will not [***] the royalty rate payable on Licensed Products [***] of Net Sales of Licensed Products if clauses (a) through (c) of Section 1.24 (“Net Sales”) of this Agreement were not applied.” </w:t>
      </w:r>
    </w:p>
    <w:p>
      <w:pPr>
        <w:pStyle w:val="TextBody"/>
        <w:spacing w:lineRule="auto" w:line="240" w:before="0" w:after="240"/>
        <w:ind w:left="0" w:right="0" w:hanging="720"/>
        <w:jc w:val="both"/>
        <w:rPr/>
      </w:pPr>
      <w:r>
        <w:rPr>
          <w:rFonts w:ascii="Times New Roman;sans-serif" w:hAnsi="Times New Roman;sans-serif"/>
          <w:b/>
          <w:color w:val="000000"/>
          <w:sz w:val="22"/>
        </w:rPr>
        <w:t>3.3Termination</w:t>
      </w:r>
      <w:r>
        <w:rPr>
          <w:rFonts w:ascii="Times New Roman;sans-serif" w:hAnsi="Times New Roman;sans-serif"/>
          <w:b w:val="false"/>
          <w:color w:val="000000"/>
          <w:sz w:val="22"/>
        </w:rPr>
        <w:t>. Any right that TriLogic or MilanaPharm have to terminate the DTM Upstream License Agreement with respect to “Licensed Products” as defined in the Daré-Organon Sublicense Agreement must be exercised jointly by TriLogic and MilanaPharm.</w:t>
      </w:r>
    </w:p>
    <w:p>
      <w:pPr>
        <w:pStyle w:val="TextBody"/>
        <w:spacing w:lineRule="auto" w:line="240" w:before="0" w:after="240"/>
        <w:ind w:left="0" w:right="0" w:hanging="720"/>
        <w:jc w:val="both"/>
        <w:rPr/>
      </w:pPr>
      <w:r>
        <w:rPr>
          <w:rFonts w:ascii="Times New Roman;sans-serif" w:hAnsi="Times New Roman;sans-serif"/>
          <w:b/>
          <w:color w:val="000000"/>
          <w:sz w:val="22"/>
        </w:rPr>
        <w:t>1.4Termination for Breach</w:t>
      </w:r>
      <w:r>
        <w:rPr>
          <w:rFonts w:ascii="Times New Roman;sans-serif" w:hAnsi="Times New Roman;sans-serif"/>
          <w:b w:val="false"/>
          <w:color w:val="000000"/>
          <w:sz w:val="22"/>
        </w:rPr>
        <w:t>. Section 12.2 (Termination for Breach) of the DTM Upstream License Agreement as applied to “Licensed Products” as defined in the Daré-Organon Sublicense Agreement is hereby amended to replace all references therein to “sixty (60)” days with [***]. All other provisions of such Section 12.2 shall remain as written.</w:t>
      </w:r>
    </w:p>
    <w:p>
      <w:pPr>
        <w:pStyle w:val="TextBody"/>
        <w:spacing w:lineRule="auto" w:line="240" w:before="0" w:after="240"/>
        <w:jc w:val="both"/>
        <w:rPr/>
      </w:pPr>
      <w:r>
        <w:rPr>
          <w:rFonts w:ascii="Times New Roman;sans-serif" w:hAnsi="Times New Roman;sans-serif"/>
          <w:b/>
          <w:color w:val="000000"/>
          <w:sz w:val="24"/>
        </w:rPr>
        <w:t>ARTICLE 4</w:t>
      </w:r>
      <w:r>
        <w:rPr>
          <w:rFonts w:ascii="Times New Roman;sans-serif" w:hAnsi="Times New Roman;sans-serif"/>
          <w:b/>
          <w:color w:val="000000"/>
          <w:sz w:val="24"/>
        </w:rPr>
        <w:t xml:space="preserve">ACKNOWLEDGEMENT OF RIGHTS OF DARÉ UNDER AND MAINTENANCE OF DTM UPSTREAM LICENSE AGREEMENT; COMMERCIALIZATION DISCUSSION </w:t>
      </w:r>
    </w:p>
    <w:p>
      <w:pPr>
        <w:pStyle w:val="TextBody"/>
        <w:spacing w:lineRule="auto" w:line="240" w:before="0" w:after="240"/>
        <w:ind w:left="0" w:right="0" w:hanging="720"/>
        <w:jc w:val="both"/>
        <w:rPr/>
      </w:pPr>
      <w:r>
        <w:rPr>
          <w:rFonts w:ascii="Times New Roman;sans-serif" w:hAnsi="Times New Roman;sans-serif"/>
          <w:b/>
          <w:color w:val="000000"/>
          <w:sz w:val="22"/>
        </w:rPr>
        <w:t>4.1Representations</w:t>
      </w:r>
      <w:r>
        <w:rPr>
          <w:rFonts w:ascii="Times New Roman;sans-serif" w:hAnsi="Times New Roman;sans-serif"/>
          <w:b w:val="false"/>
          <w:color w:val="000000"/>
          <w:sz w:val="22"/>
        </w:rPr>
        <w:t xml:space="preserve">. Each of TriLogic and MilanaPharm represent to Organon that, as of the Execution Date: </w:t>
      </w:r>
    </w:p>
    <w:p>
      <w:pPr>
        <w:pStyle w:val="TextBody"/>
        <w:spacing w:lineRule="auto" w:line="240" w:before="0" w:after="240"/>
        <w:ind w:left="0" w:right="0" w:hanging="720"/>
        <w:jc w:val="both"/>
        <w:rPr/>
      </w:pPr>
      <w:r>
        <w:rPr>
          <w:rFonts w:ascii="Times New Roman;sans-serif" w:hAnsi="Times New Roman;sans-serif"/>
          <w:b/>
          <w:color w:val="000000"/>
          <w:sz w:val="22"/>
        </w:rPr>
        <w:t>4.1.1</w:t>
      </w:r>
      <w:r>
        <w:rPr>
          <w:rFonts w:ascii="Times New Roman;sans-serif" w:hAnsi="Times New Roman;sans-serif"/>
          <w:b w:val="false"/>
          <w:color w:val="000000"/>
          <w:sz w:val="22"/>
        </w:rPr>
        <w:t>the DTM Upstream License Agreement, inclusive of the amendments described in Recital C of this Agreement, and that License Agreement between TriLogic and MilanaPharm dated April 5, 2013 (the “</w:t>
      </w:r>
      <w:r>
        <w:rPr>
          <w:rFonts w:ascii="Times New Roman;sans-serif" w:hAnsi="Times New Roman;sans-serif"/>
          <w:b/>
          <w:color w:val="000000"/>
          <w:sz w:val="22"/>
        </w:rPr>
        <w:t>TriLogic-MilanaPharm Agreement</w:t>
      </w:r>
      <w:r>
        <w:rPr>
          <w:color w:val="000000"/>
        </w:rPr>
        <w:t>”</w:t>
      </w:r>
      <w:r>
        <w:rPr>
          <w:rFonts w:ascii="Times New Roman;sans-serif" w:hAnsi="Times New Roman;sans-serif"/>
          <w:b w:val="false"/>
          <w:color w:val="000000"/>
          <w:sz w:val="22"/>
        </w:rPr>
        <w:t>) constitute the entire agreement between any two or more of TriLogic, MilanaPharm and Daré related to the rights licensed to Daré thereunder, and no other amendments or agreements have been entered into in connection with the DTM Upstream License Agreement or the rights licensed thereunder;</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026160"/>
                <wp:effectExtent l="0" t="0" r="0" b="0"/>
                <wp:wrapNone/>
                <wp:docPr id="103" name="Frame102"/>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4.1.2</w:t>
      </w:r>
      <w:r>
        <w:rPr>
          <w:rFonts w:ascii="Times New Roman;sans-serif" w:hAnsi="Times New Roman;sans-serif"/>
          <w:b w:val="false"/>
          <w:color w:val="000000"/>
          <w:sz w:val="22"/>
        </w:rPr>
        <w:t>the DTM Upstream License Agreement is in full force and effect and, to the best of their knowledge, Daré is not in breach of any of its provisions and there are no facts or circumstances that would result in Daré being in breach of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4.1.3</w:t>
      </w:r>
      <w:r>
        <w:rPr>
          <w:rFonts w:ascii="Times New Roman;sans-serif" w:hAnsi="Times New Roman;sans-serif"/>
          <w:b w:val="false"/>
          <w:color w:val="000000"/>
          <w:sz w:val="22"/>
        </w:rPr>
        <w:t>the TriLogic-MilanaPharm Agreement is in full force and effect and neither TriLogic nor MilanaPharm is in breach of any of its provisions;</w:t>
      </w:r>
    </w:p>
    <w:p>
      <w:pPr>
        <w:pStyle w:val="TextBody"/>
        <w:spacing w:lineRule="auto" w:line="240" w:before="0" w:after="240"/>
        <w:ind w:left="0" w:right="0" w:hanging="720"/>
        <w:jc w:val="both"/>
        <w:rPr/>
      </w:pPr>
      <w:r>
        <w:rPr>
          <w:rFonts w:ascii="Times New Roman;sans-serif" w:hAnsi="Times New Roman;sans-serif"/>
          <w:b/>
          <w:color w:val="000000"/>
          <w:sz w:val="22"/>
        </w:rPr>
        <w:t>4.1.4</w:t>
      </w:r>
      <w:r>
        <w:rPr>
          <w:rFonts w:ascii="Times New Roman;sans-serif" w:hAnsi="Times New Roman;sans-serif"/>
          <w:b w:val="false"/>
          <w:color w:val="000000"/>
          <w:sz w:val="22"/>
        </w:rPr>
        <w:t>neither TriLogic nor MilanaPharm, and, to the best of their knowledge, Daré or any other Person has granted to any Person any rights that are inconsistent with or affect the rights granted to Daré under the DTM Upstream License Agreement; and.</w:t>
      </w:r>
    </w:p>
    <w:p>
      <w:pPr>
        <w:pStyle w:val="TextBody"/>
        <w:spacing w:lineRule="auto" w:line="240" w:before="0" w:after="240"/>
        <w:ind w:left="0" w:right="0" w:hanging="720"/>
        <w:jc w:val="both"/>
        <w:rPr/>
      </w:pPr>
      <w:r>
        <w:rPr>
          <w:rFonts w:ascii="Times New Roman;sans-serif" w:hAnsi="Times New Roman;sans-serif"/>
          <w:b/>
          <w:color w:val="000000"/>
          <w:sz w:val="22"/>
        </w:rPr>
        <w:t>4.1.5</w:t>
      </w:r>
      <w:r>
        <w:rPr>
          <w:rFonts w:ascii="Times New Roman;sans-serif" w:hAnsi="Times New Roman;sans-serif"/>
          <w:b/>
          <w:color w:val="000000"/>
          <w:sz w:val="22"/>
          <w:u w:val="single"/>
        </w:rPr>
        <w:t>Schedule 4.1.5</w:t>
      </w:r>
      <w:r>
        <w:rPr>
          <w:color w:val="000000"/>
        </w:rPr>
        <w:t xml:space="preserve"> </w:t>
      </w:r>
      <w:r>
        <w:rPr>
          <w:rFonts w:ascii="Times New Roman;sans-serif" w:hAnsi="Times New Roman;sans-serif"/>
          <w:b w:val="false"/>
          <w:color w:val="000000"/>
          <w:sz w:val="22"/>
        </w:rPr>
        <w:t>to this Agreement sets forth a complete and accurate list of all Licensed Patents (as defined in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4.2Maintain DTM Upstream License Agreement</w:t>
      </w:r>
      <w:r>
        <w:rPr>
          <w:rFonts w:ascii="Times New Roman;sans-serif" w:hAnsi="Times New Roman;sans-serif"/>
          <w:b w:val="false"/>
          <w:color w:val="000000"/>
          <w:sz w:val="22"/>
        </w:rPr>
        <w:t>. Each of TriLogic, MilanaPharm and Daré agree not to waive or amend the DTM Upstream License Agreement, without the prior written consent of Organon (which shall not be unreasonably withheld, conditioned or delayed), in any manner that would have a materially adverse effect upon the rights that are granted to Organon under the Daré-Organon Sublicense Agreement, including Organon’s rights under the Licensed Intellectual Property (as defined in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4.3Assignment of DTM Upstream License Agreement</w:t>
      </w:r>
      <w:r>
        <w:rPr>
          <w:rFonts w:ascii="Times New Roman;sans-serif" w:hAnsi="Times New Roman;sans-serif"/>
          <w:b w:val="false"/>
          <w:color w:val="000000"/>
          <w:sz w:val="22"/>
        </w:rPr>
        <w:t>. Each of TriLogic, MilanaPharm and Daré agree not to provide consent to any other Party to the DTM Upstream License Agreement to assign such agreement in those cases where any such consent is required. If TriLogic, MilanaPharm or Daré assign any right title or interest in and to any of the Licensed Intellectual Property (as defined in the DTM Upstream License Agreement) or any right or obligation under the DTM Upstream License Agreement to any Person, the assigning Party will cause such Person to be bound in writing to the terms and conditions of this Agreement and take assignment thereof subject to all of the rights and obligations of Organon under this Agreement and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4.4Commercialization Discussion</w:t>
      </w:r>
      <w:r>
        <w:rPr>
          <w:rFonts w:ascii="Times New Roman;sans-serif" w:hAnsi="Times New Roman;sans-serif"/>
          <w:b w:val="false"/>
          <w:color w:val="000000"/>
          <w:sz w:val="22"/>
        </w:rPr>
        <w:t>. If Organon’s and Daré’s Chief Executive Officers meet in accordance with the last sentence of Section 3.4.1 (Diligence) of the Daré-Organon Sublicense Agreement to discuss a delay in the Commercialization (as defined in the Daré-Organon Sublicense Agreement) of a Licensed Product(s), then Organon and Dare will permit MilanaPharm’s Chief Executive Officer to meet with them, at a mutually convenient time, to discuss and address the circumstances leading to such delay.</w:t>
      </w:r>
    </w:p>
    <w:p>
      <w:pPr>
        <w:pStyle w:val="TextBody"/>
        <w:spacing w:lineRule="auto" w:line="240" w:before="0" w:after="240"/>
        <w:jc w:val="both"/>
        <w:rPr/>
      </w:pPr>
      <w:r>
        <w:rPr>
          <w:rFonts w:ascii="Times New Roman;sans-serif" w:hAnsi="Times New Roman;sans-serif"/>
          <w:b/>
          <w:color w:val="000000"/>
          <w:sz w:val="24"/>
        </w:rPr>
        <w:t>ARTICLE 5</w:t>
      </w:r>
      <w:r>
        <w:rPr>
          <w:rFonts w:ascii="Times New Roman;sans-serif" w:hAnsi="Times New Roman;sans-serif"/>
          <w:b/>
          <w:color w:val="000000"/>
          <w:sz w:val="24"/>
        </w:rPr>
        <w:t xml:space="preserve">GRANT OF STAND-BY LICENSE TO ORGANON. </w:t>
      </w:r>
    </w:p>
    <w:p>
      <w:pPr>
        <w:pStyle w:val="TextBody"/>
        <w:spacing w:lineRule="auto" w:line="240" w:before="0" w:after="240"/>
        <w:ind w:left="0" w:right="0" w:hanging="720"/>
        <w:jc w:val="both"/>
        <w:rPr/>
      </w:pPr>
      <w:r>
        <w:rPr>
          <w:rFonts w:ascii="Times New Roman;sans-serif" w:hAnsi="Times New Roman;sans-serif"/>
          <w:b/>
          <w:color w:val="000000"/>
          <w:sz w:val="22"/>
        </w:rPr>
        <w:t>5.1License Grant</w:t>
      </w:r>
      <w:r>
        <w:rPr>
          <w:rFonts w:ascii="Times New Roman;sans-serif" w:hAnsi="Times New Roman;sans-serif"/>
          <w:b w:val="false"/>
          <w:color w:val="000000"/>
          <w:sz w:val="22"/>
        </w:rPr>
        <w:t>. Effective as of the Stand-by License Time, immediately, automatically, and without any need for further action by any Party, TriLogic and MilanaPharm hereby grant to Organon all rights and licenses granted by TriLogic and MilanaPharm to Daré under the DTM Upstream License Agreement that were the subject of termination of the DTM Upstream License Agreement, on the same terms and conditions as such rights and licenses were granted to Daré under the DTM Upstream License Agreement immediately prior to the Stand-by License Time as modified by Section 5.2 (Amendments) of this Agreement, including all obligations of Daré thereunder going forward from the Stand-by License Time (such license, “</w:t>
      </w:r>
      <w:r>
        <w:rPr>
          <w:rFonts w:ascii="Times New Roman;sans-serif" w:hAnsi="Times New Roman;sans-serif"/>
          <w:b/>
          <w:color w:val="000000"/>
          <w:sz w:val="22"/>
        </w:rPr>
        <w:t>TMO License</w:t>
      </w:r>
      <w:r>
        <w:rPr>
          <w:color w:val="000000"/>
        </w:rPr>
        <w:t>”</w:t>
      </w:r>
      <w:r>
        <w:rPr>
          <w:rFonts w:ascii="Times New Roman;sans-serif" w:hAnsi="Times New Roman;sans-serif"/>
          <w:b w:val="false"/>
          <w:color w:val="000000"/>
          <w:sz w:val="22"/>
        </w:rPr>
        <w:t>). For the avoidance of doubt: (a) the foregoing does not waive any obligation of (i) Daré to MilanaPharm or TriLogic or (ii) Organon to Daré, in each case of (i) and (ii), that has accrued prior to the Stand-by License Time; and (b) Organon will have no obligation to pay any amount to MilanaPharm or TriLogic arising from Daré’s breach of the DTM Upstream License Agreement nor cure such breach. “</w:t>
      </w:r>
      <w:r>
        <w:rPr>
          <w:rFonts w:ascii="Times New Roman;sans-serif" w:hAnsi="Times New Roman;sans-serif"/>
          <w:b/>
          <w:color w:val="000000"/>
          <w:sz w:val="22"/>
        </w:rPr>
        <w:t>Stand-by License Time</w:t>
      </w:r>
      <w:r>
        <w:rPr>
          <w:color w:val="000000"/>
        </w:rPr>
        <w:t xml:space="preserve">” </w:t>
      </w:r>
      <w:r>
        <w:rPr>
          <w:rFonts w:ascii="Times New Roman;sans-serif" w:hAnsi="Times New Roman;sans-serif"/>
          <w:b w:val="false"/>
          <w:color w:val="000000"/>
          <w:sz w:val="22"/>
        </w:rPr>
        <w:t xml:space="preserve">means the termination of the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026160"/>
                <wp:effectExtent l="0" t="0" r="0" b="0"/>
                <wp:wrapNone/>
                <wp:docPr id="104" name="Frame103"/>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DTM Upstream License Agreement, or part thereof, for any reason, including in connection with any laws governing an insolvency, reorganization, bankruptcy, liquidation or winding up of TriLogic, MilanaPharm or Daré or any breach of the DTM Upstream License Agreement. </w:t>
      </w:r>
    </w:p>
    <w:p>
      <w:pPr>
        <w:pStyle w:val="TextBody"/>
        <w:spacing w:lineRule="auto" w:line="240" w:before="0" w:after="240"/>
        <w:ind w:left="0" w:right="0" w:hanging="720"/>
        <w:jc w:val="both"/>
        <w:rPr/>
      </w:pPr>
      <w:r>
        <w:rPr>
          <w:rFonts w:ascii="Times New Roman;sans-serif" w:hAnsi="Times New Roman;sans-serif"/>
          <w:b/>
          <w:color w:val="000000"/>
          <w:sz w:val="22"/>
        </w:rPr>
        <w:t>5.2Amendments</w:t>
      </w:r>
      <w:r>
        <w:rPr>
          <w:rFonts w:ascii="Times New Roman;sans-serif" w:hAnsi="Times New Roman;sans-serif"/>
          <w:b w:val="false"/>
          <w:color w:val="000000"/>
          <w:sz w:val="22"/>
        </w:rPr>
        <w:t xml:space="preserve">. The TMO License is granted upon the terms and conditions of the DTM Upstream License Agreement except as stated below or as otherwise mutually agreed in writing by TriLogic, MilanaPharm and Organon: </w:t>
      </w:r>
    </w:p>
    <w:p>
      <w:pPr>
        <w:pStyle w:val="TextBody"/>
        <w:spacing w:lineRule="auto" w:line="240" w:before="0" w:after="240"/>
        <w:ind w:left="0" w:right="0" w:hanging="720"/>
        <w:jc w:val="both"/>
        <w:rPr/>
      </w:pPr>
      <w:r>
        <w:rPr>
          <w:rFonts w:ascii="Times New Roman;sans-serif" w:hAnsi="Times New Roman;sans-serif"/>
          <w:b/>
          <w:color w:val="000000"/>
          <w:sz w:val="22"/>
        </w:rPr>
        <w:t>5.2.1</w:t>
      </w:r>
      <w:r>
        <w:rPr>
          <w:rFonts w:ascii="Times New Roman;sans-serif" w:hAnsi="Times New Roman;sans-serif"/>
          <w:b w:val="false"/>
          <w:color w:val="000000"/>
          <w:sz w:val="22"/>
        </w:rPr>
        <w:t>Sections 3.4 (Hammock Data), 3.6 (Reports), 4.2.2 (Out-License Milestone Payment), 4.2.3 (Foreign Sublicense Income), 11 (Insurance) and 12.5 (Discontinuation of Sales) from the DTM Upstream License Agreement are not included as part of terms and conditions of the TMO License.</w:t>
      </w:r>
    </w:p>
    <w:p>
      <w:pPr>
        <w:pStyle w:val="TextBody"/>
        <w:spacing w:lineRule="auto" w:line="240" w:before="0" w:after="240"/>
        <w:ind w:left="0" w:right="0" w:hanging="720"/>
        <w:jc w:val="both"/>
        <w:rPr/>
      </w:pPr>
      <w:r>
        <w:rPr>
          <w:rFonts w:ascii="Times New Roman;sans-serif" w:hAnsi="Times New Roman;sans-serif"/>
          <w:b/>
          <w:color w:val="000000"/>
          <w:sz w:val="22"/>
        </w:rPr>
        <w:t>5.2.2</w:t>
      </w:r>
      <w:r>
        <w:rPr>
          <w:rFonts w:ascii="Times New Roman;sans-serif" w:hAnsi="Times New Roman;sans-serif"/>
          <w:b w:val="false"/>
          <w:color w:val="000000"/>
          <w:sz w:val="22"/>
        </w:rPr>
        <w:t>The obligations of Daré that are waived under Section 2.2 (Waiver of Certain Obligations of Daré under DTM Upstream License Agreement) of this Agreement shall continue to be irrevocably waived under the TMO License to the extent of such waiver.</w:t>
      </w:r>
    </w:p>
    <w:p>
      <w:pPr>
        <w:pStyle w:val="TextBody"/>
        <w:spacing w:lineRule="auto" w:line="240" w:before="0" w:after="240"/>
        <w:ind w:left="0" w:right="0" w:hanging="720"/>
        <w:jc w:val="both"/>
        <w:rPr/>
      </w:pPr>
      <w:r>
        <w:rPr>
          <w:rFonts w:ascii="Times New Roman;sans-serif" w:hAnsi="Times New Roman;sans-serif"/>
          <w:b/>
          <w:color w:val="000000"/>
          <w:sz w:val="22"/>
        </w:rPr>
        <w:t>5.2.3</w:t>
      </w:r>
      <w:r>
        <w:rPr>
          <w:rFonts w:ascii="Times New Roman;sans-serif" w:hAnsi="Times New Roman;sans-serif"/>
          <w:b w:val="false"/>
          <w:color w:val="000000"/>
          <w:sz w:val="22"/>
        </w:rPr>
        <w:t xml:space="preserve">The terms and conditions of the DTM Upstream License Agreement that are amended by Article 3 (Amendments) of this Agreement are amended in the TMO License </w:t>
      </w:r>
      <w:r>
        <w:rPr>
          <w:rFonts w:ascii="Times New Roman;sans-serif" w:hAnsi="Times New Roman;sans-serif"/>
          <w:b w:val="false"/>
          <w:i/>
          <w:color w:val="000000"/>
          <w:sz w:val="22"/>
        </w:rPr>
        <w:t>mutatis mutandis; provided that</w:t>
      </w:r>
      <w:r>
        <w:rPr>
          <w:rFonts w:ascii="Times New Roman;sans-serif" w:hAnsi="Times New Roman;sans-serif"/>
          <w:b w:val="false"/>
          <w:color w:val="000000"/>
          <w:sz w:val="22"/>
        </w:rPr>
        <w:t>, the first sentence of Section 4.4.1 (Payment of Royalties) of the DTM Upstream License Agreement will be replaced with the following: “Organon shall make royalty payments owed to MilanaPharm hereunder in arrears, within [***] after the end of the Calendar Quarter in which they become due.”</w:t>
      </w:r>
    </w:p>
    <w:p>
      <w:pPr>
        <w:pStyle w:val="TextBody"/>
        <w:spacing w:lineRule="auto" w:line="240" w:before="0" w:after="240"/>
        <w:ind w:left="0" w:right="0" w:hanging="720"/>
        <w:jc w:val="both"/>
        <w:rPr/>
      </w:pPr>
      <w:r>
        <w:rPr>
          <w:rFonts w:ascii="Times New Roman;sans-serif" w:hAnsi="Times New Roman;sans-serif"/>
          <w:b/>
          <w:color w:val="000000"/>
          <w:sz w:val="22"/>
        </w:rPr>
        <w:t>5.2.4</w:t>
      </w:r>
      <w:r>
        <w:rPr>
          <w:rFonts w:ascii="Times New Roman;sans-serif" w:hAnsi="Times New Roman;sans-serif"/>
          <w:b w:val="false"/>
          <w:color w:val="000000"/>
          <w:sz w:val="22"/>
        </w:rPr>
        <w:t>To the extent there is any other inconsistency between a right or obligation of Organon under the Daré-Organon Sublicense Agreement and the corresponding right or obligation of Daré under the DTM Upstream License Agreement, the right or obligation of Organon in the Daré-Organon Sublicense Agreement is included in the TMO License in substitution for the corresponding right or obligation under the DTM Upstream License Agreement.</w:t>
      </w:r>
    </w:p>
    <w:p>
      <w:pPr>
        <w:pStyle w:val="TextBody"/>
        <w:spacing w:lineRule="auto" w:line="240" w:before="0" w:after="240"/>
        <w:ind w:left="0" w:right="0" w:hanging="720"/>
        <w:jc w:val="both"/>
        <w:rPr/>
      </w:pPr>
      <w:r>
        <w:rPr>
          <w:rFonts w:ascii="Times New Roman;sans-serif" w:hAnsi="Times New Roman;sans-serif"/>
          <w:b/>
          <w:color w:val="000000"/>
          <w:sz w:val="22"/>
        </w:rPr>
        <w:t>5.3Restatement of TMO License</w:t>
      </w:r>
      <w:r>
        <w:rPr>
          <w:rFonts w:ascii="Times New Roman;sans-serif" w:hAnsi="Times New Roman;sans-serif"/>
          <w:b w:val="false"/>
          <w:color w:val="000000"/>
          <w:sz w:val="22"/>
        </w:rPr>
        <w:t>. Upon request of any of TriLogic, MilanaPharm or Organon, such Parties will use commercially reasonable efforts to promptly restate the TMO License in a separate agreement that further documents the TMO License with the terms and conditions contemplated by Sections 5.1 (License Grant) and 5.2 (Amendments) of this Agreement or as may be otherwise mutually agreed by such Parties.</w:t>
      </w:r>
    </w:p>
    <w:p>
      <w:pPr>
        <w:pStyle w:val="TextBody"/>
        <w:spacing w:lineRule="auto" w:line="240" w:before="0" w:after="240"/>
        <w:ind w:left="0" w:right="0" w:hanging="720"/>
        <w:jc w:val="both"/>
        <w:rPr/>
      </w:pPr>
      <w:r>
        <w:rPr>
          <w:rFonts w:ascii="Times New Roman;sans-serif" w:hAnsi="Times New Roman;sans-serif"/>
          <w:b/>
          <w:color w:val="000000"/>
          <w:sz w:val="22"/>
        </w:rPr>
        <w:t>5.4Offset of Payments by Organon Under a TMO License</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5.4.1</w:t>
      </w:r>
      <w:r>
        <w:rPr>
          <w:rFonts w:ascii="Times New Roman;sans-serif" w:hAnsi="Times New Roman;sans-serif"/>
          <w:b w:val="false"/>
          <w:color w:val="000000"/>
          <w:sz w:val="22"/>
        </w:rPr>
        <w:t>Organon can offset from any payments that Organon is obligated to pay Daré under the Daré-Organon Sublicense Agreement any and all payments that Organon is obligated to make to MilanaPharm or TriLogic under the TMO License against.</w:t>
      </w:r>
    </w:p>
    <w:p>
      <w:pPr>
        <w:pStyle w:val="TextBody"/>
        <w:spacing w:lineRule="auto" w:line="240" w:before="0" w:after="240"/>
        <w:ind w:left="0" w:right="0" w:hanging="720"/>
        <w:jc w:val="both"/>
        <w:rPr/>
      </w:pPr>
      <w:r>
        <w:rPr>
          <w:rFonts w:ascii="Times New Roman;sans-serif" w:hAnsi="Times New Roman;sans-serif"/>
          <w:b/>
          <w:color w:val="000000"/>
          <w:sz w:val="22"/>
        </w:rPr>
        <w:t>5.4.2</w:t>
      </w:r>
      <w:r>
        <w:rPr>
          <w:rFonts w:ascii="Times New Roman;sans-serif" w:hAnsi="Times New Roman;sans-serif"/>
          <w:b w:val="false"/>
          <w:color w:val="000000"/>
          <w:sz w:val="22"/>
        </w:rPr>
        <w:t>If any amount owed by Organon under the TMO License for any particular period or milestone event is less than the amount that Organon owes to Daré for the same period or event under the Daré-Organon Sublicense Agreement, then Organon may pay to Daré [***] otherwise in accordance with the applicable terms of the Daré-Organon Sublicense Agreement.</w:t>
      </w:r>
    </w:p>
    <w:p>
      <w:pPr>
        <w:pStyle w:val="TextBody"/>
        <w:spacing w:lineRule="auto" w:line="240" w:before="0" w:after="240"/>
        <w:ind w:left="0" w:right="0" w:hanging="720"/>
        <w:jc w:val="both"/>
        <w:rPr/>
      </w:pPr>
      <w:r>
        <w:rPr>
          <w:rFonts w:ascii="Times New Roman;sans-serif" w:hAnsi="Times New Roman;sans-serif"/>
          <w:b/>
          <w:color w:val="000000"/>
          <w:sz w:val="22"/>
        </w:rPr>
        <w:t>5.4.3</w:t>
      </w:r>
      <w:r>
        <w:rPr>
          <w:rFonts w:ascii="Times New Roman;sans-serif" w:hAnsi="Times New Roman;sans-serif"/>
          <w:b w:val="false"/>
          <w:color w:val="000000"/>
          <w:sz w:val="22"/>
        </w:rPr>
        <w:t xml:space="preserve">If any amount owed by Organon under the TMO License for any particular period or milestone event is more than the amount that Organon owes to Daré for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026160"/>
                <wp:effectExtent l="0" t="0" r="0" b="0"/>
                <wp:wrapNone/>
                <wp:docPr id="105" name="Frame104"/>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same period or milestone event under the Daré-Organon Sublicense Agreement, then Organon [***].</w:t>
      </w:r>
    </w:p>
    <w:p>
      <w:pPr>
        <w:pStyle w:val="TextBody"/>
        <w:spacing w:lineRule="auto" w:line="240" w:before="0" w:after="240"/>
        <w:jc w:val="both"/>
        <w:rPr/>
      </w:pPr>
      <w:r>
        <w:rPr>
          <w:rFonts w:ascii="Times New Roman;sans-serif" w:hAnsi="Times New Roman;sans-serif"/>
          <w:b/>
          <w:color w:val="000000"/>
          <w:sz w:val="24"/>
        </w:rPr>
        <w:t>ARTICLE 6</w:t>
      </w:r>
      <w:r>
        <w:rPr>
          <w:rFonts w:ascii="Times New Roman;sans-serif" w:hAnsi="Times New Roman;sans-serif"/>
          <w:b/>
          <w:color w:val="000000"/>
          <w:sz w:val="24"/>
        </w:rPr>
        <w:t xml:space="preserve">TERMINATION. </w:t>
      </w:r>
    </w:p>
    <w:p>
      <w:pPr>
        <w:pStyle w:val="TextBody"/>
        <w:spacing w:lineRule="auto" w:line="240" w:before="0" w:after="240"/>
        <w:ind w:left="0" w:right="0" w:hanging="720"/>
        <w:jc w:val="both"/>
        <w:rPr/>
      </w:pPr>
      <w:r>
        <w:rPr>
          <w:rFonts w:ascii="Times New Roman;sans-serif" w:hAnsi="Times New Roman;sans-serif"/>
          <w:b/>
          <w:color w:val="000000"/>
          <w:sz w:val="22"/>
        </w:rPr>
        <w:t>6.1Termination</w:t>
      </w:r>
      <w:r>
        <w:rPr>
          <w:rFonts w:ascii="Times New Roman;sans-serif" w:hAnsi="Times New Roman;sans-serif"/>
          <w:b w:val="false"/>
          <w:color w:val="000000"/>
          <w:sz w:val="22"/>
        </w:rPr>
        <w:t xml:space="preserve">. This Agreement automatically terminates upon termination of the Daré-Organon Sublicense Agreement for any reason, including if the Effective Date does not occur within the time specified under Article 11 therein, or upon expiration of the Daré-Organon Sublicense Agreement. Except as provided in the preceding sentence, this Agreement may not be terminated for any reason other than mutual written agreement of all of the Parties. </w:t>
      </w:r>
    </w:p>
    <w:p>
      <w:pPr>
        <w:pStyle w:val="TextBody"/>
        <w:spacing w:lineRule="auto" w:line="240" w:before="0" w:after="240"/>
        <w:ind w:left="0" w:right="0" w:hanging="720"/>
        <w:jc w:val="both"/>
        <w:rPr/>
      </w:pPr>
      <w:r>
        <w:rPr>
          <w:rFonts w:ascii="Times New Roman;sans-serif" w:hAnsi="Times New Roman;sans-serif"/>
          <w:b/>
          <w:color w:val="000000"/>
          <w:sz w:val="22"/>
        </w:rPr>
        <w:t>6.2Survival</w:t>
      </w:r>
      <w:r>
        <w:rPr>
          <w:rFonts w:ascii="Times New Roman;sans-serif" w:hAnsi="Times New Roman;sans-serif"/>
          <w:b w:val="false"/>
          <w:color w:val="000000"/>
          <w:sz w:val="22"/>
        </w:rPr>
        <w:t>. The provisions of Articles 7 (Confidentiality) – 9 (Miscellaneous) of this Agreement and this Section 6.2 (Survival) survive termination of this Agreement for any reason and remain in effect if and as applicable.</w:t>
      </w:r>
    </w:p>
    <w:p>
      <w:pPr>
        <w:pStyle w:val="TextBody"/>
        <w:spacing w:lineRule="auto" w:line="240" w:before="0" w:after="240"/>
        <w:jc w:val="both"/>
        <w:rPr/>
      </w:pPr>
      <w:r>
        <w:rPr>
          <w:rFonts w:ascii="Times New Roman;sans-serif" w:hAnsi="Times New Roman;sans-serif"/>
          <w:b/>
          <w:color w:val="000000"/>
          <w:sz w:val="24"/>
        </w:rPr>
        <w:t>ARTICLE 7</w:t>
      </w:r>
      <w:r>
        <w:rPr>
          <w:rFonts w:ascii="Times New Roman;sans-serif" w:hAnsi="Times New Roman;sans-serif"/>
          <w:b/>
          <w:color w:val="000000"/>
          <w:sz w:val="24"/>
        </w:rPr>
        <w:t>CONFIDENTIALITY.</w:t>
      </w:r>
    </w:p>
    <w:p>
      <w:pPr>
        <w:pStyle w:val="TextBody"/>
        <w:spacing w:lineRule="auto" w:line="240" w:before="0" w:after="240"/>
        <w:ind w:left="0" w:right="0" w:hanging="720"/>
        <w:jc w:val="both"/>
        <w:rPr/>
      </w:pPr>
      <w:r>
        <w:rPr>
          <w:rFonts w:ascii="Times New Roman;sans-serif" w:hAnsi="Times New Roman;sans-serif"/>
          <w:b/>
          <w:color w:val="000000"/>
          <w:sz w:val="22"/>
        </w:rPr>
        <w:t>7.1Terms of this Agreement</w:t>
      </w:r>
      <w:r>
        <w:rPr>
          <w:rFonts w:ascii="Times New Roman;sans-serif" w:hAnsi="Times New Roman;sans-serif"/>
          <w:b w:val="false"/>
          <w:color w:val="000000"/>
          <w:sz w:val="22"/>
        </w:rPr>
        <w:t>. The existence and the terms and conditions of this Agreement will be considered the confidential information of each Party. Any confidential information of Organon provided by Daré to MilanaPharm or TriLogic in accordance with the Daré-Organon Sublicense Agreement will remain the confidential information of Organon. No disclosure of (a) the existence, or the terms or conditions, of this Agreement may be made by any Party, without the prior express written permission of all of the other Parties, or (b) the confidential information of Organon provided by Daré to MilanaPharm or TriLogic in accordance with the Daré-Organon Sublicense Agreement may be made without the prior express written permission of Organon, except, in each case of (a) and (b), as may be required by applicable laws. Without limiting the generality of the foregoing, no Party shall use the name, trademark, trade name or logo of any other Party, its Affiliates or their respective employee(s) in any publicity, promotion, news release or disclosure relating to this Agreement or its subject matter, without the express written permission of such Party.</w:t>
      </w:r>
    </w:p>
    <w:p>
      <w:pPr>
        <w:pStyle w:val="TextBody"/>
        <w:spacing w:lineRule="auto" w:line="240" w:before="0" w:after="240"/>
        <w:ind w:left="0" w:right="0" w:hanging="720"/>
        <w:jc w:val="both"/>
        <w:rPr/>
      </w:pPr>
      <w:r>
        <w:rPr>
          <w:rFonts w:ascii="Times New Roman;sans-serif" w:hAnsi="Times New Roman;sans-serif"/>
          <w:b/>
          <w:color w:val="000000"/>
          <w:sz w:val="22"/>
        </w:rPr>
        <w:t>7.2Required Disclosure</w:t>
      </w:r>
      <w:r>
        <w:rPr>
          <w:rFonts w:ascii="Times New Roman;sans-serif" w:hAnsi="Times New Roman;sans-serif"/>
          <w:b w:val="false"/>
          <w:color w:val="000000"/>
          <w:sz w:val="22"/>
        </w:rPr>
        <w:t>. If any Party is required to disclose the terms of this Agreement or other confidential information of another Party in submissions to the U.S. Securities and Exchange Commission or other equivalent governmental authority, it will (a) consult with the Party(ies) whose confidential information is required to be disclosed as to which information to redact from such confidential information; and (b) to the extent permitted under all applicable laws, redact all sensitive, material and non-public information, from such confidential information. The requirements of this Section 7.2 (Required Disclosure) shall not apply if the substance of the description of or reference to the applicable confidential information contained in the proposed filing or disclosure has been included in any previous filing or disclosure made by any Party or otherwise approved by all of the other Parties and such information remains accurate as of such time.</w:t>
      </w:r>
    </w:p>
    <w:p>
      <w:pPr>
        <w:pStyle w:val="TextBody"/>
        <w:spacing w:lineRule="auto" w:line="240" w:before="0" w:after="240"/>
        <w:jc w:val="both"/>
        <w:rPr/>
      </w:pPr>
      <w:r>
        <w:rPr>
          <w:rFonts w:ascii="Times New Roman;sans-serif" w:hAnsi="Times New Roman;sans-serif"/>
          <w:b/>
          <w:color w:val="000000"/>
          <w:sz w:val="24"/>
        </w:rPr>
        <w:t>ARTICLE 8</w:t>
      </w:r>
      <w:r>
        <w:rPr>
          <w:rFonts w:ascii="Times New Roman;sans-serif" w:hAnsi="Times New Roman;sans-serif"/>
          <w:b/>
          <w:color w:val="000000"/>
          <w:sz w:val="24"/>
        </w:rPr>
        <w:t xml:space="preserve">NOTICES.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notices which are required or permitted hereunder shall be in writing and sufficient if sent by internationally-recognized commercial courier, addressed as follows:</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026160"/>
                <wp:effectExtent l="0" t="0" r="0" b="0"/>
                <wp:wrapNone/>
                <wp:docPr id="106" name="Frame105"/>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tbl>
      <w:tblPr>
        <w:tblW w:w="7948" w:type="dxa"/>
        <w:jc w:val="left"/>
        <w:tblInd w:w="0" w:type="dxa"/>
        <w:tblCellMar>
          <w:top w:w="28" w:type="dxa"/>
          <w:left w:w="28" w:type="dxa"/>
          <w:bottom w:w="28" w:type="dxa"/>
          <w:right w:w="28" w:type="dxa"/>
        </w:tblCellMar>
      </w:tblPr>
      <w:tblGrid>
        <w:gridCol w:w="1701"/>
        <w:gridCol w:w="1491"/>
        <w:gridCol w:w="1502"/>
        <w:gridCol w:w="951"/>
        <w:gridCol w:w="951"/>
        <w:gridCol w:w="1352"/>
      </w:tblGrid>
      <w:tr>
        <w:trPr/>
        <w:tc>
          <w:tcPr>
            <w:tcW w:w="1701"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TriLogic, to:</w:t>
            </w:r>
          </w:p>
        </w:tc>
        <w:tc>
          <w:tcPr>
            <w:tcW w:w="32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TriLogic Pharma, LLC </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219 S 8th Street</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Opelika, AL 36801</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James A.H. Harwick</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Dentons Sirote PC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2311 Highland Avenue South</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Birmingham, Alabama 35205</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Peter J. Hardin</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Facsimile No.: 205-212-3805</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MilanaPharm, to:</w:t>
            </w:r>
          </w:p>
        </w:tc>
        <w:tc>
          <w:tcPr>
            <w:tcW w:w="32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MilanaPharm LLC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219 S 8th Street</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Opelika, AL 36801</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James A.H. Harwick</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Dentons Sirote PC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2311 Highland Avenue South</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Birmingham, Alabama 35205</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Peter J. Hardin</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Daré, to:</w:t>
            </w:r>
          </w:p>
        </w:tc>
        <w:tc>
          <w:tcPr>
            <w:tcW w:w="32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Daré Bioscience, Inc.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3655 Nobel Drive, Suite 260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92122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Sabrina Johnson, CEO</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Mintz Levin</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3580 Carmel Mountain Rd. #300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92130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Tali Tuchin</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both"/>
        <w:rPr/>
      </w:pPr>
      <w:r>
        <w:br w:type="page"/>
      </w: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026160"/>
                <wp:effectExtent l="0" t="0" r="0" b="0"/>
                <wp:wrapNone/>
                <wp:docPr id="107" name="Frame106"/>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tbl>
      <w:tblPr>
        <w:tblW w:w="8924" w:type="dxa"/>
        <w:jc w:val="left"/>
        <w:tblInd w:w="0" w:type="dxa"/>
        <w:tblCellMar>
          <w:top w:w="28" w:type="dxa"/>
          <w:left w:w="28" w:type="dxa"/>
          <w:bottom w:w="28" w:type="dxa"/>
          <w:right w:w="28" w:type="dxa"/>
        </w:tblCellMar>
      </w:tblPr>
      <w:tblGrid>
        <w:gridCol w:w="1698"/>
        <w:gridCol w:w="1493"/>
        <w:gridCol w:w="1504"/>
        <w:gridCol w:w="1238"/>
        <w:gridCol w:w="1238"/>
        <w:gridCol w:w="1753"/>
      </w:tblGrid>
      <w:tr>
        <w:trPr/>
        <w:tc>
          <w:tcPr>
            <w:tcW w:w="1698"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to Organon, to:</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International GmBH</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Weystrasse 20, 6006 Lucerne, Switzerland</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LLC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30 Hudson Street, Floor 33</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New Jersey, NJ, USA 07302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SVP, Business Development</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Via electronic mail to:</w:t>
            </w:r>
          </w:p>
          <w:p>
            <w:pPr>
              <w:pStyle w:val="TableContents"/>
              <w:spacing w:before="0" w:after="60"/>
              <w:jc w:val="both"/>
              <w:rPr/>
            </w:pPr>
            <w:r>
              <w:rPr/>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Organon LLC</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30 Hudson Street, Floor 33</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New Jersey, NJ, USA 07302</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General Counsel</w:t>
            </w:r>
          </w:p>
          <w:p>
            <w:pPr>
              <w:pStyle w:val="TableContents"/>
              <w:spacing w:lineRule="auto" w:line="240" w:before="0" w:after="60"/>
              <w:jc w:val="both"/>
              <w:rPr>
                <w:color w:val="000000"/>
              </w:rPr>
            </w:pPr>
            <w:r>
              <w:rPr>
                <w:color w:val="000000"/>
              </w:rPr>
              <w:t>  </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to, which shall not constitute notice:</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Jones Day</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4655 Executive Drive, Suite 1500</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San Diego, CA 92121-3134</w:t>
            </w:r>
          </w:p>
          <w:p>
            <w:pPr>
              <w:pStyle w:val="TableContents"/>
              <w:spacing w:lineRule="auto" w:line="240"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Attention: Thomas Briggs and Jonn Beeson</w:t>
            </w:r>
          </w:p>
        </w:tc>
      </w:tr>
    </w:tbl>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to such other address(es) as the Party to whom notice is to be given may have furnished to the other Party(ies) in writing in accordance herewith. Any such notice shall be deemed to have been given upon receipt. The Parties hereby agree that, to the extent permitted by applicable law, any notice provided in accordance with this Article 8 (Notices) shall constitute due service of process with respect to any legal proceeding between the Parties arising hereunder and that compliance with the Hague Convention for the Service of Process, if otherwise applicable, shall not be required.</w:t>
      </w:r>
    </w:p>
    <w:p>
      <w:pPr>
        <w:pStyle w:val="TextBody"/>
        <w:spacing w:lineRule="auto" w:line="240" w:before="0" w:after="240"/>
        <w:jc w:val="both"/>
        <w:rPr/>
      </w:pPr>
      <w:r>
        <w:rPr>
          <w:rFonts w:ascii="Times New Roman;sans-serif" w:hAnsi="Times New Roman;sans-serif"/>
          <w:b/>
          <w:color w:val="000000"/>
          <w:sz w:val="24"/>
        </w:rPr>
        <w:t>ARTICLE 9</w:t>
      </w:r>
      <w:r>
        <w:rPr>
          <w:rFonts w:ascii="Times New Roman;sans-serif" w:hAnsi="Times New Roman;sans-serif"/>
          <w:b/>
          <w:color w:val="000000"/>
          <w:sz w:val="24"/>
        </w:rPr>
        <w:t>MISCELLANEOUS.</w:t>
      </w:r>
    </w:p>
    <w:p>
      <w:pPr>
        <w:pStyle w:val="TextBody"/>
        <w:spacing w:lineRule="auto" w:line="240" w:before="0" w:after="240"/>
        <w:ind w:left="0" w:right="0" w:hanging="720"/>
        <w:jc w:val="both"/>
        <w:rPr/>
      </w:pPr>
      <w:r>
        <w:rPr>
          <w:rFonts w:ascii="Times New Roman;sans-serif" w:hAnsi="Times New Roman;sans-serif"/>
          <w:b/>
          <w:color w:val="000000"/>
          <w:sz w:val="22"/>
        </w:rPr>
        <w:t>9.1Assignment</w:t>
      </w:r>
      <w:r>
        <w:rPr>
          <w:rFonts w:ascii="Times New Roman;sans-serif" w:hAnsi="Times New Roman;sans-serif"/>
          <w:b w:val="false"/>
          <w:color w:val="000000"/>
          <w:sz w:val="22"/>
        </w:rPr>
        <w:t>. No Party can assign this Agreement, in whole or in part, without the prior written consent of each other Party hereto, except that, without such consent (a) any Party may assign its respective interest under this Agreement to its Affiliate in a transaction or series of transactions in which such Affiliates is also the assignee of the assigning Party’s interest in (i) the Licensed Intellectual Property and the DTM Upstream License Agreement, in the case of TriLogic or MilanaPharm, (ii) the DTM Upstream License Agreement and the Daré-Organon Sublicense Agreement in the case of Daré, or (iii) the Daré-Organon Sublicense Agreement in the case of Organon, and (b) any Party may assign its respective interest under this Agreement to the successors or assignees of at least substantially all of the assets of its business to which this Agreement relates.</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026160"/>
                <wp:effectExtent l="0" t="0" r="0" b="0"/>
                <wp:wrapNone/>
                <wp:docPr id="108" name="Frame107"/>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ind w:left="0" w:right="0" w:hanging="720"/>
        <w:jc w:val="both"/>
        <w:rPr/>
      </w:pPr>
      <w:r>
        <w:rPr>
          <w:rFonts w:ascii="Times New Roman;sans-serif" w:hAnsi="Times New Roman;sans-serif"/>
          <w:b/>
          <w:color w:val="000000"/>
          <w:sz w:val="22"/>
        </w:rPr>
        <w:t>9.2Severability</w:t>
      </w:r>
      <w:r>
        <w:rPr>
          <w:rFonts w:ascii="Times New Roman;sans-serif" w:hAnsi="Times New Roman;sans-serif"/>
          <w:b w:val="false"/>
          <w:color w:val="000000"/>
          <w:sz w:val="22"/>
        </w:rPr>
        <w:t>. 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reasonable efforts to replace the invalid, illegal or unenforceable provision(s) with valid, legal and enforceable provision(s) which, insofar as practical, implement the purposes of this Agreement.</w:t>
      </w:r>
    </w:p>
    <w:p>
      <w:pPr>
        <w:pStyle w:val="TextBody"/>
        <w:spacing w:lineRule="auto" w:line="240" w:before="0" w:after="240"/>
        <w:ind w:left="0" w:right="0" w:hanging="720"/>
        <w:jc w:val="both"/>
        <w:rPr/>
      </w:pPr>
      <w:r>
        <w:rPr>
          <w:rFonts w:ascii="Times New Roman;sans-serif" w:hAnsi="Times New Roman;sans-serif"/>
          <w:b/>
          <w:color w:val="000000"/>
          <w:sz w:val="22"/>
        </w:rPr>
        <w:t>9.3Relationship of the Parties</w:t>
      </w:r>
      <w:r>
        <w:rPr>
          <w:rFonts w:ascii="Times New Roman;sans-serif" w:hAnsi="Times New Roman;sans-serif"/>
          <w:b w:val="false"/>
          <w:color w:val="000000"/>
          <w:sz w:val="22"/>
        </w:rPr>
        <w:t>. This Agreement shall not constitute any Party as the joint venturer, legal representative or agent of any other Party hereto. No Party hereto shall have the right or authority to assume or create any obligation on the part of any among the Parties with respect to their collective subject matter.</w:t>
      </w:r>
    </w:p>
    <w:p>
      <w:pPr>
        <w:pStyle w:val="TextBody"/>
        <w:spacing w:lineRule="auto" w:line="240" w:before="0" w:after="240"/>
        <w:ind w:left="0" w:right="0" w:hanging="720"/>
        <w:jc w:val="both"/>
        <w:rPr/>
      </w:pPr>
      <w:r>
        <w:rPr>
          <w:rFonts w:ascii="Times New Roman;sans-serif" w:hAnsi="Times New Roman;sans-serif"/>
          <w:b/>
          <w:color w:val="000000"/>
          <w:sz w:val="22"/>
        </w:rPr>
        <w:t>9.4Specific Performance</w:t>
      </w:r>
      <w:r>
        <w:rPr>
          <w:rFonts w:ascii="Times New Roman;sans-serif" w:hAnsi="Times New Roman;sans-serif"/>
          <w:b w:val="false"/>
          <w:color w:val="000000"/>
          <w:sz w:val="22"/>
        </w:rPr>
        <w:t>. The Parties agree that if any of the terms and conditions of this Agreement were not performed in accordance with the terms and conditions herein and, accordingly, each Party [***] entitled to obtain an injunction to prevent any breaches and to obtain specific performance of the terms and conditions herein in addition to any other remedy available at law or in equity.</w:t>
      </w:r>
    </w:p>
    <w:p>
      <w:pPr>
        <w:pStyle w:val="TextBody"/>
        <w:spacing w:lineRule="auto" w:line="240" w:before="0" w:after="240"/>
        <w:ind w:left="0" w:right="0" w:hanging="720"/>
        <w:jc w:val="both"/>
        <w:rPr/>
      </w:pPr>
      <w:r>
        <w:rPr>
          <w:rFonts w:ascii="Times New Roman;sans-serif" w:hAnsi="Times New Roman;sans-serif"/>
          <w:b/>
          <w:color w:val="000000"/>
          <w:sz w:val="22"/>
        </w:rPr>
        <w:t>9.5Conflicts</w:t>
      </w:r>
      <w:r>
        <w:rPr>
          <w:rFonts w:ascii="Times New Roman;sans-serif" w:hAnsi="Times New Roman;sans-serif"/>
          <w:b w:val="false"/>
          <w:color w:val="000000"/>
          <w:sz w:val="22"/>
        </w:rPr>
        <w:t xml:space="preserve">. In the event of any conflict between this Agreement, on the hand, and the DTM Upstream License Agreement or the Daré-Organon Sublicense Agreement, on the other hand, the terms and conditions of this Agreement shall prevail. </w:t>
      </w:r>
    </w:p>
    <w:p>
      <w:pPr>
        <w:pStyle w:val="TextBody"/>
        <w:spacing w:lineRule="auto" w:line="240" w:before="0" w:after="240"/>
        <w:ind w:left="0" w:right="0" w:hanging="720"/>
        <w:jc w:val="both"/>
        <w:rPr/>
      </w:pPr>
      <w:r>
        <w:rPr>
          <w:rFonts w:ascii="Times New Roman;sans-serif" w:hAnsi="Times New Roman;sans-serif"/>
          <w:b/>
          <w:color w:val="000000"/>
          <w:sz w:val="22"/>
        </w:rPr>
        <w:t>9.6Entire Agreement; Amendments</w:t>
      </w:r>
      <w:r>
        <w:rPr>
          <w:rFonts w:ascii="Times New Roman;sans-serif" w:hAnsi="Times New Roman;sans-serif"/>
          <w:b w:val="false"/>
          <w:color w:val="000000"/>
          <w:sz w:val="22"/>
        </w:rPr>
        <w:t>. This Agreement, the DTM Upstream License Agreement and the Daré-Organon Sublicense Agreement, contain the entire understanding of the Parties with respect to the subject matter hereof. Any other express or implied agreements and understandings, negotiations, writings and commitments, either oral or written, with respect to the subject matter hereof and the licenses granted hereunder are superseded by the terms of this Agreement. This Agreement may be amended, or any term hereof modified, only by a written instrument duly executed by authorized representative(s) of all Parties hereto.</w:t>
      </w:r>
    </w:p>
    <w:p>
      <w:pPr>
        <w:pStyle w:val="TextBody"/>
        <w:spacing w:lineRule="auto" w:line="240" w:before="0" w:after="240"/>
        <w:ind w:left="0" w:right="0" w:hanging="720"/>
        <w:jc w:val="both"/>
        <w:rPr/>
      </w:pPr>
      <w:r>
        <w:rPr>
          <w:rFonts w:ascii="Times New Roman;sans-serif" w:hAnsi="Times New Roman;sans-serif"/>
          <w:b/>
          <w:color w:val="000000"/>
          <w:sz w:val="22"/>
        </w:rPr>
        <w:t>9.7Applicable Law</w:t>
      </w:r>
      <w:r>
        <w:rPr>
          <w:rFonts w:ascii="Times New Roman;sans-serif" w:hAnsi="Times New Roman;sans-serif"/>
          <w:b w:val="false"/>
          <w:color w:val="000000"/>
          <w:sz w:val="22"/>
        </w:rPr>
        <w:t xml:space="preserve">. This Agreement shall be governed by and construed in accordance with the laws of the State of Delaware without reference to any rules of conflict of laws or venue. </w:t>
      </w:r>
    </w:p>
    <w:p>
      <w:pPr>
        <w:pStyle w:val="TextBody"/>
        <w:spacing w:lineRule="auto" w:line="240" w:before="0" w:after="240"/>
        <w:ind w:left="0" w:right="0" w:hanging="720"/>
        <w:jc w:val="both"/>
        <w:rPr/>
      </w:pPr>
      <w:r>
        <w:rPr>
          <w:rFonts w:ascii="Times New Roman;sans-serif" w:hAnsi="Times New Roman;sans-serif"/>
          <w:b/>
          <w:color w:val="000000"/>
          <w:sz w:val="22"/>
        </w:rPr>
        <w:t>9.8Dispute Resolution</w:t>
      </w:r>
      <w:r>
        <w:rPr>
          <w:rFonts w:ascii="Times New Roman;sans-serif" w:hAnsi="Times New Roman;sans-serif"/>
          <w:b w:val="false"/>
          <w:color w:val="000000"/>
          <w:sz w:val="22"/>
        </w:rPr>
        <w:t xml:space="preserve">. </w:t>
      </w:r>
    </w:p>
    <w:p>
      <w:pPr>
        <w:pStyle w:val="TextBody"/>
        <w:spacing w:lineRule="auto" w:line="240" w:before="0" w:after="240"/>
        <w:ind w:left="0" w:right="0" w:hanging="720"/>
        <w:jc w:val="both"/>
        <w:rPr/>
      </w:pPr>
      <w:r>
        <w:rPr>
          <w:rFonts w:ascii="Times New Roman;sans-serif" w:hAnsi="Times New Roman;sans-serif"/>
          <w:b/>
          <w:color w:val="000000"/>
          <w:sz w:val="22"/>
        </w:rPr>
        <w:t>9.8.1</w:t>
      </w:r>
      <w:r>
        <w:rPr>
          <w:rFonts w:ascii="Times New Roman;sans-serif" w:hAnsi="Times New Roman;sans-serif"/>
          <w:b w:val="false"/>
          <w:color w:val="000000"/>
          <w:sz w:val="22"/>
        </w:rPr>
        <w:t>The Parties shall negotiate in good faith and use reasonable efforts to settle any dispute, controversy or claim arising from or related to this Agreement or the breach thereof (a “</w:t>
      </w:r>
      <w:r>
        <w:rPr>
          <w:rFonts w:ascii="Times New Roman;sans-serif" w:hAnsi="Times New Roman;sans-serif"/>
          <w:b/>
          <w:color w:val="000000"/>
          <w:sz w:val="22"/>
        </w:rPr>
        <w:t>Dispute</w:t>
      </w:r>
      <w:r>
        <w:rPr>
          <w:color w:val="000000"/>
        </w:rPr>
        <w:t>”</w:t>
      </w:r>
      <w:r>
        <w:rPr>
          <w:rFonts w:ascii="Times New Roman;sans-serif" w:hAnsi="Times New Roman;sans-serif"/>
          <w:b w:val="false"/>
          <w:color w:val="000000"/>
          <w:sz w:val="22"/>
        </w:rPr>
        <w:t>). Any Party shall give the other Party(ies) to the Dispute written notice of any Dispute not resolved in the normal course of business. Within [***], the receiving Party shall submit to the other Party(ies) a written response. The notice and response shall include (A) a statement of [***], and (B) the name and title of the executive who will represent that Party and of any other person who will accompany the executive. Within [***], the executives of the disputing Parties shall meet at a mutually acceptable time and place, and thereafter as often as they reasonably deem necessary, to attempt to resolve the Dispute. These executives shall have the authority to settle the Dispute and shall be at a higher level of management than the persons with direct responsibility for administration of this Agreement. All negotiations pursuant to this paragraph are confidential and shall be treated as compromise and settlement negotiations for purposes of applicable rules of evidence.    </w:t>
      </w:r>
    </w:p>
    <w:p>
      <w:pPr>
        <w:pStyle w:val="TextBody"/>
        <w:spacing w:lineRule="auto" w:line="240" w:before="0" w:after="240"/>
        <w:ind w:left="0" w:right="0" w:hanging="720"/>
        <w:jc w:val="both"/>
        <w:rPr/>
      </w:pPr>
      <w:r>
        <w:rPr>
          <w:rFonts w:ascii="Times New Roman;sans-serif" w:hAnsi="Times New Roman;sans-serif"/>
          <w:b/>
          <w:color w:val="000000"/>
          <w:sz w:val="22"/>
        </w:rPr>
        <w:t>9.8.2</w:t>
      </w:r>
      <w:r>
        <w:rPr>
          <w:rFonts w:ascii="Times New Roman;sans-serif" w:hAnsi="Times New Roman;sans-serif"/>
          <w:b w:val="false"/>
          <w:color w:val="000000"/>
          <w:sz w:val="22"/>
        </w:rPr>
        <w:t xml:space="preserve">If the Parties do not fully settle following the procedure in Section 9.8.1, and a Party wishes to pursue the matter, each dispute, controversy or claim arising from </w:t>
      </w:r>
      <w:r>
        <w:br w:type="page"/>
      </w:r>
    </w:p>
    <w:p>
      <w:pPr>
        <w:pStyle w:val="TextBody"/>
        <w:spacing w:before="0" w:after="24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026160"/>
                <wp:effectExtent l="0" t="0" r="0" b="0"/>
                <wp:wrapNone/>
                <wp:docPr id="109" name="Frame108"/>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or related to this Agreement or the breach thereof shall be brought in the federal court for the District of Delaware, if federal jurisdiction is available, or, alternatively, in the state courts in Wilmington, Delaware. Each of the Parties hereby submits to the exclusive jurisdiction of such courts for the purpose of any such litigation; provided, that a final judgment in any such litigation shall be conclusive and may be enforced in other jurisdictions by suit on the judgment or in any other manner provided by law.</w:t>
      </w:r>
      <w:r>
        <w:rPr>
          <w:color w:val="000000"/>
        </w:rPr>
        <w:t xml:space="preserve"> </w:t>
      </w:r>
      <w:r>
        <w:rPr>
          <w:rFonts w:ascii="Times New Roman;sans-serif" w:hAnsi="Times New Roman;sans-serif"/>
          <w:b/>
          <w:color w:val="000000"/>
          <w:sz w:val="22"/>
        </w:rPr>
        <w:t>Each Party irrevocably and unconditionally agrees not to assert (a) any objection which it may ever have to the laying of venue of any such litigation in such courts, (b) any claim that any such litigation brought in any such court has been brought in an inconvenient forum, and (c) any claim that such court does not have jurisdiction with respect to such litigation. EACH PARTY IRREVOCABLY AND UNCONDITIONALLY WAIVES ANY RIGHT TO A TRIAL BY JURY AND AGREES THAT ANY OF THEM MAY FILE A COPY OF THIS PARAGRAPH WITH ANY COURT AS WRITTEN EVIDENCE OF THE KNOWING, VOLUNTARY AND BARGAINED-FOR AGREEMENT AMONG THE PARTIES IRREVOCABLY TO WAIVE ITS RIGHT TO TRIAL BY JURY IN ANY LITIGATION.</w:t>
      </w:r>
    </w:p>
    <w:p>
      <w:pPr>
        <w:pStyle w:val="TextBody"/>
        <w:spacing w:lineRule="auto" w:line="240" w:before="0" w:after="240"/>
        <w:ind w:left="0" w:right="0" w:hanging="720"/>
        <w:jc w:val="both"/>
        <w:rPr/>
      </w:pPr>
      <w:r>
        <w:rPr>
          <w:rFonts w:ascii="Times New Roman;sans-serif" w:hAnsi="Times New Roman;sans-serif"/>
          <w:b/>
          <w:color w:val="000000"/>
          <w:sz w:val="22"/>
        </w:rPr>
        <w:t>9.9Headings</w:t>
      </w:r>
      <w:r>
        <w:rPr>
          <w:rFonts w:ascii="Times New Roman;sans-serif" w:hAnsi="Times New Roman;sans-serif"/>
          <w:b w:val="false"/>
          <w:color w:val="000000"/>
          <w:sz w:val="22"/>
        </w:rPr>
        <w:t>. The captions to the several Articles, Sections and subsections hereof are not a part of this Agreement, but are merely for convenience to assist in locating and reading the several Articles and Sections hereof.</w:t>
      </w:r>
    </w:p>
    <w:p>
      <w:pPr>
        <w:pStyle w:val="TextBody"/>
        <w:spacing w:lineRule="auto" w:line="240" w:before="0" w:after="240"/>
        <w:ind w:left="0" w:right="0" w:hanging="720"/>
        <w:jc w:val="both"/>
        <w:rPr/>
      </w:pPr>
      <w:r>
        <w:rPr>
          <w:rFonts w:ascii="Times New Roman;sans-serif" w:hAnsi="Times New Roman;sans-serif"/>
          <w:b/>
          <w:color w:val="000000"/>
          <w:sz w:val="22"/>
        </w:rPr>
        <w:t>9.10Waiver</w:t>
      </w:r>
      <w:r>
        <w:rPr>
          <w:rFonts w:ascii="Times New Roman;sans-serif" w:hAnsi="Times New Roman;sans-serif"/>
          <w:b w:val="false"/>
          <w:color w:val="000000"/>
          <w:sz w:val="22"/>
        </w:rPr>
        <w:t>. The waiver by any Party hereto of any right hereunder, or of any failure of any other Party to perform, or of any breach by any other Party, shall not be deemed a waiver of any other right hereunder or of any other breach by or failure of such any other Party whether of a similar nature or otherwise.</w:t>
      </w:r>
    </w:p>
    <w:p>
      <w:pPr>
        <w:pStyle w:val="TextBody"/>
        <w:spacing w:lineRule="auto" w:line="240" w:before="0" w:after="240"/>
        <w:ind w:left="0" w:right="0" w:hanging="720"/>
        <w:jc w:val="both"/>
        <w:rPr/>
      </w:pPr>
      <w:r>
        <w:rPr>
          <w:rFonts w:ascii="Times New Roman;sans-serif" w:hAnsi="Times New Roman;sans-serif"/>
          <w:b/>
          <w:color w:val="000000"/>
          <w:sz w:val="22"/>
        </w:rPr>
        <w:t>9.11Waiver of Rule of Construction</w:t>
      </w:r>
      <w:r>
        <w:rPr>
          <w:rFonts w:ascii="Times New Roman;sans-serif" w:hAnsi="Times New Roman;sans-serif"/>
          <w:b w:val="false"/>
          <w:color w:val="000000"/>
          <w:sz w:val="22"/>
        </w:rPr>
        <w:t>. Each Party has had the opportunity to consult with counsel in connection with the review, drafting and negotiation of this Agreement. Accordingly, the rule of construction that any ambiguity in this Agreement shall be construed against the drafting Party(ies) shall not apply.</w:t>
      </w:r>
    </w:p>
    <w:p>
      <w:pPr>
        <w:pStyle w:val="TextBody"/>
        <w:spacing w:lineRule="auto" w:line="240" w:before="0" w:after="240"/>
        <w:ind w:left="0" w:right="0" w:hanging="720"/>
        <w:jc w:val="both"/>
        <w:rPr/>
      </w:pPr>
      <w:r>
        <w:rPr>
          <w:rFonts w:ascii="Times New Roman;sans-serif" w:hAnsi="Times New Roman;sans-serif"/>
          <w:b/>
          <w:color w:val="000000"/>
          <w:sz w:val="22"/>
        </w:rPr>
        <w:t>9.12Certain Conventions</w:t>
      </w:r>
      <w:r>
        <w:rPr>
          <w:rFonts w:ascii="Times New Roman;sans-serif" w:hAnsi="Times New Roman;sans-serif"/>
          <w:b w:val="false"/>
          <w:color w:val="000000"/>
          <w:sz w:val="22"/>
        </w:rPr>
        <w:t>. Any reference in this Agreement to an Article, Section, subsection, paragraph, clause or Schedule shall be deemed to be a reference to an Article, Section, subsection, paragraph, clause or Schedule, of or to, as the case may be, this Agreement, unless otherwise indicated. Whenever this Agreement refers to a number of days, unless otherwise specified, such number refers to calendar days. Unless the context of this Agreement otherwise requires, (a) words of any gender include any other gender, (b) words such as “herein”, “hereof”, and “hereunder” refer to this Agreement as a whole and not merely to the particular provision in which such words appear, (c) words using the singular shall include the plural, and vice versa, (d) each use of the word “including” is not limiting and is deemed to be followed by the words “without limitation”, (e) the words “shall” and “will” have the same meaning unless the context dictates otherwise, and (f) use of the words “or,” “either” or “any” will not be exclusive.</w:t>
      </w:r>
    </w:p>
    <w:p>
      <w:pPr>
        <w:pStyle w:val="TextBody"/>
        <w:spacing w:lineRule="auto" w:line="240" w:before="0" w:after="240"/>
        <w:ind w:left="0" w:right="0" w:hanging="720"/>
        <w:jc w:val="both"/>
        <w:rPr/>
      </w:pPr>
      <w:r>
        <w:rPr>
          <w:rFonts w:ascii="Times New Roman;sans-serif" w:hAnsi="Times New Roman;sans-serif"/>
          <w:b/>
          <w:color w:val="000000"/>
          <w:sz w:val="22"/>
        </w:rPr>
        <w:t>9.13Counterparts</w:t>
      </w:r>
      <w:r>
        <w:rPr>
          <w:rFonts w:ascii="Times New Roman;sans-serif" w:hAnsi="Times New Roman;sans-serif"/>
          <w:b w:val="false"/>
          <w:color w:val="000000"/>
          <w:sz w:val="22"/>
        </w:rPr>
        <w:t>. This Agreement may be executed in any number of counterparts (including by facsimile or electronic transmission) each of which shall be deemed and original but all of which together shall constitute one and the same instrument.</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&lt;signature page follows&gt;</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026160"/>
                <wp:effectExtent l="0" t="0" r="0" b="0"/>
                <wp:wrapNone/>
                <wp:docPr id="110" name="Frame109"/>
                <a:graphic xmlns:a="http://schemas.openxmlformats.org/drawingml/2006/main">
                  <a:graphicData uri="http://schemas.microsoft.com/office/word/2010/wordprocessingShape">
                    <wps:wsp>
                      <wps:cNvSpPr txBox="1"/>
                      <wps:spPr>
                        <a:xfrm>
                          <a:off x="0" y="0"/>
                          <a:ext cx="6480175" cy="1026160"/>
                        </a:xfrm>
                        <a:prstGeom prst="rect"/>
                      </wps:spPr>
                      <wps:txb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rPr>
                          <w:color w:val="000000"/>
                        </w:rPr>
                      </w:pPr>
                      <w:r>
                        <w:rPr>
                          <w:color w:val="000000"/>
                        </w:rPr>
                        <w:t>    </w:t>
                      </w:r>
                    </w:p>
                    <w:p>
                      <w:pPr>
                        <w:pStyle w:val="TextBody"/>
                        <w:spacing w:lineRule="auto" w:line="24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bl>
                      <w:tblPr>
                        <w:tblW w:w="1605" w:type="dxa"/>
                        <w:jc w:val="left"/>
                        <w:tblInd w:w="0" w:type="dxa"/>
                        <w:tblCellMar>
                          <w:top w:w="28" w:type="dxa"/>
                          <w:left w:w="28" w:type="dxa"/>
                          <w:bottom w:w="28" w:type="dxa"/>
                          <w:right w:w="28" w:type="dxa"/>
                        </w:tblCellMar>
                      </w:tblPr>
                      <w:tblGrid>
                        <w:gridCol w:w="514"/>
                        <w:gridCol w:w="451"/>
                        <w:gridCol w:w="640"/>
                      </w:tblGrid>
                      <w:tr>
                        <w:trPr/>
                        <w:tc>
                          <w:tcPr>
                            <w:tcW w:w="51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71"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NAI-1530421817v2</w:t>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executed this Agreement by their duly authorized representatives as of the Execution Date.</w:t>
      </w:r>
    </w:p>
    <w:p>
      <w:pPr>
        <w:pStyle w:val="TextBody"/>
        <w:spacing w:before="0" w:after="240"/>
        <w:jc w:val="both"/>
        <w:rPr/>
      </w:pPr>
      <w:r>
        <w:rPr/>
      </w:r>
    </w:p>
    <w:tbl>
      <w:tblPr>
        <w:tblW w:w="6865" w:type="dxa"/>
        <w:jc w:val="left"/>
        <w:tblInd w:w="0" w:type="dxa"/>
        <w:tblCellMar>
          <w:top w:w="28" w:type="dxa"/>
          <w:left w:w="28" w:type="dxa"/>
          <w:bottom w:w="28" w:type="dxa"/>
          <w:right w:w="28" w:type="dxa"/>
        </w:tblCellMar>
      </w:tblPr>
      <w:tblGrid>
        <w:gridCol w:w="1178"/>
        <w:gridCol w:w="1036"/>
        <w:gridCol w:w="1040"/>
        <w:gridCol w:w="109"/>
        <w:gridCol w:w="109"/>
        <w:gridCol w:w="109"/>
        <w:gridCol w:w="961"/>
        <w:gridCol w:w="961"/>
        <w:gridCol w:w="1362"/>
      </w:tblGrid>
      <w:tr>
        <w:trPr/>
        <w:tc>
          <w:tcPr>
            <w:tcW w:w="117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TRILOGIC PHARMA,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MILANAPHARM, LLC</w:t>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James A. H. Harwick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James A. H. Harwick</w:t>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James A. H. Harwick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James A. H. Harwick</w:t>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r>
    </w:tbl>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tbl>
      <w:tblPr>
        <w:tblW w:w="7495" w:type="dxa"/>
        <w:jc w:val="left"/>
        <w:tblInd w:w="0" w:type="dxa"/>
        <w:tblCellMar>
          <w:top w:w="28" w:type="dxa"/>
          <w:left w:w="28" w:type="dxa"/>
          <w:bottom w:w="28" w:type="dxa"/>
          <w:right w:w="28" w:type="dxa"/>
        </w:tblCellMar>
      </w:tblPr>
      <w:tblGrid>
        <w:gridCol w:w="1179"/>
        <w:gridCol w:w="1036"/>
        <w:gridCol w:w="1039"/>
        <w:gridCol w:w="109"/>
        <w:gridCol w:w="109"/>
        <w:gridCol w:w="109"/>
        <w:gridCol w:w="1146"/>
        <w:gridCol w:w="1146"/>
        <w:gridCol w:w="1622"/>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DARÉ BIOSCIENCE,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ORGANON INTERNATIONAL GMBH</w:t>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Sabrina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Thomas Morlet</w:t>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SABRINA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Thomas Morlet</w:t>
            </w:r>
          </w:p>
        </w:tc>
      </w:tr>
      <w:tr>
        <w:trPr/>
        <w:tc>
          <w:tcPr>
            <w:tcW w:w="325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Managing Officer</w:t>
            </w:r>
          </w:p>
        </w:tc>
      </w:tr>
    </w:tbl>
    <w:p>
      <w:pPr>
        <w:pStyle w:val="TextBody"/>
        <w:spacing w:before="0" w:after="240"/>
        <w:jc w:val="center"/>
        <w:rPr/>
      </w:pPr>
      <w:r>
        <w:rPr/>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val="false"/>
          <w:color w:val="000000"/>
          <w:sz w:val="22"/>
        </w:rPr>
      </w:pPr>
      <w:r>
        <w:rPr>
          <w:rFonts w:ascii="Arial;sans-serif" w:hAnsi="Arial;sans-serif"/>
          <w:b w:val="false"/>
          <w:color w:val="000000"/>
          <w:sz w:val="22"/>
        </w:rPr>
        <w:t>E</w:t>
      </w:r>
      <w:r>
        <w:rPr>
          <w:rFonts w:ascii="Arial;sans-serif" w:hAnsi="Arial;sans-serif"/>
          <w:b w:val="false"/>
          <w:color w:val="000000"/>
          <w:sz w:val="22"/>
        </w:rPr>
        <w:t>xhibit 10.2</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w:t>
      </w:r>
    </w:p>
    <w:p>
      <w:pPr>
        <w:pStyle w:val="TextBody"/>
        <w:spacing w:lineRule="auto" w:line="288" w:before="0" w:after="0"/>
        <w:jc w:val="center"/>
        <w:rPr/>
      </w:pPr>
      <w:r>
        <w:rPr>
          <w:rFonts w:ascii="Arial;sans-serif" w:hAnsi="Arial;sans-serif"/>
          <w:b/>
          <w:color w:val="000000"/>
          <w:sz w:val="20"/>
        </w:rPr>
        <w:t>AMENDED AND RESTATED NON-EMPLOYEE DIRECTOR COMPENSATION POLICY</w:t>
      </w:r>
      <w:r>
        <w:rPr>
          <w:rFonts w:ascii="Arial;sans-serif" w:hAnsi="Arial;sans-serif"/>
          <w:b/>
          <w:color w:val="000000"/>
          <w:sz w:val="13"/>
        </w:rPr>
        <w:t>1</w:t>
      </w:r>
    </w:p>
    <w:p>
      <w:pPr>
        <w:pStyle w:val="TextBody"/>
        <w:spacing w:before="0" w:after="0"/>
        <w:jc w:val="center"/>
        <w:rPr/>
      </w:pPr>
      <w:r>
        <w:rPr/>
      </w:r>
    </w:p>
    <w:p>
      <w:pPr>
        <w:pStyle w:val="TextBody"/>
        <w:spacing w:lineRule="auto" w:line="288" w:before="0" w:after="0"/>
        <w:rPr>
          <w:color w:val="000000"/>
        </w:rPr>
      </w:pPr>
      <w:r>
        <w:rPr>
          <w:color w:val="000000"/>
        </w:rPr>
        <w:t> </w:t>
      </w:r>
    </w:p>
    <w:p>
      <w:pPr>
        <w:pStyle w:val="TextBody"/>
        <w:spacing w:lineRule="auto" w:line="288" w:before="0" w:after="240"/>
        <w:ind w:left="0" w:right="0" w:firstLine="835"/>
        <w:rPr/>
      </w:pPr>
      <w:r>
        <w:rPr>
          <w:rFonts w:ascii="Arial;sans-serif" w:hAnsi="Arial;sans-serif"/>
          <w:b w:val="false"/>
          <w:color w:val="000000"/>
          <w:sz w:val="20"/>
        </w:rPr>
        <w:t>The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of Daré Bioscience,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approved this amended and restated non-employee director compensation policy (this “</w:t>
      </w:r>
      <w:r>
        <w:rPr>
          <w:rFonts w:ascii="Arial;sans-serif" w:hAnsi="Arial;sans-serif"/>
          <w:b w:val="false"/>
          <w:color w:val="000000"/>
          <w:sz w:val="20"/>
          <w:u w:val="single"/>
        </w:rPr>
        <w:t>Policy</w:t>
      </w:r>
      <w:r>
        <w:rPr>
          <w:color w:val="000000"/>
        </w:rPr>
        <w:t>”</w:t>
      </w:r>
      <w:r>
        <w:rPr>
          <w:rFonts w:ascii="Arial;sans-serif" w:hAnsi="Arial;sans-serif"/>
          <w:b w:val="false"/>
          <w:color w:val="000000"/>
          <w:sz w:val="20"/>
        </w:rPr>
        <w:t>).  </w:t>
      </w:r>
    </w:p>
    <w:p>
      <w:pPr>
        <w:pStyle w:val="TextBody"/>
        <w:spacing w:lineRule="auto" w:line="288" w:before="0" w:after="240"/>
        <w:ind w:left="0" w:right="0" w:firstLine="835"/>
        <w:rPr>
          <w:rFonts w:ascii="Arial;sans-serif" w:hAnsi="Arial;sans-serif"/>
          <w:b w:val="false"/>
          <w:i/>
          <w:color w:val="000000"/>
          <w:sz w:val="20"/>
        </w:rPr>
      </w:pPr>
      <w:r>
        <w:rPr>
          <w:rFonts w:ascii="Arial;sans-serif" w:hAnsi="Arial;sans-serif"/>
          <w:b w:val="false"/>
          <w:i/>
          <w:color w:val="000000"/>
          <w:sz w:val="20"/>
        </w:rPr>
        <w:t>Cash Compensation</w:t>
      </w:r>
    </w:p>
    <w:p>
      <w:pPr>
        <w:pStyle w:val="TextBody"/>
        <w:spacing w:lineRule="auto" w:line="288" w:before="0" w:after="240"/>
        <w:ind w:left="0" w:right="0" w:firstLine="835"/>
        <w:rPr>
          <w:rFonts w:ascii="Arial;sans-serif" w:hAnsi="Arial;sans-serif"/>
          <w:b w:val="false"/>
          <w:color w:val="000000"/>
          <w:sz w:val="20"/>
        </w:rPr>
      </w:pPr>
      <w:r>
        <w:rPr>
          <w:rFonts w:ascii="Arial;sans-serif" w:hAnsi="Arial;sans-serif"/>
          <w:b w:val="false"/>
          <w:color w:val="000000"/>
          <w:sz w:val="20"/>
        </w:rPr>
        <w:t>Under this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tbl>
      <w:tblPr>
        <w:tblW w:w="7490" w:type="dxa"/>
        <w:jc w:val="left"/>
        <w:tblInd w:w="0" w:type="dxa"/>
        <w:tblCellMar>
          <w:top w:w="28" w:type="dxa"/>
          <w:left w:w="28" w:type="dxa"/>
          <w:bottom w:w="28" w:type="dxa"/>
          <w:right w:w="28" w:type="dxa"/>
        </w:tblCellMar>
      </w:tblPr>
      <w:tblGrid>
        <w:gridCol w:w="1367"/>
        <w:gridCol w:w="1204"/>
        <w:gridCol w:w="1208"/>
        <w:gridCol w:w="109"/>
        <w:gridCol w:w="109"/>
        <w:gridCol w:w="109"/>
        <w:gridCol w:w="269"/>
        <w:gridCol w:w="269"/>
        <w:gridCol w:w="273"/>
        <w:gridCol w:w="109"/>
        <w:gridCol w:w="109"/>
        <w:gridCol w:w="109"/>
        <w:gridCol w:w="312"/>
        <w:gridCol w:w="312"/>
        <w:gridCol w:w="312"/>
        <w:gridCol w:w="312"/>
        <w:gridCol w:w="312"/>
        <w:gridCol w:w="314"/>
        <w:gridCol w:w="109"/>
        <w:gridCol w:w="109"/>
        <w:gridCol w:w="154"/>
      </w:tblGrid>
      <w:tr>
        <w:trPr/>
        <w:tc>
          <w:tcPr>
            <w:tcW w:w="1367"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874" w:type="dxa"/>
            <w:gridSpan w:val="6"/>
            <w:tcBorders/>
            <w:shd w:fill="FFFFFF"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color w:val="000000"/>
                <w:sz w:val="20"/>
              </w:rPr>
            </w:pPr>
            <w:r>
              <w:rPr>
                <w:rFonts w:ascii="Arial;sans-serif" w:hAnsi="Arial;sans-serif"/>
                <w:b/>
                <w:color w:val="000000"/>
                <w:sz w:val="20"/>
              </w:rPr>
              <w:t>Annual Retainer ($)</w:t>
            </w:r>
          </w:p>
        </w:tc>
        <w:tc>
          <w:tcPr>
            <w:tcW w:w="37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i/>
                <w:color w:val="000000"/>
                <w:sz w:val="20"/>
              </w:rPr>
            </w:pPr>
            <w:r>
              <w:rPr>
                <w:rFonts w:ascii="Arial;sans-serif" w:hAnsi="Arial;sans-serif"/>
                <w:b w:val="false"/>
                <w:i/>
                <w:color w:val="000000"/>
                <w:sz w:val="20"/>
              </w:rPr>
              <w:t>Board of Directors</w:t>
            </w:r>
          </w:p>
        </w:tc>
        <w:tc>
          <w:tcPr>
            <w:tcW w:w="327"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top w:val="single" w:sz="6" w:space="0" w:color="000000"/>
            </w:tcBorders>
            <w:shd w:fill="CCECFF"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Chairman</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65,000</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Member</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40,000</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i/>
                <w:color w:val="000000"/>
                <w:sz w:val="20"/>
              </w:rPr>
            </w:pPr>
            <w:r>
              <w:rPr>
                <w:rFonts w:ascii="Arial;sans-serif" w:hAnsi="Arial;sans-serif"/>
                <w:b w:val="false"/>
                <w:i/>
                <w:color w:val="000000"/>
                <w:sz w:val="20"/>
              </w:rPr>
              <w:t>Committees of the Board of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Audit</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20,000</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Compensation</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15,000</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5,500</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Nominating and Corporate Governance</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4,000</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xml:space="preserve">     </w:t>
            </w:r>
            <w:r>
              <w:rPr>
                <w:rFonts w:ascii="Arial;sans-serif" w:hAnsi="Arial;sans-serif"/>
                <w:b w:val="false"/>
                <w:color w:val="000000"/>
                <w:sz w:val="20"/>
              </w:rPr>
              <w:t>Clinical Advisory</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shd w:fill="CCECFF"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20,000</w:t>
            </w:r>
          </w:p>
        </w:tc>
        <w:tc>
          <w:tcPr>
            <w:tcW w:w="372" w:type="dxa"/>
            <w:gridSpan w:val="3"/>
            <w:tcBorders/>
            <w:shd w:fill="CCEC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377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p>
        </w:tc>
        <w:tc>
          <w:tcPr>
            <w:tcW w:w="811"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p>
        </w:tc>
        <w:tc>
          <w:tcPr>
            <w:tcW w:w="93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p>
        </w:tc>
        <w:tc>
          <w:tcPr>
            <w:tcW w:w="938"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372"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spacing w:lineRule="auto" w:line="288" w:before="0" w:after="240"/>
        <w:ind w:left="0" w:right="0" w:firstLine="835"/>
        <w:rPr>
          <w:rFonts w:ascii="Arial;sans-serif" w:hAnsi="Arial;sans-serif"/>
          <w:b w:val="false"/>
          <w:color w:val="000000"/>
          <w:sz w:val="20"/>
        </w:rPr>
      </w:pPr>
      <w:r>
        <w:rPr>
          <w:rFonts w:ascii="Arial;sans-serif" w:hAnsi="Arial;sans-serif"/>
          <w:b w:val="false"/>
          <w:color w:val="000000"/>
          <w:sz w:val="20"/>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pStyle w:val="TextBody"/>
        <w:spacing w:lineRule="auto" w:line="288" w:before="0" w:after="240"/>
        <w:ind w:left="0" w:right="0" w:firstLine="835"/>
        <w:rPr>
          <w:rFonts w:ascii="Arial;sans-serif" w:hAnsi="Arial;sans-serif"/>
          <w:b w:val="false"/>
          <w:color w:val="000000"/>
          <w:sz w:val="20"/>
        </w:rPr>
      </w:pPr>
      <w:r>
        <w:rPr>
          <w:rFonts w:ascii="Arial;sans-serif" w:hAnsi="Arial;sans-serif"/>
          <w:b w:val="false"/>
          <w:color w:val="000000"/>
          <w:sz w:val="20"/>
        </w:rPr>
        <w:t>Each non-employee director may elect to receive up to 100% of these retainers in the form of awards of unrestricted shares of the Company’s common stock, issued on the first trading day of the quarter following the quarter to which the retainer relates,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with respect to calendar year 2016 and in any year in which a director is newly elected must be made on or before June 30th of such year or such other date as determined by the Board.</w:t>
      </w:r>
    </w:p>
    <w:p>
      <w:pPr>
        <w:pStyle w:val="TextBody"/>
        <w:spacing w:lineRule="auto" w:line="288" w:before="0" w:after="240"/>
        <w:ind w:left="0" w:right="0" w:firstLine="835"/>
        <w:rPr>
          <w:rFonts w:ascii="Arial;sans-serif" w:hAnsi="Arial;sans-serif"/>
          <w:b w:val="false"/>
          <w:i/>
          <w:color w:val="000000"/>
          <w:sz w:val="20"/>
        </w:rPr>
      </w:pPr>
      <w:r>
        <w:rPr>
          <w:rFonts w:ascii="Arial;sans-serif" w:hAnsi="Arial;sans-serif"/>
          <w:b w:val="false"/>
          <w:i/>
          <w:color w:val="000000"/>
          <w:sz w:val="20"/>
        </w:rPr>
        <w:t>Equity Compensation</w:t>
      </w:r>
    </w:p>
    <w:p>
      <w:pPr>
        <w:pStyle w:val="TextBody"/>
        <w:spacing w:lineRule="auto" w:line="240"/>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amended through January 2022.</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835"/>
        <w:rPr/>
      </w:pPr>
      <w:r>
        <w:rPr>
          <w:rFonts w:ascii="Arial;sans-serif" w:hAnsi="Arial;sans-serif"/>
          <w:b w:val="false"/>
          <w:color w:val="000000"/>
          <w:sz w:val="20"/>
          <w:u w:val="single"/>
        </w:rPr>
        <w:t>Initial Grants</w:t>
      </w:r>
      <w:r>
        <w:rPr>
          <w:rFonts w:ascii="Arial;sans-serif" w:hAnsi="Arial;sans-serif"/>
          <w:b w:val="false"/>
          <w:color w:val="000000"/>
          <w:sz w:val="20"/>
        </w:rPr>
        <w:t>. Each director elected to the Board at the Company’s annual meeting of stockholders in fiscal year 2022 will receive an option to purchase 57,000 shares of the Company’s common stock (each, an “</w:t>
      </w:r>
      <w:r>
        <w:rPr>
          <w:rFonts w:ascii="Arial;sans-serif" w:hAnsi="Arial;sans-serif"/>
          <w:b w:val="false"/>
          <w:color w:val="000000"/>
          <w:sz w:val="20"/>
          <w:u w:val="single"/>
        </w:rPr>
        <w:t>Initial Grant</w:t>
      </w:r>
      <w:r>
        <w:rPr>
          <w:color w:val="000000"/>
        </w:rPr>
        <w:t>”</w:t>
      </w:r>
      <w:r>
        <w:rPr>
          <w:rFonts w:ascii="Arial;sans-serif" w:hAnsi="Arial;sans-serif"/>
          <w:b w:val="false"/>
          <w:color w:val="000000"/>
          <w:sz w:val="20"/>
        </w:rPr>
        <w:t xml:space="preserve">). Each director newly elected to the Board thereafter will receive an Initial Grant. Each Initial Grant will vest as to one-third of the shares of the Company’s common stock underlying such option on each anniversary of the grant date until the third anniversary of the grant date, subject to the director’s continued service as a director, and will become exercisable in full upon a Change in Control (as defined below).  </w:t>
      </w:r>
    </w:p>
    <w:p>
      <w:pPr>
        <w:pStyle w:val="TextBody"/>
        <w:spacing w:lineRule="auto" w:line="288" w:before="0" w:after="240"/>
        <w:ind w:left="0" w:right="0" w:firstLine="835"/>
        <w:rPr/>
      </w:pPr>
      <w:r>
        <w:rPr>
          <w:rFonts w:ascii="Arial;sans-serif" w:hAnsi="Arial;sans-serif"/>
          <w:b w:val="false"/>
          <w:color w:val="000000"/>
          <w:sz w:val="20"/>
          <w:u w:val="single"/>
        </w:rPr>
        <w:t>Annual Grants</w:t>
      </w:r>
      <w:r>
        <w:rPr>
          <w:rFonts w:ascii="Arial;sans-serif" w:hAnsi="Arial;sans-serif"/>
          <w:b w:val="false"/>
          <w:color w:val="000000"/>
          <w:sz w:val="20"/>
        </w:rPr>
        <w:t>. On the date of each annual meeting of stockholders, beginning with the annual meeting of stockholders held in 2022, each director who has served on the Board for at least six months will receive an option to purchase 38,000 shares of the Company’s common stock (each, an “</w:t>
      </w:r>
      <w:r>
        <w:rPr>
          <w:rFonts w:ascii="Arial;sans-serif" w:hAnsi="Arial;sans-serif"/>
          <w:b w:val="false"/>
          <w:color w:val="000000"/>
          <w:sz w:val="20"/>
          <w:u w:val="single"/>
        </w:rPr>
        <w:t>Annual</w:t>
      </w:r>
      <w:r>
        <w:rPr>
          <w:color w:val="000000"/>
        </w:rPr>
        <w:t xml:space="preserve"> </w:t>
      </w:r>
      <w:r>
        <w:rPr>
          <w:rFonts w:ascii="Arial;sans-serif" w:hAnsi="Arial;sans-serif"/>
          <w:b w:val="false"/>
          <w:color w:val="000000"/>
          <w:sz w:val="20"/>
          <w:u w:val="single"/>
        </w:rPr>
        <w:t>Grant</w:t>
      </w:r>
      <w:r>
        <w:rPr>
          <w:color w:val="000000"/>
        </w:rPr>
        <w:t>”</w:t>
      </w:r>
      <w:r>
        <w:rPr>
          <w:rFonts w:ascii="Arial;sans-serif" w:hAnsi="Arial;sans-serif"/>
          <w:b w:val="false"/>
          <w:color w:val="000000"/>
          <w:sz w:val="20"/>
        </w:rPr>
        <w:t>); provided, however, that if a director is up for election at such annual meeting of stockholders, such director will receive the Annual Grant only if such director is elected at such annual meeting. Each Annual Grant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w:t>
      </w:r>
    </w:p>
    <w:p>
      <w:pPr>
        <w:pStyle w:val="TextBody"/>
        <w:spacing w:lineRule="auto" w:line="288" w:before="0" w:after="240"/>
        <w:ind w:left="0" w:right="0" w:firstLine="835"/>
        <w:rPr/>
      </w:pPr>
      <w:r>
        <w:rPr>
          <w:rFonts w:ascii="Arial;sans-serif" w:hAnsi="Arial;sans-serif"/>
          <w:b w:val="false"/>
          <w:color w:val="000000"/>
          <w:sz w:val="20"/>
          <w:u w:val="single"/>
        </w:rPr>
        <w:t>Exercise Price</w:t>
      </w:r>
      <w:r>
        <w:rPr>
          <w:rFonts w:ascii="Arial;sans-serif" w:hAnsi="Arial;sans-serif"/>
          <w:b w:val="false"/>
          <w:color w:val="000000"/>
          <w:sz w:val="20"/>
        </w:rPr>
        <w:t>. The exercise price of each option granted under this Policy will equal the fair market value of the Company’s common stock on the date of grant.</w:t>
      </w:r>
    </w:p>
    <w:p>
      <w:pPr>
        <w:pStyle w:val="TextBody"/>
        <w:spacing w:lineRule="auto" w:line="288" w:before="0" w:after="240"/>
        <w:ind w:left="0" w:right="0" w:firstLine="835"/>
        <w:rPr/>
      </w:pPr>
      <w:r>
        <w:rPr>
          <w:rFonts w:ascii="Arial;sans-serif" w:hAnsi="Arial;sans-serif"/>
          <w:b w:val="false"/>
          <w:color w:val="000000"/>
          <w:sz w:val="20"/>
          <w:u w:val="single"/>
        </w:rPr>
        <w:t>Change in Control</w:t>
      </w:r>
      <w:r>
        <w:rPr>
          <w:rFonts w:ascii="Arial;sans-serif" w:hAnsi="Arial;sans-serif"/>
          <w:b w:val="false"/>
          <w:color w:val="000000"/>
          <w:sz w:val="20"/>
        </w:rPr>
        <w:t>. For purposes of this Policy, “</w:t>
      </w:r>
      <w:r>
        <w:rPr>
          <w:rFonts w:ascii="Arial;sans-serif" w:hAnsi="Arial;sans-serif"/>
          <w:b w:val="false"/>
          <w:color w:val="000000"/>
          <w:sz w:val="20"/>
          <w:u w:val="single"/>
        </w:rPr>
        <w:t>Change in Control</w:t>
      </w:r>
      <w:r>
        <w:rPr>
          <w:color w:val="000000"/>
        </w:rPr>
        <w:t xml:space="preserve">” </w:t>
      </w:r>
      <w:r>
        <w:rPr>
          <w:rFonts w:ascii="Arial;sans-serif" w:hAnsi="Arial;sans-serif"/>
          <w:b w:val="false"/>
          <w:color w:val="000000"/>
          <w:sz w:val="20"/>
        </w:rPr>
        <w:t>means the occurrence, in a single transaction or in a series of related transactions occurring after the date of grant of the applicable equity award, of any one or more of the following events: (1) any person or persons acting together becomes the owner, directly or indirectly, of securities of the Company representing more than fifty percent (50%) of the combined voting power of the Company’s then outstanding securities other than by virtue of a merger, consolidation or similar transaction; (2)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 (3) there is consummated a sale, lease, exclusive license or other disposition of all or substantially all of the consolidated assets of the Company during any twelve month period, other than a sale, lease, license or other disposition of all or substantially all of the consolidated assets of the Company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Notwithstanding the above, to the extent that any interpretation of this definition would otherwise cause the option on or following a Change in Control to constitute deferred compensation that is subject to Section 409A of the Internal Revenue Code, and not otherwise exempt from complying with the provisions of the statute, then a Change in Control shall only be deemed to occur if the Change in Control also qualifies as a change in the ownership or effective control of a corporation, or a change in the ownership of a substantial portion of a corporation’s assets as defined in Treasury Regulation Section 1.409A-3(i)(5). No Change in Control will be deemed to occur because of a sale of assets, merger or other transaction effected exclusively for the purpose of changing the domicile of the Company.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4839-9777-0351, v.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4839-9777-0351, v. 3</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spacing w:lineRule="auto" w:line="288" w:before="0" w:after="0"/>
        <w:jc w:val="both"/>
        <w:rPr>
          <w:color w:val="000000"/>
        </w:rPr>
      </w:pPr>
      <w:r>
        <w:rPr>
          <w:color w:val="000000"/>
        </w:rPr>
        <w: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May 12, 2022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 xml:space="preserve">CERTIFICATIONS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 Lisa Walters-Hoffert, certify that: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May 12, 2022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2022,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May 12, 2022 </w:t>
      </w:r>
    </w:p>
    <w:p>
      <w:pPr>
        <w:pStyle w:val="TextBody"/>
        <w:spacing w:lineRule="auto" w:line="288" w:before="0" w:after="0"/>
        <w:rPr>
          <w:color w:val="000000"/>
        </w:rPr>
      </w:pPr>
      <w:r>
        <w:rPr>
          <w:color w:val="000000"/>
        </w:rPr>
        <w:t>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2022, as filed with the Securities and Exchange Commission on the date hereof (the “Report”), the undersigned, Lisa Walters-Hoffert, Chief Financial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May 12, 2022 </w:t>
      </w:r>
    </w:p>
    <w:p>
      <w:pPr>
        <w:pStyle w:val="TextBody"/>
        <w:spacing w:lineRule="auto" w:line="288" w:before="0" w:after="0"/>
        <w:rPr>
          <w:color w:val="000000"/>
        </w:rPr>
      </w:pPr>
      <w:r>
        <w:rPr>
          <w:color w:val="000000"/>
        </w:rPr>
        <w:t>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78</Pages>
  <Words>58436</Words>
  <CharactersWithSpaces>383286</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