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1" w:lineRule="exact"/>
        <w:rPr>
          <w:sz w:val="24"/>
          <w:szCs w:val="24"/>
          <w:color w:val="auto"/>
        </w:rPr>
      </w:pPr>
    </w:p>
    <w:p>
      <w:pPr>
        <w:ind w:left="840" w:hanging="805"/>
        <w:spacing w:after="0"/>
        <w:tabs>
          <w:tab w:leader="none" w:pos="84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46" w:lineRule="exact"/>
        <w:rPr>
          <w:sz w:val="24"/>
          <w:szCs w:val="24"/>
          <w:color w:val="auto"/>
        </w:rPr>
      </w:pPr>
    </w:p>
    <w:p>
      <w:pPr>
        <w:ind w:left="6000"/>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2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-3810</wp:posOffset>
            </wp:positionV>
            <wp:extent cx="2693035"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DARÉ BIOSCIENCE,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2" w:lineRule="exact"/>
        <w:rPr>
          <w:sz w:val="24"/>
          <w:szCs w:val="24"/>
          <w:color w:val="auto"/>
        </w:rPr>
      </w:pPr>
    </w:p>
    <w:tbl>
      <w:tblPr>
        <w:tblLayout w:type="fixed"/>
        <w:tblInd w:w="140" w:type="dxa"/>
        <w:tblCellMar>
          <w:top w:w="0" w:type="dxa"/>
          <w:left w:w="0" w:type="dxa"/>
          <w:bottom w:w="0" w:type="dxa"/>
          <w:right w:w="0" w:type="dxa"/>
        </w:tblCellMar>
      </w:tblPr>
      <w:tr>
        <w:trPr>
          <w:trHeight w:val="209"/>
        </w:trPr>
        <w:tc>
          <w:tcPr>
            <w:tcW w:w="3260" w:type="dxa"/>
            <w:vAlign w:val="bottom"/>
          </w:tcPr>
          <w:p>
            <w:pPr>
              <w:jc w:val="center"/>
              <w:ind w:right="354"/>
              <w:spacing w:after="0"/>
              <w:rPr>
                <w:sz w:val="20"/>
                <w:szCs w:val="20"/>
                <w:color w:val="auto"/>
              </w:rPr>
            </w:pPr>
            <w:r>
              <w:rPr>
                <w:rFonts w:ascii="Arial" w:cs="Arial" w:eastAsia="Arial" w:hAnsi="Arial"/>
                <w:sz w:val="18"/>
                <w:szCs w:val="18"/>
                <w:b w:val="1"/>
                <w:bCs w:val="1"/>
                <w:color w:val="auto"/>
                <w:w w:val="98"/>
              </w:rPr>
              <w:t>Delaware</w:t>
            </w:r>
          </w:p>
        </w:tc>
        <w:tc>
          <w:tcPr>
            <w:tcW w:w="5040" w:type="dxa"/>
            <w:vAlign w:val="bottom"/>
          </w:tcPr>
          <w:p>
            <w:pPr>
              <w:jc w:val="center"/>
              <w:ind w:right="313"/>
              <w:spacing w:after="0"/>
              <w:rPr>
                <w:sz w:val="20"/>
                <w:szCs w:val="20"/>
                <w:color w:val="auto"/>
              </w:rPr>
            </w:pPr>
            <w:r>
              <w:rPr>
                <w:rFonts w:ascii="Arial" w:cs="Arial" w:eastAsia="Arial" w:hAnsi="Arial"/>
                <w:sz w:val="18"/>
                <w:szCs w:val="18"/>
                <w:b w:val="1"/>
                <w:bCs w:val="1"/>
                <w:color w:val="auto"/>
                <w:w w:val="99"/>
              </w:rPr>
              <w:t>Commission File No. 001-36395</w:t>
            </w:r>
          </w:p>
        </w:tc>
        <w:tc>
          <w:tcPr>
            <w:tcW w:w="2080" w:type="dxa"/>
            <w:vAlign w:val="bottom"/>
          </w:tcPr>
          <w:p>
            <w:pPr>
              <w:jc w:val="right"/>
              <w:ind w:right="75"/>
              <w:spacing w:after="0"/>
              <w:rPr>
                <w:sz w:val="20"/>
                <w:szCs w:val="20"/>
                <w:color w:val="auto"/>
              </w:rPr>
            </w:pPr>
            <w:r>
              <w:rPr>
                <w:rFonts w:ascii="Arial" w:cs="Arial" w:eastAsia="Arial" w:hAnsi="Arial"/>
                <w:sz w:val="18"/>
                <w:szCs w:val="18"/>
                <w:b w:val="1"/>
                <w:bCs w:val="1"/>
                <w:color w:val="auto"/>
              </w:rPr>
              <w:t>20-4139823</w:t>
            </w:r>
          </w:p>
        </w:tc>
      </w:tr>
      <w:tr>
        <w:trPr>
          <w:trHeight w:val="189"/>
        </w:trPr>
        <w:tc>
          <w:tcPr>
            <w:tcW w:w="3260" w:type="dxa"/>
            <w:vAlign w:val="bottom"/>
          </w:tcPr>
          <w:p>
            <w:pPr>
              <w:jc w:val="center"/>
              <w:ind w:right="334"/>
              <w:spacing w:after="0"/>
              <w:rPr>
                <w:sz w:val="20"/>
                <w:szCs w:val="20"/>
                <w:color w:val="auto"/>
              </w:rPr>
            </w:pPr>
            <w:r>
              <w:rPr>
                <w:rFonts w:ascii="Arial" w:cs="Arial" w:eastAsia="Arial" w:hAnsi="Arial"/>
                <w:sz w:val="16"/>
                <w:szCs w:val="16"/>
                <w:color w:val="auto"/>
              </w:rPr>
              <w:t>(State or Other Jurisdiction</w:t>
            </w:r>
          </w:p>
        </w:tc>
        <w:tc>
          <w:tcPr>
            <w:tcW w:w="5040" w:type="dxa"/>
            <w:vAlign w:val="bottom"/>
          </w:tcPr>
          <w:p>
            <w:pPr>
              <w:spacing w:after="0"/>
              <w:rPr>
                <w:sz w:val="16"/>
                <w:szCs w:val="16"/>
                <w:color w:val="auto"/>
              </w:rPr>
            </w:pPr>
          </w:p>
        </w:tc>
        <w:tc>
          <w:tcPr>
            <w:tcW w:w="2080" w:type="dxa"/>
            <w:vAlign w:val="bottom"/>
          </w:tcPr>
          <w:p>
            <w:pPr>
              <w:jc w:val="center"/>
              <w:ind w:left="715"/>
              <w:spacing w:after="0"/>
              <w:rPr>
                <w:sz w:val="20"/>
                <w:szCs w:val="20"/>
                <w:color w:val="auto"/>
              </w:rPr>
            </w:pPr>
            <w:r>
              <w:rPr>
                <w:rFonts w:ascii="Arial" w:cs="Arial" w:eastAsia="Arial" w:hAnsi="Arial"/>
                <w:sz w:val="16"/>
                <w:szCs w:val="16"/>
                <w:color w:val="auto"/>
                <w:w w:val="99"/>
              </w:rPr>
              <w:t>(IRS Employer</w:t>
            </w:r>
          </w:p>
        </w:tc>
      </w:tr>
      <w:tr>
        <w:trPr>
          <w:trHeight w:val="219"/>
        </w:trPr>
        <w:tc>
          <w:tcPr>
            <w:tcW w:w="3260" w:type="dxa"/>
            <w:vAlign w:val="bottom"/>
          </w:tcPr>
          <w:p>
            <w:pPr>
              <w:jc w:val="center"/>
              <w:ind w:right="354"/>
              <w:spacing w:after="0"/>
              <w:rPr>
                <w:sz w:val="20"/>
                <w:szCs w:val="20"/>
                <w:color w:val="auto"/>
              </w:rPr>
            </w:pPr>
            <w:r>
              <w:rPr>
                <w:rFonts w:ascii="Arial" w:cs="Arial" w:eastAsia="Arial" w:hAnsi="Arial"/>
                <w:sz w:val="16"/>
                <w:szCs w:val="16"/>
                <w:color w:val="auto"/>
              </w:rPr>
              <w:t>of Incorporation)</w:t>
            </w:r>
          </w:p>
        </w:tc>
        <w:tc>
          <w:tcPr>
            <w:tcW w:w="5040" w:type="dxa"/>
            <w:vAlign w:val="bottom"/>
          </w:tcPr>
          <w:p>
            <w:pPr>
              <w:spacing w:after="0"/>
              <w:rPr>
                <w:sz w:val="19"/>
                <w:szCs w:val="19"/>
                <w:color w:val="auto"/>
              </w:rPr>
            </w:pPr>
          </w:p>
        </w:tc>
        <w:tc>
          <w:tcPr>
            <w:tcW w:w="2080" w:type="dxa"/>
            <w:vAlign w:val="bottom"/>
          </w:tcPr>
          <w:p>
            <w:pPr>
              <w:jc w:val="center"/>
              <w:ind w:left="715"/>
              <w:spacing w:after="0"/>
              <w:rPr>
                <w:sz w:val="20"/>
                <w:szCs w:val="20"/>
                <w:color w:val="auto"/>
              </w:rPr>
            </w:pPr>
            <w:r>
              <w:rPr>
                <w:rFonts w:ascii="Arial" w:cs="Arial" w:eastAsia="Arial" w:hAnsi="Arial"/>
                <w:sz w:val="16"/>
                <w:szCs w:val="16"/>
                <w:color w:val="auto"/>
              </w:rPr>
              <w:t>Identification No.)</w:t>
            </w:r>
          </w:p>
        </w:tc>
      </w:tr>
      <w:tr>
        <w:trPr>
          <w:trHeight w:val="355"/>
        </w:trPr>
        <w:tc>
          <w:tcPr>
            <w:tcW w:w="3260" w:type="dxa"/>
            <w:vAlign w:val="bottom"/>
          </w:tcPr>
          <w:p>
            <w:pPr>
              <w:jc w:val="center"/>
              <w:ind w:right="354"/>
              <w:spacing w:after="0"/>
              <w:rPr>
                <w:sz w:val="20"/>
                <w:szCs w:val="20"/>
                <w:color w:val="auto"/>
              </w:rPr>
            </w:pPr>
            <w:r>
              <w:rPr>
                <w:rFonts w:ascii="Arial" w:cs="Arial" w:eastAsia="Arial" w:hAnsi="Arial"/>
                <w:sz w:val="18"/>
                <w:szCs w:val="18"/>
                <w:b w:val="1"/>
                <w:bCs w:val="1"/>
                <w:color w:val="auto"/>
                <w:w w:val="99"/>
              </w:rPr>
              <w:t>3655 Nobel Drive, Suite 260</w:t>
            </w:r>
          </w:p>
        </w:tc>
        <w:tc>
          <w:tcPr>
            <w:tcW w:w="5040" w:type="dxa"/>
            <w:vAlign w:val="bottom"/>
          </w:tcPr>
          <w:p>
            <w:pPr>
              <w:jc w:val="center"/>
              <w:ind w:right="313"/>
              <w:spacing w:after="0"/>
              <w:rPr>
                <w:sz w:val="20"/>
                <w:szCs w:val="20"/>
                <w:color w:val="auto"/>
              </w:rPr>
            </w:pPr>
            <w:r>
              <w:rPr>
                <w:rFonts w:ascii="Arial" w:cs="Arial" w:eastAsia="Arial" w:hAnsi="Arial"/>
                <w:sz w:val="18"/>
                <w:szCs w:val="18"/>
                <w:b w:val="1"/>
                <w:bCs w:val="1"/>
                <w:color w:val="auto"/>
              </w:rPr>
              <w:t>(858) 926-7655</w:t>
            </w:r>
          </w:p>
        </w:tc>
        <w:tc>
          <w:tcPr>
            <w:tcW w:w="20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209"/>
        </w:trPr>
        <w:tc>
          <w:tcPr>
            <w:tcW w:w="3260" w:type="dxa"/>
            <w:vAlign w:val="bottom"/>
          </w:tcPr>
          <w:p>
            <w:pPr>
              <w:jc w:val="center"/>
              <w:ind w:right="334"/>
              <w:spacing w:after="0"/>
              <w:rPr>
                <w:sz w:val="20"/>
                <w:szCs w:val="20"/>
                <w:color w:val="auto"/>
              </w:rPr>
            </w:pPr>
            <w:r>
              <w:rPr>
                <w:rFonts w:ascii="Arial" w:cs="Arial" w:eastAsia="Arial" w:hAnsi="Arial"/>
                <w:sz w:val="18"/>
                <w:szCs w:val="18"/>
                <w:b w:val="1"/>
                <w:bCs w:val="1"/>
                <w:color w:val="auto"/>
                <w:w w:val="99"/>
              </w:rPr>
              <w:t>San Diego, CA</w:t>
            </w:r>
          </w:p>
        </w:tc>
        <w:tc>
          <w:tcPr>
            <w:tcW w:w="5040" w:type="dxa"/>
            <w:vAlign w:val="bottom"/>
          </w:tcPr>
          <w:p>
            <w:pPr>
              <w:jc w:val="center"/>
              <w:ind w:right="313"/>
              <w:spacing w:after="0"/>
              <w:rPr>
                <w:sz w:val="20"/>
                <w:szCs w:val="20"/>
                <w:color w:val="auto"/>
              </w:rPr>
            </w:pPr>
            <w:r>
              <w:rPr>
                <w:rFonts w:ascii="Arial" w:cs="Arial" w:eastAsia="Arial" w:hAnsi="Arial"/>
                <w:sz w:val="16"/>
                <w:szCs w:val="16"/>
                <w:color w:val="auto"/>
              </w:rPr>
              <w:t>(Registrant’s telephone number, including area code)</w:t>
            </w:r>
          </w:p>
        </w:tc>
        <w:tc>
          <w:tcPr>
            <w:tcW w:w="2080" w:type="dxa"/>
            <w:vAlign w:val="bottom"/>
          </w:tcPr>
          <w:p>
            <w:pPr>
              <w:jc w:val="center"/>
              <w:ind w:left="715"/>
              <w:spacing w:after="0"/>
              <w:rPr>
                <w:sz w:val="20"/>
                <w:szCs w:val="20"/>
                <w:color w:val="auto"/>
              </w:rPr>
            </w:pPr>
            <w:r>
              <w:rPr>
                <w:rFonts w:ascii="Arial" w:cs="Arial" w:eastAsia="Arial" w:hAnsi="Arial"/>
                <w:sz w:val="16"/>
                <w:szCs w:val="16"/>
                <w:color w:val="auto"/>
              </w:rPr>
              <w:t>(Zip Code)</w:t>
            </w:r>
          </w:p>
        </w:tc>
      </w:tr>
      <w:tr>
        <w:trPr>
          <w:trHeight w:val="219"/>
        </w:trPr>
        <w:tc>
          <w:tcPr>
            <w:tcW w:w="3260" w:type="dxa"/>
            <w:vAlign w:val="bottom"/>
          </w:tcPr>
          <w:p>
            <w:pPr>
              <w:jc w:val="center"/>
              <w:ind w:right="334"/>
              <w:spacing w:after="0"/>
              <w:rPr>
                <w:sz w:val="20"/>
                <w:szCs w:val="20"/>
                <w:color w:val="auto"/>
              </w:rPr>
            </w:pPr>
            <w:r>
              <w:rPr>
                <w:rFonts w:ascii="Arial" w:cs="Arial" w:eastAsia="Arial" w:hAnsi="Arial"/>
                <w:sz w:val="16"/>
                <w:szCs w:val="16"/>
                <w:color w:val="auto"/>
              </w:rPr>
              <w:t>(Address of Principal Executive Offices)</w:t>
            </w:r>
          </w:p>
        </w:tc>
        <w:tc>
          <w:tcPr>
            <w:tcW w:w="504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pacing w:after="0" w:line="186" w:lineRule="exact"/>
        <w:rPr>
          <w:sz w:val="24"/>
          <w:szCs w:val="24"/>
          <w:color w:val="auto"/>
        </w:rPr>
      </w:pPr>
    </w:p>
    <w:p>
      <w:pPr>
        <w:ind w:left="27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555" w:right="239" w:bottom="1440" w:gutter="0" w:footer="0" w:header="0"/>
        </w:sectPr>
      </w:pPr>
    </w:p>
    <w:p>
      <w:pPr>
        <w:spacing w:after="0" w:line="167" w:lineRule="exact"/>
        <w:rPr>
          <w:sz w:val="24"/>
          <w:szCs w:val="24"/>
          <w:color w:val="auto"/>
        </w:rPr>
      </w:pPr>
    </w:p>
    <w:p>
      <w:pPr>
        <w:ind w:left="148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7" w:lineRule="exact"/>
        <w:rPr>
          <w:sz w:val="24"/>
          <w:szCs w:val="24"/>
          <w:color w:val="auto"/>
        </w:rPr>
      </w:pPr>
    </w:p>
    <w:p>
      <w:pPr>
        <w:sectPr>
          <w:pgSz w:w="11900" w:h="16838" w:orient="portrait"/>
          <w:cols w:equalWidth="0" w:num="3">
            <w:col w:w="4280" w:space="720"/>
            <w:col w:w="1920" w:space="720"/>
            <w:col w:w="3780"/>
          </w:cols>
          <w:pgMar w:left="240" w:top="555" w:right="239" w:bottom="1440" w:gutter="0" w:footer="0" w:header="0"/>
          <w:type w:val="continuous"/>
        </w:sectPr>
      </w:pPr>
    </w:p>
    <w:p>
      <w:pPr>
        <w:ind w:left="152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Arial" w:cs="Arial" w:eastAsia="Arial" w:hAnsi="Arial"/>
          <w:sz w:val="15"/>
          <w:szCs w:val="15"/>
          <w:b w:val="1"/>
          <w:bCs w:val="1"/>
          <w:color w:val="auto"/>
        </w:rPr>
        <w:t>DARE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Nasdaq Capital Market</w:t>
      </w:r>
    </w:p>
    <w:p>
      <w:pPr>
        <w:spacing w:after="0" w:line="196" w:lineRule="exact"/>
        <w:rPr>
          <w:sz w:val="24"/>
          <w:szCs w:val="24"/>
          <w:color w:val="auto"/>
        </w:rPr>
      </w:pPr>
    </w:p>
    <w:p>
      <w:pPr>
        <w:sectPr>
          <w:pgSz w:w="11900" w:h="16838" w:orient="portrait"/>
          <w:cols w:equalWidth="0" w:num="3">
            <w:col w:w="4720" w:space="720"/>
            <w:col w:w="2220" w:space="720"/>
            <w:col w:w="3040"/>
          </w:cols>
          <w:pgMar w:left="240" w:top="555" w:right="239" w:bottom="1440" w:gutter="0" w:footer="0" w:header="0"/>
          <w:type w:val="continuous"/>
        </w:sectPr>
      </w:pPr>
    </w:p>
    <w:p>
      <w:pPr>
        <w:jc w:val="both"/>
        <w:ind w:firstLine="324"/>
        <w:spacing w:after="0" w:line="26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31" w:lineRule="exact"/>
        <w:rPr>
          <w:sz w:val="24"/>
          <w:szCs w:val="24"/>
          <w:color w:val="auto"/>
        </w:rPr>
      </w:pPr>
    </w:p>
    <w:p>
      <w:pPr>
        <w:jc w:val="both"/>
        <w:ind w:firstLine="324"/>
        <w:spacing w:after="0" w:line="303"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4" w:lineRule="exact"/>
        <w:rPr>
          <w:sz w:val="24"/>
          <w:szCs w:val="24"/>
          <w:color w:val="auto"/>
        </w:rPr>
      </w:pPr>
    </w:p>
    <w:p>
      <w:pPr>
        <w:jc w:val="both"/>
        <w:ind w:firstLine="324"/>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219"/>
        </w:trPr>
        <w:tc>
          <w:tcPr>
            <w:tcW w:w="25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w:t>
            </w:r>
          </w:p>
        </w:tc>
        <w:tc>
          <w:tcPr>
            <w:tcW w:w="4860" w:type="dxa"/>
            <w:vAlign w:val="bottom"/>
          </w:tcPr>
          <w:p>
            <w:pPr>
              <w:ind w:left="248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4"/>
              </w:rPr>
              <w:t>o</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x</w:t>
            </w:r>
          </w:p>
        </w:tc>
        <w:tc>
          <w:tcPr>
            <w:tcW w:w="4860" w:type="dxa"/>
            <w:vAlign w:val="bottom"/>
          </w:tcPr>
          <w:p>
            <w:pPr>
              <w:ind w:left="248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4"/>
              </w:rPr>
              <w:t>x</w:t>
            </w:r>
          </w:p>
        </w:tc>
      </w:tr>
      <w:tr>
        <w:trPr>
          <w:trHeight w:val="284"/>
        </w:trPr>
        <w:tc>
          <w:tcPr>
            <w:tcW w:w="25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x</w:t>
            </w:r>
          </w:p>
        </w:tc>
        <w:tc>
          <w:tcPr>
            <w:tcW w:w="48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46" w:lineRule="exact"/>
        <w:rPr>
          <w:sz w:val="24"/>
          <w:szCs w:val="24"/>
          <w:color w:val="auto"/>
        </w:rPr>
      </w:pPr>
    </w:p>
    <w:p>
      <w:pPr>
        <w:ind w:right="180" w:firstLine="324"/>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Times New Roman" w:cs="Times New Roman" w:eastAsia="Times New Roman" w:hAnsi="Times New Roman"/>
          <w:sz w:val="16"/>
          <w:szCs w:val="16"/>
          <w:color w:val="auto"/>
        </w:rPr>
        <w:t>x</w:t>
      </w:r>
    </w:p>
    <w:p>
      <w:pPr>
        <w:ind w:left="340"/>
        <w:spacing w:after="0"/>
        <w:tabs>
          <w:tab w:leader="none" w:pos="7820" w:val="left"/>
          <w:tab w:leader="none" w:pos="8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Times New Roman" w:cs="Times New Roman" w:eastAsia="Times New Roman" w:hAnsi="Times New Roman"/>
          <w:sz w:val="16"/>
          <w:szCs w:val="16"/>
          <w:color w:val="auto"/>
        </w:rPr>
        <w:t>o</w:t>
      </w:r>
      <w:r>
        <w:rPr>
          <w:rFonts w:ascii="Arial" w:cs="Arial" w:eastAsia="Arial" w:hAnsi="Arial"/>
          <w:sz w:val="16"/>
          <w:szCs w:val="16"/>
          <w:color w:val="auto"/>
        </w:rPr>
        <w:tab/>
        <w:t xml:space="preserve">No </w:t>
      </w:r>
      <w:r>
        <w:rPr>
          <w:rFonts w:ascii="Times New Roman" w:cs="Times New Roman" w:eastAsia="Times New Roman" w:hAnsi="Times New Roman"/>
          <w:sz w:val="16"/>
          <w:szCs w:val="16"/>
          <w:color w:val="auto"/>
        </w:rPr>
        <w:t>x</w:t>
      </w:r>
    </w:p>
    <w:p>
      <w:pPr>
        <w:spacing w:after="0" w:line="7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August 13, 2019, 16,683,411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3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3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continue as a going concern;</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develop and commercialize our product candidates;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or FDA, or foreign regulatory approval for our product candidates in a timely manner;</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FDA’s primary oversight responsibility;</w:t>
      </w:r>
    </w:p>
    <w:p>
      <w:pPr>
        <w:spacing w:after="0" w:line="184" w:lineRule="exact"/>
        <w:rPr>
          <w:rFonts w:ascii="Arial" w:cs="Arial" w:eastAsia="Arial" w:hAnsi="Arial"/>
          <w:sz w:val="18"/>
          <w:szCs w:val="18"/>
          <w:i w:val="1"/>
          <w:iCs w:val="1"/>
          <w:color w:val="auto"/>
        </w:rPr>
      </w:pPr>
    </w:p>
    <w:p>
      <w:pPr>
        <w:ind w:left="340" w:right="2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 or the FDA's 505(b)(2) pathway;</w:t>
      </w:r>
    </w:p>
    <w:p>
      <w:pPr>
        <w:spacing w:after="0" w:line="109"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109" w:lineRule="exact"/>
        <w:rPr>
          <w:rFonts w:ascii="Arial" w:cs="Arial" w:eastAsia="Arial" w:hAnsi="Arial"/>
          <w:sz w:val="18"/>
          <w:szCs w:val="18"/>
          <w:i w:val="1"/>
          <w:iCs w:val="1"/>
          <w:color w:val="auto"/>
        </w:rPr>
      </w:pPr>
    </w:p>
    <w:p>
      <w:pPr>
        <w:ind w:left="340" w:right="2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demonstrate sufficient efficacy of our product candidates;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109"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Monetary obligations and other requirements in connection with our exclusive, in-license agreements covering the patents and related intellectual property related to our product candidates;</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conduct clinical trials and to manufacture product candidates;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supply clinical supplies and raw materials, drugs and other materials required to produce a finished product and to produce the quantities needed;</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ectPr>
          <w:pgSz w:w="11900" w:h="16838" w:orient="portrait"/>
          <w:cols w:equalWidth="0" w:num="1">
            <w:col w:w="11420"/>
          </w:cols>
          <w:pgMar w:left="240" w:top="574" w:right="239" w:bottom="1440" w:gutter="0" w:footer="0" w:header="0"/>
        </w:sectPr>
      </w:pPr>
    </w:p>
    <w:bookmarkStart w:id="2" w:name="page3"/>
    <w:bookmarkEnd w:id="2"/>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certain FDA-cleared or approved contraceptive products without cost sharing;</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precedent to help assess whether health insurance plans will cover our product candidates;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reimbursement environment relating to our product candidates at the time we obtain regulatory approval, if ever;</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84" w:lineRule="exact"/>
        <w:rPr>
          <w:rFonts w:ascii="Arial" w:cs="Arial" w:eastAsia="Arial" w:hAnsi="Arial"/>
          <w:sz w:val="18"/>
          <w:szCs w:val="18"/>
          <w:i w:val="1"/>
          <w:iCs w:val="1"/>
          <w:color w:val="auto"/>
        </w:rPr>
      </w:pPr>
    </w:p>
    <w:p>
      <w:pPr>
        <w:ind w:left="340" w:right="2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109"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maintain the listing of the Company’s common stock on the Nasdaq Capital Market or another nationally recognized exchange;</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or public concern about the safety of our potential products;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our product candidates;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or inability to attract, key personnel; and</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09" w:lineRule="exact"/>
        <w:rPr>
          <w:sz w:val="20"/>
          <w:szCs w:val="20"/>
          <w:color w:val="auto"/>
        </w:rPr>
      </w:pPr>
    </w:p>
    <w:p>
      <w:pPr>
        <w:jc w:val="both"/>
        <w:ind w:left="60" w:firstLine="1297"/>
        <w:spacing w:after="0" w:line="260"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pgSz w:w="11900" w:h="16838" w:orient="portrait"/>
          <w:cols w:equalWidth="0" w:num="1">
            <w:col w:w="11420"/>
          </w:cols>
          <w:pgMar w:left="240" w:top="753"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360" w:type="dxa"/>
            <w:vAlign w:val="bottom"/>
            <w:gridSpan w:val="3"/>
          </w:tcPr>
          <w:p>
            <w:pPr>
              <w:jc w:val="right"/>
              <w:ind w:right="140"/>
              <w:spacing w:after="0"/>
              <w:rPr>
                <w:sz w:val="20"/>
                <w:szCs w:val="20"/>
                <w:color w:val="auto"/>
              </w:rPr>
            </w:pPr>
            <w:r>
              <w:rPr>
                <w:rFonts w:ascii="Arial" w:cs="Arial" w:eastAsia="Arial" w:hAnsi="Arial"/>
                <w:sz w:val="14"/>
                <w:szCs w:val="14"/>
                <w:color w:val="auto"/>
              </w:rPr>
              <w:t>Page</w:t>
            </w:r>
          </w:p>
        </w:tc>
      </w:tr>
      <w:tr>
        <w:trPr>
          <w:trHeight w:val="224"/>
        </w:trPr>
        <w:tc>
          <w:tcPr>
            <w:tcW w:w="8000" w:type="dxa"/>
            <w:vAlign w:val="bottom"/>
            <w:gridSpan w:val="1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Financial Statements (Unaudited)</w:t>
              </w:r>
            </w:hyperlink>
          </w:p>
        </w:tc>
        <w:tc>
          <w:tcPr>
            <w:tcW w:w="33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Management's Discussion and Analysis of Financial Condition and Results of Operations</w:t>
              </w:r>
            </w:hyperlink>
          </w:p>
        </w:tc>
        <w:tc>
          <w:tcPr>
            <w:tcW w:w="33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3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380" w:type="dxa"/>
            <w:vAlign w:val="bottom"/>
            <w:gridSpan w:val="2"/>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66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PART II. OTHER INFORMATION</w:t>
              </w:r>
            </w:hyperlink>
          </w:p>
        </w:tc>
        <w:tc>
          <w:tcPr>
            <w:tcW w:w="5340" w:type="dxa"/>
            <w:vAlign w:val="bottom"/>
            <w:gridSpan w:val="7"/>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3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Risk Factors</w:t>
              </w:r>
            </w:hyperlink>
          </w:p>
        </w:tc>
        <w:tc>
          <w:tcPr>
            <w:tcW w:w="480" w:type="dxa"/>
            <w:vAlign w:val="bottom"/>
            <w:gridSpan w:val="3"/>
          </w:tcPr>
          <w:p>
            <w:pPr>
              <w:spacing w:after="0"/>
              <w:rPr>
                <w:sz w:val="24"/>
                <w:szCs w:val="24"/>
                <w:color w:val="auto"/>
              </w:rPr>
            </w:pPr>
          </w:p>
        </w:tc>
        <w:tc>
          <w:tcPr>
            <w:tcW w:w="5600" w:type="dxa"/>
            <w:vAlign w:val="bottom"/>
            <w:gridSpan w:val="8"/>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33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2240" w:type="dxa"/>
            <w:vAlign w:val="bottom"/>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4540" w:type="dxa"/>
            <w:vAlign w:val="bottom"/>
            <w:gridSpan w:val="4"/>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Other Information</w:t>
              </w:r>
            </w:hyperlink>
          </w:p>
        </w:tc>
        <w:tc>
          <w:tcPr>
            <w:tcW w:w="520" w:type="dxa"/>
            <w:vAlign w:val="bottom"/>
            <w:gridSpan w:val="3"/>
          </w:tcPr>
          <w:p>
            <w:pPr>
              <w:spacing w:after="0"/>
              <w:rPr>
                <w:sz w:val="24"/>
                <w:szCs w:val="24"/>
                <w:color w:val="auto"/>
              </w:rPr>
            </w:pPr>
          </w:p>
        </w:tc>
        <w:tc>
          <w:tcPr>
            <w:tcW w:w="5160" w:type="dxa"/>
            <w:vAlign w:val="bottom"/>
            <w:gridSpan w:val="6"/>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5680" w:type="dxa"/>
            <w:vAlign w:val="bottom"/>
            <w:gridSpan w:val="9"/>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SIGNATURES</w:t>
              </w:r>
            </w:hyperlink>
          </w:p>
        </w:tc>
        <w:tc>
          <w:tcPr>
            <w:tcW w:w="5920" w:type="dxa"/>
            <w:vAlign w:val="bottom"/>
            <w:gridSpan w:val="10"/>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r>
      <w:tr>
        <w:trPr>
          <w:trHeight w:val="713"/>
        </w:trPr>
        <w:tc>
          <w:tcPr>
            <w:tcW w:w="92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sz w:val="24"/>
                <w:szCs w:val="24"/>
                <w:color w:val="auto"/>
              </w:rPr>
            </w:pPr>
          </w:p>
        </w:tc>
        <w:tc>
          <w:tcPr>
            <w:tcW w:w="3680" w:type="dxa"/>
            <w:vAlign w:val="bottom"/>
            <w:gridSpan w:val="9"/>
          </w:tcPr>
          <w:p>
            <w:pPr>
              <w:jc w:val="right"/>
              <w:ind w:right="40"/>
              <w:spacing w:after="0"/>
              <w:rPr>
                <w:sz w:val="20"/>
                <w:szCs w:val="20"/>
                <w:color w:val="auto"/>
              </w:rPr>
            </w:pPr>
            <w:r>
              <w:rPr>
                <w:rFonts w:ascii="Arial" w:cs="Arial" w:eastAsia="Arial" w:hAnsi="Arial"/>
                <w:sz w:val="18"/>
                <w:szCs w:val="18"/>
                <w:color w:val="auto"/>
              </w:rPr>
              <w:t>4</w:t>
            </w:r>
          </w:p>
        </w:tc>
        <w:tc>
          <w:tcPr>
            <w:tcW w:w="2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74" w:right="25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5,630,569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6,805,889</w:t>
            </w:r>
          </w:p>
        </w:tc>
        <w:tc>
          <w:tcPr>
            <w:tcW w:w="0" w:type="dxa"/>
            <w:vAlign w:val="bottom"/>
          </w:tcPr>
          <w:p>
            <w:pPr>
              <w:spacing w:after="0"/>
              <w:rPr>
                <w:sz w:val="1"/>
                <w:szCs w:val="1"/>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493,019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31,037</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437,958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403,097</w:t>
            </w:r>
          </w:p>
        </w:tc>
        <w:tc>
          <w:tcPr>
            <w:tcW w:w="0" w:type="dxa"/>
            <w:vAlign w:val="bottom"/>
          </w:tcPr>
          <w:p>
            <w:pPr>
              <w:spacing w:after="0"/>
              <w:rPr>
                <w:sz w:val="1"/>
                <w:szCs w:val="1"/>
                <w:color w:val="auto"/>
              </w:rPr>
            </w:pPr>
          </w:p>
        </w:tc>
      </w:tr>
      <w:tr>
        <w:trPr>
          <w:trHeight w:val="245"/>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6,561,546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7,240,023</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7,081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692,305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577,968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7,260,932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7,827,387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749" w:right="239" w:bottom="1440" w:gutter="0" w:footer="0" w:header="0"/>
        </w:sectPr>
      </w:pPr>
    </w:p>
    <w:p>
      <w:pPr>
        <w:ind w:left="2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and contingencies (Note 8)</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br w:type="column"/>
      </w:r>
    </w:p>
    <w:p>
      <w:pPr>
        <w:spacing w:after="0"/>
        <w:tabs>
          <w:tab w:leader="none" w:pos="700" w:val="left"/>
          <w:tab w:leader="none" w:pos="158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632,118</w:t>
        <w:tab/>
        <w:t>$</w:t>
      </w:r>
      <w:r>
        <w:rPr>
          <w:sz w:val="20"/>
          <w:szCs w:val="20"/>
          <w:color w:val="auto"/>
        </w:rPr>
        <w:tab/>
      </w:r>
      <w:r>
        <w:rPr>
          <w:rFonts w:ascii="Arial" w:cs="Arial" w:eastAsia="Arial" w:hAnsi="Arial"/>
          <w:sz w:val="18"/>
          <w:szCs w:val="18"/>
          <w:color w:val="auto"/>
        </w:rPr>
        <w:t>459,705</w:t>
      </w:r>
    </w:p>
    <w:p>
      <w:pPr>
        <w:spacing w:after="0" w:line="63" w:lineRule="exact"/>
        <w:rPr>
          <w:sz w:val="20"/>
          <w:szCs w:val="20"/>
          <w:color w:val="auto"/>
        </w:rPr>
      </w:pPr>
    </w:p>
    <w:p>
      <w:pPr>
        <w:jc w:val="both"/>
        <w:ind w:left="580"/>
        <w:spacing w:after="0"/>
        <w:tabs>
          <w:tab w:leader="none" w:pos="2280" w:val="left"/>
        </w:tabs>
        <w:rPr>
          <w:sz w:val="20"/>
          <w:szCs w:val="20"/>
          <w:color w:val="auto"/>
        </w:rPr>
      </w:pPr>
      <w:r>
        <w:rPr>
          <w:rFonts w:ascii="Arial" w:cs="Arial" w:eastAsia="Arial" w:hAnsi="Arial"/>
          <w:sz w:val="18"/>
          <w:szCs w:val="18"/>
          <w:color w:val="auto"/>
        </w:rPr>
        <w:t>1,341,811</w:t>
      </w:r>
      <w:r>
        <w:rPr>
          <w:sz w:val="20"/>
          <w:szCs w:val="20"/>
          <w:color w:val="auto"/>
        </w:rPr>
        <w:tab/>
      </w:r>
      <w:r>
        <w:rPr>
          <w:rFonts w:ascii="Arial" w:cs="Arial" w:eastAsia="Arial" w:hAnsi="Arial"/>
          <w:sz w:val="18"/>
          <w:szCs w:val="18"/>
          <w:color w:val="auto"/>
        </w:rPr>
        <w:t>631,351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jc w:val="both"/>
        <w:ind w:left="560"/>
        <w:spacing w:after="0"/>
        <w:tabs>
          <w:tab w:leader="none" w:pos="2140" w:val="left"/>
        </w:tabs>
        <w:rPr>
          <w:sz w:val="20"/>
          <w:szCs w:val="20"/>
          <w:color w:val="auto"/>
        </w:rPr>
      </w:pPr>
      <w:r>
        <w:rPr>
          <w:rFonts w:ascii="Arial" w:cs="Arial" w:eastAsia="Arial" w:hAnsi="Arial"/>
          <w:sz w:val="18"/>
          <w:szCs w:val="18"/>
          <w:color w:val="auto"/>
        </w:rPr>
        <w:t>1,973,929</w:t>
      </w:r>
      <w:r>
        <w:rPr>
          <w:sz w:val="20"/>
          <w:szCs w:val="20"/>
          <w:color w:val="auto"/>
        </w:rPr>
        <w:tab/>
      </w:r>
      <w:r>
        <w:rPr>
          <w:rFonts w:ascii="Arial" w:cs="Arial" w:eastAsia="Arial" w:hAnsi="Arial"/>
          <w:sz w:val="18"/>
          <w:szCs w:val="18"/>
          <w:color w:val="auto"/>
        </w:rPr>
        <w:t>1,091,056</w:t>
      </w:r>
    </w:p>
    <w:p>
      <w:pPr>
        <w:spacing w:after="0" w:line="63" w:lineRule="exact"/>
        <w:rPr>
          <w:sz w:val="20"/>
          <w:szCs w:val="20"/>
          <w:color w:val="auto"/>
        </w:rPr>
      </w:pPr>
    </w:p>
    <w:p>
      <w:pPr>
        <w:jc w:val="both"/>
        <w:ind w:left="700"/>
        <w:spacing w:after="0"/>
        <w:tabs>
          <w:tab w:leader="none" w:pos="2500" w:val="left"/>
        </w:tabs>
        <w:rPr>
          <w:sz w:val="20"/>
          <w:szCs w:val="20"/>
          <w:color w:val="auto"/>
        </w:rPr>
      </w:pPr>
      <w:r>
        <w:rPr>
          <w:rFonts w:ascii="Arial" w:cs="Arial" w:eastAsia="Arial" w:hAnsi="Arial"/>
          <w:sz w:val="18"/>
          <w:szCs w:val="18"/>
          <w:color w:val="auto"/>
        </w:rPr>
        <w:t>203,948</w:t>
      </w:r>
      <w:r>
        <w:rPr>
          <w:sz w:val="20"/>
          <w:szCs w:val="20"/>
          <w:color w:val="auto"/>
        </w:rPr>
        <w:tab/>
      </w:r>
      <w:r>
        <w:rPr>
          <w:rFonts w:ascii="Arial" w:cs="Arial" w:eastAsia="Arial" w:hAnsi="Arial"/>
          <w:sz w:val="18"/>
          <w:szCs w:val="18"/>
          <w:color w:val="auto"/>
        </w:rPr>
        <w:t>9,711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jc w:val="both"/>
        <w:ind w:left="560"/>
        <w:spacing w:after="0"/>
        <w:tabs>
          <w:tab w:leader="none" w:pos="2140" w:val="left"/>
        </w:tabs>
        <w:rPr>
          <w:sz w:val="20"/>
          <w:szCs w:val="20"/>
          <w:color w:val="auto"/>
        </w:rPr>
      </w:pPr>
      <w:r>
        <w:rPr>
          <w:rFonts w:ascii="Arial" w:cs="Arial" w:eastAsia="Arial" w:hAnsi="Arial"/>
          <w:sz w:val="18"/>
          <w:szCs w:val="18"/>
          <w:color w:val="auto"/>
        </w:rPr>
        <w:t>2,177,877</w:t>
      </w:r>
      <w:r>
        <w:rPr>
          <w:sz w:val="20"/>
          <w:szCs w:val="20"/>
          <w:color w:val="auto"/>
        </w:rPr>
        <w:tab/>
      </w:r>
      <w:r>
        <w:rPr>
          <w:rFonts w:ascii="Arial" w:cs="Arial" w:eastAsia="Arial" w:hAnsi="Arial"/>
          <w:sz w:val="18"/>
          <w:szCs w:val="18"/>
          <w:color w:val="auto"/>
        </w:rPr>
        <w:t>1,100,767</w:t>
      </w:r>
    </w:p>
    <w:p>
      <w:pPr>
        <w:spacing w:after="0" w:line="590" w:lineRule="exact"/>
        <w:rPr>
          <w:sz w:val="20"/>
          <w:szCs w:val="20"/>
          <w:color w:val="auto"/>
        </w:rPr>
      </w:pPr>
    </w:p>
    <w:p>
      <w:pPr>
        <w:sectPr>
          <w:pgSz w:w="11900" w:h="16838" w:orient="portrait"/>
          <w:cols w:equalWidth="0" w:num="2">
            <w:col w:w="7640" w:space="720"/>
            <w:col w:w="3060"/>
          </w:cols>
          <w:pgMar w:left="240" w:top="749" w:right="2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7"/>
        </w:trPr>
        <w:tc>
          <w:tcPr>
            <w:tcW w:w="8340" w:type="dxa"/>
            <w:vAlign w:val="bottom"/>
          </w:tcPr>
          <w:p>
            <w:pPr>
              <w:ind w:left="280"/>
              <w:spacing w:after="0"/>
              <w:rPr>
                <w:sz w:val="20"/>
                <w:szCs w:val="20"/>
                <w:color w:val="auto"/>
              </w:rPr>
            </w:pPr>
            <w:r>
              <w:rPr>
                <w:rFonts w:ascii="Arial" w:cs="Arial" w:eastAsia="Arial" w:hAnsi="Arial"/>
                <w:sz w:val="18"/>
                <w:szCs w:val="18"/>
                <w:color w:val="auto"/>
              </w:rPr>
              <w:t>Common stock, $0.0001 par value; 120,000,000 shares authorized; 16,683,411 and 11,422,161</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8"/>
        </w:trPr>
        <w:tc>
          <w:tcPr>
            <w:tcW w:w="8340" w:type="dxa"/>
            <w:vAlign w:val="bottom"/>
          </w:tcPr>
          <w:p>
            <w:pPr>
              <w:ind w:left="280"/>
              <w:spacing w:after="0"/>
              <w:rPr>
                <w:sz w:val="20"/>
                <w:szCs w:val="20"/>
                <w:color w:val="auto"/>
              </w:rPr>
            </w:pPr>
            <w:r>
              <w:rPr>
                <w:rFonts w:ascii="Arial" w:cs="Arial" w:eastAsia="Arial" w:hAnsi="Arial"/>
                <w:sz w:val="18"/>
                <w:szCs w:val="18"/>
                <w:color w:val="auto"/>
              </w:rPr>
              <w:t>shares issued and outstanding, respectively</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1,143</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(96,728)</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41,942,062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35,791,972</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(36,763,651)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(28,969,767)</w:t>
            </w:r>
          </w:p>
        </w:tc>
      </w:tr>
      <w:tr>
        <w:trPr>
          <w:trHeight w:val="245"/>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5,083,055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6,726,620</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7,260,932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7,827,387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9"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Daré Bioscience</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Inc</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Unaudited</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7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1,307,379</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1,157,174</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2,584,559</w:t>
            </w:r>
          </w:p>
        </w:tc>
        <w:tc>
          <w:tcPr>
            <w:tcW w:w="12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2,460,363</w:t>
            </w:r>
          </w:p>
        </w:tc>
        <w:tc>
          <w:tcPr>
            <w:tcW w:w="0" w:type="dxa"/>
            <w:vAlign w:val="bottom"/>
          </w:tcPr>
          <w:p>
            <w:pPr>
              <w:spacing w:after="0"/>
              <w:rPr>
                <w:sz w:val="1"/>
                <w:szCs w:val="1"/>
                <w:color w:val="auto"/>
              </w:rPr>
            </w:pPr>
          </w:p>
        </w:tc>
      </w:tr>
      <w:tr>
        <w:trPr>
          <w:trHeight w:val="265"/>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2,512,572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2,217,622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4,205,963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3,304,275</w:t>
            </w:r>
          </w:p>
        </w:tc>
        <w:tc>
          <w:tcPr>
            <w:tcW w:w="0" w:type="dxa"/>
            <w:vAlign w:val="bottom"/>
          </w:tcPr>
          <w:p>
            <w:pPr>
              <w:spacing w:after="0"/>
              <w:rPr>
                <w:sz w:val="1"/>
                <w:szCs w:val="1"/>
                <w:color w:val="auto"/>
              </w:rPr>
            </w:pPr>
          </w:p>
        </w:tc>
      </w:tr>
      <w:tr>
        <w:trPr>
          <w:trHeight w:val="275"/>
        </w:trPr>
        <w:tc>
          <w:tcPr>
            <w:tcW w:w="5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License expenses</w:t>
            </w:r>
          </w:p>
        </w:tc>
        <w:tc>
          <w:tcPr>
            <w:tcW w:w="300" w:type="dxa"/>
            <w:vAlign w:val="bottom"/>
            <w:shd w:val="clear" w:color="auto" w:fill="CFF0FC"/>
          </w:tcPr>
          <w:p>
            <w:pPr>
              <w:spacing w:after="0"/>
              <w:rPr>
                <w:sz w:val="23"/>
                <w:szCs w:val="23"/>
                <w:color w:val="auto"/>
              </w:rPr>
            </w:pPr>
          </w:p>
        </w:tc>
        <w:tc>
          <w:tcPr>
            <w:tcW w:w="11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162,500</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1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65"/>
        </w:trPr>
        <w:tc>
          <w:tcPr>
            <w:tcW w:w="5160" w:type="dxa"/>
            <w:vAlign w:val="bottom"/>
          </w:tcPr>
          <w:p>
            <w:pPr>
              <w:ind w:left="280"/>
              <w:spacing w:after="0"/>
              <w:rPr>
                <w:sz w:val="20"/>
                <w:szCs w:val="20"/>
                <w:color w:val="auto"/>
              </w:rPr>
            </w:pPr>
            <w:r>
              <w:rPr>
                <w:rFonts w:ascii="Arial" w:cs="Arial" w:eastAsia="Arial" w:hAnsi="Arial"/>
                <w:sz w:val="18"/>
                <w:szCs w:val="18"/>
                <w:color w:val="auto"/>
              </w:rPr>
              <w:t>Impairment of goodwill</w:t>
            </w: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5,187,519</w:t>
            </w:r>
          </w:p>
        </w:tc>
        <w:tc>
          <w:tcPr>
            <w:tcW w:w="0" w:type="dxa"/>
            <w:vAlign w:val="bottom"/>
          </w:tcPr>
          <w:p>
            <w:pPr>
              <w:spacing w:after="0"/>
              <w:rPr>
                <w:sz w:val="1"/>
                <w:szCs w:val="1"/>
                <w:color w:val="auto"/>
              </w:rPr>
            </w:pPr>
          </w:p>
        </w:tc>
      </w:tr>
      <w:tr>
        <w:trPr>
          <w:trHeight w:val="255"/>
        </w:trPr>
        <w:tc>
          <w:tcPr>
            <w:tcW w:w="5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3,982,451</w:t>
            </w:r>
          </w:p>
        </w:tc>
        <w:tc>
          <w:tcPr>
            <w:tcW w:w="100" w:type="dxa"/>
            <w:vAlign w:val="bottom"/>
            <w:tcBorders>
              <w:top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3,624,796</w:t>
            </w:r>
          </w:p>
        </w:tc>
        <w:tc>
          <w:tcPr>
            <w:tcW w:w="100" w:type="dxa"/>
            <w:vAlign w:val="bottom"/>
            <w:tcBorders>
              <w:top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7,065,522</w:t>
            </w:r>
          </w:p>
        </w:tc>
        <w:tc>
          <w:tcPr>
            <w:tcW w:w="120" w:type="dxa"/>
            <w:vAlign w:val="bottom"/>
            <w:tcBorders>
              <w:top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spacing w:after="0"/>
              <w:rPr>
                <w:sz w:val="22"/>
                <w:szCs w:val="22"/>
                <w:color w:val="auto"/>
              </w:rPr>
            </w:pPr>
          </w:p>
        </w:tc>
        <w:tc>
          <w:tcPr>
            <w:tcW w:w="1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11,302,157</w:t>
            </w:r>
          </w:p>
        </w:tc>
        <w:tc>
          <w:tcPr>
            <w:tcW w:w="0" w:type="dxa"/>
            <w:vAlign w:val="bottom"/>
          </w:tcPr>
          <w:p>
            <w:pPr>
              <w:spacing w:after="0"/>
              <w:rPr>
                <w:sz w:val="1"/>
                <w:szCs w:val="1"/>
                <w:color w:val="auto"/>
              </w:rPr>
            </w:pPr>
          </w:p>
        </w:tc>
      </w:tr>
      <w:tr>
        <w:trPr>
          <w:trHeight w:val="24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(3,982,451)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(3,624,796)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(7,065,522)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(11,302,157)</w:t>
            </w:r>
          </w:p>
        </w:tc>
        <w:tc>
          <w:tcPr>
            <w:tcW w:w="0" w:type="dxa"/>
            <w:vAlign w:val="bottom"/>
          </w:tcPr>
          <w:p>
            <w:pPr>
              <w:spacing w:after="0"/>
              <w:rPr>
                <w:sz w:val="1"/>
                <w:szCs w:val="1"/>
                <w:color w:val="auto"/>
              </w:rPr>
            </w:pPr>
          </w:p>
        </w:tc>
      </w:tr>
      <w:tr>
        <w:trPr>
          <w:trHeight w:val="275"/>
        </w:trPr>
        <w:tc>
          <w:tcPr>
            <w:tcW w:w="5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30,001</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42,626</w:t>
            </w:r>
          </w:p>
        </w:tc>
        <w:tc>
          <w:tcPr>
            <w:tcW w:w="100" w:type="dxa"/>
            <w:vAlign w:val="bottom"/>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61,232</w:t>
            </w:r>
          </w:p>
        </w:tc>
        <w:tc>
          <w:tcPr>
            <w:tcW w:w="120" w:type="dxa"/>
            <w:vAlign w:val="bottom"/>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54,370</w:t>
            </w:r>
          </w:p>
        </w:tc>
        <w:tc>
          <w:tcPr>
            <w:tcW w:w="0" w:type="dxa"/>
            <w:vAlign w:val="bottom"/>
          </w:tcPr>
          <w:p>
            <w:pPr>
              <w:spacing w:after="0"/>
              <w:rPr>
                <w:sz w:val="1"/>
                <w:szCs w:val="1"/>
                <w:color w:val="auto"/>
              </w:rPr>
            </w:pPr>
          </w:p>
        </w:tc>
      </w:tr>
      <w:tr>
        <w:trPr>
          <w:trHeight w:val="285"/>
        </w:trPr>
        <w:tc>
          <w:tcPr>
            <w:tcW w:w="5160" w:type="dxa"/>
            <w:vAlign w:val="bottom"/>
            <w:tcBorders>
              <w:bottom w:val="single" w:sz="8" w:color="CFF0FC"/>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(3,952,450)</w:t>
            </w: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(3,582,170)</w:t>
            </w: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(7,004,290)</w:t>
            </w: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(11,247,787)</w:t>
            </w:r>
          </w:p>
        </w:tc>
        <w:tc>
          <w:tcPr>
            <w:tcW w:w="0" w:type="dxa"/>
            <w:vAlign w:val="bottom"/>
          </w:tcPr>
          <w:p>
            <w:pPr>
              <w:spacing w:after="0"/>
              <w:rPr>
                <w:sz w:val="1"/>
                <w:szCs w:val="1"/>
                <w:color w:val="auto"/>
              </w:rPr>
            </w:pPr>
          </w:p>
        </w:tc>
      </w:tr>
      <w:tr>
        <w:trPr>
          <w:trHeight w:val="242"/>
        </w:trPr>
        <w:tc>
          <w:tcPr>
            <w:tcW w:w="5160" w:type="dxa"/>
            <w:vAlign w:val="bottom"/>
            <w:shd w:val="clear" w:color="auto" w:fill="CFF0FC"/>
          </w:tcPr>
          <w:p>
            <w:pPr>
              <w:ind w:left="40"/>
              <w:spacing w:after="0" w:line="206" w:lineRule="exact"/>
              <w:rPr>
                <w:sz w:val="20"/>
                <w:szCs w:val="20"/>
                <w:color w:val="auto"/>
              </w:rPr>
            </w:pPr>
            <w:r>
              <w:rPr>
                <w:rFonts w:ascii="Arial" w:cs="Arial" w:eastAsia="Arial" w:hAnsi="Arial"/>
                <w:sz w:val="18"/>
                <w:szCs w:val="18"/>
                <w:color w:val="auto"/>
              </w:rPr>
              <w:t>Deemed dividend from trigger of down round provision feature</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(789,594)</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(789,594)</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5"/>
        </w:trPr>
        <w:tc>
          <w:tcPr>
            <w:tcW w:w="5160" w:type="dxa"/>
            <w:vAlign w:val="bottom"/>
            <w:tcBorders>
              <w:bottom w:val="single" w:sz="8" w:color="CFF0FC"/>
            </w:tcBorders>
          </w:tcPr>
          <w:p>
            <w:pPr>
              <w:ind w:left="40"/>
              <w:spacing w:after="0"/>
              <w:rPr>
                <w:sz w:val="20"/>
                <w:szCs w:val="20"/>
                <w:color w:val="auto"/>
              </w:rPr>
            </w:pPr>
            <w:r>
              <w:rPr>
                <w:rFonts w:ascii="Arial" w:cs="Arial" w:eastAsia="Arial" w:hAnsi="Arial"/>
                <w:sz w:val="18"/>
                <w:szCs w:val="18"/>
                <w:b w:val="1"/>
                <w:bCs w:val="1"/>
                <w:color w:val="auto"/>
              </w:rPr>
              <w:t>Net loss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(4,742,044)</w:t>
            </w:r>
          </w:p>
        </w:tc>
        <w:tc>
          <w:tcPr>
            <w:tcW w:w="10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(3,582,170)</w:t>
            </w:r>
          </w:p>
        </w:tc>
        <w:tc>
          <w:tcPr>
            <w:tcW w:w="100" w:type="dxa"/>
            <w:vAlign w:val="bottom"/>
            <w:tcBorders>
              <w:bottom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(7,793,884)</w:t>
            </w:r>
          </w:p>
        </w:tc>
        <w:tc>
          <w:tcPr>
            <w:tcW w:w="120" w:type="dxa"/>
            <w:vAlign w:val="bottom"/>
            <w:tcBorders>
              <w:bottom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(11,247,787)</w:t>
            </w:r>
          </w:p>
        </w:tc>
        <w:tc>
          <w:tcPr>
            <w:tcW w:w="0" w:type="dxa"/>
            <w:vAlign w:val="bottom"/>
          </w:tcPr>
          <w:p>
            <w:pPr>
              <w:spacing w:after="0"/>
              <w:rPr>
                <w:sz w:val="1"/>
                <w:szCs w:val="1"/>
                <w:color w:val="auto"/>
              </w:rPr>
            </w:pPr>
          </w:p>
        </w:tc>
      </w:tr>
      <w:tr>
        <w:trPr>
          <w:trHeight w:val="242"/>
        </w:trPr>
        <w:tc>
          <w:tcPr>
            <w:tcW w:w="5160" w:type="dxa"/>
            <w:vAlign w:val="bottom"/>
            <w:shd w:val="clear" w:color="auto" w:fill="CFF0FC"/>
          </w:tcPr>
          <w:p>
            <w:pPr>
              <w:ind w:left="280"/>
              <w:spacing w:after="0" w:line="206" w:lineRule="exact"/>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10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(27,485)</w:t>
            </w:r>
          </w:p>
        </w:tc>
        <w:tc>
          <w:tcPr>
            <w:tcW w:w="1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(41,231)</w:t>
            </w:r>
          </w:p>
        </w:tc>
        <w:tc>
          <w:tcPr>
            <w:tcW w:w="0" w:type="dxa"/>
            <w:vAlign w:val="bottom"/>
          </w:tcPr>
          <w:p>
            <w:pPr>
              <w:spacing w:after="0"/>
              <w:rPr>
                <w:sz w:val="1"/>
                <w:szCs w:val="1"/>
                <w:color w:val="auto"/>
              </w:rPr>
            </w:pPr>
          </w:p>
        </w:tc>
      </w:tr>
      <w:tr>
        <w:trPr>
          <w:trHeight w:val="285"/>
        </w:trPr>
        <w:tc>
          <w:tcPr>
            <w:tcW w:w="5160" w:type="dxa"/>
            <w:vAlign w:val="bottom"/>
            <w:tcBorders>
              <w:bottom w:val="single" w:sz="8" w:color="CFF0FC"/>
            </w:tcBorders>
          </w:tcPr>
          <w:p>
            <w:pPr>
              <w:ind w:left="4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(4,749,961)</w:t>
            </w: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(3,609,655)</w:t>
            </w: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(7,794,180)</w:t>
            </w: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(11,289,018)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FF0FC"/>
            </w:tcBorders>
            <w:shd w:val="clear" w:color="auto" w:fill="CFF0FC"/>
          </w:tcPr>
          <w:p>
            <w:pPr>
              <w:ind w:left="40"/>
              <w:spacing w:after="0" w:line="206" w:lineRule="exact"/>
              <w:rPr>
                <w:sz w:val="20"/>
                <w:szCs w:val="20"/>
                <w:color w:val="auto"/>
              </w:rPr>
            </w:pPr>
            <w:r>
              <w:rPr>
                <w:rFonts w:ascii="Arial" w:cs="Arial" w:eastAsia="Arial" w:hAnsi="Arial"/>
                <w:sz w:val="18"/>
                <w:szCs w:val="18"/>
                <w:color w:val="auto"/>
              </w:rPr>
              <w:t>Loss per common share - basic and diluted</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5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16,105,252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11,422,161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13,776,643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10,031,249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1"/>
        </w:trPr>
        <w:tc>
          <w:tcPr>
            <w:tcW w:w="2880" w:type="dxa"/>
            <w:vAlign w:val="bottom"/>
          </w:tcPr>
          <w:p>
            <w:pPr>
              <w:spacing w:after="0"/>
              <w:rPr>
                <w:sz w:val="23"/>
                <w:szCs w:val="23"/>
                <w:color w:val="auto"/>
              </w:rPr>
            </w:pPr>
          </w:p>
        </w:tc>
        <w:tc>
          <w:tcPr>
            <w:tcW w:w="23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23"/>
                <w:szCs w:val="2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3"/>
                <w:szCs w:val="23"/>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9"/>
              </w:rPr>
              <w:t>capital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loss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11,422,161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35,889,940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(32,021,607)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3,780,369</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880" w:type="dxa"/>
            <w:vAlign w:val="bottom"/>
            <w:vMerge w:val="continue"/>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111,351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111,351</w:t>
            </w:r>
          </w:p>
        </w:tc>
        <w:tc>
          <w:tcPr>
            <w:tcW w:w="0" w:type="dxa"/>
            <w:vAlign w:val="bottom"/>
          </w:tcPr>
          <w:p>
            <w:pPr>
              <w:spacing w:after="0"/>
              <w:rPr>
                <w:sz w:val="1"/>
                <w:szCs w:val="1"/>
                <w:color w:val="auto"/>
              </w:rPr>
            </w:pPr>
          </w:p>
        </w:tc>
      </w:tr>
      <w:tr>
        <w:trPr>
          <w:trHeight w:val="211"/>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via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offering, net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5,261,250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5,151,177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5,151,702</w:t>
            </w:r>
          </w:p>
        </w:tc>
        <w:tc>
          <w:tcPr>
            <w:tcW w:w="0" w:type="dxa"/>
            <w:vAlign w:val="bottom"/>
          </w:tcPr>
          <w:p>
            <w:pPr>
              <w:spacing w:after="0"/>
              <w:rPr>
                <w:sz w:val="1"/>
                <w:szCs w:val="1"/>
                <w:color w:val="auto"/>
              </w:rPr>
            </w:pPr>
          </w:p>
        </w:tc>
      </w:tr>
      <w:tr>
        <w:trPr>
          <w:trHeight w:val="207"/>
        </w:trPr>
        <w:tc>
          <w:tcPr>
            <w:tcW w:w="2880" w:type="dxa"/>
            <w:vAlign w:val="bottom"/>
          </w:tcPr>
          <w:p>
            <w:pPr>
              <w:ind w:left="40"/>
              <w:spacing w:after="0"/>
              <w:rPr>
                <w:sz w:val="20"/>
                <w:szCs w:val="20"/>
                <w:color w:val="auto"/>
              </w:rPr>
            </w:pPr>
            <w:r>
              <w:rPr>
                <w:rFonts w:ascii="Arial" w:cs="Arial" w:eastAsia="Arial" w:hAnsi="Arial"/>
                <w:sz w:val="18"/>
                <w:szCs w:val="18"/>
                <w:color w:val="auto"/>
              </w:rPr>
              <w:t>Deemed dividend from trigger of</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40"/>
              <w:spacing w:after="0"/>
              <w:rPr>
                <w:sz w:val="20"/>
                <w:szCs w:val="20"/>
                <w:color w:val="auto"/>
              </w:rPr>
            </w:pPr>
            <w:r>
              <w:rPr>
                <w:rFonts w:ascii="Arial" w:cs="Arial" w:eastAsia="Arial" w:hAnsi="Arial"/>
                <w:sz w:val="18"/>
                <w:szCs w:val="18"/>
                <w:color w:val="auto"/>
              </w:rPr>
              <w:t>down round provision</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789,594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(789,594)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(3,952,450)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(3,952,450)</w:t>
            </w:r>
          </w:p>
        </w:tc>
        <w:tc>
          <w:tcPr>
            <w:tcW w:w="0" w:type="dxa"/>
            <w:vAlign w:val="bottom"/>
          </w:tcPr>
          <w:p>
            <w:pPr>
              <w:spacing w:after="0"/>
              <w:rPr>
                <w:sz w:val="1"/>
                <w:szCs w:val="1"/>
                <w:color w:val="auto"/>
              </w:rPr>
            </w:pPr>
          </w:p>
        </w:tc>
      </w:tr>
      <w:tr>
        <w:trPr>
          <w:trHeight w:val="207"/>
        </w:trPr>
        <w:tc>
          <w:tcPr>
            <w:tcW w:w="28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adjustments</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16,683,411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41,942,062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(36,763,651)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5,083,055</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0"/>
          </w:tcPr>
          <w:p>
            <w:pPr>
              <w:ind w:left="80"/>
              <w:spacing w:after="0"/>
              <w:rPr>
                <w:sz w:val="20"/>
                <w:szCs w:val="20"/>
                <w:color w:val="auto"/>
              </w:rPr>
            </w:pPr>
            <w:r>
              <w:rPr>
                <w:rFonts w:ascii="Arial" w:cs="Arial" w:eastAsia="Arial" w:hAnsi="Arial"/>
                <w:sz w:val="18"/>
                <w:szCs w:val="18"/>
                <w:b w:val="1"/>
                <w:bCs w:val="1"/>
                <w:color w:val="auto"/>
              </w:rPr>
              <w:t>Six Months Ended June 30, 2019</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1"/>
        </w:trPr>
        <w:tc>
          <w:tcPr>
            <w:tcW w:w="2880" w:type="dxa"/>
            <w:vAlign w:val="bottom"/>
          </w:tcPr>
          <w:p>
            <w:pPr>
              <w:spacing w:after="0"/>
              <w:rPr>
                <w:sz w:val="23"/>
                <w:szCs w:val="23"/>
                <w:color w:val="auto"/>
              </w:rPr>
            </w:pPr>
          </w:p>
        </w:tc>
        <w:tc>
          <w:tcPr>
            <w:tcW w:w="23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23"/>
                <w:szCs w:val="2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3"/>
                <w:szCs w:val="23"/>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3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9"/>
              </w:rPr>
              <w:t>capital</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loss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91"/>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11,422,161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1,143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35,791,972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(28,969,767)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6,726,620</w:t>
            </w: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209,319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209,319</w:t>
            </w:r>
          </w:p>
        </w:tc>
        <w:tc>
          <w:tcPr>
            <w:tcW w:w="0" w:type="dxa"/>
            <w:vAlign w:val="bottom"/>
          </w:tcPr>
          <w:p>
            <w:pPr>
              <w:spacing w:after="0"/>
              <w:rPr>
                <w:sz w:val="1"/>
                <w:szCs w:val="1"/>
                <w:color w:val="auto"/>
              </w:rPr>
            </w:pPr>
          </w:p>
        </w:tc>
      </w:tr>
      <w:tr>
        <w:trPr>
          <w:trHeight w:val="207"/>
        </w:trPr>
        <w:tc>
          <w:tcPr>
            <w:tcW w:w="2880" w:type="dxa"/>
            <w:vAlign w:val="bottom"/>
          </w:tcPr>
          <w:p>
            <w:pPr>
              <w:ind w:left="40"/>
              <w:spacing w:after="0"/>
              <w:rPr>
                <w:sz w:val="20"/>
                <w:szCs w:val="20"/>
                <w:color w:val="auto"/>
              </w:rPr>
            </w:pPr>
            <w:r>
              <w:rPr>
                <w:rFonts w:ascii="Arial" w:cs="Arial" w:eastAsia="Arial" w:hAnsi="Arial"/>
                <w:sz w:val="18"/>
                <w:szCs w:val="18"/>
                <w:color w:val="auto"/>
              </w:rPr>
              <w:t>Issuance of common stock via</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40"/>
              <w:spacing w:after="0"/>
              <w:rPr>
                <w:sz w:val="20"/>
                <w:szCs w:val="20"/>
                <w:color w:val="auto"/>
              </w:rPr>
            </w:pPr>
            <w:r>
              <w:rPr>
                <w:rFonts w:ascii="Arial" w:cs="Arial" w:eastAsia="Arial" w:hAnsi="Arial"/>
                <w:sz w:val="18"/>
                <w:szCs w:val="18"/>
                <w:color w:val="auto"/>
              </w:rPr>
              <w:t>public offering, net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5,261,250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5,151,177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5,151,702</w:t>
            </w:r>
          </w:p>
        </w:tc>
        <w:tc>
          <w:tcPr>
            <w:tcW w:w="0" w:type="dxa"/>
            <w:vAlign w:val="bottom"/>
          </w:tcPr>
          <w:p>
            <w:pPr>
              <w:spacing w:after="0"/>
              <w:rPr>
                <w:sz w:val="1"/>
                <w:szCs w:val="1"/>
                <w:color w:val="auto"/>
              </w:rPr>
            </w:pPr>
          </w:p>
        </w:tc>
      </w:tr>
      <w:tr>
        <w:trPr>
          <w:trHeight w:val="211"/>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Deemed dividend from trigger of</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down round provision</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789,594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2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(7,004,290)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(7,004,290)</w:t>
            </w:r>
          </w:p>
        </w:tc>
        <w:tc>
          <w:tcPr>
            <w:tcW w:w="0" w:type="dxa"/>
            <w:vAlign w:val="bottom"/>
          </w:tcPr>
          <w:p>
            <w:pPr>
              <w:spacing w:after="0"/>
              <w:rPr>
                <w:sz w:val="1"/>
                <w:szCs w:val="1"/>
                <w:color w:val="auto"/>
              </w:rPr>
            </w:pPr>
          </w:p>
        </w:tc>
      </w:tr>
      <w:tr>
        <w:trPr>
          <w:trHeight w:val="211"/>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5"/>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360" w:type="dxa"/>
            <w:vAlign w:val="bottom"/>
          </w:tcPr>
          <w:p>
            <w:pPr>
              <w:jc w:val="right"/>
              <w:ind w:right="34"/>
              <w:spacing w:after="0"/>
              <w:rPr>
                <w:sz w:val="20"/>
                <w:szCs w:val="20"/>
                <w:color w:val="auto"/>
              </w:rPr>
            </w:pPr>
            <w:r>
              <w:rPr>
                <w:rFonts w:ascii="Arial" w:cs="Arial" w:eastAsia="Arial" w:hAnsi="Arial"/>
                <w:sz w:val="18"/>
                <w:szCs w:val="18"/>
                <w:b w:val="1"/>
                <w:bCs w:val="1"/>
                <w:color w:val="auto"/>
              </w:rPr>
              <w:t>16,683,411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1,668</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41,942,062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(97,024)</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(36,763,651)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5,083,055</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2"/>
        </w:trPr>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r>
      <w:tr>
        <w:trPr>
          <w:trHeight w:val="271"/>
        </w:trPr>
        <w:tc>
          <w:tcPr>
            <w:tcW w:w="2740" w:type="dxa"/>
            <w:vAlign w:val="bottom"/>
          </w:tcPr>
          <w:p>
            <w:pPr>
              <w:spacing w:after="0"/>
              <w:rPr>
                <w:sz w:val="23"/>
                <w:szCs w:val="23"/>
                <w:color w:val="auto"/>
              </w:rPr>
            </w:pPr>
          </w:p>
        </w:tc>
        <w:tc>
          <w:tcPr>
            <w:tcW w:w="24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23"/>
                <w:szCs w:val="23"/>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3"/>
                <w:szCs w:val="23"/>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rPr>
              <w:t>stockholders'</w:t>
            </w:r>
          </w:p>
        </w:tc>
      </w:tr>
      <w:tr>
        <w:trPr>
          <w:trHeight w:val="264"/>
        </w:trPr>
        <w:tc>
          <w:tcPr>
            <w:tcW w:w="2740" w:type="dxa"/>
            <w:vAlign w:val="bottom"/>
          </w:tcPr>
          <w:p>
            <w:pPr>
              <w:spacing w:after="0"/>
              <w:rPr>
                <w:sz w:val="22"/>
                <w:szCs w:val="22"/>
                <w:color w:val="auto"/>
              </w:rPr>
            </w:pP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2"/>
                <w:szCs w:val="2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22"/>
                <w:szCs w:val="22"/>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22"/>
                <w:szCs w:val="22"/>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rPr>
              <w:t>equity</w:t>
            </w:r>
          </w:p>
        </w:tc>
      </w:tr>
      <w:tr>
        <w:trPr>
          <w:trHeight w:val="291"/>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11,422,161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35,747,609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(19,896,570)</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15,820,356</w:t>
            </w: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9,423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9,423</w:t>
            </w:r>
          </w:p>
        </w:tc>
      </w:tr>
      <w:tr>
        <w:trPr>
          <w:trHeight w:val="265"/>
        </w:trPr>
        <w:tc>
          <w:tcPr>
            <w:tcW w:w="2740" w:type="dxa"/>
            <w:vAlign w:val="bottom"/>
          </w:tcPr>
          <w:p>
            <w:pPr>
              <w:ind w:left="40"/>
              <w:spacing w:after="0"/>
              <w:rPr>
                <w:sz w:val="20"/>
                <w:szCs w:val="20"/>
                <w:color w:val="auto"/>
              </w:rPr>
            </w:pPr>
            <w:r>
              <w:rPr>
                <w:rFonts w:ascii="Arial" w:cs="Arial" w:eastAsia="Arial" w:hAnsi="Arial"/>
                <w:sz w:val="18"/>
                <w:szCs w:val="18"/>
                <w:color w:val="auto"/>
              </w:rPr>
              <w:t>Public offering costs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(2,160)</w:t>
            </w:r>
          </w:p>
        </w:tc>
      </w:tr>
      <w:tr>
        <w:trPr>
          <w:trHeight w:val="27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(3,582,170)</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(3,582,170)</w:t>
            </w:r>
          </w:p>
        </w:tc>
      </w:tr>
      <w:tr>
        <w:trPr>
          <w:trHeight w:val="207"/>
        </w:trPr>
        <w:tc>
          <w:tcPr>
            <w:tcW w:w="27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8"/>
        </w:trPr>
        <w:tc>
          <w:tcPr>
            <w:tcW w:w="27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(27,485)</w:t>
            </w:r>
          </w:p>
        </w:tc>
      </w:tr>
      <w:tr>
        <w:trPr>
          <w:trHeight w:val="255"/>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3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11,422,161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35,754,872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(23,478,740)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12,217,963</w:t>
            </w:r>
          </w:p>
        </w:tc>
      </w:tr>
      <w:tr>
        <w:trPr>
          <w:trHeight w:val="20"/>
        </w:trPr>
        <w:tc>
          <w:tcPr>
            <w:tcW w:w="2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23"/>
        </w:trPr>
        <w:tc>
          <w:tcPr>
            <w:tcW w:w="2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ind w:left="80"/>
              <w:spacing w:after="0"/>
              <w:rPr>
                <w:sz w:val="20"/>
                <w:szCs w:val="20"/>
                <w:color w:val="auto"/>
              </w:rPr>
            </w:pPr>
            <w:r>
              <w:rPr>
                <w:rFonts w:ascii="Arial" w:cs="Arial" w:eastAsia="Arial" w:hAnsi="Arial"/>
                <w:sz w:val="18"/>
                <w:szCs w:val="18"/>
                <w:b w:val="1"/>
                <w:bCs w:val="1"/>
                <w:color w:val="auto"/>
              </w:rPr>
              <w:t>Six Months Ended June 30, 2018</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68"/>
        </w:trPr>
        <w:tc>
          <w:tcPr>
            <w:tcW w:w="2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2"/>
        </w:trPr>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r>
      <w:tr>
        <w:trPr>
          <w:trHeight w:val="271"/>
        </w:trPr>
        <w:tc>
          <w:tcPr>
            <w:tcW w:w="2740" w:type="dxa"/>
            <w:vAlign w:val="bottom"/>
          </w:tcPr>
          <w:p>
            <w:pPr>
              <w:spacing w:after="0"/>
              <w:rPr>
                <w:sz w:val="23"/>
                <w:szCs w:val="23"/>
                <w:color w:val="auto"/>
              </w:rPr>
            </w:pPr>
          </w:p>
        </w:tc>
        <w:tc>
          <w:tcPr>
            <w:tcW w:w="24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23"/>
                <w:szCs w:val="23"/>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3"/>
                <w:szCs w:val="23"/>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rPr>
              <w:t>stockholders'</w:t>
            </w:r>
          </w:p>
        </w:tc>
      </w:tr>
      <w:tr>
        <w:trPr>
          <w:trHeight w:val="264"/>
        </w:trPr>
        <w:tc>
          <w:tcPr>
            <w:tcW w:w="2740" w:type="dxa"/>
            <w:vAlign w:val="bottom"/>
          </w:tcPr>
          <w:p>
            <w:pPr>
              <w:spacing w:after="0"/>
              <w:rPr>
                <w:sz w:val="22"/>
                <w:szCs w:val="22"/>
                <w:color w:val="auto"/>
              </w:rPr>
            </w:pP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2"/>
                <w:szCs w:val="2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22"/>
                <w:szCs w:val="22"/>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22"/>
                <w:szCs w:val="22"/>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rPr>
              <w:t>equity</w:t>
            </w:r>
          </w:p>
        </w:tc>
      </w:tr>
      <w:tr>
        <w:trPr>
          <w:trHeight w:val="291"/>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6,047,161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605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25,541,210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(18,080)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(12,230,953)</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13,292,782</w:t>
            </w:r>
          </w:p>
        </w:tc>
      </w:tr>
      <w:tr>
        <w:trPr>
          <w:trHeight w:val="251"/>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18,547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18,547</w:t>
            </w:r>
          </w:p>
        </w:tc>
      </w:tr>
      <w:tr>
        <w:trPr>
          <w:trHeight w:val="265"/>
        </w:trPr>
        <w:tc>
          <w:tcPr>
            <w:tcW w:w="2740" w:type="dxa"/>
            <w:vAlign w:val="bottom"/>
          </w:tcPr>
          <w:p>
            <w:pPr>
              <w:ind w:left="40"/>
              <w:spacing w:after="0"/>
              <w:rPr>
                <w:sz w:val="20"/>
                <w:szCs w:val="20"/>
                <w:color w:val="auto"/>
              </w:rPr>
            </w:pPr>
            <w:r>
              <w:rPr>
                <w:rFonts w:ascii="Arial" w:cs="Arial" w:eastAsia="Arial" w:hAnsi="Arial"/>
                <w:sz w:val="18"/>
                <w:szCs w:val="18"/>
                <w:color w:val="auto"/>
              </w:rPr>
              <w:t>Issuance of common stock</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1,037,727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1,037,764</w:t>
            </w:r>
          </w:p>
        </w:tc>
      </w:tr>
      <w:tr>
        <w:trPr>
          <w:trHeight w:val="211"/>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proceeds from issuance of</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52"/>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and warrants</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9,157,388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9,157,888</w:t>
            </w:r>
          </w:p>
        </w:tc>
      </w:tr>
      <w:tr>
        <w:trPr>
          <w:trHeight w:val="265"/>
        </w:trPr>
        <w:tc>
          <w:tcPr>
            <w:tcW w:w="2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(11,247,787)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(11,247,787)</w:t>
            </w:r>
          </w:p>
        </w:tc>
      </w:tr>
      <w:tr>
        <w:trPr>
          <w:trHeight w:val="211"/>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8"/>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(41,231)</w:t>
            </w:r>
          </w:p>
        </w:tc>
      </w:tr>
      <w:tr>
        <w:trPr>
          <w:trHeight w:val="255"/>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11,422,161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1,142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35,754,872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(23,478,740)</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12,217,963</w:t>
            </w:r>
          </w:p>
        </w:tc>
      </w:tr>
      <w:tr>
        <w:trPr>
          <w:trHeight w:val="20"/>
        </w:trPr>
        <w:tc>
          <w:tcPr>
            <w:tcW w:w="2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65" w:right="239" w:bottom="1440" w:gutter="0" w:footer="0" w:header="0"/>
        </w:sectPr>
      </w:pPr>
    </w:p>
    <w:bookmarkStart w:id="8" w:name="page9"/>
    <w:bookmarkEnd w:id="8"/>
    <w:p>
      <w:pPr>
        <w:ind w:left="406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4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(7,004,290)</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(11,247,787)</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 reconciling net loss to operating cash flows: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288</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209,319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18,547</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Non-cash lease expenses</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10,549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452,000</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Impairment of goodwill</w:t>
            </w: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5,187,519</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(461,982)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259,562</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(35,838)</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193,495</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79,063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66,160</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172,413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9,739</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710,459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288,846</w:t>
            </w:r>
          </w:p>
        </w:tc>
      </w:tr>
      <w:tr>
        <w:trPr>
          <w:trHeight w:val="265"/>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5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(6,326,726)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(4,807,544)</w:t>
            </w:r>
          </w:p>
        </w:tc>
      </w:tr>
      <w:tr>
        <w:trPr>
          <w:trHeight w:val="227"/>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Purchases of property and equipment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Acquisition of Pear Tree and Hydra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proceeds from issuance of common stock and warrants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Supplemental disclosure of non-cash operating and financing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—(8,200)</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—(452,000)</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—(460,200)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27" w:lineRule="exact"/>
        <w:rPr>
          <w:sz w:val="20"/>
          <w:szCs w:val="20"/>
          <w:color w:val="auto"/>
        </w:rPr>
      </w:pPr>
    </w:p>
    <w:p>
      <w:pPr>
        <w:ind w:left="580"/>
        <w:spacing w:after="0"/>
        <w:tabs>
          <w:tab w:leader="none" w:pos="2060" w:val="left"/>
        </w:tabs>
        <w:rPr>
          <w:sz w:val="20"/>
          <w:szCs w:val="20"/>
          <w:color w:val="auto"/>
        </w:rPr>
      </w:pPr>
      <w:r>
        <w:rPr>
          <w:rFonts w:ascii="Arial" w:cs="Arial" w:eastAsia="Arial" w:hAnsi="Arial"/>
          <w:sz w:val="18"/>
          <w:szCs w:val="18"/>
          <w:color w:val="auto"/>
        </w:rPr>
        <w:t>5,151,702</w:t>
      </w:r>
      <w:r>
        <w:rPr>
          <w:sz w:val="20"/>
          <w:szCs w:val="20"/>
          <w:color w:val="auto"/>
        </w:rPr>
        <w:tab/>
      </w:r>
      <w:r>
        <w:rPr>
          <w:rFonts w:ascii="Arial" w:cs="Arial" w:eastAsia="Arial" w:hAnsi="Arial"/>
          <w:sz w:val="18"/>
          <w:szCs w:val="18"/>
          <w:color w:val="auto"/>
        </w:rPr>
        <w:t>10,195,653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ind w:left="580"/>
        <w:spacing w:after="0"/>
        <w:tabs>
          <w:tab w:leader="none" w:pos="2060" w:val="left"/>
        </w:tabs>
        <w:rPr>
          <w:sz w:val="20"/>
          <w:szCs w:val="20"/>
          <w:color w:val="auto"/>
        </w:rPr>
      </w:pPr>
      <w:r>
        <w:rPr>
          <w:rFonts w:ascii="Arial" w:cs="Arial" w:eastAsia="Arial" w:hAnsi="Arial"/>
          <w:sz w:val="18"/>
          <w:szCs w:val="18"/>
          <w:color w:val="auto"/>
        </w:rPr>
        <w:t>5,151,702</w:t>
      </w:r>
      <w:r>
        <w:rPr>
          <w:sz w:val="20"/>
          <w:szCs w:val="20"/>
          <w:color w:val="auto"/>
        </w:rPr>
        <w:tab/>
      </w:r>
      <w:r>
        <w:rPr>
          <w:rFonts w:ascii="Arial" w:cs="Arial" w:eastAsia="Arial" w:hAnsi="Arial"/>
          <w:sz w:val="18"/>
          <w:szCs w:val="18"/>
          <w:color w:val="auto"/>
        </w:rPr>
        <w:t>10,195,653</w:t>
      </w:r>
    </w:p>
    <w:p>
      <w:pPr>
        <w:spacing w:after="0" w:line="63" w:lineRule="exact"/>
        <w:rPr>
          <w:sz w:val="20"/>
          <w:szCs w:val="20"/>
          <w:color w:val="auto"/>
        </w:rPr>
      </w:pPr>
    </w:p>
    <w:p>
      <w:pPr>
        <w:ind w:left="2360" w:hanging="1342"/>
        <w:spacing w:after="0"/>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(41,231)</w:t>
      </w:r>
    </w:p>
    <w:p>
      <w:pPr>
        <w:spacing w:after="0" w:line="6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(1,175,320)</w:t>
      </w:r>
      <w:r>
        <w:rPr>
          <w:rFonts w:ascii="Arial" w:cs="Arial" w:eastAsia="Arial" w:hAnsi="Arial"/>
          <w:sz w:val="17"/>
          <w:szCs w:val="17"/>
          <w:color w:val="auto"/>
        </w:rPr>
        <w:t>4,886,678</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6,805,889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7,559,846</w:t>
            </w:r>
          </w:p>
        </w:tc>
      </w:tr>
      <w:tr>
        <w:trPr>
          <w:trHeight w:val="250"/>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5,630,569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12,446,524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ectPr>
          <w:pgSz w:w="11900" w:h="16838" w:orient="portrait"/>
          <w:cols w:equalWidth="0" w:num="2">
            <w:col w:w="7620" w:space="720"/>
            <w:col w:w="3080"/>
          </w:cols>
          <w:pgMar w:left="240" w:top="574" w:right="2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7640" w:type="dxa"/>
            <w:vAlign w:val="bottom"/>
          </w:tcPr>
          <w:p>
            <w:pPr>
              <w:ind w:left="180"/>
              <w:spacing w:after="0"/>
              <w:rPr>
                <w:sz w:val="20"/>
                <w:szCs w:val="20"/>
                <w:color w:val="auto"/>
              </w:rPr>
            </w:pPr>
            <w:r>
              <w:rPr>
                <w:rFonts w:ascii="Arial" w:cs="Arial" w:eastAsia="Arial" w:hAnsi="Arial"/>
                <w:sz w:val="18"/>
                <w:szCs w:val="18"/>
                <w:color w:val="auto"/>
              </w:rPr>
              <w:t>Operating right-of-use assets obtained in exchange for new operating lease liabilities</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10"/>
              <w:spacing w:after="0"/>
              <w:rPr>
                <w:sz w:val="20"/>
                <w:szCs w:val="20"/>
                <w:color w:val="auto"/>
              </w:rPr>
            </w:pPr>
            <w:r>
              <w:rPr>
                <w:rFonts w:ascii="Arial" w:cs="Arial" w:eastAsia="Arial" w:hAnsi="Arial"/>
                <w:sz w:val="18"/>
                <w:szCs w:val="18"/>
                <w:color w:val="auto"/>
              </w:rPr>
              <w:t>231,698</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Deemed dividend from trigger of down round provision</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789,594</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hanging="1292"/>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Daré Bioscience, Inc. is a clinical-stage biopharmaceutical company committed to the advancement of innovative products for women’s health. Daré Bioscience, Inc. and its wholly owned subsidiaries operate in one segment. In this report, the “Company” refers collectively to Daré Bioscience, Inc. and its wholly owned subsidiaries, unless otherwise stated or the context otherwise requires.</w:t>
      </w:r>
    </w:p>
    <w:p>
      <w:pPr>
        <w:spacing w:after="0" w:line="12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Company is driven by a mission to identify, develop and bring to market a diverse portfolio of differentiated therapies that expand treatment options, improve outcomes and facilitate convenience for women, primarily in the areas of contraception, vaginal health, sexual health and fertility. The Company's business strategy is to license or otherwise acquire the rights to differentiated product candidates in women's health, some of which have existing clinical proof-of-concept data, and to advance those candidates through clinical development and regulatory approval alone or in collaboration with strategic partners.</w:t>
      </w:r>
    </w:p>
    <w:p>
      <w:pPr>
        <w:spacing w:after="0" w:line="135"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The Company has assembled a portfolio of clinical-stage and pre-clinical-stage candidates addressing unmet needs in women’s health. The Company’s portfolio includes these six clinical-stage candidates:</w:t>
      </w:r>
    </w:p>
    <w:p>
      <w:pPr>
        <w:spacing w:after="0" w:line="104" w:lineRule="exact"/>
        <w:rPr>
          <w:sz w:val="20"/>
          <w:szCs w:val="20"/>
          <w:color w:val="auto"/>
        </w:rPr>
      </w:pPr>
    </w:p>
    <w:p>
      <w:pPr>
        <w:ind w:left="1960" w:hanging="331"/>
        <w:spacing w:after="0" w:line="292"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DARE-BV1, a novel solution-to-gel formulation containing clindamycin phosphate 2% to treat bacterial vaginosis, or BV;</w:t>
      </w:r>
    </w:p>
    <w:p>
      <w:pPr>
        <w:spacing w:after="0" w:line="104" w:lineRule="exact"/>
        <w:rPr>
          <w:rFonts w:ascii="Arial" w:cs="Arial" w:eastAsia="Arial" w:hAnsi="Arial"/>
          <w:sz w:val="18"/>
          <w:szCs w:val="18"/>
          <w:color w:val="auto"/>
        </w:rPr>
      </w:pPr>
    </w:p>
    <w:p>
      <w:pPr>
        <w:ind w:left="1960" w:hanging="331"/>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Ovaprene, a non-hormonal monthly contraceptive intravaginal ring;</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Sildenafil Cream, 3.6%, a novel cream formulation of sildenafil to treat female sexual arousal disorder, or FSAD;</w:t>
      </w:r>
    </w:p>
    <w:p>
      <w:pPr>
        <w:spacing w:after="0" w:line="184" w:lineRule="exact"/>
        <w:rPr>
          <w:rFonts w:ascii="Arial" w:cs="Arial" w:eastAsia="Arial" w:hAnsi="Arial"/>
          <w:sz w:val="18"/>
          <w:szCs w:val="18"/>
          <w:color w:val="auto"/>
        </w:rPr>
      </w:pPr>
    </w:p>
    <w:p>
      <w:pPr>
        <w:ind w:left="1960" w:hanging="331"/>
        <w:spacing w:after="0" w:line="292"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DARE-HRT1, a combination bio-identical estradiol and progesterone intravaginal ring for hormone replacement therapy following menopause;</w:t>
      </w:r>
    </w:p>
    <w:p>
      <w:pPr>
        <w:spacing w:after="0" w:line="104" w:lineRule="exact"/>
        <w:rPr>
          <w:rFonts w:ascii="Arial" w:cs="Arial" w:eastAsia="Arial" w:hAnsi="Arial"/>
          <w:sz w:val="18"/>
          <w:szCs w:val="18"/>
          <w:color w:val="auto"/>
        </w:rPr>
      </w:pPr>
    </w:p>
    <w:p>
      <w:pPr>
        <w:ind w:left="1960" w:hanging="331"/>
        <w:spacing w:after="0" w:line="292"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DARE-VVA1, a vaginally delivered formulation of tamoxifen to treat vulvar vaginal atrophy, or VVA, in patients with hormone-receptor positive breast cancer; and</w:t>
      </w:r>
    </w:p>
    <w:p>
      <w:pPr>
        <w:spacing w:after="0" w:line="104" w:lineRule="exact"/>
        <w:rPr>
          <w:rFonts w:ascii="Arial" w:cs="Arial" w:eastAsia="Arial" w:hAnsi="Arial"/>
          <w:sz w:val="18"/>
          <w:szCs w:val="18"/>
          <w:color w:val="auto"/>
        </w:rPr>
      </w:pPr>
    </w:p>
    <w:p>
      <w:pPr>
        <w:ind w:left="1960" w:hanging="331"/>
        <w:spacing w:after="0" w:line="292"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DARE-FRT1, an intravaginal ring containing bio-identical progesterone for the prevention of preterm birth and for fertility support as part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or IVF, treatment plan.</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Company's portfolio also includes several pre-clinical stage product candidates:</w:t>
      </w:r>
    </w:p>
    <w:p>
      <w:pPr>
        <w:spacing w:after="0" w:line="185" w:lineRule="exact"/>
        <w:rPr>
          <w:sz w:val="20"/>
          <w:szCs w:val="20"/>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ORB-204 and ORB-214, 6-month and 12-month formulations of injectable etonogestrel for contraception;</w:t>
      </w:r>
    </w:p>
    <w:p>
      <w:pPr>
        <w:spacing w:after="0" w:line="184" w:lineRule="exact"/>
        <w:rPr>
          <w:rFonts w:ascii="Arial" w:cs="Arial" w:eastAsia="Arial" w:hAnsi="Arial"/>
          <w:sz w:val="18"/>
          <w:szCs w:val="18"/>
          <w:color w:val="auto"/>
        </w:rPr>
      </w:pPr>
    </w:p>
    <w:p>
      <w:pPr>
        <w:ind w:left="1960" w:right="20" w:hanging="331"/>
        <w:spacing w:after="0" w:line="292"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DARE-RH1, a novel approach to non-hormonal contraception for both men and women by targeting the CatSper ion channel; and</w:t>
      </w:r>
    </w:p>
    <w:p>
      <w:pPr>
        <w:spacing w:after="0" w:line="104"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DARE-OAB1, an intravaginal ring containing oxybutynin for the treatment of overactive bladder.</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Company’s primary operations have consisted of, and are expected to continue to consist of, product research and development and advancing its portfolio of product candidates through clinical development and regulatory approval. We expect that the bulk of our development expenses over the next two years will support the advancement of our clinical-stage product candidates.</w:t>
      </w:r>
    </w:p>
    <w:p>
      <w:pPr>
        <w:spacing w:after="0" w:line="12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product revenue. The Company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4" w:right="2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8"/>
          <w:szCs w:val="18"/>
          <w:color w:val="auto"/>
        </w:rPr>
        <w:t>approval of products, uncertainty of market acceptance of products, competition from substitute products, competition from larger companies with recognized brands, greater capital resources and higher levels of dedicated staff, and compliance with government regulations, protection of proprietary technology, dependence on third parties, and product liability.</w:t>
      </w:r>
    </w:p>
    <w:p>
      <w:pPr>
        <w:spacing w:after="0" w:line="121" w:lineRule="exact"/>
        <w:rPr>
          <w:sz w:val="20"/>
          <w:szCs w:val="20"/>
          <w:color w:val="auto"/>
        </w:rPr>
      </w:pPr>
    </w:p>
    <w:p>
      <w:pPr>
        <w:ind w:left="1300" w:hanging="1292"/>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4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has prepared its consolidated financial statements on a going concern basis, which assumes that the Company will realize its assets and satisfy its liabilities in the normal course of business. However, as of June 30, 2019, the Company had an accumulated deficit of approximately $36.8 million and had cash and cash equivalents of approximately $5.6 million. The Company also had negative cash flow from operations of approximately $6.3 million during the six months ended June 30, 2019.</w:t>
      </w:r>
    </w:p>
    <w:p>
      <w:pPr>
        <w:spacing w:after="0" w:line="8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In March of 2019, the Company announced that it received a second Notice of Award for an additional $ 982,851 of the anticipated $1.9 million from the Eunice Kennedy Shriver National Institute of Child Health and Human Development, or the NIH Grant, which is being applied to the clinical development efforts supporting Ovaprene. As of June 30, 2019, the Company recorded a receivable in the amount of $456,484 for expenses eligible for reimbursement under the NIH Grant that were incurred through June 30, 2019. See Note 9, "Grant Award," herein.</w:t>
      </w:r>
    </w:p>
    <w:p>
      <w:pPr>
        <w:spacing w:after="0" w:line="9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In April of 2019, the Company completed a sale of common stock raising net proceeds of approximately $ 5.2 million. See Note 6, "Stockholders' Equity," herein. The Company needs to raise additional capital to continue to fund its operations and to successfully execute its current operating plan, including the development of its current product candidates.</w:t>
      </w:r>
    </w:p>
    <w:p>
      <w:pPr>
        <w:spacing w:after="0" w:line="8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Company has a history of losses from operations, expects negative cash flows from its operations will continue for the foreseeable future, and expects that its net losses will continue for at least the next several years as it develops its existing product candidates and seeks to acquire, license or develop additional product candidates. These circumstances raise substantial doubt about the Company's ability to continue as a going concern. The accompanying consolidated financial statements do not include any adjustments to reflect the possible future effects on the recoverability and classification of assets or the amounts and classifications of liabilities that may result from the outcome of the uncertainty of the Company's ability to continue as a going concern.</w:t>
      </w:r>
    </w:p>
    <w:p>
      <w:pPr>
        <w:spacing w:after="0" w:line="6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Company is focused primarily on the development and commercialization of innovative products in women’s health. The Company will continue to incur significant research and development and other expenses related to these activities.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sustain profitability.</w:t>
      </w:r>
    </w:p>
    <w:p>
      <w:pPr>
        <w:spacing w:after="0" w:line="6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Company believes that its current available cash resources will be sufficient to fund planned operations into the first quarter of 2020. For the foreseeable future, the Company's ability to continue its operations will depend on its ability to obtain additional capital.</w:t>
      </w:r>
    </w:p>
    <w:p>
      <w:pPr>
        <w:spacing w:after="0" w:line="3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The Company is currently evaluating a variety of capital raising options, including financings, government or other grant funding, collaborations and strategic alliances or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 that capital will be available when needed or that, if available, it will be obtained on terms favorable to the Company and its stockholders. Additionally, equity or debt financings may have a dilutive effect on the holdings of the Company's existing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interim consolidated financial statements do not include any adjustments that might result from the outcome of this uncertainty.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1" w:right="239" w:bottom="1440" w:gutter="0" w:footer="0" w:header="0"/>
        </w:sectPr>
      </w:pPr>
    </w:p>
    <w:bookmarkStart w:id="11" w:name="page12"/>
    <w:bookmarkEnd w:id="11"/>
    <w:p>
      <w:pPr>
        <w:ind w:left="1300" w:hanging="1292"/>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Company’s significant accounting policies are described in Note 1 to the interim consolidated financial statements included in the Company’s Annual Report on Form 10-K for the year ended December 31, 2018, filed with the Securities and Exchange Commission, or SEC on April 1, 2019. Since the date of those consolidated financial statements, there have been no material changes to the Company’s significant accounting policies,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accompanying interim consolidated financial statements have been prepared in accordance with accounting principles generally accepted in the United States, or GAAP, as defined by the Financial Accounting Standards Board, or FASB, for interim financial information and the instructions to Form 10-Q and Article 8 of Regulation S-X. Accordingly, they do not include all of the information and footnotes required by GAAP for complete financial statements. In management’s opinion, the accompanying interim consolidated financial statements reflect all adjustments, consisting of normal recurring adjustments, considered necessary for a fair presentation of the results of the interim periods presented.</w:t>
      </w:r>
    </w:p>
    <w:p>
      <w:pPr>
        <w:spacing w:after="0" w:line="6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interim consolidated financial statements should be read in conjunction with the audited financial statements and notes thereto included in the Company’s Annual Report on Form 10-K for the year ended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right-of-use, or ROU, lease assets, current portion of lease obligations, and long-term lease obligations on the Company's balance sheets.</w:t>
      </w:r>
    </w:p>
    <w:p>
      <w:pPr>
        <w:spacing w:after="0" w:line="3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7, Leased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6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Cash and cash equivalents of $5.6 million and $6.8 million are measured at fair value as of June 30, 2019 and December 31, 2018, respectively, and are classified within Level 1 of the fair value hierarchy. Other receivables are financial assets with carrying values that approximate fair value due to the short-term nature of these assets. Accounts payable and accrued expenses and other liabilities are financial liabilities with carrying values that approximate fair value due to the short-term nature of these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In May 2014, FASB issued Accounting Standards Update,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impacts the way in which some entities recognize revenue for certain types of transactions. The new standard became effective beginning in 2018 for public companies. Because the Company does not currently have any contracts with customers, the Company’s adoption of this accounting standard did not impact the Company’s interim consolidated financial statements.</w:t>
      </w:r>
    </w:p>
    <w:p>
      <w:pPr>
        <w:spacing w:after="0" w:line="6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In February 2016,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ASU 2016-02 became effective for the Company on January 1, 2019 and was adopted using a modified retrospective approach and the effective date is as of the initial application. Consequently, financial information was not updated, and the disclosures required under ASU 2016-02 are not provided for dates and periods prior to January 1, 2019. ASU 2016-02 provides a number of optional practical expedients and accounting policy elections. The Company elected the package of practical expedients requiring no reassessment of whether any expired or existing contracts are or contain leases, the lease classification of any expired or existing leases, or initial direct costs for any existing leases. The Company recorded approximately $232,000 right-of-use assets and $241,000 lease liabilities related to its lease of office space as of the adoption date in the consolidated balance sheets. There are no changes to the statement of operations or cash flows as a result of the adoption.</w:t>
      </w:r>
    </w:p>
    <w:p>
      <w:pPr>
        <w:spacing w:after="0" w:line="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In January 2017,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intended to clarify the definition of a business with the objective of adding guidance to assist entities with evaluating whether transactions should be accounted for as acquisitions (or disposals) of assets or businesses. The standard became effective for the Company on January 1, 2018. The Company’s early adoption of this standard did not have a material impact on the Company’s consolidated financial statements.</w:t>
      </w:r>
    </w:p>
    <w:p>
      <w:pPr>
        <w:spacing w:after="0" w:line="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xml:space="preserve"> amending certain disclosure requirements that were redundant, duplicative, overlapping, outdated or superseded. In addition, the amendments expanded the disclosure requirements relating to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income is required to be filed. This final rule was effective November 5, 2018. In accordance with the new rule, the Company added a Consolidated Statement of Stockholders' Equity in this report and elected to present a reconciliation in a single statement that shows the changes in stockholders' equity for each interim period, as well as each comparable period.</w:t>
      </w:r>
    </w:p>
    <w:p>
      <w:pPr>
        <w:spacing w:after="0" w:line="244" w:lineRule="exact"/>
        <w:rPr>
          <w:sz w:val="20"/>
          <w:szCs w:val="20"/>
          <w:color w:val="auto"/>
        </w:rPr>
      </w:pPr>
    </w:p>
    <w:p>
      <w:pPr>
        <w:ind w:left="1300" w:hanging="1292"/>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Cerulean/Private Daré Stock Purchase Transaction</w:t>
      </w:r>
    </w:p>
    <w:p>
      <w:pPr>
        <w:spacing w:after="0" w:line="11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July 2017, the Company completed its business combination with Daré Bioscience Operations, Inc., a privately held Delaware corporation, or Private Daré, in which Private Daré stockholders sold their shares to the Company in exchange for newly issued shares of the Company’s common stock, and as a result, Private Daré became a wholly owned subsidiary of the Company and the Private Daré stockholders became majority stockholders of the Company. In connection with the closing of that transaction, the Company changed its name from “Cerulean Pharma Inc.” to “Daré Bioscience, Inc.” In this report, that transaction is referred to as the Cerulean/Private Daré stock purchase transaction and “Cerulean” refers to Cerulean Pharma Inc. before that transaction closed.</w:t>
      </w:r>
    </w:p>
    <w:p>
      <w:pPr>
        <w:spacing w:after="0" w:line="6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Cerulean/Private Daré stock purchase transaction was accounted for as a reverse merger under the acquisition method of accounting whereby Private Daré was considered to have acquired Cerulean for financial reporting purposes. Pursuant to business combination accounting, the Company applied the acquisition method, which requires the assets acquired and liabilities assumed be recorded at fair value with limited exceptions. The excess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2" w:right="239" w:bottom="1440" w:gutter="0" w:footer="0" w:header="0"/>
        </w:sectPr>
      </w:pPr>
    </w:p>
    <w:bookmarkStart w:id="13" w:name="page14"/>
    <w:bookmarkEnd w:id="13"/>
    <w:p>
      <w:pPr>
        <w:jc w:val="both"/>
        <w:ind w:right="20"/>
        <w:spacing w:after="0" w:line="271" w:lineRule="auto"/>
        <w:rPr>
          <w:sz w:val="20"/>
          <w:szCs w:val="20"/>
          <w:color w:val="auto"/>
        </w:rPr>
      </w:pPr>
      <w:r>
        <w:rPr>
          <w:rFonts w:ascii="Arial" w:cs="Arial" w:eastAsia="Arial" w:hAnsi="Arial"/>
          <w:sz w:val="18"/>
          <w:szCs w:val="18"/>
          <w:color w:val="auto"/>
        </w:rPr>
        <w:t>the purchase price over the assets acquired and liabilities assumed represents goodwill. The goodwill was primarily attributable to the cash and cash equivalents at closing of the transaction of approximately $9.9 million and the impact of the unamortized fair value of stock options granted by Cerulean that were outstanding immediately before the transaction closed of approximately $3.7 million.</w:t>
      </w:r>
    </w:p>
    <w:p>
      <w:pPr>
        <w:spacing w:after="0" w:line="5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Company tests its goodwill for impairment at least annually as of December 31 and between annual tests if it becomes aware of an event or change in circumstance that would indicate the carrying value may be impaired. The Company tests goodwill for impairment at the entity level because it operates on the basis of a single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6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Company assessed goodwill at March 31, 2018, determined there was an impairment and recognized an impairment charge of approximately $5.2 million in the interim consolidated statement of operations and comprehensive loss for the three months ended March 31, 2018. As of March 31, 2018, the goodwill carrying value on the Company’s consolidated balance sheet was written off in its entirety.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Pear Tree Merger</w:t>
      </w:r>
    </w:p>
    <w:p>
      <w:pPr>
        <w:spacing w:after="0" w:line="11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On April 30, 2018, the Company entered into an Agreement and Plan of Merger, the Merger Agreement, with Pear Tree Pharmaceuticals, Inc., or Pear Tree, Daré Merger Sub, Inc., a wholly-owned subsidiary of the Company, or Merger Sub, and two individuals in their respective capacities as Pear Tree stockholders’ representatives. The transactions contemplated by the Merger Agreement closed on May 16, 2018, and as a result, Pear Tree became the Company’s wholly owned subsidiary. The Company acquired Pear Tree to secure the rights to develop DARE-VVA1, a proprietary vaginal formulation of tamoxifen, as a potential treatment for vulvar and vaginal atrophy.</w:t>
      </w:r>
    </w:p>
    <w:p>
      <w:pPr>
        <w:spacing w:after="0" w:line="6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determined that the acquisition of Pear Tree should be accounted for as an asset acquisition instead of a business combination because substantially all of the fair value of the gross assets acquired is concentrated in a single identifiable asset or group of similar identifiable assets, and therefore, the asset is not considered a business. Transaction costs of approximately $452,000 associated with the merger were included in the Company’s research and development expense.</w:t>
      </w:r>
    </w:p>
    <w:p>
      <w:pPr>
        <w:spacing w:after="0" w:line="6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Under the Merger Agreement, certain former and continuing Pear Tree service providers and former holders of Pear Tree’s capital stock, or the Holders, were eligible to receive a $75,000 payment due on the one-year anniversary of the closing of the merger and are eligible to receive tiered royalties, subject to customary provisions permitting royalty reductions and offset, based on percentages of annual net sales of certain products subject to license agreements the Company assumed and a percentage of sublicense revenue. The Company must also make contingent payments to the Holders based on achieving certain clinical, regulatory and commercial milestones, which may be paid, in the Company’s sole discretion, in cash or shares of the Company’s common stock.</w:t>
      </w:r>
    </w:p>
    <w:p>
      <w:pPr>
        <w:spacing w:after="0" w:line="6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accordance with the terms of the Merger Agreement, because the Negative Consideration Amount (as defined below) exceeded the Positive Consideration Amount (as defined below), at the time of the closing of the merger, the excess amount (approximately $132,000) offset the $75,000 payment due on the one-year anniversary of the closing of the merger and the balance will offset future payments otherwise due under the Merger Agreement to the Holders. Positive Consideration Amount means the sum of $75,000, and the cash and cash equivalents held by Pear Tree at closing, and Negative Consideration Amount means the sum of (i) certain Pear Tree indebtedness and transaction expenses, (ii) transaction expenses of the stockholders’ representatives, and (iii) amounts payable under Pear Tree’s management incentive plan.</w:t>
      </w:r>
    </w:p>
    <w:p>
      <w:pPr>
        <w:spacing w:after="0" w:line="243" w:lineRule="exact"/>
        <w:rPr>
          <w:sz w:val="20"/>
          <w:szCs w:val="20"/>
          <w:color w:val="auto"/>
        </w:rPr>
      </w:pPr>
    </w:p>
    <w:p>
      <w:pPr>
        <w:ind w:left="1300" w:hanging="1292"/>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Employee, Director and Consultant Equity Incentive Plan</w:t>
      </w:r>
    </w:p>
    <w:p>
      <w:pPr>
        <w:spacing w:after="0" w:line="11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Prior to the Cerulean/Private Daré stock purchase transaction, Private Daré maintained the 2015 Employee, Director and Consultant Equity Incentive Plan, or the 2015 Private Daré Plan. Upon closing of the Cerulean/Private Daré stock purchase transaction, the Company assumed the 2015 Private Daré Plan and each then outstanding award granted thereunder, which consisted of options and restricted stock. Based on the exchange ratio for the Cerulean/Private Daré stock purchase transaction and after giving effect to the reverse stock split effected in connection with the closing of that transaction, the outstanding options and restricted stock awards granted under the 2015 Private Daré Plan were replaced with options to purchase 10,149 shares of the Company’s common stock with a correspondingly adjusted exercise price, all of which were outstanding as of June 30, 2019, and 223,295 restricted shares of the Company’s common stock. Those options are fully vested and expire in December 2025.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84" w:right="239" w:bottom="1440" w:gutter="0" w:footer="0" w:header="0"/>
        </w:sectPr>
      </w:pPr>
    </w:p>
    <w:bookmarkStart w:id="14" w:name="page15"/>
    <w:bookmarkEnd w:id="14"/>
    <w:p>
      <w:pPr>
        <w:jc w:val="both"/>
        <w:ind w:right="20" w:firstLine="1297"/>
        <w:spacing w:after="0" w:line="292" w:lineRule="auto"/>
        <w:rPr>
          <w:sz w:val="20"/>
          <w:szCs w:val="20"/>
          <w:color w:val="auto"/>
        </w:rPr>
      </w:pPr>
      <w:r>
        <w:rPr>
          <w:rFonts w:ascii="Arial" w:cs="Arial" w:eastAsia="Arial" w:hAnsi="Arial"/>
          <w:sz w:val="18"/>
          <w:szCs w:val="18"/>
          <w:color w:val="auto"/>
        </w:rPr>
        <w:t>No further awards may be granted under the 2015 Private Daré Plan following the closing of the Cerulean/Private Daré stock purchase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and there was no stock-based compensation related to the ESPP for the six months ended June 30, 2019 or June 30,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1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Company maintains the Amended and Restated 2014 Plan, or the Amended 2014 Plan.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2019, the number of authorized shares increased by 456,886 to 2,503,771, which increase represented 4% of the number of outstanding shares of common stock on such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1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six months ended June 30, 2019. The exercise price of all options granted during the six months ended June 30, 2019 was equal to the market value of the Company’s common stock on the date of the grant. As of June 30, 2019, unamortized stock-based compensation expense of $ 1,348,159 will be amortized over a weighted average period of 2.9 years. At June 30, 2019, 497,032 shares of common stock were reserved for future issuance under the Amended 2014 Plan.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Weighted Average</w:t>
            </w:r>
          </w:p>
        </w:tc>
      </w:tr>
      <w:tr>
        <w:trPr>
          <w:trHeight w:val="203"/>
        </w:trPr>
        <w:tc>
          <w:tcPr>
            <w:tcW w:w="83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7"/>
                <w:szCs w:val="17"/>
                <w:color w:val="auto"/>
              </w:rPr>
            </w:pP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Exercise Price</w:t>
            </w:r>
          </w:p>
        </w:tc>
      </w:tr>
      <w:tr>
        <w:trPr>
          <w:trHeight w:val="251"/>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 (1)</w:t>
            </w:r>
          </w:p>
        </w:tc>
        <w:tc>
          <w:tcPr>
            <w:tcW w:w="1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1,635,790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11.08</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698,000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0.79</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Canceled/forfeited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(316,832)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24.55</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59.48</w:t>
            </w:r>
          </w:p>
        </w:tc>
      </w:tr>
      <w:tr>
        <w:trPr>
          <w:trHeight w:val="28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2019 (unaudited) (1)</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2,016,888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5.40</w:t>
            </w:r>
          </w:p>
        </w:tc>
      </w:tr>
      <w:tr>
        <w:trPr>
          <w:trHeight w:val="237"/>
        </w:trPr>
        <w:tc>
          <w:tcPr>
            <w:tcW w:w="8340" w:type="dxa"/>
            <w:vAlign w:val="bottom"/>
            <w:tcBorders>
              <w:bottom w:val="single" w:sz="8" w:color="CCEEFF"/>
            </w:tcBorders>
            <w:shd w:val="clear" w:color="auto" w:fill="CCEEFF"/>
          </w:tcPr>
          <w:p>
            <w:pPr>
              <w:ind w:left="40"/>
              <w:spacing w:after="0" w:line="206" w:lineRule="exact"/>
              <w:rPr>
                <w:sz w:val="20"/>
                <w:szCs w:val="20"/>
                <w:color w:val="auto"/>
              </w:rPr>
            </w:pPr>
            <w:r>
              <w:rPr>
                <w:rFonts w:ascii="Arial" w:cs="Arial" w:eastAsia="Arial" w:hAnsi="Arial"/>
                <w:sz w:val="18"/>
                <w:szCs w:val="18"/>
                <w:color w:val="auto"/>
              </w:rPr>
              <w:t>Exercisable at June 30, 2019 (unaudited)</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427,702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21.83</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1280" w:firstLine="8"/>
        <w:spacing w:after="0" w:line="339" w:lineRule="auto"/>
        <w:tabs>
          <w:tab w:leader="none" w:pos="8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10,149 shares subject to options granted under the 2015 Private Daré Plan assumed in connection with the Cerulean/Private Daré stock purchase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20" w:firstLine="1297"/>
        <w:spacing w:after="0" w:line="292"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consolidated statement of operations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203"/>
        </w:trPr>
        <w:tc>
          <w:tcPr>
            <w:tcW w:w="5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2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2018</w:t>
            </w:r>
          </w:p>
        </w:tc>
      </w:tr>
      <w:tr>
        <w:trPr>
          <w:trHeight w:val="251"/>
        </w:trPr>
        <w:tc>
          <w:tcPr>
            <w:tcW w:w="526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26,996</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51,699</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65"/>
        </w:trPr>
        <w:tc>
          <w:tcPr>
            <w:tcW w:w="52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84,355</w:t>
            </w:r>
          </w:p>
        </w:tc>
        <w:tc>
          <w:tcPr>
            <w:tcW w:w="120" w:type="dxa"/>
            <w:vAlign w:val="bottom"/>
            <w:tcBorders>
              <w:bottom w:val="single" w:sz="8" w:color="CFF0FC"/>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9,423</w:t>
            </w: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157,620</w:t>
            </w:r>
          </w:p>
        </w:tc>
        <w:tc>
          <w:tcPr>
            <w:tcW w:w="120" w:type="dxa"/>
            <w:vAlign w:val="bottom"/>
            <w:tcBorders>
              <w:bottom w:val="single" w:sz="8" w:color="CFF0FC"/>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18,547</w:t>
            </w:r>
          </w:p>
        </w:tc>
      </w:tr>
      <w:tr>
        <w:trPr>
          <w:trHeight w:val="255"/>
        </w:trPr>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111,351</w:t>
            </w: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9,423</w:t>
            </w:r>
          </w:p>
        </w:tc>
        <w:tc>
          <w:tcPr>
            <w:tcW w:w="4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209,319</w:t>
            </w:r>
          </w:p>
        </w:tc>
        <w:tc>
          <w:tcPr>
            <w:tcW w:w="1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18,547</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4"/>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5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15" w:name="page16"/>
    <w:bookmarkEnd w:id="15"/>
    <w:p>
      <w:pPr>
        <w:ind w:firstLine="1297"/>
        <w:spacing w:after="0" w:line="292"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six months ended June 30, 2019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8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r>
      <w:tr>
        <w:trPr>
          <w:trHeight w:val="246"/>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1480" w:type="dxa"/>
            <w:vAlign w:val="bottom"/>
          </w:tcPr>
          <w:p>
            <w:pPr>
              <w:jc w:val="center"/>
              <w:ind w:right="15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80" w:type="dxa"/>
            <w:vAlign w:val="bottom"/>
          </w:tcPr>
          <w:p>
            <w:pPr>
              <w:jc w:val="center"/>
              <w:ind w:right="154"/>
              <w:spacing w:after="0"/>
              <w:rPr>
                <w:sz w:val="20"/>
                <w:szCs w:val="20"/>
                <w:color w:val="auto"/>
              </w:rPr>
            </w:pPr>
            <w:r>
              <w:rPr>
                <w:rFonts w:ascii="Arial" w:cs="Arial" w:eastAsia="Arial" w:hAnsi="Arial"/>
                <w:sz w:val="18"/>
                <w:szCs w:val="18"/>
                <w:color w:val="auto"/>
              </w:rPr>
              <w:t>10.0</w:t>
            </w:r>
          </w:p>
        </w:tc>
      </w:tr>
      <w:tr>
        <w:trPr>
          <w:trHeight w:val="275"/>
        </w:trPr>
        <w:tc>
          <w:tcPr>
            <w:tcW w:w="83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rPr>
              <w:t>2.58%</w:t>
            </w:r>
          </w:p>
        </w:tc>
      </w:tr>
      <w:tr>
        <w:trPr>
          <w:trHeight w:val="265"/>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ind w:right="174"/>
              <w:spacing w:after="0"/>
              <w:rPr>
                <w:sz w:val="20"/>
                <w:szCs w:val="20"/>
                <w:color w:val="auto"/>
              </w:rPr>
            </w:pPr>
            <w:r>
              <w:rPr>
                <w:rFonts w:ascii="Arial" w:cs="Arial" w:eastAsia="Arial" w:hAnsi="Arial"/>
                <w:sz w:val="18"/>
                <w:szCs w:val="18"/>
                <w:color w:val="auto"/>
                <w:w w:val="99"/>
              </w:rPr>
              <w:t>123%</w:t>
            </w:r>
          </w:p>
        </w:tc>
        <w:tc>
          <w:tcPr>
            <w:tcW w:w="100" w:type="dxa"/>
            <w:vAlign w:val="bottom"/>
          </w:tcPr>
          <w:p>
            <w:pPr>
              <w:spacing w:after="0"/>
              <w:rPr>
                <w:sz w:val="23"/>
                <w:szCs w:val="23"/>
                <w:color w:val="auto"/>
              </w:rPr>
            </w:pPr>
          </w:p>
        </w:tc>
        <w:tc>
          <w:tcPr>
            <w:tcW w:w="1480" w:type="dxa"/>
            <w:vAlign w:val="bottom"/>
          </w:tcPr>
          <w:p>
            <w:pPr>
              <w:jc w:val="center"/>
              <w:ind w:right="134"/>
              <w:spacing w:after="0"/>
              <w:rPr>
                <w:sz w:val="20"/>
                <w:szCs w:val="20"/>
                <w:color w:val="auto"/>
              </w:rPr>
            </w:pPr>
            <w:r>
              <w:rPr>
                <w:rFonts w:ascii="Arial" w:cs="Arial" w:eastAsia="Arial" w:hAnsi="Arial"/>
                <w:sz w:val="18"/>
                <w:szCs w:val="18"/>
                <w:color w:val="auto"/>
                <w:w w:val="99"/>
              </w:rPr>
              <w:t>121%</w:t>
            </w:r>
          </w:p>
        </w:tc>
      </w:tr>
      <w:tr>
        <w:trPr>
          <w:trHeight w:val="275"/>
        </w:trPr>
        <w:tc>
          <w:tcPr>
            <w:tcW w:w="83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Forfeiture rate</w:t>
            </w:r>
          </w:p>
        </w:tc>
        <w:tc>
          <w:tcPr>
            <w:tcW w:w="148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w w:val="97"/>
              </w:rPr>
              <w:t>0.0%</w:t>
            </w: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w w:val="97"/>
              </w:rPr>
              <w:t>0.0%</w:t>
            </w:r>
          </w:p>
        </w:tc>
      </w:tr>
      <w:tr>
        <w:trPr>
          <w:trHeight w:val="265"/>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tcPr>
          <w:p>
            <w:pPr>
              <w:jc w:val="center"/>
              <w:ind w:right="154"/>
              <w:spacing w:after="0"/>
              <w:rPr>
                <w:sz w:val="20"/>
                <w:szCs w:val="20"/>
                <w:color w:val="auto"/>
              </w:rPr>
            </w:pPr>
            <w:r>
              <w:rPr>
                <w:rFonts w:ascii="Arial" w:cs="Arial" w:eastAsia="Arial" w:hAnsi="Arial"/>
                <w:sz w:val="18"/>
                <w:szCs w:val="18"/>
                <w:color w:val="auto"/>
                <w:w w:val="97"/>
              </w:rPr>
              <w:t>0.0%</w:t>
            </w:r>
          </w:p>
        </w:tc>
        <w:tc>
          <w:tcPr>
            <w:tcW w:w="100" w:type="dxa"/>
            <w:vAlign w:val="bottom"/>
          </w:tcPr>
          <w:p>
            <w:pPr>
              <w:spacing w:after="0"/>
              <w:rPr>
                <w:sz w:val="23"/>
                <w:szCs w:val="23"/>
                <w:color w:val="auto"/>
              </w:rPr>
            </w:pPr>
          </w:p>
        </w:tc>
        <w:tc>
          <w:tcPr>
            <w:tcW w:w="1480" w:type="dxa"/>
            <w:vAlign w:val="bottom"/>
          </w:tcPr>
          <w:p>
            <w:pPr>
              <w:jc w:val="center"/>
              <w:ind w:right="154"/>
              <w:spacing w:after="0"/>
              <w:rPr>
                <w:sz w:val="20"/>
                <w:szCs w:val="20"/>
                <w:color w:val="auto"/>
              </w:rPr>
            </w:pPr>
            <w:r>
              <w:rPr>
                <w:rFonts w:ascii="Arial" w:cs="Arial" w:eastAsia="Arial" w:hAnsi="Arial"/>
                <w:sz w:val="18"/>
                <w:szCs w:val="18"/>
                <w:color w:val="auto"/>
                <w:w w:val="97"/>
              </w:rPr>
              <w:t>0.0%</w:t>
            </w:r>
          </w:p>
        </w:tc>
      </w:tr>
      <w:tr>
        <w:trPr>
          <w:trHeight w:val="275"/>
        </w:trPr>
        <w:tc>
          <w:tcPr>
            <w:tcW w:w="83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148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w w:val="97"/>
              </w:rPr>
              <w:t>$0.86</w:t>
            </w: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w w:val="97"/>
              </w:rPr>
              <w:t>$0.75</w:t>
            </w:r>
          </w:p>
        </w:tc>
      </w:tr>
    </w:tbl>
    <w:p>
      <w:pPr>
        <w:spacing w:after="0" w:line="200" w:lineRule="exact"/>
        <w:rPr>
          <w:sz w:val="20"/>
          <w:szCs w:val="20"/>
          <w:color w:val="auto"/>
        </w:rPr>
      </w:pPr>
    </w:p>
    <w:p>
      <w:pPr>
        <w:spacing w:after="0" w:line="275" w:lineRule="exact"/>
        <w:rPr>
          <w:sz w:val="20"/>
          <w:szCs w:val="20"/>
          <w:color w:val="auto"/>
        </w:rPr>
      </w:pPr>
    </w:p>
    <w:p>
      <w:pPr>
        <w:ind w:left="1300" w:hanging="1292"/>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1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January 2018, the Company entered into a common stock sales agreement under which the Company may sell up to an aggregate of $10 million in gross proceeds through the sale of shares of common stock from time to time in “at-the-market” equity offerings (as defined in Rule 415 promulgated under the Securities Act of 1933, as amended). The Company will pay a commission of up to 3% of the gross proceeds of any common stock sold under this agreement plus certain legal expenses. This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6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Company sold no shares under this agreement during either the three or six months ended June 30, 2019 or the three months ended June 30, 2018. During the six months ended June 30, 2018, the Company sold an aggregate of 375,000 shares common stock under this agreement for gross proceeds of approximately $1.1 million and incurred issuance costs of $237,403.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2018 Underwritten Public Offering</w:t>
      </w:r>
    </w:p>
    <w:p>
      <w:pPr>
        <w:spacing w:after="0" w:line="11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February 2018, the Company closed an underwritten public offering of 5.0 million shares of its common stock and warrants to purchase up to 3.5 million shares of its common stock. Each share of common stock was sold with a warrant to purchase up to 0.70 of a share of the Company’s common stock. The Company granted the underwriter a 30-day over-allotment option to purchase up to an additional 750,000 shares of common stock and/or warrants to purchase up to 525,000 shares of common stock. The underwriter exercised the option with respect to warrants to purchase 220,500 shares of common stock. The Company received gross proceeds of $10.3 million, including the proceeds from the sale of the warrants upon exercise of the underwriter’s over-allotment option, and net proceeds of approximately $9.4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warrants issued in the February 2018 underwritten offering initially had an exercise price of $3.00 per share and are exercisable through February 2023. The warrants include a price-based anti-dilution provision, which provides that, subject to certain limited exceptions, the exercise price of the warrants will be reduced each time the Company issues or sells securities for a consideration per share less than a price equal to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has been recorded in equity as of the grant date. The Company early adopted ASU 2017-11 as of January 1, 2018 and recorded the fair value of the warrants as equity.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51" w:right="239" w:bottom="1440" w:gutter="0" w:footer="0" w:header="0"/>
        </w:sectPr>
      </w:pPr>
    </w:p>
    <w:bookmarkStart w:id="16" w:name="page17"/>
    <w:bookmarkEnd w:id="16"/>
    <w:p>
      <w:pPr>
        <w:jc w:val="both"/>
        <w:ind w:firstLine="1297"/>
        <w:spacing w:after="0" w:line="264" w:lineRule="auto"/>
        <w:rPr>
          <w:sz w:val="20"/>
          <w:szCs w:val="20"/>
          <w:color w:val="auto"/>
        </w:rPr>
      </w:pPr>
      <w:r>
        <w:rPr>
          <w:rFonts w:ascii="Arial" w:cs="Arial" w:eastAsia="Arial" w:hAnsi="Arial"/>
          <w:sz w:val="18"/>
          <w:szCs w:val="18"/>
          <w:color w:val="auto"/>
        </w:rPr>
        <w:t>On April 11, 2019, in accordance with the anti-dilution provision of these warrants and as a result of the sale of shares in the public offering that closed on that date and which is discussed below, the exercise price of these warrants was automatically reduced to $0.98 per share. For the three and six months ended June 30, 2019 the Company recorded $0.8 million to additional paid in capital as a result of the triggering of the anti-dilution provisions.</w:t>
      </w:r>
    </w:p>
    <w:p>
      <w:pPr>
        <w:spacing w:after="0" w:line="62"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In addition to the warrants issued in the February 2018 underwritten offering, as of June 30, 2019, there are outstanding warrants to purchase 30,333 shares of the Company’s common stock, which are further described in the table below.</w:t>
      </w:r>
    </w:p>
    <w:p>
      <w:pPr>
        <w:spacing w:after="0" w:line="37" w:lineRule="exact"/>
        <w:rPr>
          <w:sz w:val="20"/>
          <w:szCs w:val="20"/>
          <w:color w:val="auto"/>
        </w:rPr>
      </w:pPr>
    </w:p>
    <w:p>
      <w:pPr>
        <w:ind w:right="200" w:firstLine="1297"/>
        <w:spacing w:after="0" w:line="292" w:lineRule="auto"/>
        <w:rPr>
          <w:sz w:val="20"/>
          <w:szCs w:val="20"/>
          <w:color w:val="auto"/>
        </w:rPr>
      </w:pPr>
      <w:r>
        <w:rPr>
          <w:rFonts w:ascii="Arial" w:cs="Arial" w:eastAsia="Arial" w:hAnsi="Arial"/>
          <w:sz w:val="18"/>
          <w:szCs w:val="18"/>
          <w:color w:val="auto"/>
        </w:rPr>
        <w:t>No warrants were exercised during the six months ended June 30, 2019 or 2018. As of June 30, 2019, the Company had the following warrants outstanding: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20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6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Borders>
              <w:bottom w:val="single" w:sz="8" w:color="CFF0FC"/>
            </w:tcBorders>
          </w:tcPr>
          <w:p>
            <w:pPr>
              <w:spacing w:after="0"/>
              <w:rPr>
                <w:sz w:val="17"/>
                <w:szCs w:val="17"/>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251"/>
        </w:trPr>
        <w:tc>
          <w:tcPr>
            <w:tcW w:w="39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2,906</w:t>
            </w: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center"/>
              <w:ind w:right="893"/>
              <w:spacing w:after="0"/>
              <w:rPr>
                <w:sz w:val="20"/>
                <w:szCs w:val="20"/>
                <w:color w:val="auto"/>
              </w:rPr>
            </w:pPr>
            <w:r>
              <w:rPr>
                <w:rFonts w:ascii="Arial" w:cs="Arial" w:eastAsia="Arial" w:hAnsi="Arial"/>
                <w:sz w:val="18"/>
                <w:szCs w:val="18"/>
                <w:color w:val="auto"/>
              </w:rPr>
              <w:t>120.40</w:t>
            </w:r>
          </w:p>
        </w:tc>
        <w:tc>
          <w:tcPr>
            <w:tcW w:w="460" w:type="dxa"/>
            <w:vAlign w:val="bottom"/>
            <w:shd w:val="clear" w:color="auto" w:fill="CFF0FC"/>
          </w:tcPr>
          <w:p>
            <w:pPr>
              <w:spacing w:after="0"/>
              <w:rPr>
                <w:sz w:val="21"/>
                <w:szCs w:val="21"/>
                <w:color w:val="auto"/>
              </w:rPr>
            </w:pPr>
          </w:p>
        </w:tc>
        <w:tc>
          <w:tcPr>
            <w:tcW w:w="3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December 1, 2021</w:t>
            </w:r>
          </w:p>
        </w:tc>
      </w:tr>
      <w:tr>
        <w:trPr>
          <w:trHeight w:val="265"/>
        </w:trPr>
        <w:tc>
          <w:tcPr>
            <w:tcW w:w="3900" w:type="dxa"/>
            <w:vAlign w:val="bottom"/>
          </w:tcPr>
          <w:p>
            <w:pPr>
              <w:jc w:val="center"/>
              <w:spacing w:after="0"/>
              <w:rPr>
                <w:sz w:val="20"/>
                <w:szCs w:val="20"/>
                <w:color w:val="auto"/>
              </w:rPr>
            </w:pPr>
            <w:r>
              <w:rPr>
                <w:rFonts w:ascii="Arial" w:cs="Arial" w:eastAsia="Arial" w:hAnsi="Arial"/>
                <w:sz w:val="18"/>
                <w:szCs w:val="18"/>
                <w:color w:val="auto"/>
              </w:rPr>
              <w:t>3,737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tcPr>
          <w:p>
            <w:pPr>
              <w:jc w:val="center"/>
              <w:ind w:right="893"/>
              <w:spacing w:after="0"/>
              <w:rPr>
                <w:sz w:val="20"/>
                <w:szCs w:val="20"/>
                <w:color w:val="auto"/>
              </w:rPr>
            </w:pPr>
            <w:r>
              <w:rPr>
                <w:rFonts w:ascii="Arial" w:cs="Arial" w:eastAsia="Arial" w:hAnsi="Arial"/>
                <w:sz w:val="18"/>
                <w:szCs w:val="18"/>
                <w:color w:val="auto"/>
              </w:rPr>
              <w:t>120.40</w:t>
            </w:r>
          </w:p>
        </w:tc>
        <w:tc>
          <w:tcPr>
            <w:tcW w:w="460" w:type="dxa"/>
            <w:vAlign w:val="bottom"/>
          </w:tcPr>
          <w:p>
            <w:pPr>
              <w:spacing w:after="0"/>
              <w:rPr>
                <w:sz w:val="23"/>
                <w:szCs w:val="23"/>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December 6, 2021</w:t>
            </w:r>
          </w:p>
        </w:tc>
      </w:tr>
      <w:tr>
        <w:trPr>
          <w:trHeight w:val="275"/>
        </w:trPr>
        <w:tc>
          <w:tcPr>
            <w:tcW w:w="3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17,190</w:t>
            </w: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center"/>
              <w:ind w:right="893"/>
              <w:spacing w:after="0"/>
              <w:rPr>
                <w:sz w:val="20"/>
                <w:szCs w:val="20"/>
                <w:color w:val="auto"/>
              </w:rPr>
            </w:pPr>
            <w:r>
              <w:rPr>
                <w:rFonts w:ascii="Arial" w:cs="Arial" w:eastAsia="Arial" w:hAnsi="Arial"/>
                <w:sz w:val="18"/>
                <w:szCs w:val="18"/>
                <w:color w:val="auto"/>
                <w:w w:val="97"/>
              </w:rPr>
              <w:t>60.50</w:t>
            </w:r>
          </w:p>
        </w:tc>
        <w:tc>
          <w:tcPr>
            <w:tcW w:w="460" w:type="dxa"/>
            <w:vAlign w:val="bottom"/>
            <w:shd w:val="clear" w:color="auto" w:fill="CFF0FC"/>
          </w:tcPr>
          <w:p>
            <w:pPr>
              <w:spacing w:after="0"/>
              <w:rPr>
                <w:sz w:val="23"/>
                <w:szCs w:val="23"/>
                <w:color w:val="auto"/>
              </w:rPr>
            </w:pPr>
          </w:p>
        </w:tc>
        <w:tc>
          <w:tcPr>
            <w:tcW w:w="3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January 8, 2020</w:t>
            </w:r>
          </w:p>
        </w:tc>
      </w:tr>
      <w:tr>
        <w:trPr>
          <w:trHeight w:val="265"/>
        </w:trPr>
        <w:tc>
          <w:tcPr>
            <w:tcW w:w="3900" w:type="dxa"/>
            <w:vAlign w:val="bottom"/>
          </w:tcPr>
          <w:p>
            <w:pPr>
              <w:jc w:val="center"/>
              <w:spacing w:after="0"/>
              <w:rPr>
                <w:sz w:val="20"/>
                <w:szCs w:val="20"/>
                <w:color w:val="auto"/>
              </w:rPr>
            </w:pPr>
            <w:r>
              <w:rPr>
                <w:rFonts w:ascii="Arial" w:cs="Arial" w:eastAsia="Arial" w:hAnsi="Arial"/>
                <w:sz w:val="18"/>
                <w:szCs w:val="18"/>
                <w:color w:val="auto"/>
              </w:rPr>
              <w:t>6,500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tcPr>
          <w:p>
            <w:pPr>
              <w:jc w:val="center"/>
              <w:ind w:right="893"/>
              <w:spacing w:after="0"/>
              <w:rPr>
                <w:sz w:val="20"/>
                <w:szCs w:val="20"/>
                <w:color w:val="auto"/>
              </w:rPr>
            </w:pPr>
            <w:r>
              <w:rPr>
                <w:rFonts w:ascii="Arial" w:cs="Arial" w:eastAsia="Arial" w:hAnsi="Arial"/>
                <w:sz w:val="18"/>
                <w:szCs w:val="18"/>
                <w:color w:val="auto"/>
                <w:w w:val="97"/>
              </w:rPr>
              <w:t>10.00</w:t>
            </w:r>
          </w:p>
        </w:tc>
        <w:tc>
          <w:tcPr>
            <w:tcW w:w="460" w:type="dxa"/>
            <w:vAlign w:val="bottom"/>
          </w:tcPr>
          <w:p>
            <w:pPr>
              <w:spacing w:after="0"/>
              <w:rPr>
                <w:sz w:val="23"/>
                <w:szCs w:val="23"/>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8"/>
              </w:rPr>
              <w:t>April 4, 2026</w:t>
            </w:r>
          </w:p>
        </w:tc>
      </w:tr>
      <w:tr>
        <w:trPr>
          <w:trHeight w:val="270"/>
        </w:trPr>
        <w:tc>
          <w:tcPr>
            <w:tcW w:w="39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3,720,500</w:t>
            </w: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center"/>
              <w:ind w:right="893"/>
              <w:spacing w:after="0"/>
              <w:rPr>
                <w:sz w:val="20"/>
                <w:szCs w:val="20"/>
                <w:color w:val="auto"/>
              </w:rPr>
            </w:pPr>
            <w:r>
              <w:rPr>
                <w:rFonts w:ascii="Arial" w:cs="Arial" w:eastAsia="Arial" w:hAnsi="Arial"/>
                <w:sz w:val="18"/>
                <w:szCs w:val="18"/>
                <w:color w:val="auto"/>
              </w:rPr>
              <w:t>0.98</w:t>
            </w:r>
          </w:p>
        </w:tc>
        <w:tc>
          <w:tcPr>
            <w:tcW w:w="460" w:type="dxa"/>
            <w:vAlign w:val="bottom"/>
            <w:shd w:val="clear" w:color="auto" w:fill="CFF0FC"/>
          </w:tcPr>
          <w:p>
            <w:pPr>
              <w:spacing w:after="0"/>
              <w:rPr>
                <w:sz w:val="23"/>
                <w:szCs w:val="23"/>
                <w:color w:val="auto"/>
              </w:rPr>
            </w:pPr>
          </w:p>
        </w:tc>
        <w:tc>
          <w:tcPr>
            <w:tcW w:w="35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February 15, 2023</w:t>
            </w:r>
          </w:p>
        </w:tc>
      </w:tr>
      <w:tr>
        <w:trPr>
          <w:trHeight w:val="25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3,750,833</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2019 Underwritten Public Offering</w:t>
      </w:r>
    </w:p>
    <w:p>
      <w:pPr>
        <w:spacing w:after="0" w:line="144"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On April 11, 2019, the Company closed an underwritten public offering of 4,575,000 shares of its common stock at a public offering price of $1.10 per share. The Company granted the underwriters a 30-day over-allotment option to purchase up to an additional 686,250 shares which was exercised in full on April 12, 2019. Including the over-allotment shares, the Company issued a total of 5,261,250 shares in the underwritten public offering, and received gross proceeds of approximately $5.8 million and net proceeds of approximately $5.2 million after deducting underwriting discounts and offering expenses.</w:t>
      </w:r>
    </w:p>
    <w:p>
      <w:pPr>
        <w:spacing w:after="0" w:line="133" w:lineRule="exact"/>
        <w:rPr>
          <w:sz w:val="20"/>
          <w:szCs w:val="20"/>
          <w:color w:val="auto"/>
        </w:rPr>
      </w:pPr>
    </w:p>
    <w:p>
      <w:pPr>
        <w:ind w:left="1300" w:hanging="1292"/>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11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Effective January 1, 2019, the Company adopted ASC 842, which requires recognition of a right-of-use asset and lease liability for all leases at the commencement date based on the present value of lease payments over the lease term. Additional qualitative and quantitative disclosures regarding the Company's leasing arrangements are also required. The Company adopted ASC 842 prospectively and elected the package of transition practical expedients that does not require reassessment of: (1) whether any existing or expired contracts are or contain leases, (2) lease classification and (3) initial direct costs. In addition, the Company has elected other available practical expedients to not separate lease and nonlease components, which consist principally of common area maintenance charges, for all classes of underlying assets and to exclude leases with an initial term of 12 months or less.</w:t>
      </w:r>
    </w:p>
    <w:p>
      <w:pPr>
        <w:spacing w:after="0" w:line="6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has term of 37 months, and terminates on July 31, 2021. The Company has the option to extend the term of the lease for one year at the Company's discretion. The gross monthly base rent is $8,873, which increases approximately 4% per year, subject to certain future adjustments. The base rent was abated during the second month of the lease. The Company evaluates renewal options at lease inception and on an ongoing basis, and includes renewal options that it is reasonably certain to exercise in its expected lease terms when classifying leases and measuring lease liabilities. The lease does not require material variable lease payments, a residual value guarantee or restrictive covenants. This is the Company’s only lease.</w:t>
      </w:r>
    </w:p>
    <w:p>
      <w:pPr>
        <w:spacing w:after="0" w:line="6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lease does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of 7% as of January 1, 2019 for the operating lease that commenced prior to that date. The depreciable lives of operating lease assets and leasehold improvements are limited by the expected lease term.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11" w:right="239" w:bottom="1440" w:gutter="0" w:footer="0" w:header="0"/>
        </w:sectPr>
      </w:pPr>
    </w:p>
    <w:bookmarkStart w:id="17" w:name="page18"/>
    <w:bookmarkEnd w:id="17"/>
    <w:p>
      <w:pPr>
        <w:jc w:val="both"/>
        <w:ind w:firstLine="1297"/>
        <w:spacing w:after="0" w:line="292" w:lineRule="auto"/>
        <w:rPr>
          <w:sz w:val="20"/>
          <w:szCs w:val="20"/>
          <w:color w:val="auto"/>
        </w:rPr>
      </w:pPr>
      <w:r>
        <w:rPr>
          <w:rFonts w:ascii="Arial" w:cs="Arial" w:eastAsia="Arial" w:hAnsi="Arial"/>
          <w:sz w:val="18"/>
          <w:szCs w:val="18"/>
          <w:color w:val="auto"/>
        </w:rPr>
        <w:t>As of June 30, 2019, the Company recorded a right of use asset of $193,399 in other non-current assets, and $87,859 and $116,089, respectively, in current and non-current other liabilities on the consolidated balance sheet.</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of June 30, 2019, future minimum lease payments for the Company's corporate headquarters 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48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1"/>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Remainder of 2019</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55,531</w:t>
            </w:r>
          </w:p>
        </w:tc>
      </w:tr>
      <w:tr>
        <w:trPr>
          <w:trHeight w:val="252"/>
        </w:trPr>
        <w:tc>
          <w:tcPr>
            <w:tcW w:w="9480" w:type="dxa"/>
            <w:vAlign w:val="bottom"/>
          </w:tcPr>
          <w:p>
            <w:pPr>
              <w:ind w:left="28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112,943</w:t>
            </w:r>
          </w:p>
        </w:tc>
      </w:tr>
      <w:tr>
        <w:trPr>
          <w:trHeight w:val="261"/>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67,595</w:t>
            </w:r>
          </w:p>
        </w:tc>
      </w:tr>
      <w:tr>
        <w:trPr>
          <w:trHeight w:val="249"/>
        </w:trPr>
        <w:tc>
          <w:tcPr>
            <w:tcW w:w="948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future minimum lease payments</w:t>
            </w:r>
          </w:p>
        </w:tc>
        <w:tc>
          <w:tcPr>
            <w:tcW w:w="6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236,069</w:t>
            </w:r>
          </w:p>
        </w:tc>
      </w:tr>
      <w:tr>
        <w:trPr>
          <w:trHeight w:val="246"/>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Difference between future minimum lease payments and discounted operating lease liabilities</w:t>
            </w:r>
          </w:p>
        </w:tc>
        <w:tc>
          <w:tcPr>
            <w:tcW w:w="6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42,669</w:t>
            </w:r>
          </w:p>
        </w:tc>
      </w:tr>
      <w:tr>
        <w:trPr>
          <w:trHeight w:val="255"/>
        </w:trPr>
        <w:tc>
          <w:tcPr>
            <w:tcW w:w="9480" w:type="dxa"/>
            <w:vAlign w:val="bottom"/>
          </w:tcPr>
          <w:p>
            <w:pPr>
              <w:ind w:left="380"/>
              <w:spacing w:after="0"/>
              <w:rPr>
                <w:sz w:val="20"/>
                <w:szCs w:val="20"/>
                <w:color w:val="auto"/>
              </w:rPr>
            </w:pPr>
            <w:r>
              <w:rPr>
                <w:rFonts w:ascii="Arial" w:cs="Arial" w:eastAsia="Arial" w:hAnsi="Arial"/>
                <w:sz w:val="18"/>
                <w:szCs w:val="18"/>
                <w:b w:val="1"/>
                <w:bCs w:val="1"/>
                <w:color w:val="auto"/>
              </w:rPr>
              <w:t>Total operating lease liabilities</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193,400</w:t>
            </w:r>
          </w:p>
        </w:tc>
      </w:tr>
      <w:tr>
        <w:trPr>
          <w:trHeight w:val="20"/>
        </w:trPr>
        <w:tc>
          <w:tcPr>
            <w:tcW w:w="9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Operating lease costs were $27,038 and $54,076 for the three and six months ended June 30, 2019, respectively. Operating lease costs are included in general and administrative expenses in the condensed consolidated statement of operations.</w:t>
      </w:r>
    </w:p>
    <w:p>
      <w:pPr>
        <w:spacing w:after="0" w:line="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Cash paid for amounts included in the measurement of operating lease liabilities were $26,620 and $53,240 for the three and six months ended June 30, 2019, respectively, and these amounts are included in operating activities in the condensed consolidated statements of cash flows.</w:t>
      </w:r>
    </w:p>
    <w:p>
      <w:pPr>
        <w:spacing w:after="0" w:line="121" w:lineRule="exact"/>
        <w:rPr>
          <w:sz w:val="20"/>
          <w:szCs w:val="20"/>
          <w:color w:val="auto"/>
        </w:rPr>
      </w:pPr>
    </w:p>
    <w:p>
      <w:pPr>
        <w:ind w:right="6760" w:firstLine="8"/>
        <w:spacing w:after="0" w:line="455" w:lineRule="auto"/>
        <w:tabs>
          <w:tab w:leader="none" w:pos="1297"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License and Research Agreements</w:t>
      </w:r>
    </w:p>
    <w:p>
      <w:pPr>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11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March 2017, the Company entered into a license agreement, or the ADVA-Tec License Agreement, with ADVA-Tec, Inc., or ADVA-Tec, under which the Company was granted the exclusive right to develop and commercialize Ovaprene for human contraceptive use worldwide. ADVA-Tec and its affiliates own issued patents or patent applications covering Ovaprene and control proprietary trade secrets covering the manufacture of Ovaprene. As of the date of this report, this patent portfolio includes nine issued U.S. patents and one pending U.S. patent application, and 59 granted patents and four pending patent applications in other major markets, all of which are exclusively licensed to the Company for the human contraceptive use of Ovaprene as a human contraceptive device. Under the terms of the ADVA-Tec Agreement, the Company has a right of first refusal to license these patents and patent applications for additional indications.</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ADVA-Tec License Agreement:</w:t>
      </w:r>
    </w:p>
    <w:p>
      <w:pPr>
        <w:spacing w:after="0" w:line="11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ADVA-Tec will conduct certain research and development work as necessary to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seek a Premarket Approval, or PMA, from the United States Food and Drug Administration, or the FDA, and will supply the Company with its requirements of Ovaprene for clinical and commercial use on commercially reasonable terms. The Company must use commercially reasonable efforts to develop and commercialize Ovaprene, and must meet certain minimum spending amounts per year, such amounts totaling $ 5.0 million in the aggregate over the first three years, to cover such activities until a final PMA is filed, or until the first commercial sale of Ovaprene, whichever occurs first.</w:t>
      </w:r>
    </w:p>
    <w:p>
      <w:pPr>
        <w:spacing w:after="0" w:line="6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and (2) up to $20 million in the aggregate based on the achievement of certain worldwide net sales milestones. The development and regulatory milestones include: the completion of a successful postcoital clinical study, which is required before the Company can commence a Phase 3 pivotal human clinical trial; approval by the FDA to commence such Phase 3 pivotal human clinical trial; successful completion of such Phase 3 pivotal human clinical trial; the FDA’s acceptance of a PMA filing for Ovaprene; the FDA’s approval of the PMA for Ovaprene; obtaining Conformité Européenne Marking of Ovaprene in at least three designated European countries; obtaining regulatory approval in at least three designated European countries; and obtaining regulatory approval in Japan. Because these milestone payments depend upon the successful progress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Company’s product development programs, the Company cannot estimate with certainty when these payments will occur, if ever.</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For products currently in development, future potential milestone payments based on product development are approximately $14.6 million as of June 30, 2019. Future potential milestone payments related to commercialization totaled $ 20 million at June 30, 2019. The Company is unable to estimate with certainty the timing on when these milestone payments will occur as these payments depend on the Company's product development programs.</w:t>
      </w:r>
    </w:p>
    <w:p>
      <w:pPr>
        <w:spacing w:after="0" w:line="6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After the commercial launch of Ovaprene, the Company will pay to ADVA-Tec royalties based on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of Ovaprene in specified regions, at a royalty rate that will vary between 1% and 10% and will increase based on various net sales thresholds. The Company is unable to estimate with certainty the timing on when these royalty payments will occur as these payments depend on the Company's product development programs.</w:t>
      </w:r>
    </w:p>
    <w:p>
      <w:pPr>
        <w:spacing w:after="0" w:line="6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 xml:space="preserve">Termination Rights. </w:t>
      </w:r>
      <w:r>
        <w:rPr>
          <w:rFonts w:ascii="Arial" w:cs="Arial" w:eastAsia="Arial" w:hAnsi="Arial"/>
          <w:sz w:val="18"/>
          <w:szCs w:val="18"/>
          <w:color w:val="auto"/>
        </w:rPr>
        <w:t>Unless earlier terminated, the license the Company received under the ADVA-Tec License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on a country-by-country basis until the later of the life of the licensed patents or the Company's last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that is agreed by the Company and ADVA-Tec,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its reasonable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1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In February 2018, the Company entered into a license and collaboration agreement, or the SST License Agreement, with Strategic Science &amp; Technologies-D, LLC and Strategic Science &amp; Technologies, LLC, referred to collectively as SST. The SST License Agreement provides the Company with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exists as of the effective date of the SST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SST License Agreement:</w:t>
      </w:r>
    </w:p>
    <w:p>
      <w:pPr>
        <w:spacing w:after="0" w:line="11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Invention </w:t>
      </w:r>
      <w:r>
        <w:rPr>
          <w:rFonts w:ascii="Arial" w:cs="Arial" w:eastAsia="Arial" w:hAnsi="Arial"/>
          <w:sz w:val="18"/>
          <w:szCs w:val="18"/>
          <w:color w:val="auto"/>
        </w:rPr>
        <w:t>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retains rights to inventions made by its employees, SST retains rights to inventions made</w:t>
      </w:r>
      <w:r>
        <w:rPr>
          <w:rFonts w:ascii="Arial" w:cs="Arial" w:eastAsia="Arial" w:hAnsi="Arial"/>
          <w:sz w:val="18"/>
          <w:szCs w:val="18"/>
          <w:i w:val="1"/>
          <w:iCs w:val="1"/>
          <w:color w:val="auto"/>
        </w:rPr>
        <w:t xml:space="preserve"> </w:t>
      </w:r>
      <w:r>
        <w:rPr>
          <w:rFonts w:ascii="Arial" w:cs="Arial" w:eastAsia="Arial" w:hAnsi="Arial"/>
          <w:sz w:val="18"/>
          <w:szCs w:val="18"/>
          <w:color w:val="auto"/>
        </w:rPr>
        <w:t>by its employees, and each party shall own a 50% undivided interest in all joint inventions.</w:t>
      </w:r>
    </w:p>
    <w:p>
      <w:pPr>
        <w:spacing w:after="0" w:line="3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Joint </w:t>
      </w:r>
      <w:r>
        <w:rPr>
          <w:rFonts w:ascii="Arial" w:cs="Arial" w:eastAsia="Arial" w:hAnsi="Arial"/>
          <w:sz w:val="18"/>
          <w:szCs w:val="18"/>
          <w:color w:val="auto"/>
        </w:rPr>
        <w:t>Development</w:t>
      </w:r>
      <w:r>
        <w:rPr>
          <w:rFonts w:ascii="Arial" w:cs="Arial" w:eastAsia="Arial" w:hAnsi="Arial"/>
          <w:sz w:val="18"/>
          <w:szCs w:val="18"/>
          <w:i w:val="1"/>
          <w:iCs w:val="1"/>
          <w:color w:val="auto"/>
        </w:rPr>
        <w:t xml:space="preserve"> Committee</w:t>
      </w:r>
      <w:r>
        <w:rPr>
          <w:rFonts w:ascii="Arial" w:cs="Arial" w:eastAsia="Arial" w:hAnsi="Arial"/>
          <w:sz w:val="18"/>
          <w:szCs w:val="18"/>
          <w:color w:val="auto"/>
        </w:rPr>
        <w:t>. The parties will collaborate through a joint development committee that will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objectives for, and generally oversee, the development efforts of both parties under the SST License Agreement.</w:t>
      </w:r>
    </w:p>
    <w:p>
      <w:pPr>
        <w:spacing w:after="0" w:line="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Development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must use commercially reasonable efforts to develop the Licensed Products in the Field of Use in accordance with a development plan in the SST License Agreement, and to commercialize the Licensed Products in the Field of Use. The Company is responsible for all reasonable internal and external costs and expenses incurred by SST in its performance of the development activities it must perform under the SST License Agreement.</w:t>
      </w:r>
    </w:p>
    <w:p>
      <w:pPr>
        <w:spacing w:after="0" w:line="62" w:lineRule="exact"/>
        <w:rPr>
          <w:sz w:val="20"/>
          <w:szCs w:val="20"/>
          <w:color w:val="auto"/>
        </w:rPr>
      </w:pPr>
    </w:p>
    <w:p>
      <w:pPr>
        <w:jc w:val="both"/>
        <w:ind w:right="20" w:firstLine="1297"/>
        <w:spacing w:after="0" w:line="271" w:lineRule="auto"/>
        <w:rPr>
          <w:sz w:val="20"/>
          <w:szCs w:val="20"/>
          <w:color w:val="auto"/>
        </w:rPr>
      </w:pPr>
      <w:r>
        <w:rPr>
          <w:rFonts w:ascii="Arial" w:cs="Arial" w:eastAsia="Arial" w:hAnsi="Arial"/>
          <w:sz w:val="18"/>
          <w:szCs w:val="18"/>
          <w:i w:val="1"/>
          <w:iCs w:val="1"/>
          <w:color w:val="auto"/>
        </w:rPr>
        <w:t xml:space="preserve">Royalty </w:t>
      </w:r>
      <w:r>
        <w:rPr>
          <w:rFonts w:ascii="Arial" w:cs="Arial" w:eastAsia="Arial" w:hAnsi="Arial"/>
          <w:sz w:val="18"/>
          <w:szCs w:val="18"/>
          <w:color w:val="auto"/>
        </w:rPr>
        <w:t>Payments. SST will be eligible to receive (1) tiered royalties based on percentages of annual net sales of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single digits to the mid double digits, subject to customary royalty reductions and offsets, and (2) a percentage of sublicense revenue.</w:t>
      </w:r>
    </w:p>
    <w:p>
      <w:pPr>
        <w:spacing w:after="0" w:line="5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and $100 million in the aggregate upon achieving certain commercial sales milestones. If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4" w:right="239" w:bottom="1440" w:gutter="0" w:footer="0" w:header="0"/>
        </w:sectPr>
      </w:pPr>
    </w:p>
    <w:bookmarkStart w:id="19" w:name="page20"/>
    <w:bookmarkEnd w:id="19"/>
    <w:p>
      <w:pPr>
        <w:jc w:val="both"/>
        <w:spacing w:after="0" w:line="292" w:lineRule="auto"/>
        <w:rPr>
          <w:sz w:val="20"/>
          <w:szCs w:val="20"/>
          <w:color w:val="auto"/>
        </w:rPr>
      </w:pPr>
      <w:r>
        <w:rPr>
          <w:rFonts w:ascii="Arial" w:cs="Arial" w:eastAsia="Arial" w:hAnsi="Arial"/>
          <w:sz w:val="18"/>
          <w:szCs w:val="18"/>
          <w:color w:val="auto"/>
        </w:rPr>
        <w:t>Company enters into strategic development or distribution partnerships related to the Licensed Products, additional milestone payments would be due to SST.</w:t>
      </w:r>
    </w:p>
    <w:p>
      <w:pPr>
        <w:spacing w:after="0" w:line="3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 xml:space="preserve">License Term. </w:t>
      </w:r>
      <w:r>
        <w:rPr>
          <w:rFonts w:ascii="Arial" w:cs="Arial" w:eastAsia="Arial" w:hAnsi="Arial"/>
          <w:sz w:val="18"/>
          <w:szCs w:val="18"/>
          <w:color w:val="auto"/>
        </w:rPr>
        <w:t>The Company’s license received under the SST License Agreement continues on a country-by-country basis</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later of 10 years from the date of the first commercial sale of such Licensed Product or the expiration of the last valid claim of patent rights covering the Licensed Product in the Field of Use. Upon expiration (but not termination) of the SST License Agreement in a particular country, the Company will have a fully paid-up license under the licensed intellectual property to develop and commercialize the applicable Licensed Products in the applicable country on a non-exclusive basis.</w:t>
      </w:r>
    </w:p>
    <w:p>
      <w:pPr>
        <w:spacing w:after="0" w:line="6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In addition to customary termination rights for both parties: (1) prior to receipt of approval by a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commercialization of a Licensed Product in the corresponding jurisdiction, including New Drug Application Approval, or NDA Approval, the Company may terminate the SST License Agreement without cause upon 90 days prior written notice to SST; (2) following receipt of approval by a regulatory authority necessary for commercialization of a Licensed Product in the corresponding jurisdiction, including NDA Approval, the Company may terminate the SST License Agreement without cause upon 180 days prior written notice; and (3) SST may terminate the SST License Agreement with respect to the applicable Licensed Product(s) in the applicable country(ies) upon 30 days’ notice to the Company if the Company fails to use commercially reasonable efforts to perform development activities in substantial accordance with the development plan and does not cure such failure within 60 days of receipt of SST’s notice thereof.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1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In March 2018, the Company entered into an exclusive development and option agreement, or the Orbis Agreement, with Orbis Biosciences, or Orbis, for the development of long-acting injectable etonogestrel contraceptive with 6- and 12-month durations (ORB-204 and ORB-214, respectively). Under the Orbis Agreement, the Company paid Orbis $300,000 to conduct the first stage of development work, Stage 1, as follows: $150,000 upon signing the Orbis Agreement, $75,000 at the 50% completion point, not later than 6 months following the date the Orbis Agreement was signed (which the Company paid in September 2018), and $75,000 upon delivery by Orbis of the 6-month batch, not later than 11 months following the date the Orbis Agreement was signed (which the Company paid in January 2019). Upon Orbis successfully completing Stage 1 of the development program and achieving the predetermined target milestones for Stage 1, the Company will have 90 days to instruct Orbis whether to commence the second stage of development work, Stage 2. Should the Company execute its option to proceed to Stage 2, it will have to provide additional funding to Orbis for such activities.</w:t>
      </w:r>
    </w:p>
    <w:p>
      <w:pPr>
        <w:spacing w:after="0" w:line="7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16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Orbis Agreement provides the Company with an option to enter into a license agreement for ORB-204 and ORB-214 should development efforts be successful.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Juniper Pharmaceuticals - License Agreement</w:t>
      </w:r>
    </w:p>
    <w:p>
      <w:pPr>
        <w:spacing w:after="0" w:line="11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April 2018, the Company entered into an Exclusive License Agreement, or the Juniper License Agreement, with Juniper Pharmaceuticals, Inc., or Juniper, under which Juniper granted the Company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The Company is entitled to sublicense the rights granted to it under the Juniper License Agreement.</w:t>
      </w:r>
    </w:p>
    <w:p>
      <w:pPr>
        <w:spacing w:after="0" w:line="6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following is a summary of certain terms of the Juniper License Agreement:</w:t>
      </w:r>
    </w:p>
    <w:p>
      <w:pPr>
        <w:spacing w:after="0" w:line="11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Juniper in connection with the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Juniper License Agreement.</w:t>
      </w:r>
    </w:p>
    <w:p>
      <w:pPr>
        <w:spacing w:after="0" w:line="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Annual Maintenance Fee</w:t>
      </w:r>
      <w:r>
        <w:rPr>
          <w:rFonts w:ascii="Arial" w:cs="Arial" w:eastAsia="Arial" w:hAnsi="Arial"/>
          <w:sz w:val="18"/>
          <w:szCs w:val="18"/>
          <w:color w:val="auto"/>
        </w:rPr>
        <w:t>. The Company will pay an annual license maintenance fee to Juniper on each anniversary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Juniper License Agreement, the amount of which will be $50,000 for the first two years and $100,000 thereafter, and which will be creditable against royalties and other payments due to Juniper in the same calendar year but may not be carried forward to any other year.</w:t>
      </w:r>
    </w:p>
    <w:p>
      <w:pPr>
        <w:spacing w:after="0" w:line="5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Milestone </w:t>
      </w:r>
      <w:r>
        <w:rPr>
          <w:rFonts w:ascii="Arial" w:cs="Arial" w:eastAsia="Arial" w:hAnsi="Arial"/>
          <w:sz w:val="18"/>
          <w:szCs w:val="18"/>
          <w:color w:val="auto"/>
        </w:rPr>
        <w:t>Payments. The Company must make potential future development and sales milestone payments of (1) up to $13.5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aggregate upon achieving certain clinical and regulatory milestones, and (2)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84" w:right="239" w:bottom="1440" w:gutter="0" w:footer="0" w:header="0"/>
        </w:sectPr>
      </w:pPr>
    </w:p>
    <w:bookmarkStart w:id="20" w:name="page21"/>
    <w:bookmarkEnd w:id="20"/>
    <w:p>
      <w:pPr>
        <w:jc w:val="both"/>
        <w:spacing w:after="0" w:line="292" w:lineRule="auto"/>
        <w:rPr>
          <w:sz w:val="20"/>
          <w:szCs w:val="20"/>
          <w:color w:val="auto"/>
        </w:rPr>
      </w:pPr>
      <w:r>
        <w:rPr>
          <w:rFonts w:ascii="Arial" w:cs="Arial" w:eastAsia="Arial" w:hAnsi="Arial"/>
          <w:sz w:val="18"/>
          <w:szCs w:val="18"/>
          <w:color w:val="auto"/>
        </w:rPr>
        <w:t>up to $30.3 million in the aggregate upon achieving certain commercial sales milestones for each product or process covered by the licenses granted under the Juniper License Agreement.</w:t>
      </w:r>
    </w:p>
    <w:p>
      <w:pPr>
        <w:spacing w:after="0" w:line="3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Juniper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worldwide net sales of products and processes covered by the licenses granted under the Juniper </w:t>
      </w:r>
      <w:r>
        <w:rPr>
          <w:rFonts w:ascii="Arial" w:cs="Arial" w:eastAsia="Arial" w:hAnsi="Arial"/>
          <w:sz w:val="18"/>
          <w:szCs w:val="18"/>
          <w:i w:val="1"/>
          <w:iCs w:val="1"/>
          <w:color w:val="auto"/>
        </w:rPr>
        <w:t>License</w:t>
      </w:r>
      <w:r>
        <w:rPr>
          <w:rFonts w:ascii="Arial" w:cs="Arial" w:eastAsia="Arial" w:hAnsi="Arial"/>
          <w:sz w:val="18"/>
          <w:szCs w:val="18"/>
          <w:color w:val="auto"/>
        </w:rPr>
        <w:t xml:space="preserve"> Agreement. In lieu of such royalty payments, the Company will pay Juniper a low double-digit percentage of all sublicense income the Company receives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w:t>
      </w:r>
    </w:p>
    <w:p>
      <w:pPr>
        <w:spacing w:after="0" w:line="4" w:lineRule="exact"/>
        <w:rPr>
          <w:sz w:val="20"/>
          <w:szCs w:val="20"/>
          <w:color w:val="auto"/>
        </w:rPr>
      </w:pPr>
    </w:p>
    <w:p>
      <w:pPr>
        <w:jc w:val="both"/>
        <w:ind w:firstLine="8"/>
        <w:spacing w:after="0" w:line="258" w:lineRule="auto"/>
        <w:tabs>
          <w:tab w:leader="none" w:pos="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The Company must use commercially reasonable efforts to develop and make at least one product or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the public, which efforts include achieving specific diligence requirements by specific dates specified in the Juniper License Agreement.</w:t>
      </w:r>
    </w:p>
    <w:p>
      <w:pPr>
        <w:spacing w:after="0" w:line="5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T</w:t>
      </w:r>
      <w:r>
        <w:rPr>
          <w:rFonts w:ascii="Arial" w:cs="Arial" w:eastAsia="Arial" w:hAnsi="Arial"/>
          <w:sz w:val="18"/>
          <w:szCs w:val="18"/>
          <w:color w:val="auto"/>
        </w:rPr>
        <w:t>erm. Unless earlier terminated, the term of the Juniper License Agreement will continue on a country-by-country basis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later of (1) the expiration date of the last valid claim within such country, or (2) 10 years from the date of first commercial sale of a product or process in such country. Upon expiration (but not early termination) of the Juniper License Agreement, the licenses granted thereunder will convert automatically to fully-paid irrevocable licenses. Juniper may terminate the Juniper License Agreement (1) upon 30 days’ notice for the Company’s uncured breach of any payment obligation under the Juniper License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its other obligations under the Juniper License Agreement. The Company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the Company terminates the Juniper License Agreement, Juniper will have full access including the right to use and reference all product data generated during the term of the Juniper License Agreement that is owned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may be required to make certain royalty and milestone payments under the Merger Agreement (see 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Hammock/MilanaPharm Assignment and License Agreement</w:t>
      </w:r>
    </w:p>
    <w:p>
      <w:pPr>
        <w:spacing w:after="0" w:line="11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On December 5,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used to treat certain bacterial infections, including BV, and has been engineered to produce a dual release pattern after vaginal application, providing maximum duration of exposure to clindamycin at the site of infection.</w:t>
      </w:r>
    </w:p>
    <w:p>
      <w:pPr>
        <w:spacing w:after="0" w:line="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License Amendment:</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The Company paid $25,000 to MilanaPharm in connection with the execution of the License Amendment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must pay $200,000 to MilanaPharm (in the Company's discretion, either in cash or with shares of the Company's common stock) within 15 days of the first to occur of December 5, 2019 or the closing of an equity financing in which the Company raises aggregate proceeds of at least $10.0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4" w:right="239" w:bottom="1440" w:gutter="0" w:footer="0" w:header="0"/>
        </w:sectPr>
      </w:pPr>
    </w:p>
    <w:bookmarkStart w:id="21" w:name="page22"/>
    <w:bookmarkEnd w:id="21"/>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MilanaPharm (1) up to $300,000 in the aggregate upon achievement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milestones; and (2) up to $1.75 million in the aggregate upon achieving certain commercial sales milestones.</w:t>
      </w:r>
    </w:p>
    <w:p>
      <w:pPr>
        <w:spacing w:after="0" w:line="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5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During the royalty term, the Company will pay MilanaPharm high single-digit to low double-digit royalties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(a) the expiration date of the last valid claim of the licensed patent rights that cover the method of use of such product or process in such country, or (b)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that are required for the Company to exercise the licenses granted to it under the MilanaPharm License Agreement or that are strategically important or could add value to a licensed product or process in a manner expected to materially generate or increase sales.</w:t>
      </w:r>
    </w:p>
    <w:p>
      <w:pPr>
        <w:spacing w:after="0" w:line="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6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term of the MilanaPharm License Agreement will continue until (1) on a licensed product-by-product (or process-by-process basis) 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6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discontinues all commercially reasonable marketing efforts to sell, and discontinues all sales of, such product or process in such country for nine months or more, (B) fails to resume such commercially reasonable marketing efforts within 120 days of having been notified of such failure by MilanaPharm, (C) fails to reasonably demonstrate a strategic justification for the discontinuation and failure to resume to MilanaPharm, and (D) MilanaPharm gives 90 days’ notice to the Company.</w:t>
      </w:r>
    </w:p>
    <w:p>
      <w:pPr>
        <w:spacing w:after="0" w:line="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Assignment Agreement with Hammock:</w:t>
      </w:r>
    </w:p>
    <w:p>
      <w:pPr>
        <w:spacing w:after="0" w:line="11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The Company paid $250,000 to Hammock in connection with the execution of the Assignment Agreement and must pay</w:t>
      </w:r>
      <w:r>
        <w:rPr>
          <w:rFonts w:ascii="Arial" w:cs="Arial" w:eastAsia="Arial" w:hAnsi="Arial"/>
          <w:sz w:val="18"/>
          <w:szCs w:val="18"/>
          <w:i w:val="1"/>
          <w:iCs w:val="1"/>
          <w:color w:val="auto"/>
        </w:rPr>
        <w:t xml:space="preserve"> </w:t>
      </w:r>
      <w:r>
        <w:rPr>
          <w:rFonts w:ascii="Arial" w:cs="Arial" w:eastAsia="Arial" w:hAnsi="Arial"/>
          <w:sz w:val="18"/>
          <w:szCs w:val="18"/>
          <w:color w:val="auto"/>
        </w:rPr>
        <w:t>$250,000 to Hammock (in the Company's discretion either in cash or with shares of the Company's common stock) within 15 days of the first to occur of December 5, 2019 or the closing of an equity financing in which the Company raises aggregate proceeds of at least $10.0 million.</w:t>
      </w:r>
    </w:p>
    <w:p>
      <w:pPr>
        <w:spacing w:after="0" w:line="5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$1.1 million in the aggregate upon achievement of certain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development milestones.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84" w:right="239" w:bottom="1440" w:gutter="0" w:footer="0" w:header="0"/>
        </w:sectPr>
      </w:pPr>
    </w:p>
    <w:bookmarkStart w:id="22" w:name="page23"/>
    <w:bookmarkEnd w:id="22"/>
    <w:p>
      <w:pPr>
        <w:ind w:firstLine="1297"/>
        <w:spacing w:after="0" w:line="292"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Assignment Agreement will terminate upon the later of (1) completion of the parties’ technology transfer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(2) payment to Hammock of the last of the payments described above, including the milestone payments.</w:t>
      </w:r>
    </w:p>
    <w:p>
      <w:pPr>
        <w:spacing w:after="0" w:line="102" w:lineRule="exact"/>
        <w:rPr>
          <w:sz w:val="20"/>
          <w:szCs w:val="20"/>
          <w:color w:val="auto"/>
        </w:rPr>
      </w:pPr>
    </w:p>
    <w:p>
      <w:pPr>
        <w:ind w:left="1300" w:hanging="1292"/>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w:t>
      </w:r>
    </w:p>
    <w:p>
      <w:pPr>
        <w:spacing w:after="0" w:line="14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April 2018, the Company received a Notice of Award for the first $224,665 of the anticipated $1.9 million in grant funding from the Eunice Kennedy Shriver National Institute of Child Health and Human Development, a division of the National Institutes of Health, or the NIH. The Company must incur and track expenses eligible for reimbursement under the award and submit a detailed accounting of such expenses to receive payment. The Company received all $ 224,665 of the award payments under this Notice of Award. Such payments were applied to clinical development efforts supporting Ovaprene and were recognized in the statement of operations as a reduction to research and development activities as the related costs were incurred to meet those obligations over the period.</w:t>
      </w:r>
    </w:p>
    <w:p>
      <w:pPr>
        <w:spacing w:after="0" w:line="9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On March 11, 2019, the Company received a second Notice of Award for an additional $982,851 of the anticipated $1.9 million in grant funding from the Eunice Kennedy Shriver National Institute of Child Health and Human Development. The second award followed the NIH's review of an interim data analysis and other results of the first phase of the research supporting Ovaprene. Award payments under this second notice of award ($161,007 received through June 30, 2019) are being applied to clinical development efforts supporting Ovaprene. At June 30, 2019, the Company recorded a receivable of $456,484 for expenses incurred through such date that are eligible for reimbursement under this second notice of award.</w:t>
      </w:r>
    </w:p>
    <w:p>
      <w:pPr>
        <w:spacing w:after="0" w:line="9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remaining portion of the award under the grant, $730,722, is contingent upon, among other matters, assessment that the results of the ongoing Ovaprene study satisfy specified requirements set out in the award notice, and the availability of funds.</w:t>
      </w:r>
    </w:p>
    <w:p>
      <w:pPr>
        <w:spacing w:after="0" w:line="102" w:lineRule="exact"/>
        <w:rPr>
          <w:sz w:val="20"/>
          <w:szCs w:val="20"/>
          <w:color w:val="auto"/>
        </w:rPr>
      </w:pPr>
    </w:p>
    <w:p>
      <w:pPr>
        <w:ind w:left="1300" w:hanging="1292"/>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4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6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5"/>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3060" w:type="dxa"/>
            <w:vAlign w:val="bottom"/>
            <w:gridSpan w:val="4"/>
          </w:tcPr>
          <w:p>
            <w:pPr>
              <w:ind w:left="760"/>
              <w:spacing w:after="0"/>
              <w:rPr>
                <w:sz w:val="20"/>
                <w:szCs w:val="20"/>
                <w:color w:val="auto"/>
              </w:rPr>
            </w:pPr>
            <w:r>
              <w:rPr>
                <w:rFonts w:ascii="Arial" w:cs="Arial" w:eastAsia="Arial" w:hAnsi="Arial"/>
                <w:sz w:val="18"/>
                <w:szCs w:val="18"/>
                <w:b w:val="1"/>
                <w:bCs w:val="1"/>
                <w:color w:val="auto"/>
              </w:rPr>
              <w:t>Six Months Ended</w:t>
            </w:r>
          </w:p>
        </w:tc>
      </w:tr>
      <w:tr>
        <w:trPr>
          <w:trHeight w:val="25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Potentially dilutive securities</w:t>
            </w:r>
          </w:p>
        </w:tc>
        <w:tc>
          <w:tcPr>
            <w:tcW w:w="2060" w:type="dxa"/>
            <w:vAlign w:val="bottom"/>
            <w:gridSpan w:val="3"/>
          </w:tcPr>
          <w:p>
            <w:pPr>
              <w:ind w:left="120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3"/>
          </w:tcPr>
          <w:p>
            <w:pPr>
              <w:ind w:left="118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2"/>
                <w:szCs w:val="22"/>
                <w:color w:val="auto"/>
              </w:rPr>
            </w:pPr>
          </w:p>
        </w:tc>
      </w:tr>
      <w:tr>
        <w:trPr>
          <w:trHeight w:val="263"/>
        </w:trPr>
        <w:tc>
          <w:tcPr>
            <w:tcW w:w="5040" w:type="dxa"/>
            <w:vAlign w:val="bottom"/>
            <w:tcBorders>
              <w:top w:val="single" w:sz="8" w:color="auto"/>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5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14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1"/>
        </w:trPr>
        <w:tc>
          <w:tcPr>
            <w:tcW w:w="51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2,190,360</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547,571</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2,190,360</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547,571</w:t>
            </w:r>
          </w:p>
        </w:tc>
      </w:tr>
      <w:tr>
        <w:trPr>
          <w:trHeight w:val="265"/>
        </w:trPr>
        <w:tc>
          <w:tcPr>
            <w:tcW w:w="5160" w:type="dxa"/>
            <w:vAlign w:val="bottom"/>
            <w:tcBorders>
              <w:bottom w:val="single" w:sz="8" w:color="CFF0FC"/>
            </w:tcBorders>
            <w:gridSpan w:val="2"/>
          </w:tcPr>
          <w:p>
            <w:pPr>
              <w:ind w:left="40"/>
              <w:spacing w:after="0"/>
              <w:rPr>
                <w:sz w:val="20"/>
                <w:szCs w:val="20"/>
                <w:color w:val="auto"/>
              </w:rPr>
            </w:pPr>
            <w:r>
              <w:rPr>
                <w:rFonts w:ascii="Arial" w:cs="Arial" w:eastAsia="Arial" w:hAnsi="Arial"/>
                <w:sz w:val="18"/>
                <w:szCs w:val="18"/>
                <w:color w:val="auto"/>
              </w:rPr>
              <w:t>Warrants</w:t>
            </w: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3,750,833</w:t>
            </w:r>
          </w:p>
        </w:tc>
        <w:tc>
          <w:tcPr>
            <w:tcW w:w="120" w:type="dxa"/>
            <w:vAlign w:val="bottom"/>
            <w:tcBorders>
              <w:bottom w:val="single" w:sz="8" w:color="CFF0FC"/>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3,751,002</w:t>
            </w:r>
          </w:p>
        </w:tc>
        <w:tc>
          <w:tcPr>
            <w:tcW w:w="100" w:type="dxa"/>
            <w:vAlign w:val="bottom"/>
            <w:tcBorders>
              <w:bottom w:val="single" w:sz="8" w:color="CFF0FC"/>
            </w:tcBorders>
          </w:tcPr>
          <w:p>
            <w:pPr>
              <w:spacing w:after="0"/>
              <w:rPr>
                <w:sz w:val="23"/>
                <w:szCs w:val="23"/>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3,750,833</w:t>
            </w:r>
          </w:p>
        </w:tc>
        <w:tc>
          <w:tcPr>
            <w:tcW w:w="100" w:type="dxa"/>
            <w:vAlign w:val="bottom"/>
            <w:tcBorders>
              <w:bottom w:val="single" w:sz="8" w:color="CFF0FC"/>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3,751,002</w:t>
            </w:r>
          </w:p>
        </w:tc>
      </w:tr>
      <w:tr>
        <w:trPr>
          <w:trHeight w:val="255"/>
        </w:trPr>
        <w:tc>
          <w:tcPr>
            <w:tcW w:w="516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5,941,193</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4,298,573</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5,941,193</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4,298,573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5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interim consolidated financial statements and notes thereto included in this Quarterly Report on Form 10-Q and our audited financial statements and notes thereto for the year ended December 31, 2018 included in our Annual Report on Form 10-K for the year ended December 31, 2018, or our 2018 10-K, filed with the Securities and Exchange Commission, or SEC, on April 1, 2019. Past operating results are not necessarily indicative of results that may occur in future periods.</w:t>
      </w:r>
    </w:p>
    <w:p>
      <w:pPr>
        <w:spacing w:after="0" w:line="6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in our 2018 10-K and in our subsequent filings with the SEC, including any discussed in Part II, Item 1A of this report under the heading “Risk Factors,” which are incorporated herein by reference.</w:t>
      </w:r>
    </w:p>
    <w:p>
      <w:pPr>
        <w:spacing w:after="0" w:line="6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6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We are a clinical-stage biopharmaceutical company committed to the advancement of innovative products for women’s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license or otherwise acquire the rights to differentiated product candidates in our areas of focus, some of which have existing clinical proof-of-concept data, and to take those candidates through advanced stages of clinical development. We and our wholly owned subsidiaries operate in one business segment.</w:t>
      </w:r>
    </w:p>
    <w:p>
      <w:pPr>
        <w:spacing w:after="0" w:line="13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Since July 2017, we have assembled a portfolio of clinical-stage and pre-clinical stage candidates addressing unmet needs in women's health. Our portfolio includes these six clinical-stage product candidates:</w:t>
      </w:r>
    </w:p>
    <w:p>
      <w:pPr>
        <w:spacing w:after="0" w:line="104" w:lineRule="exact"/>
        <w:rPr>
          <w:sz w:val="20"/>
          <w:szCs w:val="20"/>
          <w:color w:val="auto"/>
        </w:rPr>
      </w:pPr>
    </w:p>
    <w:p>
      <w:pPr>
        <w:ind w:left="1960" w:hanging="331"/>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DARE-BV1, a novel solution-to-gel formulation containing clindamycin phosphate 2% for bacterial vaginosis, or BV;</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Ovaprene®, a non-hormonal monthly contraceptive intravaginal ring;</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Sildenafil Cream, 3.6%, a novel cream formulation of sildenafil for female sexual arousal disorder, or FSAD;</w:t>
      </w:r>
    </w:p>
    <w:p>
      <w:pPr>
        <w:spacing w:after="0" w:line="184" w:lineRule="exact"/>
        <w:rPr>
          <w:rFonts w:ascii="Arial" w:cs="Arial" w:eastAsia="Arial" w:hAnsi="Arial"/>
          <w:sz w:val="18"/>
          <w:szCs w:val="18"/>
          <w:color w:val="auto"/>
        </w:rPr>
      </w:pPr>
    </w:p>
    <w:p>
      <w:pPr>
        <w:ind w:left="1960" w:hanging="331"/>
        <w:spacing w:after="0" w:line="292"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DARE-HRT1, a combination bio-identical estradiol and progesterone intravaginal ring for hormone replacement therapy, or HRT, following menopause;</w:t>
      </w:r>
    </w:p>
    <w:p>
      <w:pPr>
        <w:spacing w:after="0" w:line="104" w:lineRule="exact"/>
        <w:rPr>
          <w:rFonts w:ascii="Arial" w:cs="Arial" w:eastAsia="Arial" w:hAnsi="Arial"/>
          <w:sz w:val="18"/>
          <w:szCs w:val="18"/>
          <w:color w:val="auto"/>
        </w:rPr>
      </w:pPr>
    </w:p>
    <w:p>
      <w:pPr>
        <w:ind w:left="1960" w:hanging="331"/>
        <w:spacing w:after="0" w:line="292"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DARE-VVA1, a vaginally delivered formulation of tamoxifen to treat vulvar vaginal atrophy, or VVA, in patients with hormone-receptor positive breast cancer;</w:t>
      </w:r>
    </w:p>
    <w:p>
      <w:pPr>
        <w:spacing w:after="0" w:line="104" w:lineRule="exact"/>
        <w:rPr>
          <w:rFonts w:ascii="Arial" w:cs="Arial" w:eastAsia="Arial" w:hAnsi="Arial"/>
          <w:sz w:val="18"/>
          <w:szCs w:val="18"/>
          <w:color w:val="auto"/>
        </w:rPr>
      </w:pPr>
    </w:p>
    <w:p>
      <w:pPr>
        <w:ind w:left="1960" w:hanging="331"/>
        <w:spacing w:after="0" w:line="292"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DARE-FRT1, an intravaginal ring containing bio-identical progesterone for the prevention of preterm birth and for fertility support as part of an IVF treatment plan; and</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portfolio also includes these pre-clinical stage product candidates:</w:t>
      </w:r>
    </w:p>
    <w:p>
      <w:pPr>
        <w:spacing w:after="0" w:line="185" w:lineRule="exact"/>
        <w:rPr>
          <w:sz w:val="20"/>
          <w:szCs w:val="20"/>
          <w:color w:val="auto"/>
        </w:rPr>
      </w:pPr>
    </w:p>
    <w:p>
      <w:pPr>
        <w:ind w:left="1960" w:right="20"/>
        <w:spacing w:after="0" w:line="292" w:lineRule="auto"/>
        <w:rPr>
          <w:sz w:val="20"/>
          <w:szCs w:val="20"/>
          <w:color w:val="auto"/>
        </w:rPr>
      </w:pPr>
      <w:r>
        <w:rPr>
          <w:rFonts w:ascii="Arial" w:cs="Arial" w:eastAsia="Arial" w:hAnsi="Arial"/>
          <w:sz w:val="18"/>
          <w:szCs w:val="18"/>
          <w:color w:val="auto"/>
        </w:rPr>
        <w:t>DARE-RH1, a novel approach to non-hormonal contraception for both men and women by targeting the CatSper ion channel;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9" w:right="239" w:bottom="1440" w:gutter="0" w:footer="0" w:header="0"/>
        </w:sectPr>
      </w:pPr>
    </w:p>
    <w:bookmarkStart w:id="24" w:name="page25"/>
    <w:bookmarkEnd w:id="24"/>
    <w:p>
      <w:pPr>
        <w:ind w:left="1960" w:hanging="331"/>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ORB-204 and ORB-214, 6-month and 12-month formulations of injectable etonogestrel for contraception; and</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DARE-OAB1, an intravaginal ring containing oxybutynin for the treatment of overactive bladder.</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Our primary operations have consisted of, and are expected to continue to consist of, product research and development and advancing our portfolio of product candidates through clinical development and regulatory approval. We expect that the bulk of our development expenses over the next two years will support the advancement of our clinical-stage product candidates.</w:t>
      </w:r>
    </w:p>
    <w:p>
      <w:pPr>
        <w:spacing w:after="0" w:line="12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revenue. We are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Stage Product Candidates</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following provides a brief overview of the clinical stage product candidates on which we are primarily focusing our development efforts at this time.</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DARE-BV1</w:t>
      </w:r>
    </w:p>
    <w:p>
      <w:pPr>
        <w:spacing w:after="0" w:line="18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DARE-BV1 is a novel solution-to-gel formulation containing clindamycin, an antibiotic used to treat certain bacterial infections, including BV. DARE-BV1 is designed to be administered in a convenient, single vaginal dose with a dual release pattern to prolong the duration of exposure to clindamycin at the site of infection and to potentially improve the rate of effectiveness compared to existing FDA-approved therapies. Current FDA-approved therapies for BV have clinical cure rates of less than 70 percent. In an investigator initiated proof-of-concept study that enrolled 30 women, DARE-BV1 demonstrated an 86 percent clinical cure rate in evaluable subjects (n=26) at the test-of-cure visit (Day 7-14) after one administration. We plan to utilize the FDA's 505(b)(2) pathway to obtain marketing approval of DARE-BV1 for BV in the U.S.</w:t>
      </w:r>
    </w:p>
    <w:p>
      <w:pPr>
        <w:spacing w:after="0" w:line="13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In August 2019, the FDA granted DARE-BV1 Qualified Infectious Disease Product (QIDP) designation for the treatment of BV in women. QIPD designation is available under Title VIII of the FDA Safety and Innovation Act, titled General Antibiotic Incentive Now (GAIN), which creates incentives for the development of antibacterial and antifungal drug products that treat serious or life-threatening infections. The primary incentive is a five-year exclusivity extension added to any exclusivity for which a QIDP qualifies upon FDA approval. Additionally, DARE BV-1's QIDP designation makes it eligible for Fast Track designation and Priority Review.</w:t>
      </w:r>
    </w:p>
    <w:p>
      <w:pPr>
        <w:spacing w:after="0" w:line="13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expect to commence a Phase 3 clinical study of DARE-BV1 in approximately 250 women in the fourth quarter of 2019 and, if the study is successful, to be in a position to file a new drug application, or NDA, with the FDA in 2020. We anticipate that the cost of the Phase 3 clinical study, including manufacturing activities, and the NDA filing thereafter to be less than $10.0 million.</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Ovaprene</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Ovaprene is an intravaginal ring that, if approved, would represent a new category of birth control. Ovaprene does not contain hormones and is designed to be worn conveniently over multiple weeks and to require no intervention at the time of intercourse. Ovaprene is a silicone-reinforced ring with a soft, absorbable scaffolding that encircles a fluid-permeable barrier. A polymer matrix in the center of the ring functions as a physical barrier to sperm. The silicone ring also releases ferrous gluconate to create a spermiostatic environment within the vagina.</w:t>
      </w:r>
    </w:p>
    <w:p>
      <w:pPr>
        <w:spacing w:after="0" w:line="13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Ovaprene is a combination product and, following a request for designation process, the FDA designated Center for Devices and Radiological Health, or CDRH, as the lead agency FDA program center for premarket review and product regulation. CDRH has determined that a PMA will be required to market Ovaprene in the U.S.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51" w:right="239" w:bottom="1440" w:gutter="0" w:footer="0" w:header="0"/>
        </w:sectPr>
      </w:pPr>
    </w:p>
    <w:bookmarkStart w:id="25" w:name="page26"/>
    <w:bookmarkEnd w:id="25"/>
    <w:p>
      <w:pPr>
        <w:jc w:val="both"/>
        <w:ind w:firstLine="1297"/>
        <w:spacing w:after="0" w:line="257" w:lineRule="auto"/>
        <w:rPr>
          <w:sz w:val="20"/>
          <w:szCs w:val="20"/>
          <w:color w:val="auto"/>
        </w:rPr>
      </w:pPr>
      <w:r>
        <w:rPr>
          <w:rFonts w:ascii="Arial" w:cs="Arial" w:eastAsia="Arial" w:hAnsi="Arial"/>
          <w:sz w:val="18"/>
          <w:szCs w:val="18"/>
          <w:color w:val="auto"/>
        </w:rPr>
        <w:t>In May 2018, we announced initiation of a postcoital test, or PCT, clinical trial of Ovaprene and in July 2019 we announced that we completed recruitment. This ongoing clinical trial is designed to assess general safety, acceptability, and effectiveness in preventing progressively motile sperm, or PMS, from reaching the cervical canal following intercourse. The study will enroll approximately 50 couples, with the woman to be evaluated over the course of five menstrual cycles, with a target of having approximately 25 women complete a total of 21 visits. Each woman’s cervical mucus will be measured at several points during the study, including a baseline measurement at menstrual cycle 1 that excludes the use of any product. Subsequent cycles and visits will include the use of a diaphragm (menstrual cycle 2) and Ovaprene (menstrual cycles 3, 4 and 5). Topline data from the PCT clinical trial are expected to be available in the fourth quarter of 2019.</w:t>
      </w:r>
    </w:p>
    <w:p>
      <w:pPr>
        <w:spacing w:after="0" w:line="1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PCT clinical trials have been used as a surrogate marker for contraceptive effectiveness. Infertility research suggests that higher rates of pregnancy are associated with PMS per high power field, or HPF, of from greater than one to greater than 20 sperm, and less than 5 PMS per HPF is considered reflective of contraceptive effectiveness.</w:t>
      </w:r>
    </w:p>
    <w:p>
      <w:pPr>
        <w:spacing w:after="0" w:line="12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If the PCT clinical trial demonstrates that less than 5 PMS per HPF progressed into the cervical canal in most women and that Ovaprene can be safely worn over multiple weeks, we intend to prepare and file an Investigational Device Exemption, or IDE, with the FDA to commence a pivotal clinical trial to support marketing approvals of Ovaprene in the United States, Europe and other countries worldwide.</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Sildenafil Cream, 3.6%</w:t>
      </w:r>
    </w:p>
    <w:p>
      <w:pPr>
        <w:spacing w:after="0" w:line="18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Sildenafil Cream, 3.6%, which incorporates sildenafil, the same active ingredient in the male erectile dysfunction drug Viagra®, if approved, could be the first FDA-approved FSAD treatment option for women. FSAD is characterized primarily by a persistent or recurrent inability to attain or maintain sufficient physical sexual arousal, frequently resulting in distress or interpersonal difficulty. Sildenafil Cream, 3.6% is formulated to increase blood flow locally to the vulvar-vaginal tissue, leading to a potential improvement in genital arousal response.</w:t>
      </w:r>
    </w:p>
    <w:p>
      <w:pPr>
        <w:spacing w:after="0" w:line="12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We plan to leverage the existing data and established safety profile of sildenafil and the Viagra® brand to utilize the FDA’s 505(b)(2) pathway to obtain marketing approval of Sildenafil Cream, 3.6% in the U.S. During the third quarter of 2018, we had a Type C meeting with the FDA regarding the design of our Phase 2b clinical trial for Sildenafil Cream, 3.6% and the overall development program for this product candidate. Based on the FDA guidance we received from that meeting, we commenced Phase 2b related activities during the fourth quarter of 2018 with the initiation of a non-interventional content validity study intended to support the validity of specific patient reported outcome, or PRO, measures. This study seeks to identify and document the genital arousal symptoms that will be assessed in our planned at-home Phase 2b trial, as well as our Phase 3 studies, and to demonstrate that these symptoms are the most important and relevant to our target population and are also acceptable endpoints for the FDA. We are in the final stages of completing this study. We believe that completing this study will be a significant de-risking event for our Sildenafil Cream, 3.6% program because it will position us to hold a Type C meeting with the FDA to review the study's findings and to obtain the FDA’s guidance on the endpoints for our Phase 2b and Phase 3 clinical trials, including whether the FDA agrees that the PRO instruments are content valid for the target population. Our plan is for the endpoints used in the Phase 2b trial to reflect the endpoints used in the Phase 3 trial. The timing of when we initiate the Phase 2b at-home trial will be influenced by the FDA's guidance. We continue to explore additional clinical and non-clinical work that might be valuable or required to support the overall program and anticipated design of the Phase 2b trial.</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DARE-HRT1</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DARE-HRT1 is an intravaginal ring, or IVR, containing bio-identical estradiol and bio-identical progesterone to treat the vasomotor symptoms (VMS) associated with menopause as part of a hormone replacement therapy regimen. There are currently no FDA-approved IVRs that deliver bio-identical progesterone in combination with bio-identical estradiol. The IVR technology used in DARE-HRT1 was developed by Dr. Robert Langer from the Massachusetts Institute of Technology and Dr. William Crowley from Massachusetts General Hospital and Harvard Medical School. We plan to utilize the FDA's 505(b)(2) pathway to obtain marketing approval of DARE-HRT1 in the U.S. We intend to initiate a Phase 1 clinical study for DARE-HRT1 during 2019 and to report topline results in 2020. DARE-HRT1 has the potential to be a first-in-class product.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4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We incurred a loss of approximately $ 7.0 million for the six months ended June 30, 2019. As of June 30, 2019, we had (a) an accumulated deficit of approximately $36.8 million and (b) cash and cash equivalents of approximately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51"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$5.6 million. We also had negative cash flow from operations of approximately $6.3 million during the six months ended June 30, 2019. As further discussed below, in an underwritten public offering we closed in April 2019, we received aggregate net proceeds of approximately $5.2 million. We will need to raise substantial additional capital to continue to fund our operations and to successfully execute our current operating plan, including the development of our current product candidates. The amount and timing of future funding will depend on many factors, including the pace and results of our clinical development efforts. If we do not raise capital as and when needed, we will not be able to continue development of our product candidates or we will be required to delay, scale back or eliminate some or all of our development programs or cease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4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April 11, 2019, we closed an underwritten public offering of 4,575,000 shares of our common stock at a public offering price of $1.10 per share. We granted the underwriters a 30-day over-allotment option to purchase up to an additional 686,250 shares, which was exercised in full on April 12, 2019. Including the over-allotment shares, we issued a total of 5,261,250 shares, and received gross proceeds of approximately $5.8 million and net proceeds of approximately $5.2 million after deducting underwriting discounts and offering expenses.</w:t>
      </w:r>
    </w:p>
    <w:p>
      <w:pPr>
        <w:spacing w:after="0" w:line="8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As a result of the sale of shares of our common stock in the offering described above, per the terms of the warrants we issued in February 2018, their exercise price was automatically reduced from $3.00 to $ 0.98 per share on April 11, 2019. For additional information, see Note 6 to our unaudited interim consolidated financial statements contained in this report.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To date we have not generated any revenue and do not expect to generate any revenue for the foreseeable future. In the future, we may generate revenue from product sales, license fees, milestone and research and development payments in connection with strategic partnerships, and royalties resulting from the sales of products developed under licenses of intellectual property. Our ability to generate product revenue will depend on the successful clinical development of our product candidates, receiving regulatory approvals to market such products and the eventual successful commercialization of product candidates. If we fail to complete the development of products candidates in a timely manner, or to receive regulatory approval for such product candidates, our ability to generate future revenue and our results of operations would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55" w:lineRule="exact"/>
        <w:rPr>
          <w:sz w:val="20"/>
          <w:szCs w:val="20"/>
          <w:color w:val="auto"/>
        </w:rPr>
      </w:pPr>
    </w:p>
    <w:p>
      <w:pPr>
        <w:ind w:left="1460" w:right="20" w:hanging="399"/>
        <w:spacing w:after="0" w:line="281"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and clinical trial sites that conduct research and development activities on our behalf;</w:t>
      </w:r>
    </w:p>
    <w:p>
      <w:pPr>
        <w:spacing w:after="0" w:line="1" w:lineRule="exact"/>
        <w:rPr>
          <w:rFonts w:ascii="Arial" w:cs="Arial" w:eastAsia="Arial" w:hAnsi="Arial"/>
          <w:sz w:val="18"/>
          <w:szCs w:val="18"/>
          <w:color w:val="auto"/>
        </w:rPr>
      </w:pPr>
    </w:p>
    <w:p>
      <w:pPr>
        <w:ind w:left="1460" w:hanging="399"/>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clinical trials;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 costs related to the acquisition of technologies and related intellectual property; and</w:t>
      </w:r>
    </w:p>
    <w:p>
      <w:pPr>
        <w:spacing w:after="0" w:line="63" w:lineRule="exact"/>
        <w:rPr>
          <w:rFonts w:ascii="Arial" w:cs="Arial" w:eastAsia="Arial" w:hAnsi="Arial"/>
          <w:sz w:val="18"/>
          <w:szCs w:val="18"/>
          <w:color w:val="auto"/>
        </w:rPr>
      </w:pPr>
    </w:p>
    <w:p>
      <w:pPr>
        <w:ind w:left="1460" w:hanging="399"/>
        <w:spacing w:after="0" w:line="292"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15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We expect research and development expenses to increase in the future as we invest in the development of our clinical-stage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1" w:right="239" w:bottom="1440" w:gutter="0" w:footer="0" w:header="0"/>
        </w:sectPr>
      </w:pPr>
    </w:p>
    <w:bookmarkStart w:id="27" w:name="page28"/>
    <w:bookmarkEnd w:id="27"/>
    <w:p>
      <w:pPr>
        <w:jc w:val="both"/>
        <w:ind w:firstLine="1297"/>
        <w:spacing w:after="0" w:line="260"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consolidated financial statements, which have been prepared in accordance with accounting principles generally accepted in the United States, or GAAP. Preparing these financial statements requires us to make estimates and judgments that affect the reported amounts of assets, liabilities and expenses.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consolidated interim financial statements, refer to Item 7 in Management’s Discussion and Analysis of Financial Condition and Results of Operations and Note 1 to our financial statements contained in our 2018 10-K and Note 3 to our unaudited interim consolidated financial statements contained 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2019 and 2018 (Unaudited)</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Dollar</w:t>
            </w:r>
          </w:p>
        </w:tc>
      </w:tr>
      <w:tr>
        <w:trPr>
          <w:trHeight w:val="264"/>
        </w:trPr>
        <w:tc>
          <w:tcPr>
            <w:tcW w:w="7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24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5"/>
        </w:trPr>
        <w:tc>
          <w:tcPr>
            <w:tcW w:w="7080" w:type="dxa"/>
            <w:vAlign w:val="bottom"/>
          </w:tcPr>
          <w:p>
            <w:pPr>
              <w:ind w:left="2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1,307,379</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1,157,174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150,205</w:t>
            </w:r>
          </w:p>
        </w:tc>
      </w:tr>
      <w:tr>
        <w:trPr>
          <w:trHeight w:val="275"/>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2,512,572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2,217,622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294,950</w:t>
            </w:r>
          </w:p>
        </w:tc>
      </w:tr>
      <w:tr>
        <w:trPr>
          <w:trHeight w:val="265"/>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License expenses</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162,500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(87,500)</w:t>
            </w:r>
          </w:p>
        </w:tc>
      </w:tr>
      <w:tr>
        <w:trPr>
          <w:trHeight w:val="255"/>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3,982,451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3,624,796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357,655</w:t>
            </w:r>
          </w:p>
        </w:tc>
      </w:tr>
      <w:tr>
        <w:trPr>
          <w:trHeight w:val="245"/>
        </w:trPr>
        <w:tc>
          <w:tcPr>
            <w:tcW w:w="70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(3,982,451)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(3,624,796)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(357,655)</w:t>
            </w:r>
          </w:p>
        </w:tc>
      </w:tr>
      <w:tr>
        <w:trPr>
          <w:trHeight w:val="27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30,001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42,626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r>
      <w:tr>
        <w:trPr>
          <w:trHeight w:val="245"/>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(3,952,450)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(3,582,170)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(370,280)</w:t>
            </w:r>
          </w:p>
        </w:tc>
      </w:tr>
      <w:tr>
        <w:trPr>
          <w:trHeight w:val="25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Deemed dividend from trigger of down round provision feature</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(789,594)</w:t>
            </w:r>
          </w:p>
        </w:tc>
      </w:tr>
      <w:tr>
        <w:trPr>
          <w:trHeight w:val="245"/>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to common shareholders</w:t>
            </w: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(4,742,044)</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(3,582,170)</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(1,159,874)</w:t>
            </w:r>
          </w:p>
        </w:tc>
      </w:tr>
      <w:tr>
        <w:trPr>
          <w:trHeight w:val="24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5"/>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19,568</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(1,140,306)</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did not recognize any revenues for either of the three months ended June 30, 2019 or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5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837"/>
        <w:spacing w:after="0" w:line="260" w:lineRule="auto"/>
        <w:rPr>
          <w:sz w:val="20"/>
          <w:szCs w:val="20"/>
          <w:color w:val="auto"/>
        </w:rPr>
      </w:pPr>
      <w:r>
        <w:rPr>
          <w:rFonts w:ascii="Arial" w:cs="Arial" w:eastAsia="Arial" w:hAnsi="Arial"/>
          <w:sz w:val="18"/>
          <w:szCs w:val="18"/>
          <w:color w:val="auto"/>
        </w:rPr>
        <w:t>The increase of $150,205 in general and administrative expenses for the three months ended June 30, 2019 as compared to the three months ended June 30, 2018 was primarily attributable to an increase in (i) personnel costs of approximately $102,422 reflecting the hiring of additional employees which resulted in higher salary, benefit and bonus expenses in the current period, and (ii) an increase in stock-based compensation expense of $74,932. Those increases were partially offset by a decrease of approximately $53,612 in expenses for outside professional services in the current period as compared to the same period of the prior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837"/>
        <w:spacing w:after="0" w:line="258" w:lineRule="auto"/>
        <w:rPr>
          <w:sz w:val="20"/>
          <w:szCs w:val="20"/>
          <w:color w:val="auto"/>
        </w:rPr>
      </w:pPr>
      <w:r>
        <w:rPr>
          <w:rFonts w:ascii="Arial" w:cs="Arial" w:eastAsia="Arial" w:hAnsi="Arial"/>
          <w:sz w:val="18"/>
          <w:szCs w:val="18"/>
          <w:color w:val="auto"/>
        </w:rPr>
        <w:t>The increase of $294,950 in research and development expenses for the three months ended June 30, 2019 as compared to the three months ended June 30, 2018 was primarily attributable to (i) an increase in costs related to development activities of approximately $518,051 for Ovaprene and Sildenafil Cream, 3.6%, and to a lesser extent, for DARE-BV1 and DARE-HRT1, offset by grant funding recorded as a reduction to research and development expense related to Ovaprene of approximately $456,484, (ii) an increase in personnel costs of approximately $233,382 reflecting the hiring of additional employees which resulted in higher salary, benefit and bonus expenses, and (iii) an increase in stock-based compensation expense of $26,996.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17" w:lineRule="exact"/>
        <w:rPr>
          <w:sz w:val="20"/>
          <w:szCs w:val="20"/>
          <w:color w:val="auto"/>
        </w:rPr>
      </w:pPr>
    </w:p>
    <w:p>
      <w:pPr>
        <w:jc w:val="both"/>
        <w:ind w:firstLine="837"/>
        <w:spacing w:after="0" w:line="256" w:lineRule="auto"/>
        <w:rPr>
          <w:sz w:val="20"/>
          <w:szCs w:val="20"/>
          <w:color w:val="auto"/>
        </w:rPr>
      </w:pPr>
      <w:r>
        <w:rPr>
          <w:rFonts w:ascii="Arial" w:cs="Arial" w:eastAsia="Arial" w:hAnsi="Arial"/>
          <w:sz w:val="18"/>
          <w:szCs w:val="18"/>
          <w:color w:val="auto"/>
        </w:rPr>
        <w:t>The license expenses of $162,500 for the three months ended June 30, 2019 related to (i) the accrual of $112,500 of deferred license fees in the aggregate due under the Assignment Agreement with Hammock Pharmaceuticals, Inc. and the First Amendment to License Agreement with TriLogic Pharma, LLC and MilanaPharm LLC, and (ii) the $50,000 annual license maintenance fee due under the Juniper License Agreement. During the quarter, we accrued (y) $62,500 of the $250,000 of license fees payable under the Assignment Agreement and</w:t>
      </w:r>
    </w:p>
    <w:p>
      <w:pPr>
        <w:spacing w:after="0" w:line="3" w:lineRule="exact"/>
        <w:rPr>
          <w:sz w:val="20"/>
          <w:szCs w:val="20"/>
          <w:color w:val="auto"/>
        </w:rPr>
      </w:pPr>
    </w:p>
    <w:p>
      <w:pPr>
        <w:ind w:firstLine="8"/>
        <w:spacing w:after="0" w:line="266" w:lineRule="auto"/>
        <w:tabs>
          <w:tab w:leader="none" w:pos="2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$50,000 of the $200,000 of license fees payable under the First Amendment to License Agreement. Both of these license fees are due in December 2019, and in our discretion, may be paid either in cash or with shares of our common stock.</w:t>
      </w:r>
    </w:p>
    <w:p>
      <w:pPr>
        <w:spacing w:after="0" w:line="59" w:lineRule="exact"/>
        <w:rPr>
          <w:sz w:val="20"/>
          <w:szCs w:val="20"/>
          <w:color w:val="auto"/>
        </w:rPr>
      </w:pPr>
    </w:p>
    <w:p>
      <w:pPr>
        <w:ind w:firstLine="837"/>
        <w:spacing w:after="0" w:line="292" w:lineRule="auto"/>
        <w:rPr>
          <w:sz w:val="20"/>
          <w:szCs w:val="20"/>
          <w:color w:val="auto"/>
        </w:rPr>
      </w:pPr>
      <w:r>
        <w:rPr>
          <w:rFonts w:ascii="Arial" w:cs="Arial" w:eastAsia="Arial" w:hAnsi="Arial"/>
          <w:sz w:val="18"/>
          <w:szCs w:val="18"/>
          <w:color w:val="auto"/>
        </w:rPr>
        <w:t>The license expense of $250,000 for the three months ended June 30, 2018 was entirely related to the $250,000 non-creditable upfront license fee payment to Juniper in connection with the execution of the Juniper License Agreement.</w:t>
      </w:r>
    </w:p>
    <w:p>
      <w:pPr>
        <w:spacing w:after="0" w:line="3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For further discussion of these license fees, see Note 8 to our unaudited interim consolidated financial statements contained in this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firstLine="837"/>
        <w:spacing w:after="0" w:line="292" w:lineRule="auto"/>
        <w:rPr>
          <w:sz w:val="20"/>
          <w:szCs w:val="20"/>
          <w:color w:val="auto"/>
        </w:rPr>
      </w:pPr>
      <w:r>
        <w:rPr>
          <w:rFonts w:ascii="Arial" w:cs="Arial" w:eastAsia="Arial" w:hAnsi="Arial"/>
          <w:sz w:val="18"/>
          <w:szCs w:val="18"/>
          <w:color w:val="auto"/>
        </w:rPr>
        <w:t>The decrease of $12,625 in other income for the three months ended June 30, 2019 as compared to the three months ended June 30, 2018 was primarily due to interest earned on cash balances in the current period.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9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Comparison of Six Months Ended June 30, 2019 and 2018 (Unaudited)</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Dollar</w:t>
            </w:r>
          </w:p>
        </w:tc>
      </w:tr>
      <w:tr>
        <w:trPr>
          <w:trHeight w:val="264"/>
        </w:trPr>
        <w:tc>
          <w:tcPr>
            <w:tcW w:w="70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24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5"/>
        </w:trPr>
        <w:tc>
          <w:tcPr>
            <w:tcW w:w="7080" w:type="dxa"/>
            <w:vAlign w:val="bottom"/>
          </w:tcPr>
          <w:p>
            <w:pPr>
              <w:ind w:left="28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2,584,559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2,460,363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124,196</w:t>
            </w:r>
          </w:p>
        </w:tc>
      </w:tr>
      <w:tr>
        <w:trPr>
          <w:trHeight w:val="275"/>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4,205,963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3,304,275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901,688</w:t>
            </w:r>
          </w:p>
        </w:tc>
      </w:tr>
      <w:tr>
        <w:trPr>
          <w:trHeight w:val="265"/>
        </w:trPr>
        <w:tc>
          <w:tcPr>
            <w:tcW w:w="7080" w:type="dxa"/>
            <w:vAlign w:val="bottom"/>
          </w:tcPr>
          <w:p>
            <w:pPr>
              <w:ind w:left="280"/>
              <w:spacing w:after="0"/>
              <w:rPr>
                <w:sz w:val="20"/>
                <w:szCs w:val="20"/>
                <w:color w:val="auto"/>
              </w:rPr>
            </w:pPr>
            <w:r>
              <w:rPr>
                <w:rFonts w:ascii="Arial" w:cs="Arial" w:eastAsia="Arial" w:hAnsi="Arial"/>
                <w:sz w:val="18"/>
                <w:szCs w:val="18"/>
                <w:color w:val="auto"/>
              </w:rPr>
              <w:t>License expenses</w:t>
            </w:r>
          </w:p>
        </w:tc>
        <w:tc>
          <w:tcPr>
            <w:tcW w:w="2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75"/>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5,187,519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(5,187,519)</w:t>
            </w:r>
          </w:p>
        </w:tc>
      </w:tr>
      <w:tr>
        <w:trPr>
          <w:trHeight w:val="24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7,065,522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11,302,157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(4,236,635)</w:t>
            </w:r>
          </w:p>
        </w:tc>
      </w:tr>
      <w:tr>
        <w:trPr>
          <w:trHeight w:val="25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(7,065,522)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(11,302,157)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(4,236,635)</w:t>
            </w:r>
          </w:p>
        </w:tc>
      </w:tr>
      <w:tr>
        <w:trPr>
          <w:trHeight w:val="265"/>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61,232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54,370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6,862</w:t>
            </w:r>
          </w:p>
        </w:tc>
      </w:tr>
      <w:tr>
        <w:trPr>
          <w:trHeight w:val="25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(7,004,290)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(11,247,787)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4,243,497</w:t>
            </w:r>
          </w:p>
        </w:tc>
      </w:tr>
      <w:tr>
        <w:trPr>
          <w:trHeight w:val="245"/>
        </w:trPr>
        <w:tc>
          <w:tcPr>
            <w:tcW w:w="7080" w:type="dxa"/>
            <w:vAlign w:val="bottom"/>
          </w:tcPr>
          <w:p>
            <w:pPr>
              <w:ind w:left="40"/>
              <w:spacing w:after="0"/>
              <w:rPr>
                <w:sz w:val="20"/>
                <w:szCs w:val="20"/>
                <w:color w:val="auto"/>
              </w:rPr>
            </w:pPr>
            <w:r>
              <w:rPr>
                <w:rFonts w:ascii="Arial" w:cs="Arial" w:eastAsia="Arial" w:hAnsi="Arial"/>
                <w:sz w:val="18"/>
                <w:szCs w:val="18"/>
                <w:color w:val="auto"/>
              </w:rPr>
              <w:t>Deemed dividend from trigger of down round provision feature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(789,594)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789,594</w:t>
            </w:r>
          </w:p>
        </w:tc>
      </w:tr>
      <w:tr>
        <w:trPr>
          <w:trHeight w:val="255"/>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to common shareholders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(7,793,884)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(11,247,787)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(3,453,903)</w:t>
            </w:r>
          </w:p>
        </w:tc>
      </w:tr>
      <w:tr>
        <w:trPr>
          <w:trHeight w:val="22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7"/>
        </w:trPr>
        <w:tc>
          <w:tcPr>
            <w:tcW w:w="7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(41,231)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40,935</w:t>
            </w:r>
          </w:p>
        </w:tc>
      </w:tr>
      <w:tr>
        <w:trPr>
          <w:trHeight w:val="245"/>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(7,794,180)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(11,289,018)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3,494,838</w:t>
            </w: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did not recognize any revenues for either of the six months ended June 30,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837"/>
        <w:spacing w:after="0" w:line="260" w:lineRule="auto"/>
        <w:rPr>
          <w:sz w:val="20"/>
          <w:szCs w:val="20"/>
          <w:color w:val="auto"/>
        </w:rPr>
      </w:pPr>
      <w:r>
        <w:rPr>
          <w:rFonts w:ascii="Arial" w:cs="Arial" w:eastAsia="Arial" w:hAnsi="Arial"/>
          <w:sz w:val="18"/>
          <w:szCs w:val="18"/>
          <w:color w:val="auto"/>
        </w:rPr>
        <w:t>The increase of $124,196 in general and administrative expenses for the six months ended June 30, 2019 as compared to the six months ended June 30, 2018 was primarily attributable to an increase in (i) personnel costs of approximately $344,028 reflecting the hiring of additional employees which resulted in higher salary, benefit and bonus expenses in the current period, and (ii) an increase in stock-based compensation expense of $139,073. Those increases were partially offset by a decrease of approximately $365,465 in expenses for outside professional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837"/>
        <w:spacing w:after="0" w:line="258" w:lineRule="auto"/>
        <w:rPr>
          <w:sz w:val="20"/>
          <w:szCs w:val="20"/>
          <w:color w:val="auto"/>
        </w:rPr>
      </w:pPr>
      <w:r>
        <w:rPr>
          <w:rFonts w:ascii="Arial" w:cs="Arial" w:eastAsia="Arial" w:hAnsi="Arial"/>
          <w:sz w:val="18"/>
          <w:szCs w:val="18"/>
          <w:color w:val="auto"/>
        </w:rPr>
        <w:t>The increase of $901,688 in research and development expenses for the six months ended June 30, 2019 as compared to the six months ended June 30, 2018 was primarily attributable to (i) an increase in costs related to development activities of approximately $922,064 for Ovaprene and Sildenafil Cream, 3.6%, and to a lesser extent, for DARE-BV1 and DARE-HRT1, offset by grant funding recorded as a reduction to research and development expense related to Ovaprene of approximately $617,491, (ii) an increase in personnel costs of approximately $344,028 due to increased salary, benefit and bonus expenses due to staff additions, and (iii) an increase in stock-based compensation expense of $51,699.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17" w:lineRule="exact"/>
        <w:rPr>
          <w:sz w:val="20"/>
          <w:szCs w:val="20"/>
          <w:color w:val="auto"/>
        </w:rPr>
      </w:pPr>
    </w:p>
    <w:p>
      <w:pPr>
        <w:jc w:val="both"/>
        <w:ind w:firstLine="837"/>
        <w:spacing w:after="0" w:line="258" w:lineRule="auto"/>
        <w:rPr>
          <w:sz w:val="20"/>
          <w:szCs w:val="20"/>
          <w:color w:val="auto"/>
        </w:rPr>
      </w:pPr>
      <w:r>
        <w:rPr>
          <w:rFonts w:ascii="Arial" w:cs="Arial" w:eastAsia="Arial" w:hAnsi="Arial"/>
          <w:sz w:val="18"/>
          <w:szCs w:val="18"/>
          <w:color w:val="auto"/>
        </w:rPr>
        <w:t>The license expenses of $275,000 for the six months ended June 30, 2019 related to (i) the accrual of deferred license fees due under the Assignment Agreement with Hammock Pharmaceuticals, Inc. and the First Amendment to License Agreement with TriLogic Pharma, LLC and MilanaPharm LLC; and (ii) the $50,000 annual license maintenance fee due under the Juniper License Agreement. During the six months ended June 30, 2019, we accrued (y) $125,000 of the $250,000 of license fees payable under the Assignment Agreement and (z) $100,000 of the $200,000 of license fees payable under the First Amendment to License Agreement. Both of these license fees are due in December 2019, and in our discretion, may be paid either in cash or with shares of our common stock</w:t>
      </w:r>
    </w:p>
    <w:p>
      <w:pPr>
        <w:spacing w:after="0" w:line="69" w:lineRule="exact"/>
        <w:rPr>
          <w:sz w:val="20"/>
          <w:szCs w:val="20"/>
          <w:color w:val="auto"/>
        </w:rPr>
      </w:pPr>
    </w:p>
    <w:p>
      <w:pPr>
        <w:jc w:val="both"/>
        <w:ind w:firstLine="837"/>
        <w:spacing w:after="0" w:line="271" w:lineRule="auto"/>
        <w:rPr>
          <w:sz w:val="20"/>
          <w:szCs w:val="20"/>
          <w:color w:val="auto"/>
        </w:rPr>
      </w:pPr>
      <w:r>
        <w:rPr>
          <w:rFonts w:ascii="Arial" w:cs="Arial" w:eastAsia="Arial" w:hAnsi="Arial"/>
          <w:sz w:val="18"/>
          <w:szCs w:val="18"/>
          <w:color w:val="auto"/>
        </w:rPr>
        <w:t>The license expenses of $350,000 for the six months ended June 30, 2018 was related to the $250,000 non-creditable upfront license fee payment to Juniper in connection with the execution of the Juniper License Agreement and to the $100,000 in license fees paid to SST.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0" w:right="239" w:bottom="1440" w:gutter="0" w:footer="0" w:header="0"/>
        </w:sectPr>
      </w:pPr>
    </w:p>
    <w:bookmarkStart w:id="30" w:name="page31"/>
    <w:bookmarkEnd w:id="30"/>
    <w:p>
      <w:pPr>
        <w:ind w:left="840"/>
        <w:spacing w:after="0"/>
        <w:rPr>
          <w:sz w:val="20"/>
          <w:szCs w:val="20"/>
          <w:color w:val="auto"/>
        </w:rPr>
      </w:pPr>
      <w:r>
        <w:rPr>
          <w:rFonts w:ascii="Arial" w:cs="Arial" w:eastAsia="Arial" w:hAnsi="Arial"/>
          <w:sz w:val="18"/>
          <w:szCs w:val="18"/>
          <w:color w:val="auto"/>
        </w:rPr>
        <w:t>For further discussion of these license fees, see Note 8 to our unaudited interim consolidated financial statements contained in this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expense</w:t>
      </w:r>
    </w:p>
    <w:p>
      <w:pPr>
        <w:spacing w:after="0" w:line="117" w:lineRule="exact"/>
        <w:rPr>
          <w:sz w:val="20"/>
          <w:szCs w:val="20"/>
          <w:color w:val="auto"/>
        </w:rPr>
      </w:pPr>
    </w:p>
    <w:p>
      <w:pPr>
        <w:jc w:val="both"/>
        <w:ind w:firstLine="837"/>
        <w:spacing w:after="0" w:line="271" w:lineRule="auto"/>
        <w:rPr>
          <w:sz w:val="20"/>
          <w:szCs w:val="20"/>
          <w:color w:val="auto"/>
        </w:rPr>
      </w:pPr>
      <w:r>
        <w:rPr>
          <w:rFonts w:ascii="Arial" w:cs="Arial" w:eastAsia="Arial" w:hAnsi="Arial"/>
          <w:sz w:val="18"/>
          <w:szCs w:val="18"/>
          <w:color w:val="auto"/>
        </w:rPr>
        <w:t>We incurred an impairment loss of $5,187,519 for the six months ended June 30, 2018 due to our determination that the carrying amount of our goodwill exceeded its estimated fair value at June 30, 2018. For a discussion of our goodwill analysis, see Note 4 to our unaudited interim consolidated financial statements contained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ind w:firstLine="837"/>
        <w:spacing w:after="0" w:line="292" w:lineRule="auto"/>
        <w:rPr>
          <w:sz w:val="20"/>
          <w:szCs w:val="20"/>
          <w:color w:val="auto"/>
        </w:rPr>
      </w:pPr>
      <w:r>
        <w:rPr>
          <w:rFonts w:ascii="Arial" w:cs="Arial" w:eastAsia="Arial" w:hAnsi="Arial"/>
          <w:sz w:val="18"/>
          <w:szCs w:val="18"/>
          <w:color w:val="auto"/>
        </w:rPr>
        <w:t>The increase of $6,862 in other income for the six months ended June 30, 2019 as compared to the six months ended June 30, 2018 was primarily due to interest earned on cash balances in the current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and Financial Condition</w:t>
      </w:r>
    </w:p>
    <w:p>
      <w:pPr>
        <w:spacing w:after="0" w:line="14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We prepared the accompanying consolidated financial statements on a going concern basis, which assumes that we will realize our assets and satisfy our liabilities in the normal course of business. In addition, we have a history of losses from operations, we expect negative cash flows from our operations to continue for the foreseeable future, and we expect that our net losses will continue for at least the next several years as we develop our existing product candidates and seek to acquire, license or develop additional product candidates.</w:t>
      </w:r>
    </w:p>
    <w:p>
      <w:pPr>
        <w:spacing w:after="0" w:line="8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At June 30, 2019, our accumulated deficit was approximately $36.8 million, our cash and cash equivalents were approximately $5.6 million, our working capital was approximately $4.6 million, and we had incurred a net loss from operations of $7.1 million. We had negative cash flow from operations of approximately $6.3 million during the six months ended June 30, 2019. We received gross proceeds of approximately $5.8 million, and net proceeds of approximately $5.2 million after deducting underwriting discounts and offering expenses, from our underwritten public offering that closed in April 2019. Considering our current cash resources, we believe our existing resources will be sufficient to fund planned operations into the first quarter of 2020. For the foreseeable future, our ability to continue our operations will depend upon our ability to obtain additional capital.</w:t>
      </w:r>
    </w:p>
    <w:p>
      <w:pPr>
        <w:spacing w:after="0" w:line="9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These circumstances raise substantial doubt about our ability to continue as a going concern. The accompanying interim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18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payments due under license agreements upon the successful achievement of milestones of our product candidates, legal expenses, other regulatory expenses and general overhead costs.</w:t>
      </w:r>
    </w:p>
    <w:p>
      <w:pPr>
        <w:spacing w:after="0" w:line="1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We expect our expenses to increase during the rest of 2019 as we continue the development of our product candidates, including as we (1) complete the Ovaprene PCT clinical trial, (2) prepare for the initiation of a Phase 3 clinical trial of DARE-BV1, (3) continue Phase 2b-related activities and prepare for the potential commencement of the at-home Phase 2b clinical study of Sildenafil Cream, 3.6%, (4) prepare for the initiation of a Phase 1 clinical study of DARE-HRT1, and (5) to a lesser extent, continue to advance our other product candidates.</w:t>
      </w:r>
    </w:p>
    <w:p>
      <w:pPr>
        <w:spacing w:after="0" w:line="13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and we cannot anticipate if, and when we will generate any revenue. We have devoted significant resources to acquiring our portfolio of product candidates and to research and development activities for our product candidates. We must obtain regulatory approvals to sell any of our products in the future. We will need to generate sufficient safety and efficacy data on our product candidates for them to be attractive assets for potential strategic partners to license or for pharmaceutical companies to acquire, and for us to generate cash and other license fees related to such product candidates.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84" w:right="239" w:bottom="1440" w:gutter="0" w:footer="0" w:header="0"/>
        </w:sectPr>
      </w:pPr>
    </w:p>
    <w:bookmarkStart w:id="31" w:name="page32"/>
    <w:bookmarkEnd w:id="31"/>
    <w:p>
      <w:pPr>
        <w:jc w:val="both"/>
        <w:ind w:firstLine="1297"/>
        <w:spacing w:after="0" w:line="271" w:lineRule="auto"/>
        <w:rPr>
          <w:sz w:val="20"/>
          <w:szCs w:val="20"/>
          <w:color w:val="auto"/>
        </w:rPr>
      </w:pPr>
      <w:r>
        <w:rPr>
          <w:rFonts w:ascii="Arial" w:cs="Arial" w:eastAsia="Arial" w:hAnsi="Arial"/>
          <w:sz w:val="18"/>
          <w:szCs w:val="18"/>
          <w:color w:val="auto"/>
        </w:rPr>
        <w:t>Based on our current operating plan estimates, we do not have sufficient cash to satisfy our working capital needs and other liquidity requirements over at least the next 12 months from the date of issuance of the accompanying interim consolidated financial statements.</w:t>
      </w:r>
    </w:p>
    <w:p>
      <w:pPr>
        <w:spacing w:after="0" w:line="12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operating plan, including the development of our current product candidates. We are currently evaluating a variety of capital raising options, including financings, government or other grant funding, collaborations and strategic alliances or other similar types of arrangements to cover our operating expenses, including the development of our product candidates and any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 There can be no assurance that capital will be available when needed or that, if available, it will be obtained on terms favorable to us and our stockholders. In addition, equity or debt financings may have a dilutive effect on the holdings of our existing stockholders.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“ITEM 1A. RISK FACTORS—Risks Related to Our Business—</w:t>
      </w:r>
      <w:r>
        <w:rPr>
          <w:rFonts w:ascii="Arial" w:cs="Arial" w:eastAsia="Arial" w:hAnsi="Arial"/>
          <w:sz w:val="18"/>
          <w:szCs w:val="18"/>
          <w:i w:val="1"/>
          <w:iCs w:val="1"/>
          <w:color w:val="auto"/>
        </w:rPr>
        <w:t>We will need to raise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to continue our operations</w:t>
      </w:r>
      <w:r>
        <w:rPr>
          <w:rFonts w:ascii="Arial" w:cs="Arial" w:eastAsia="Arial" w:hAnsi="Arial"/>
          <w:sz w:val="18"/>
          <w:szCs w:val="18"/>
          <w:color w:val="auto"/>
        </w:rPr>
        <w:t>,” in our 2018 10-K.</w:t>
      </w:r>
    </w:p>
    <w:p>
      <w:pPr>
        <w:sectPr>
          <w:pgSz w:w="11900" w:h="16838" w:orient="portrait"/>
          <w:cols w:equalWidth="0" w:num="1">
            <w:col w:w="11420"/>
          </w:cols>
          <w:pgMar w:left="240" w:top="751" w:right="2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cash used in investing activities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Net increase (decrease) in cash</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27305</wp:posOffset>
            </wp:positionV>
            <wp:extent cx="1818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120"/>
        <w:spacing w:after="0"/>
        <w:tabs>
          <w:tab w:leader="none" w:pos="16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27305</wp:posOffset>
            </wp:positionV>
            <wp:extent cx="18180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1" w:lineRule="exact"/>
        <w:rPr>
          <w:sz w:val="20"/>
          <w:szCs w:val="20"/>
          <w:color w:val="auto"/>
        </w:rPr>
      </w:pPr>
    </w:p>
    <w:p>
      <w:pPr>
        <w:jc w:val="both"/>
        <w:spacing w:after="0"/>
        <w:tabs>
          <w:tab w:leader="none" w:pos="1480" w:val="left"/>
        </w:tabs>
        <w:rPr>
          <w:sz w:val="20"/>
          <w:szCs w:val="20"/>
          <w:color w:val="auto"/>
        </w:rPr>
      </w:pPr>
      <w:r>
        <w:rPr>
          <w:rFonts w:ascii="Arial" w:cs="Arial" w:eastAsia="Arial" w:hAnsi="Arial"/>
          <w:sz w:val="18"/>
          <w:szCs w:val="18"/>
          <w:color w:val="auto"/>
        </w:rPr>
        <w:t>(6,326,726)</w:t>
      </w:r>
      <w:r>
        <w:rPr>
          <w:sz w:val="20"/>
          <w:szCs w:val="20"/>
          <w:color w:val="auto"/>
        </w:rPr>
        <w:tab/>
      </w:r>
      <w:r>
        <w:rPr>
          <w:rFonts w:ascii="Arial" w:cs="Arial" w:eastAsia="Arial" w:hAnsi="Arial"/>
          <w:sz w:val="18"/>
          <w:szCs w:val="18"/>
          <w:color w:val="auto"/>
        </w:rPr>
        <w:t>(4,807,544)</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—(460,200)</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5,151,702</w:t>
      </w:r>
      <w:r>
        <w:rPr>
          <w:rFonts w:ascii="Arial" w:cs="Arial" w:eastAsia="Arial" w:hAnsi="Arial"/>
          <w:sz w:val="17"/>
          <w:szCs w:val="17"/>
          <w:color w:val="auto"/>
        </w:rPr>
        <w:t>10,195,653</w:t>
      </w:r>
    </w:p>
    <w:p>
      <w:pPr>
        <w:spacing w:after="0" w:line="63" w:lineRule="exact"/>
        <w:rPr>
          <w:sz w:val="20"/>
          <w:szCs w:val="20"/>
          <w:color w:val="auto"/>
        </w:rPr>
      </w:pPr>
    </w:p>
    <w:p>
      <w:pPr>
        <w:jc w:val="right"/>
        <w:ind w:left="-380" w:right="40" w:firstLine="886"/>
        <w:spacing w:after="0" w:line="354" w:lineRule="auto"/>
        <w:tabs>
          <w:tab w:leader="none" w:pos="17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(41,231) $   (1,175,320)  $    4,886,678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-55245</wp:posOffset>
            </wp:positionV>
            <wp:extent cx="181800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18005" cy="2603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-226695</wp:posOffset>
            </wp:positionV>
            <wp:extent cx="1818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69" w:lineRule="exact"/>
        <w:rPr>
          <w:sz w:val="20"/>
          <w:szCs w:val="20"/>
          <w:color w:val="auto"/>
        </w:rPr>
      </w:pPr>
    </w:p>
    <w:p>
      <w:pPr>
        <w:sectPr>
          <w:pgSz w:w="11900" w:h="16838" w:orient="portrait"/>
          <w:cols w:equalWidth="0" w:num="2">
            <w:col w:w="8240" w:space="720"/>
            <w:col w:w="2460"/>
          </w:cols>
          <w:pgMar w:left="240" w:top="751" w:right="239" w:bottom="1440" w:gutter="0" w:footer="0" w:header="0"/>
          <w:type w:val="continuous"/>
        </w:sectPr>
      </w:pPr>
    </w:p>
    <w:p>
      <w:pPr>
        <w:jc w:val="both"/>
        <w:ind w:firstLine="1297"/>
        <w:spacing w:after="0" w:line="264" w:lineRule="auto"/>
        <w:rPr>
          <w:sz w:val="20"/>
          <w:szCs w:val="20"/>
          <w:color w:val="auto"/>
        </w:rPr>
      </w:pPr>
      <w:r>
        <w:rPr>
          <w:rFonts w:ascii="Arial" w:cs="Arial" w:eastAsia="Arial" w:hAnsi="Arial"/>
          <w:sz w:val="18"/>
          <w:szCs w:val="18"/>
          <w:color w:val="auto"/>
        </w:rPr>
        <w:t>Cash used in operating activities for the six months ended June 30, 2019 included the net loss of $7,004,290, decreased by non-cash stock-based compensation expense of $209,319. Major components reducing operating cash in this period were a $ 461,982 increase in other receivables and a $34,861 increase in prepaid expenses. Major components providing operating cash in this period were a $710,459 increase in accrued expenses, a $172,413 increase in accounts payable, and a $79,063 increase in other non-current assets.</w:t>
      </w:r>
    </w:p>
    <w:p>
      <w:pPr>
        <w:spacing w:after="0" w:line="6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Cash used in operating activities for the six months ended June 30, 2018 included the net loss of $11,247,787, decreased by non-cash impairment of goodwill of $5,187,519, acquired in-process research and development expense of approximately $452,000 and non-cash stock-based compensation expense of $18,547. Major components providing operating cash in this period were a $288,846 increase of accounts payable, a $9,739 increase of accrued expenses, a $259,562 decrease in other receivables and a $193,495 decrease in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cash was provided by or used in investing activities for the six months ended June 30, 2019.</w:t>
      </w:r>
    </w:p>
    <w:p>
      <w:pPr>
        <w:spacing w:after="0" w:line="117"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Cash used in investing activities for the six months ended June 30, 2018 consisted of approximately $452,000 of transaction costs associated with our acquisition of Pear Tree and approximately $8,200 related to the purchase of property and equipment.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51"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Cash provided by financing activities for the six months ended June 30, 2019 consisted of proceeds from the underwritten public offering completed in April 2019.</w:t>
      </w:r>
    </w:p>
    <w:p>
      <w:pPr>
        <w:spacing w:after="0" w:line="3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Cash provided by financing activities for the six months ended June 30, 2018 consisted of proceeds from the underwritten public offering completed in February 2018 and sales under the at-the-market offering agreement in January and February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to make various royalty and milestone payments under the product license and development agreements related to DARE-BV1, Ovaprene, and Sildenafil Cream, 3.6%, and under the other agreements related to our other clinical and preclinical candidates. For further discussion of these potential payments, see Note 8 to our unaudited interim consolidated financial statements contained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item.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Based on an evaluation,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June 30, 2019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There are no material pending legal proceedings, other than ordinary routine litigation incidental to our business, to which we are a party or of which any of our property is in the subject.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6" w:lineRule="exact"/>
        <w:rPr>
          <w:sz w:val="20"/>
          <w:szCs w:val="20"/>
          <w:color w:val="auto"/>
        </w:rPr>
      </w:pPr>
    </w:p>
    <w:p>
      <w:pPr>
        <w:jc w:val="both"/>
        <w:ind w:firstLine="837"/>
        <w:spacing w:after="0" w:line="260"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2018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2018 10-K other than as described below:</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assurance that we will continue to satisfy the listing requirements of the Nasdaq Capital Market.</w:t>
      </w:r>
    </w:p>
    <w:p>
      <w:pPr>
        <w:spacing w:after="0" w:line="281" w:lineRule="exact"/>
        <w:rPr>
          <w:sz w:val="20"/>
          <w:szCs w:val="20"/>
          <w:color w:val="auto"/>
        </w:rPr>
      </w:pPr>
    </w:p>
    <w:p>
      <w:pPr>
        <w:jc w:val="both"/>
        <w:ind w:firstLine="837"/>
        <w:spacing w:after="0" w:line="256" w:lineRule="auto"/>
        <w:rPr>
          <w:sz w:val="20"/>
          <w:szCs w:val="20"/>
          <w:color w:val="auto"/>
        </w:rPr>
      </w:pPr>
      <w:r>
        <w:rPr>
          <w:rFonts w:ascii="Arial" w:cs="Arial" w:eastAsia="Arial" w:hAnsi="Arial"/>
          <w:sz w:val="18"/>
          <w:szCs w:val="18"/>
          <w:color w:val="auto"/>
        </w:rPr>
        <w:t>Our common stock is listed on the Nasdaq Capital Market. As previously reported, on June 21, 2019, we received a letter from the Listing Qualifications Department (the “Nasdaq Staff”) of the Nasdaq Stock Market (“Nasdaq”) notifying us that, for the last 30 consecutive business days, the closing bid price for our common stock was below the minimum $1.00 per share requirement for continued listing on The Nasdaq Capital Market as set forth in Nasdaq Listing Rule 5550(a)(2) (the “Minimum Bid Price Requirement”), and that we have until December 18, 2019 to regain compliance. We will regain compliance if the closing bid price of our common stock is at least $1.00 for a minimum of 10 consecutive business days at any time between June 21, 2019 and December 18, 2019, unless the Nasdaq Staff exercises its discretion to extend such 10-day period. From June 21, 2019 through August 13, 2019, the closing bid price of our common stock has been less than $1.00.</w:t>
      </w:r>
    </w:p>
    <w:p>
      <w:pPr>
        <w:spacing w:after="0" w:line="318" w:lineRule="exact"/>
        <w:rPr>
          <w:sz w:val="20"/>
          <w:szCs w:val="20"/>
          <w:color w:val="auto"/>
        </w:rPr>
      </w:pPr>
    </w:p>
    <w:p>
      <w:pPr>
        <w:jc w:val="both"/>
        <w:ind w:firstLine="837"/>
        <w:spacing w:after="0" w:line="254" w:lineRule="auto"/>
        <w:rPr>
          <w:sz w:val="20"/>
          <w:szCs w:val="20"/>
          <w:color w:val="auto"/>
        </w:rPr>
      </w:pPr>
      <w:r>
        <w:rPr>
          <w:rFonts w:ascii="Arial" w:cs="Arial" w:eastAsia="Arial" w:hAnsi="Arial"/>
          <w:sz w:val="18"/>
          <w:szCs w:val="18"/>
          <w:color w:val="auto"/>
        </w:rPr>
        <w:t>If we have not regained compliance by December 18, 2019, we may be eligible for an additional 180-day compliance period. To qualify for this additional compliance period, we would be required to meet the continued listing requirement for market value of publicly held shares and all other initial listing standards for The Nasdaq Capital Market, other than the Minimum Bid Price Requirement, including having stockholders’ equity of at least $5 million. In addition, we would also be required to notify Nasdaq of our intent to cure the minimum bid price deficiency during the additional compliance period, which may include, if necessary, implementing a reverse stock split. Our stockholders' equity at June 30, 2019 was $ 5.1 million, and, as such, we expect that we will need to raise additional equity capital to be eligible for the additional compliance period. If our stockholders' equity is not at least $5.0 million at September 30, 2019 but increases to at least $5.0 million after September 30, 2019 and before December 18, 2019, we understand that the Nasdaq Staff has discretion whether to consider such increase for purposes of determining our eligibility for the additional compliance period. If we are not granted the additional compliance period for any reason, the Nasdaq Staff will provide written notice to us that our common stock will be subject to delisting. At that time, we may appeal the Nasdaq Staff’s delisting determination to a Nasdaq Hearing Panel.</w:t>
      </w:r>
    </w:p>
    <w:p>
      <w:pPr>
        <w:spacing w:after="0" w:line="116" w:lineRule="exact"/>
        <w:rPr>
          <w:sz w:val="20"/>
          <w:szCs w:val="20"/>
          <w:color w:val="auto"/>
        </w:rPr>
      </w:pPr>
    </w:p>
    <w:p>
      <w:pPr>
        <w:jc w:val="both"/>
        <w:ind w:firstLine="725"/>
        <w:spacing w:after="0" w:line="271" w:lineRule="auto"/>
        <w:rPr>
          <w:sz w:val="20"/>
          <w:szCs w:val="20"/>
          <w:color w:val="auto"/>
        </w:rPr>
      </w:pPr>
      <w:r>
        <w:rPr>
          <w:rFonts w:ascii="Arial" w:cs="Arial" w:eastAsia="Arial" w:hAnsi="Arial"/>
          <w:sz w:val="18"/>
          <w:szCs w:val="18"/>
          <w:color w:val="auto"/>
        </w:rPr>
        <w:t>There can be no assurance we will regain compliance with the Minimum Bid Price Requirement or continue to satisfy the other continued listing requirements of The Nasdaq Capital Market. The delisting of our common stock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could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delisting of our common stock for whatever reason may materially impair our stockholders’ ability to buy and sell shares of our common stock and could have an adverse effect on the market price of, and the efficiency of the trading market for,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3" w:lineRule="exact"/>
        <w:rPr>
          <w:sz w:val="20"/>
          <w:szCs w:val="20"/>
          <w:color w:val="auto"/>
        </w:rPr>
      </w:pPr>
    </w:p>
    <w:p>
      <w:pPr>
        <w:ind w:left="2180" w:hanging="875"/>
        <w:spacing w:after="0"/>
        <w:tabs>
          <w:tab w:leader="none" w:pos="2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w:t>
      </w:r>
    </w:p>
    <w:p>
      <w:pPr>
        <w:spacing w:after="0" w:line="49" w:lineRule="exact"/>
        <w:rPr>
          <w:rFonts w:ascii="Arial" w:cs="Arial" w:eastAsia="Arial" w:hAnsi="Arial"/>
          <w:sz w:val="18"/>
          <w:szCs w:val="18"/>
          <w:color w:val="auto"/>
        </w:rPr>
      </w:pPr>
    </w:p>
    <w:p>
      <w:pPr>
        <w:ind w:left="2180" w:hanging="875"/>
        <w:spacing w:after="0"/>
        <w:tabs>
          <w:tab w:leader="none" w:pos="2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w:t>
      </w:r>
    </w:p>
    <w:p>
      <w:pPr>
        <w:spacing w:after="0" w:line="49" w:lineRule="exact"/>
        <w:rPr>
          <w:rFonts w:ascii="Arial" w:cs="Arial" w:eastAsia="Arial" w:hAnsi="Arial"/>
          <w:sz w:val="18"/>
          <w:szCs w:val="18"/>
          <w:color w:val="auto"/>
        </w:rPr>
      </w:pPr>
    </w:p>
    <w:p>
      <w:pPr>
        <w:ind w:left="2160" w:hanging="855"/>
        <w:spacing w:after="0"/>
        <w:tabs>
          <w:tab w:leader="none" w:pos="2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None.</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None.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Item 6. Exhibits</w:t>
            </w:r>
          </w:p>
        </w:tc>
        <w:tc>
          <w:tcPr>
            <w:tcW w:w="2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9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6"/>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6"/>
        </w:trPr>
        <w:tc>
          <w:tcPr>
            <w:tcW w:w="1340" w:type="dxa"/>
            <w:vAlign w:val="bottom"/>
            <w:gridSpan w:val="3"/>
          </w:tcPr>
          <w:p>
            <w:pPr>
              <w:ind w:left="220"/>
              <w:spacing w:after="0" w:line="186" w:lineRule="exact"/>
              <w:rPr>
                <w:sz w:val="20"/>
                <w:szCs w:val="20"/>
                <w:color w:val="auto"/>
              </w:rPr>
            </w:pPr>
            <w:r>
              <w:rPr>
                <w:rFonts w:ascii="Arial" w:cs="Arial" w:eastAsia="Arial" w:hAnsi="Arial"/>
                <w:sz w:val="18"/>
                <w:szCs w:val="18"/>
                <w:b w:val="1"/>
                <w:bCs w:val="1"/>
                <w:color w:val="auto"/>
              </w:rPr>
              <w:t>Exhibit</w:t>
            </w:r>
          </w:p>
        </w:tc>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99"/>
              </w:rPr>
              <w:t>Filed</w:t>
            </w:r>
          </w:p>
        </w:tc>
      </w:tr>
      <w:tr>
        <w:trPr>
          <w:trHeight w:val="254"/>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gridSpan w:val="11"/>
          </w:tcPr>
          <w:p>
            <w:pPr>
              <w:ind w:left="1080"/>
              <w:spacing w:after="0"/>
              <w:rPr>
                <w:sz w:val="20"/>
                <w:szCs w:val="20"/>
                <w:color w:val="auto"/>
              </w:rPr>
            </w:pPr>
            <w:r>
              <w:rPr>
                <w:rFonts w:ascii="Arial" w:cs="Arial" w:eastAsia="Arial" w:hAnsi="Arial"/>
                <w:sz w:val="18"/>
                <w:szCs w:val="18"/>
                <w:b w:val="1"/>
                <w:bCs w:val="1"/>
                <w:color w:val="auto"/>
              </w:rPr>
              <w:t>Description of Exhibit</w:t>
            </w:r>
          </w:p>
        </w:tc>
        <w:tc>
          <w:tcPr>
            <w:tcW w:w="120" w:type="dxa"/>
            <w:vAlign w:val="bottom"/>
          </w:tcPr>
          <w:p>
            <w:pPr>
              <w:spacing w:after="0"/>
              <w:rPr>
                <w:sz w:val="22"/>
                <w:szCs w:val="22"/>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Form</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2"/>
                <w:szCs w:val="22"/>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Filing Date</w:t>
            </w:r>
          </w:p>
        </w:tc>
        <w:tc>
          <w:tcPr>
            <w:tcW w:w="120" w:type="dxa"/>
            <w:vAlign w:val="bottom"/>
          </w:tcPr>
          <w:p>
            <w:pPr>
              <w:spacing w:after="0"/>
              <w:rPr>
                <w:sz w:val="22"/>
                <w:szCs w:val="22"/>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44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6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39">
              <w:r>
                <w:rPr>
                  <w:rFonts w:ascii="Arial" w:cs="Arial" w:eastAsia="Arial" w:hAnsi="Arial"/>
                  <w:sz w:val="18"/>
                  <w:szCs w:val="18"/>
                  <w:color w:val="0000FF"/>
                </w:rPr>
                <w:t>to Rule 13a-14(a)/15d-14(a) of the Securities</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39">
              <w:r>
                <w:rPr>
                  <w:rFonts w:ascii="Arial" w:cs="Arial" w:eastAsia="Arial" w:hAnsi="Arial"/>
                  <w:sz w:val="18"/>
                  <w:szCs w:val="18"/>
                  <w:color w:val="0000FF"/>
                </w:rPr>
                <w:t>Exchange Act of 1934, as amended</w:t>
              </w:r>
            </w:hyperlink>
          </w:p>
        </w:tc>
        <w:tc>
          <w:tcPr>
            <w:tcW w:w="3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principal financial officer pursuant to</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40">
              <w:r>
                <w:rPr>
                  <w:rFonts w:ascii="Arial" w:cs="Arial" w:eastAsia="Arial" w:hAnsi="Arial"/>
                  <w:sz w:val="18"/>
                  <w:szCs w:val="18"/>
                  <w:color w:val="0000FF"/>
                </w:rPr>
                <w:t>Rule 13a-14(a)/15d-14(a) of the Securities</w:t>
              </w:r>
            </w:hyperlink>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w:anchor="page40">
              <w:r>
                <w:rPr>
                  <w:rFonts w:ascii="Arial" w:cs="Arial" w:eastAsia="Arial" w:hAnsi="Arial"/>
                  <w:sz w:val="18"/>
                  <w:szCs w:val="18"/>
                  <w:color w:val="0000FF"/>
                </w:rPr>
                <w:t>Exchange Act of 1934, as amended</w:t>
              </w:r>
            </w:hyperlink>
          </w:p>
        </w:tc>
        <w:tc>
          <w:tcPr>
            <w:tcW w:w="5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Certification of principal executive officer pursuant</w:t>
              </w:r>
            </w:hyperlink>
          </w:p>
        </w:tc>
        <w:tc>
          <w:tcPr>
            <w:tcW w:w="3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gridSpan w:val="12"/>
          </w:tcPr>
          <w:p>
            <w:pPr>
              <w:spacing w:after="0" w:line="182" w:lineRule="exact"/>
              <w:rPr>
                <w:rFonts w:ascii="Arial" w:cs="Arial" w:eastAsia="Arial" w:hAnsi="Arial"/>
                <w:sz w:val="18"/>
                <w:szCs w:val="18"/>
                <w:color w:val="0000FF"/>
              </w:rPr>
            </w:pPr>
            <w:hyperlink w:anchor="page41">
              <w:r>
                <w:rPr>
                  <w:rFonts w:ascii="Arial" w:cs="Arial" w:eastAsia="Arial" w:hAnsi="Arial"/>
                  <w:sz w:val="18"/>
                  <w:szCs w:val="18"/>
                  <w:color w:val="0000FF"/>
                </w:rPr>
                <w:t>to 18 U.S.C. §1350, as adopted pursuant to Section</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w:anchor="page41">
              <w:r>
                <w:rPr>
                  <w:rFonts w:ascii="Arial" w:cs="Arial" w:eastAsia="Arial" w:hAnsi="Arial"/>
                  <w:sz w:val="18"/>
                  <w:szCs w:val="18"/>
                  <w:color w:val="0000FF"/>
                  <w:w w:val="99"/>
                </w:rPr>
                <w:t>906 of the Sarbanes-Oxley Act of 2002</w:t>
              </w:r>
            </w:hyperlink>
          </w:p>
        </w:tc>
        <w:tc>
          <w:tcPr>
            <w:tcW w:w="1000" w:type="dxa"/>
            <w:vAlign w:val="bottom"/>
            <w:tcBorders>
              <w:top w:val="single" w:sz="8" w:color="0000FF"/>
            </w:tcBorders>
            <w:gridSpan w:val="7"/>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principal financial officer pursuant to</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18 U.S.C. §1350, as adopted pursuant to Section</w:t>
              </w:r>
            </w:hyperlink>
          </w:p>
        </w:tc>
        <w:tc>
          <w:tcPr>
            <w:tcW w:w="2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906 of the Sarbanes-Oxley Act of 2002</w:t>
              </w:r>
            </w:hyperlink>
          </w:p>
        </w:tc>
        <w:tc>
          <w:tcPr>
            <w:tcW w:w="820" w:type="dxa"/>
            <w:vAlign w:val="bottom"/>
            <w:tcBorders>
              <w:top w:val="single" w:sz="8" w:color="0000FF"/>
            </w:tcBorders>
            <w:gridSpan w:val="4"/>
          </w:tcPr>
          <w:p>
            <w:pPr>
              <w:spacing w:after="0"/>
              <w:rPr>
                <w:sz w:val="15"/>
                <w:szCs w:val="15"/>
                <w:color w:val="auto"/>
              </w:rPr>
            </w:pPr>
          </w:p>
        </w:tc>
        <w:tc>
          <w:tcPr>
            <w:tcW w:w="38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03"/>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43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92"/>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43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51"/>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43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38"/>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43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38"/>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43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38"/>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43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62" w:lineRule="exact"/>
        <w:rPr>
          <w:sz w:val="20"/>
          <w:szCs w:val="20"/>
          <w:color w:val="auto"/>
        </w:rPr>
      </w:pPr>
    </w:p>
    <w:p>
      <w:pPr>
        <w:ind w:right="200" w:firstLine="8"/>
        <w:spacing w:after="0" w:line="292" w:lineRule="auto"/>
        <w:tabs>
          <w:tab w:leader="none" w:pos="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 1350, and is not being filed for purposes of Section 18 of the Securities Exchange Act of 1934, as amended, and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9" w:right="239" w:bottom="1440" w:gutter="0" w:footer="0" w:header="0"/>
        </w:sectPr>
      </w:pPr>
    </w:p>
    <w:bookmarkStart w:id="36" w:name="page37"/>
    <w:bookmarkEnd w:id="36"/>
    <w:p>
      <w:pPr>
        <w:spacing w:after="0" w:line="292" w:lineRule="auto"/>
        <w:rPr>
          <w:sz w:val="20"/>
          <w:szCs w:val="20"/>
          <w:color w:val="auto"/>
        </w:rPr>
      </w:pPr>
      <w:r>
        <w:rPr>
          <w:rFonts w:ascii="Arial" w:cs="Arial" w:eastAsia="Arial" w:hAnsi="Arial"/>
          <w:sz w:val="18"/>
          <w:szCs w:val="18"/>
          <w:color w:val="auto"/>
        </w:rPr>
        <w:t>not to be incorporated herein by reference into any filing of the registrant whether made before or after the date hereof, regardless of any general incorporation in such filing.</w:t>
      </w:r>
    </w:p>
    <w:p>
      <w:pPr>
        <w:spacing w:after="0" w:line="17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0"/>
          </w:cols>
          <w:pgMar w:left="240" w:top="751" w:right="7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362"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599"/>
        </w:trPr>
        <w:tc>
          <w:tcPr>
            <w:tcW w:w="3520" w:type="dxa"/>
            <w:vAlign w:val="bottom"/>
          </w:tcPr>
          <w:p>
            <w:pPr>
              <w:spacing w:after="0"/>
              <w:rPr>
                <w:sz w:val="20"/>
                <w:szCs w:val="20"/>
                <w:color w:val="auto"/>
              </w:rPr>
            </w:pPr>
            <w:r>
              <w:rPr>
                <w:rFonts w:ascii="Arial" w:cs="Arial" w:eastAsia="Arial" w:hAnsi="Arial"/>
                <w:sz w:val="18"/>
                <w:szCs w:val="18"/>
                <w:color w:val="auto"/>
              </w:rPr>
              <w:t>Date: August 14, 2019</w:t>
            </w:r>
          </w:p>
        </w:tc>
        <w:tc>
          <w:tcPr>
            <w:tcW w:w="2020" w:type="dxa"/>
            <w:vAlign w:val="bottom"/>
          </w:tcPr>
          <w:p>
            <w:pPr>
              <w:ind w:left="172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4"/>
                <w:szCs w:val="24"/>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45"/>
        </w:trPr>
        <w:tc>
          <w:tcPr>
            <w:tcW w:w="3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57"/>
        </w:trPr>
        <w:tc>
          <w:tcPr>
            <w:tcW w:w="35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5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99"/>
        </w:trPr>
        <w:tc>
          <w:tcPr>
            <w:tcW w:w="3520" w:type="dxa"/>
            <w:vAlign w:val="bottom"/>
          </w:tcPr>
          <w:p>
            <w:pPr>
              <w:spacing w:after="0"/>
              <w:rPr>
                <w:sz w:val="20"/>
                <w:szCs w:val="20"/>
                <w:color w:val="auto"/>
              </w:rPr>
            </w:pPr>
            <w:r>
              <w:rPr>
                <w:rFonts w:ascii="Arial" w:cs="Arial" w:eastAsia="Arial" w:hAnsi="Arial"/>
                <w:sz w:val="18"/>
                <w:szCs w:val="18"/>
                <w:color w:val="auto"/>
              </w:rPr>
              <w:t>Date: August 14, 2019</w:t>
            </w:r>
          </w:p>
        </w:tc>
        <w:tc>
          <w:tcPr>
            <w:tcW w:w="2020" w:type="dxa"/>
            <w:vAlign w:val="bottom"/>
          </w:tcPr>
          <w:p>
            <w:pPr>
              <w:ind w:left="172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4"/>
                <w:szCs w:val="24"/>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Walters-Hoffert</w:t>
            </w:r>
          </w:p>
        </w:tc>
      </w:tr>
      <w:tr>
        <w:trPr>
          <w:trHeight w:val="245"/>
        </w:trPr>
        <w:tc>
          <w:tcPr>
            <w:tcW w:w="3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Lisa Walters-Hoffert</w:t>
            </w:r>
          </w:p>
        </w:tc>
      </w:tr>
      <w:tr>
        <w:trPr>
          <w:trHeight w:val="257"/>
        </w:trPr>
        <w:tc>
          <w:tcPr>
            <w:tcW w:w="35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5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74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93" w:lineRule="exact"/>
        <w:rPr>
          <w:sz w:val="20"/>
          <w:szCs w:val="20"/>
          <w:color w:val="auto"/>
        </w:rPr>
      </w:pPr>
    </w:p>
    <w:p>
      <w:pPr>
        <w:ind w:left="940" w:hanging="446"/>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98"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500" w:right="280" w:hanging="560"/>
        <w:spacing w:after="0" w:line="277" w:lineRule="auto"/>
        <w:tabs>
          <w:tab w:leader="none" w:pos="15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500" w:right="280" w:hanging="560"/>
        <w:spacing w:after="0" w:line="255"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8"/>
          <w:szCs w:val="18"/>
          <w:color w:val="auto"/>
        </w:rPr>
      </w:pPr>
    </w:p>
    <w:p>
      <w:pPr>
        <w:ind w:left="1500" w:right="280" w:hanging="560"/>
        <w:spacing w:after="0" w:line="276"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17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28575</wp:posOffset>
            </wp:positionV>
            <wp:extent cx="2838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71" w:lineRule="exact"/>
        <w:rPr>
          <w:sz w:val="20"/>
          <w:szCs w:val="20"/>
          <w:color w:val="auto"/>
        </w:rPr>
      </w:pPr>
    </w:p>
    <w:p>
      <w:pPr>
        <w:ind w:left="940" w:hanging="446"/>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98"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500" w:right="280" w:hanging="560"/>
        <w:spacing w:after="0" w:line="277" w:lineRule="auto"/>
        <w:tabs>
          <w:tab w:leader="none" w:pos="1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500" w:right="280" w:hanging="560"/>
        <w:spacing w:after="0" w:line="255"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8"/>
          <w:szCs w:val="18"/>
          <w:color w:val="auto"/>
        </w:rPr>
      </w:pPr>
    </w:p>
    <w:p>
      <w:pPr>
        <w:ind w:left="1500" w:right="280" w:hanging="560"/>
        <w:spacing w:after="0" w:line="276"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17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28575</wp:posOffset>
            </wp:positionV>
            <wp:extent cx="2838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1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June 30, 2019,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163"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92" w:lineRule="auto"/>
        <w:tabs>
          <w:tab w:leader="none" w:pos="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37465</wp:posOffset>
            </wp:positionV>
            <wp:extent cx="2889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June 30, 2019,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163"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92" w:lineRule="auto"/>
        <w:tabs>
          <w:tab w:leader="none" w:pos="2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37465</wp:posOffset>
            </wp:positionV>
            <wp:extent cx="2889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emdash "/>
      <w:numFmt w:val="bullet"/>
      <w:start w:val="1"/>
    </w:lvl>
  </w:abstractNum>
  <w:abstractNum w:abstractNumId="5">
    <w:nsid w:val="257130A3"/>
    <w:multiLevelType w:val="hybridMultilevel"/>
    <w:lvl w:ilvl="0">
      <w:lvlJc w:val="left"/>
      <w:lvlText w:val="(%1)"/>
      <w:numFmt w:val="decimal"/>
      <w:start w:val="296"/>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6"/>
    </w:lvl>
  </w:abstractNum>
  <w:abstractNum w:abstractNumId="16">
    <w:nsid w:val="79838CB2"/>
    <w:multiLevelType w:val="hybridMultilevel"/>
    <w:lvl w:ilvl="0">
      <w:lvlJc w:val="left"/>
      <w:lvlText w:val="%1."/>
      <w:numFmt w:val="decimal"/>
      <w:start w:val="7"/>
    </w:lvl>
  </w:abstractNum>
  <w:abstractNum w:abstractNumId="17">
    <w:nsid w:val="4353D0CD"/>
    <w:multiLevelType w:val="hybridMultilevel"/>
    <w:lvl w:ilvl="0">
      <w:lvlJc w:val="left"/>
      <w:lvlText w:val="%1."/>
      <w:numFmt w:val="decimal"/>
      <w:start w:val="8"/>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1."/>
      <w:numFmt w:val="decimal"/>
      <w:start w:val="9"/>
    </w:lvl>
  </w:abstractNum>
  <w:abstractNum w:abstractNumId="20">
    <w:nsid w:val="54E49EB4"/>
    <w:multiLevelType w:val="hybridMultilevel"/>
    <w:lvl w:ilvl="0">
      <w:lvlJc w:val="left"/>
      <w:lvlText w:val="%1."/>
      <w:numFmt w:val="decimal"/>
      <w:start w:val="10"/>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26"/>
    </w:lvl>
  </w:abstractNum>
  <w:abstractNum w:abstractNumId="25">
    <w:nsid w:val="3A95F874"/>
    <w:multiLevelType w:val="hybridMultilevel"/>
    <w:lvl w:ilvl="0">
      <w:lvlJc w:val="left"/>
      <w:lvlText w:val="\emdash "/>
      <w:numFmt w:val="bullet"/>
      <w:start w:val="1"/>
    </w:lvl>
  </w:abstractNum>
  <w:abstractNum w:abstractNumId="26">
    <w:nsid w:val="8138641"/>
    <w:multiLevelType w:val="hybridMultilevel"/>
    <w:lvl w:ilvl="0">
      <w:lvlJc w:val="left"/>
      <w:lvlText w:val="(%1)"/>
      <w:numFmt w:val="decimal"/>
      <w:start w:val="296"/>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2019-12-28T06:57:39Z</dcterms:created>
  <dcterms:modified xsi:type="dcterms:W3CDTF">2019-12-28T06:57:39Z</dcterms:modified>
</cp:coreProperties>
</file>