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253(g)(2)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024-12688</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OFFERING CIRCULAR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offering circular dated January 6, 2026 and prior supplement)</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DARÉ BIOSCIENCE, INC.</w:t>
      </w:r>
    </w:p>
    <w:p>
      <w:pPr>
        <w:spacing w:after="0" w:line="252" w:lineRule="exact"/>
        <w:rPr>
          <w:sz w:val="24"/>
          <w:szCs w:val="24"/>
          <w:color w:val="auto"/>
        </w:rPr>
      </w:pPr>
    </w:p>
    <w:p>
      <w:pPr>
        <w:jc w:val="center"/>
        <w:spacing w:after="0" w:line="273" w:lineRule="auto"/>
        <w:rPr>
          <w:sz w:val="20"/>
          <w:szCs w:val="20"/>
          <w:color w:val="auto"/>
        </w:rPr>
      </w:pPr>
      <w:r>
        <w:rPr>
          <w:rFonts w:ascii="Arial" w:cs="Arial" w:eastAsia="Arial" w:hAnsi="Arial"/>
          <w:sz w:val="18"/>
          <w:szCs w:val="18"/>
          <w:b w:val="1"/>
          <w:bCs w:val="1"/>
          <w:color w:val="auto"/>
        </w:rPr>
        <w:t>Best Efforts Offering of up to 4,854,000 Investor Units, each Investor Unit Consisting of One Share of Series A Convertible Preferred Stock, which is Convertible into Two Shares of Common Stock, and Two Warrants, each to Purchase One Share of Common Stock</w:t>
      </w:r>
    </w:p>
    <w:p>
      <w:pPr>
        <w:spacing w:after="0" w:line="185" w:lineRule="exact"/>
        <w:rPr>
          <w:sz w:val="24"/>
          <w:szCs w:val="24"/>
          <w:color w:val="auto"/>
        </w:rPr>
      </w:pPr>
    </w:p>
    <w:p>
      <w:pPr>
        <w:jc w:val="center"/>
        <w:spacing w:after="0" w:line="296" w:lineRule="auto"/>
        <w:rPr>
          <w:sz w:val="20"/>
          <w:szCs w:val="20"/>
          <w:color w:val="auto"/>
        </w:rPr>
      </w:pPr>
      <w:r>
        <w:rPr>
          <w:rFonts w:ascii="Arial" w:cs="Arial" w:eastAsia="Arial" w:hAnsi="Arial"/>
          <w:sz w:val="18"/>
          <w:szCs w:val="18"/>
          <w:b w:val="1"/>
          <w:bCs w:val="1"/>
          <w:color w:val="auto"/>
        </w:rPr>
        <w:t>Up to 9,708,000 Shares of Common Stock Issuable Upon Conversion of the Series A Preferred Stock and up to 9,708,000 Shares of Common Stock Issuable Upon Exercise of the Warrants, in each case, that are part of the Investor Units</w:t>
      </w:r>
    </w:p>
    <w:p>
      <w:pPr>
        <w:spacing w:after="0" w:line="164" w:lineRule="exact"/>
        <w:rPr>
          <w:sz w:val="24"/>
          <w:szCs w:val="24"/>
          <w:color w:val="auto"/>
        </w:rPr>
      </w:pPr>
    </w:p>
    <w:p>
      <w:pPr>
        <w:jc w:val="center"/>
        <w:spacing w:after="0" w:line="273" w:lineRule="auto"/>
        <w:rPr>
          <w:sz w:val="20"/>
          <w:szCs w:val="20"/>
          <w:color w:val="auto"/>
        </w:rPr>
      </w:pPr>
      <w:r>
        <w:rPr>
          <w:rFonts w:ascii="Arial" w:cs="Arial" w:eastAsia="Arial" w:hAnsi="Arial"/>
          <w:sz w:val="18"/>
          <w:szCs w:val="18"/>
          <w:b w:val="1"/>
          <w:bCs w:val="1"/>
          <w:color w:val="auto"/>
        </w:rPr>
        <w:t>Agent Unit Warrants to Purchase up to 145,620 Agent Units, each Agent Unit Consisting of One Share of Series A Convertible Preferred Stock, which is Convertible into Two Shares of Common Stock, and Two Warrants, each to Purchase One Share of Common Stock</w:t>
      </w:r>
    </w:p>
    <w:p>
      <w:pPr>
        <w:spacing w:after="0" w:line="185" w:lineRule="exact"/>
        <w:rPr>
          <w:sz w:val="24"/>
          <w:szCs w:val="24"/>
          <w:color w:val="auto"/>
        </w:rPr>
      </w:pPr>
    </w:p>
    <w:p>
      <w:pPr>
        <w:jc w:val="center"/>
        <w:ind w:left="340" w:right="20"/>
        <w:spacing w:after="0" w:line="296" w:lineRule="auto"/>
        <w:rPr>
          <w:sz w:val="20"/>
          <w:szCs w:val="20"/>
          <w:color w:val="auto"/>
        </w:rPr>
      </w:pPr>
      <w:r>
        <w:rPr>
          <w:rFonts w:ascii="Arial" w:cs="Arial" w:eastAsia="Arial" w:hAnsi="Arial"/>
          <w:sz w:val="18"/>
          <w:szCs w:val="18"/>
          <w:b w:val="1"/>
          <w:bCs w:val="1"/>
          <w:color w:val="auto"/>
        </w:rPr>
        <w:t>Up to 145,620 Shares of Series A Convertible Preferred Stock Issuable Upon Exercise of the Agent Unit Warrants and up to 291,240 Shares of Common Stock Issuable Upon Conversion of such Shares of Series A Preferred Stock</w:t>
      </w:r>
    </w:p>
    <w:p>
      <w:pPr>
        <w:spacing w:after="0" w:line="164" w:lineRule="exact"/>
        <w:rPr>
          <w:sz w:val="24"/>
          <w:szCs w:val="24"/>
          <w:color w:val="auto"/>
        </w:rPr>
      </w:pPr>
    </w:p>
    <w:p>
      <w:pPr>
        <w:jc w:val="center"/>
        <w:ind w:left="340" w:right="140"/>
        <w:spacing w:after="0" w:line="296" w:lineRule="auto"/>
        <w:rPr>
          <w:sz w:val="20"/>
          <w:szCs w:val="20"/>
          <w:color w:val="auto"/>
        </w:rPr>
      </w:pPr>
      <w:r>
        <w:rPr>
          <w:rFonts w:ascii="Arial" w:cs="Arial" w:eastAsia="Arial" w:hAnsi="Arial"/>
          <w:sz w:val="18"/>
          <w:szCs w:val="18"/>
          <w:b w:val="1"/>
          <w:bCs w:val="1"/>
          <w:color w:val="auto"/>
        </w:rPr>
        <w:t>Up to 291,240 Warrants Issuable Upon Exercise of the Agent Unit Warrants and up to 291,240 Shares of Common Stock Issuable Upon Exercise of such Warrants</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This offering circular supplement supplements, modifies and supersedes, to the extent indicated herein, the information in, or incorporated by reference into, the offering circular dated January 6, 2026 and the offering circular supplement dated March 26, 2026 (together, the “offering circular”), with the information in our Quarterly Report on Form 10-Q for the quarter ended March 31, 2026, filed with the Securities and Exchange Commission on May 14, 2026 (the “10-Q”), a copy of which accompanies this offering circular supplement. The offering circular, as supplemented from time to time, forms a part of our Offering Statement on Form 1-A (File No. 024-12688).</w:t>
      </w:r>
    </w:p>
    <w:p>
      <w:pPr>
        <w:spacing w:after="0" w:line="20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This offering circular supplement should be read in conjunction with the offering circular, and is qualified by reference to the offering circular, except to the extent that the information in this offering circular supplement, including the 10-Q, supplements, modifies or supersedes the information in or incorporated by reference into the offering circular. If there is any inconsistency between the information in or incorporated by reference into the offering circular, on the one hand, and this offering circular supplement, on the other, you should rely on the information in or incorporated by reference into this offering circular supplement. Any information that is supplemented, modified or superseded in the offering circular by this offering circular supplement shall not be deemed to constitute a part of the offering circular, respectively, except as supplemented, modified or superseded by this offering circular supplement. This offering circular supplement is not complete without, and may only be delivered or used in connection with, the offering circular.</w:t>
      </w:r>
    </w:p>
    <w:p>
      <w:pPr>
        <w:spacing w:after="0" w:line="21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Nasdaq Capital Market under the symbol “DARE”. On May 13, 2026, the closing price of our common stock as reported on The Nasdaq Capital Market was $2.84 per share. Until July 24, 2026, we are subject to a Nasdaq discretionary panel monitor. If we fail to maintain compliance with any continued listing requirement in Nasdaq’s Listing Rules through July 24, 2026, Nasdaq will issue a delist determination letter, and we will have an opportunity to request a new hearing with Nasdaq’s hearing panel. As of March 31, 2026, our stockholders’ equity was below the $2.5 million minimum requirement in Nasdaq Listing Rule 5550(b)(1). Under Nasdaq Listing Rule 5550(b)(2), an alternative to satisfying the minimum stockholders' equity requirement is that the market value of our common stock be at least $35 million. While the market value of our common stock has exceeded $35 million from time to time, including in May 2026, no assurances can be given that we will satisfy the minimum market value of listed securities requirement at the time the Nasdaq Staff assesses our compliance with Nasdaq Listing Rule 5550(b). Unless the Nasdaq Staff determines that we satisfy the minimum market value of listed securities requirement, we expect the Nasdaq Staff to issue a delist determination letter, with no guarantee that a subsequent hearing before Nasdaq’s Hearings Panel would result in a favorable outcome. See the risk factor titled,</w:t>
      </w:r>
    </w:p>
    <w:p>
      <w:pPr>
        <w:sectPr>
          <w:pgSz w:w="11900" w:h="16838" w:orient="portrait"/>
          <w:cols w:equalWidth="0" w:num="1">
            <w:col w:w="11240"/>
          </w:cols>
          <w:pgMar w:left="320" w:top="877" w:right="339" w:bottom="1440" w:gutter="0" w:footer="0" w:header="0"/>
        </w:sectPr>
      </w:pPr>
    </w:p>
    <w:bookmarkStart w:id="1" w:name="page2"/>
    <w:bookmarkEnd w:id="1"/>
    <w:p>
      <w:pPr>
        <w:jc w:val="both"/>
        <w:ind w:right="20"/>
        <w:spacing w:after="0" w:line="287" w:lineRule="auto"/>
        <w:rPr>
          <w:sz w:val="20"/>
          <w:szCs w:val="20"/>
          <w:color w:val="auto"/>
        </w:rPr>
      </w:pPr>
      <w:r>
        <w:rPr>
          <w:rFonts w:ascii="Arial" w:cs="Arial" w:eastAsia="Arial" w:hAnsi="Arial"/>
          <w:sz w:val="18"/>
          <w:szCs w:val="18"/>
          <w:color w:val="auto"/>
        </w:rPr>
        <w:t>There is no assurance that we will continue satisfying the listing requirements of the Nasdaq Capital Market, in Item 1A of Part II of our Annual Report on Form 10-K for the year ended December 31, 2025, which is incorporated by reference into the offering circular.</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“Risk Factors” and under similar headings in any information in or incorporated by reference into the offering circular.</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offered by this offering circular supplement or the offering circular or determined if the offering circular or this offering circular supplement is truthful or complete. Any representation to the contrary is a criminal offense.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offering circular supplement is May 14, 2026.</w:t>
      </w:r>
    </w:p>
    <w:p>
      <w:pPr>
        <w:sectPr>
          <w:pgSz w:w="11900" w:h="16838" w:orient="portrait"/>
          <w:cols w:equalWidth="0" w:num="1">
            <w:col w:w="11240"/>
          </w:cols>
          <w:pgMar w:left="320" w:top="76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714375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0"/>
          <w:szCs w:val="20"/>
          <w:color w:val="auto"/>
        </w:rPr>
      </w:pPr>
    </w:p>
    <w:p>
      <w:pPr>
        <w:ind w:left="3660" w:right="1220" w:hanging="3634"/>
        <w:spacing w:after="0" w:line="344" w:lineRule="auto"/>
        <w:tabs>
          <w:tab w:leader="none" w:pos="801" w:val="left"/>
        </w:tabs>
        <w:numPr>
          <w:ilvl w:val="0"/>
          <w:numId w:val="1"/>
        </w:numPr>
        <w:rPr>
          <w:rFonts w:ascii="Wingdings" w:cs="Wingdings" w:eastAsia="Wingdings" w:hAnsi="Wingdings"/>
          <w:sz w:val="16"/>
          <w:szCs w:val="16"/>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2026</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0"/>
          <w:szCs w:val="20"/>
          <w:color w:val="auto"/>
        </w:rPr>
      </w:pPr>
    </w:p>
    <w:p>
      <w:pPr>
        <w:ind w:left="800" w:hanging="774"/>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0"/>
          <w:szCs w:val="20"/>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1440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File Number: 001-36395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26035</wp:posOffset>
            </wp:positionV>
            <wp:extent cx="3291840" cy="126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9184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DARÉ BIOSCIENCE, INC.</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(Exact Name of Registrant as Specified in its Charter)</w:t>
      </w:r>
    </w:p>
    <w:p>
      <w:pPr>
        <w:spacing w:after="0" w:line="8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360" w:type="dxa"/>
            <w:vAlign w:val="bottom"/>
          </w:tcPr>
          <w:p>
            <w:pPr>
              <w:jc w:val="center"/>
              <w:ind w:right="176"/>
              <w:spacing w:after="0"/>
              <w:rPr>
                <w:sz w:val="20"/>
                <w:szCs w:val="20"/>
                <w:color w:val="auto"/>
              </w:rPr>
            </w:pPr>
            <w:r>
              <w:rPr>
                <w:rFonts w:ascii="Arial" w:cs="Arial" w:eastAsia="Arial" w:hAnsi="Arial"/>
                <w:sz w:val="18"/>
                <w:szCs w:val="18"/>
                <w:b w:val="1"/>
                <w:bCs w:val="1"/>
                <w:color w:val="auto"/>
                <w:w w:val="98"/>
              </w:rPr>
              <w:t>Delaware</w:t>
            </w:r>
          </w:p>
        </w:tc>
        <w:tc>
          <w:tcPr>
            <w:tcW w:w="4580" w:type="dxa"/>
            <w:vAlign w:val="bottom"/>
          </w:tcPr>
          <w:p>
            <w:pPr>
              <w:spacing w:after="0"/>
              <w:rPr>
                <w:sz w:val="18"/>
                <w:szCs w:val="18"/>
                <w:color w:val="auto"/>
              </w:rPr>
            </w:pPr>
          </w:p>
        </w:tc>
        <w:tc>
          <w:tcPr>
            <w:tcW w:w="2860" w:type="dxa"/>
            <w:vAlign w:val="bottom"/>
          </w:tcPr>
          <w:p>
            <w:pPr>
              <w:jc w:val="right"/>
              <w:ind w:right="657"/>
              <w:spacing w:after="0"/>
              <w:rPr>
                <w:sz w:val="20"/>
                <w:szCs w:val="20"/>
                <w:color w:val="auto"/>
              </w:rPr>
            </w:pPr>
            <w:r>
              <w:rPr>
                <w:rFonts w:ascii="Arial" w:cs="Arial" w:eastAsia="Arial" w:hAnsi="Arial"/>
                <w:sz w:val="18"/>
                <w:szCs w:val="18"/>
                <w:b w:val="1"/>
                <w:bCs w:val="1"/>
                <w:color w:val="auto"/>
              </w:rPr>
              <w:t>20-4139823</w:t>
            </w:r>
          </w:p>
        </w:tc>
        <w:tc>
          <w:tcPr>
            <w:tcW w:w="0" w:type="dxa"/>
            <w:vAlign w:val="bottom"/>
          </w:tcPr>
          <w:p>
            <w:pPr>
              <w:spacing w:after="0"/>
              <w:rPr>
                <w:sz w:val="1"/>
                <w:szCs w:val="1"/>
                <w:color w:val="auto"/>
              </w:rPr>
            </w:pPr>
          </w:p>
        </w:tc>
      </w:tr>
      <w:tr>
        <w:trPr>
          <w:trHeight w:val="162"/>
        </w:trPr>
        <w:tc>
          <w:tcPr>
            <w:tcW w:w="3360" w:type="dxa"/>
            <w:vAlign w:val="bottom"/>
          </w:tcPr>
          <w:p>
            <w:pPr>
              <w:jc w:val="center"/>
              <w:ind w:right="156"/>
              <w:spacing w:after="0" w:line="162" w:lineRule="exact"/>
              <w:rPr>
                <w:sz w:val="20"/>
                <w:szCs w:val="20"/>
                <w:color w:val="auto"/>
              </w:rPr>
            </w:pPr>
            <w:r>
              <w:rPr>
                <w:rFonts w:ascii="Arial" w:cs="Arial" w:eastAsia="Arial" w:hAnsi="Arial"/>
                <w:sz w:val="16"/>
                <w:szCs w:val="16"/>
                <w:color w:val="auto"/>
              </w:rPr>
              <w:t>(State or Other Jurisdiction</w:t>
            </w:r>
          </w:p>
        </w:tc>
        <w:tc>
          <w:tcPr>
            <w:tcW w:w="4580" w:type="dxa"/>
            <w:vAlign w:val="bottom"/>
          </w:tcPr>
          <w:p>
            <w:pPr>
              <w:spacing w:after="0"/>
              <w:rPr>
                <w:sz w:val="14"/>
                <w:szCs w:val="14"/>
                <w:color w:val="auto"/>
              </w:rPr>
            </w:pPr>
          </w:p>
        </w:tc>
        <w:tc>
          <w:tcPr>
            <w:tcW w:w="2860" w:type="dxa"/>
            <w:vAlign w:val="bottom"/>
          </w:tcPr>
          <w:p>
            <w:pPr>
              <w:jc w:val="center"/>
              <w:ind w:left="357"/>
              <w:spacing w:after="0" w:line="162"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3360" w:type="dxa"/>
            <w:vAlign w:val="bottom"/>
          </w:tcPr>
          <w:p>
            <w:pPr>
              <w:jc w:val="center"/>
              <w:ind w:right="176"/>
              <w:spacing w:after="0"/>
              <w:rPr>
                <w:sz w:val="20"/>
                <w:szCs w:val="20"/>
                <w:color w:val="auto"/>
              </w:rPr>
            </w:pPr>
            <w:r>
              <w:rPr>
                <w:rFonts w:ascii="Arial" w:cs="Arial" w:eastAsia="Arial" w:hAnsi="Arial"/>
                <w:sz w:val="16"/>
                <w:szCs w:val="16"/>
                <w:color w:val="auto"/>
              </w:rPr>
              <w:t>of Incorporation)</w:t>
            </w:r>
          </w:p>
        </w:tc>
        <w:tc>
          <w:tcPr>
            <w:tcW w:w="4580" w:type="dxa"/>
            <w:vAlign w:val="bottom"/>
          </w:tcPr>
          <w:p>
            <w:pPr>
              <w:spacing w:after="0"/>
              <w:rPr>
                <w:sz w:val="18"/>
                <w:szCs w:val="18"/>
                <w:color w:val="auto"/>
              </w:rPr>
            </w:pPr>
          </w:p>
        </w:tc>
        <w:tc>
          <w:tcPr>
            <w:tcW w:w="2860" w:type="dxa"/>
            <w:vAlign w:val="bottom"/>
          </w:tcPr>
          <w:p>
            <w:pPr>
              <w:jc w:val="center"/>
              <w:ind w:left="357"/>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r>
        <w:trPr>
          <w:trHeight w:val="379"/>
        </w:trPr>
        <w:tc>
          <w:tcPr>
            <w:tcW w:w="3360" w:type="dxa"/>
            <w:vAlign w:val="bottom"/>
          </w:tcPr>
          <w:p>
            <w:pPr>
              <w:jc w:val="center"/>
              <w:ind w:right="176"/>
              <w:spacing w:after="0"/>
              <w:rPr>
                <w:sz w:val="20"/>
                <w:szCs w:val="20"/>
                <w:color w:val="auto"/>
              </w:rPr>
            </w:pPr>
            <w:r>
              <w:rPr>
                <w:rFonts w:ascii="Arial" w:cs="Arial" w:eastAsia="Arial" w:hAnsi="Arial"/>
                <w:sz w:val="18"/>
                <w:szCs w:val="18"/>
                <w:b w:val="1"/>
                <w:bCs w:val="1"/>
                <w:color w:val="auto"/>
                <w:w w:val="99"/>
              </w:rPr>
              <w:t>3655 Nobel Drive, Suite 260</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(858) 926-7655</w:t>
            </w:r>
          </w:p>
        </w:tc>
        <w:tc>
          <w:tcPr>
            <w:tcW w:w="2860" w:type="dxa"/>
            <w:vAlign w:val="bottom"/>
          </w:tcPr>
          <w:p>
            <w:pPr>
              <w:jc w:val="right"/>
              <w:ind w:right="877"/>
              <w:spacing w:after="0"/>
              <w:rPr>
                <w:sz w:val="20"/>
                <w:szCs w:val="20"/>
                <w:color w:val="auto"/>
              </w:rPr>
            </w:pPr>
            <w:r>
              <w:rPr>
                <w:rFonts w:ascii="Arial" w:cs="Arial" w:eastAsia="Arial" w:hAnsi="Arial"/>
                <w:sz w:val="18"/>
                <w:szCs w:val="18"/>
                <w:b w:val="1"/>
                <w:bCs w:val="1"/>
                <w:color w:val="auto"/>
              </w:rPr>
              <w:t>92122</w:t>
            </w:r>
          </w:p>
        </w:tc>
        <w:tc>
          <w:tcPr>
            <w:tcW w:w="0" w:type="dxa"/>
            <w:vAlign w:val="bottom"/>
          </w:tcPr>
          <w:p>
            <w:pPr>
              <w:spacing w:after="0"/>
              <w:rPr>
                <w:sz w:val="1"/>
                <w:szCs w:val="1"/>
                <w:color w:val="auto"/>
              </w:rPr>
            </w:pPr>
          </w:p>
        </w:tc>
      </w:tr>
      <w:tr>
        <w:trPr>
          <w:trHeight w:val="188"/>
        </w:trPr>
        <w:tc>
          <w:tcPr>
            <w:tcW w:w="3360" w:type="dxa"/>
            <w:vAlign w:val="bottom"/>
          </w:tcPr>
          <w:p>
            <w:pPr>
              <w:jc w:val="center"/>
              <w:ind w:right="156"/>
              <w:spacing w:after="0" w:line="189" w:lineRule="exact"/>
              <w:rPr>
                <w:sz w:val="20"/>
                <w:szCs w:val="20"/>
                <w:color w:val="auto"/>
              </w:rPr>
            </w:pPr>
            <w:r>
              <w:rPr>
                <w:rFonts w:ascii="Arial" w:cs="Arial" w:eastAsia="Arial" w:hAnsi="Arial"/>
                <w:sz w:val="18"/>
                <w:szCs w:val="18"/>
                <w:b w:val="1"/>
                <w:bCs w:val="1"/>
                <w:color w:val="auto"/>
                <w:w w:val="99"/>
              </w:rPr>
              <w:t>San Diego, CA</w:t>
            </w:r>
          </w:p>
        </w:tc>
        <w:tc>
          <w:tcPr>
            <w:tcW w:w="4580" w:type="dxa"/>
            <w:vAlign w:val="bottom"/>
          </w:tcPr>
          <w:p>
            <w:pPr>
              <w:jc w:val="center"/>
              <w:spacing w:after="0"/>
              <w:rPr>
                <w:sz w:val="20"/>
                <w:szCs w:val="20"/>
                <w:color w:val="auto"/>
              </w:rPr>
            </w:pPr>
            <w:r>
              <w:rPr>
                <w:rFonts w:ascii="Arial" w:cs="Arial" w:eastAsia="Arial" w:hAnsi="Arial"/>
                <w:sz w:val="16"/>
                <w:szCs w:val="16"/>
                <w:color w:val="auto"/>
              </w:rPr>
              <w:t>(Registrant’s telephone number, including area code)</w:t>
            </w:r>
          </w:p>
        </w:tc>
        <w:tc>
          <w:tcPr>
            <w:tcW w:w="2860" w:type="dxa"/>
            <w:vAlign w:val="bottom"/>
          </w:tcPr>
          <w:p>
            <w:pPr>
              <w:jc w:val="center"/>
              <w:ind w:left="337"/>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215"/>
        </w:trPr>
        <w:tc>
          <w:tcPr>
            <w:tcW w:w="3360" w:type="dxa"/>
            <w:vAlign w:val="bottom"/>
          </w:tcPr>
          <w:p>
            <w:pPr>
              <w:jc w:val="center"/>
              <w:ind w:right="156"/>
              <w:spacing w:after="0"/>
              <w:rPr>
                <w:sz w:val="20"/>
                <w:szCs w:val="20"/>
                <w:color w:val="auto"/>
              </w:rPr>
            </w:pPr>
            <w:r>
              <w:rPr>
                <w:rFonts w:ascii="Arial" w:cs="Arial" w:eastAsia="Arial" w:hAnsi="Arial"/>
                <w:sz w:val="16"/>
                <w:szCs w:val="16"/>
                <w:color w:val="auto"/>
              </w:rPr>
              <w:t>(Address of Principal Executive Offices)</w:t>
            </w:r>
          </w:p>
        </w:tc>
        <w:tc>
          <w:tcPr>
            <w:tcW w:w="4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0800" w:type="dxa"/>
            <w:vAlign w:val="bottom"/>
            <w:gridSpan w:val="3"/>
          </w:tcPr>
          <w:p>
            <w:pPr>
              <w:ind w:left="2580"/>
              <w:spacing w:after="0"/>
              <w:rPr>
                <w:sz w:val="20"/>
                <w:szCs w:val="20"/>
                <w:color w:val="auto"/>
              </w:rPr>
            </w:pPr>
            <w:r>
              <w:rPr>
                <w:rFonts w:ascii="Arial" w:cs="Arial" w:eastAsia="Arial" w:hAnsi="Arial"/>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360" w:type="dxa"/>
            <w:vAlign w:val="bottom"/>
            <w:vMerge w:val="restart"/>
          </w:tcPr>
          <w:p>
            <w:pPr>
              <w:jc w:val="center"/>
              <w:ind w:right="176"/>
              <w:spacing w:after="0"/>
              <w:rPr>
                <w:sz w:val="20"/>
                <w:szCs w:val="20"/>
                <w:color w:val="auto"/>
              </w:rPr>
            </w:pPr>
            <w:r>
              <w:rPr>
                <w:rFonts w:ascii="Arial" w:cs="Arial" w:eastAsia="Arial" w:hAnsi="Arial"/>
                <w:sz w:val="16"/>
                <w:szCs w:val="16"/>
                <w:color w:val="auto"/>
              </w:rPr>
              <w:t>Title of each class</w:t>
            </w:r>
          </w:p>
        </w:tc>
        <w:tc>
          <w:tcPr>
            <w:tcW w:w="4580" w:type="dxa"/>
            <w:vAlign w:val="bottom"/>
            <w:vMerge w:val="restart"/>
          </w:tcPr>
          <w:p>
            <w:pPr>
              <w:jc w:val="center"/>
              <w:spacing w:after="0"/>
              <w:rPr>
                <w:sz w:val="20"/>
                <w:szCs w:val="20"/>
                <w:color w:val="auto"/>
              </w:rPr>
            </w:pPr>
            <w:r>
              <w:rPr>
                <w:rFonts w:ascii="Arial" w:cs="Arial" w:eastAsia="Arial" w:hAnsi="Arial"/>
                <w:sz w:val="16"/>
                <w:szCs w:val="16"/>
                <w:color w:val="auto"/>
              </w:rPr>
              <w:t>Trading Symbol(s)</w:t>
            </w:r>
          </w:p>
        </w:tc>
        <w:tc>
          <w:tcPr>
            <w:tcW w:w="2860" w:type="dxa"/>
            <w:vAlign w:val="bottom"/>
          </w:tcPr>
          <w:p>
            <w:pPr>
              <w:jc w:val="center"/>
              <w:ind w:left="337"/>
              <w:spacing w:after="0" w:line="164" w:lineRule="exact"/>
              <w:rPr>
                <w:sz w:val="20"/>
                <w:szCs w:val="20"/>
                <w:color w:val="auto"/>
              </w:rPr>
            </w:pPr>
            <w:r>
              <w:rPr>
                <w:rFonts w:ascii="Arial" w:cs="Arial" w:eastAsia="Arial" w:hAnsi="Arial"/>
                <w:sz w:val="16"/>
                <w:szCs w:val="16"/>
                <w:color w:val="auto"/>
              </w:rPr>
              <w:t>Name of each exchange on which</w:t>
            </w:r>
          </w:p>
        </w:tc>
        <w:tc>
          <w:tcPr>
            <w:tcW w:w="0" w:type="dxa"/>
            <w:vAlign w:val="bottom"/>
          </w:tcPr>
          <w:p>
            <w:pPr>
              <w:spacing w:after="0"/>
              <w:rPr>
                <w:sz w:val="1"/>
                <w:szCs w:val="1"/>
                <w:color w:val="auto"/>
              </w:rPr>
            </w:pPr>
          </w:p>
        </w:tc>
      </w:tr>
      <w:tr>
        <w:trPr>
          <w:trHeight w:val="215"/>
        </w:trPr>
        <w:tc>
          <w:tcPr>
            <w:tcW w:w="3360" w:type="dxa"/>
            <w:vAlign w:val="bottom"/>
            <w:vMerge w:val="continue"/>
          </w:tcPr>
          <w:p>
            <w:pPr>
              <w:spacing w:after="0"/>
              <w:rPr>
                <w:sz w:val="18"/>
                <w:szCs w:val="18"/>
                <w:color w:val="auto"/>
              </w:rPr>
            </w:pPr>
          </w:p>
        </w:tc>
        <w:tc>
          <w:tcPr>
            <w:tcW w:w="4580" w:type="dxa"/>
            <w:vAlign w:val="bottom"/>
            <w:vMerge w:val="continue"/>
          </w:tcPr>
          <w:p>
            <w:pPr>
              <w:spacing w:after="0"/>
              <w:rPr>
                <w:sz w:val="18"/>
                <w:szCs w:val="18"/>
                <w:color w:val="auto"/>
              </w:rPr>
            </w:pPr>
          </w:p>
        </w:tc>
        <w:tc>
          <w:tcPr>
            <w:tcW w:w="2860" w:type="dxa"/>
            <w:vAlign w:val="bottom"/>
          </w:tcPr>
          <w:p>
            <w:pPr>
              <w:jc w:val="center"/>
              <w:ind w:left="337"/>
              <w:spacing w:after="0"/>
              <w:rPr>
                <w:sz w:val="20"/>
                <w:szCs w:val="20"/>
                <w:color w:val="auto"/>
              </w:rPr>
            </w:pPr>
            <w:r>
              <w:rPr>
                <w:rFonts w:ascii="Arial" w:cs="Arial" w:eastAsia="Arial" w:hAnsi="Arial"/>
                <w:sz w:val="16"/>
                <w:szCs w:val="16"/>
                <w:color w:val="auto"/>
              </w:rPr>
              <w:t>registered</w:t>
            </w:r>
          </w:p>
        </w:tc>
        <w:tc>
          <w:tcPr>
            <w:tcW w:w="0" w:type="dxa"/>
            <w:vAlign w:val="bottom"/>
          </w:tcPr>
          <w:p>
            <w:pPr>
              <w:spacing w:after="0"/>
              <w:rPr>
                <w:sz w:val="1"/>
                <w:szCs w:val="1"/>
                <w:color w:val="auto"/>
              </w:rPr>
            </w:pPr>
          </w:p>
        </w:tc>
      </w:tr>
      <w:tr>
        <w:trPr>
          <w:trHeight w:val="223"/>
        </w:trPr>
        <w:tc>
          <w:tcPr>
            <w:tcW w:w="3360" w:type="dxa"/>
            <w:vAlign w:val="bottom"/>
          </w:tcPr>
          <w:p>
            <w:pPr>
              <w:jc w:val="center"/>
              <w:ind w:right="176"/>
              <w:spacing w:after="0"/>
              <w:rPr>
                <w:sz w:val="20"/>
                <w:szCs w:val="20"/>
                <w:color w:val="auto"/>
              </w:rPr>
            </w:pPr>
            <w:r>
              <w:rPr>
                <w:rFonts w:ascii="Arial" w:cs="Arial" w:eastAsia="Arial" w:hAnsi="Arial"/>
                <w:sz w:val="16"/>
                <w:szCs w:val="16"/>
                <w:b w:val="1"/>
                <w:bCs w:val="1"/>
                <w:color w:val="auto"/>
              </w:rPr>
              <w:t>Common Stock</w:t>
            </w:r>
          </w:p>
        </w:tc>
        <w:tc>
          <w:tcPr>
            <w:tcW w:w="4580" w:type="dxa"/>
            <w:vAlign w:val="bottom"/>
          </w:tcPr>
          <w:p>
            <w:pPr>
              <w:jc w:val="center"/>
              <w:spacing w:after="0"/>
              <w:rPr>
                <w:sz w:val="20"/>
                <w:szCs w:val="20"/>
                <w:color w:val="auto"/>
              </w:rPr>
            </w:pPr>
            <w:r>
              <w:rPr>
                <w:rFonts w:ascii="Arial" w:cs="Arial" w:eastAsia="Arial" w:hAnsi="Arial"/>
                <w:sz w:val="16"/>
                <w:szCs w:val="16"/>
                <w:b w:val="1"/>
                <w:bCs w:val="1"/>
                <w:color w:val="auto"/>
              </w:rPr>
              <w:t>DARE</w:t>
            </w:r>
          </w:p>
        </w:tc>
        <w:tc>
          <w:tcPr>
            <w:tcW w:w="2860" w:type="dxa"/>
            <w:vAlign w:val="bottom"/>
          </w:tcPr>
          <w:p>
            <w:pPr>
              <w:jc w:val="center"/>
              <w:ind w:left="357"/>
              <w:spacing w:after="0"/>
              <w:rPr>
                <w:sz w:val="20"/>
                <w:szCs w:val="20"/>
                <w:color w:val="auto"/>
              </w:rPr>
            </w:pPr>
            <w:r>
              <w:rPr>
                <w:rFonts w:ascii="Arial" w:cs="Arial" w:eastAsia="Arial" w:hAnsi="Arial"/>
                <w:sz w:val="16"/>
                <w:szCs w:val="16"/>
                <w:b w:val="1"/>
                <w:bCs w:val="1"/>
                <w:color w:val="auto"/>
              </w:rPr>
              <w:t>Nasdaq Capital Market</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30"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26" w:right="33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15"/>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600"/>
              <w:spacing w:after="0"/>
              <w:rPr>
                <w:sz w:val="20"/>
                <w:szCs w:val="20"/>
                <w:color w:val="auto"/>
              </w:rPr>
            </w:pPr>
            <w:r>
              <w:rPr>
                <w:rFonts w:ascii="Wingdings" w:cs="Wingdings" w:eastAsia="Wingdings" w:hAnsi="Wingdings"/>
                <w:sz w:val="16"/>
                <w:szCs w:val="16"/>
                <w:b w:val="1"/>
                <w:bCs w:val="1"/>
                <w:color w:val="auto"/>
              </w:rPr>
              <w:t>o</w:t>
            </w:r>
          </w:p>
        </w:tc>
        <w:tc>
          <w:tcPr>
            <w:tcW w:w="472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20"/>
              <w:spacing w:after="0"/>
              <w:rPr>
                <w:sz w:val="20"/>
                <w:szCs w:val="20"/>
                <w:color w:val="auto"/>
              </w:rPr>
            </w:pPr>
            <w:r>
              <w:rPr>
                <w:rFonts w:ascii="Wingdings" w:cs="Wingdings" w:eastAsia="Wingdings" w:hAnsi="Wingdings"/>
                <w:sz w:val="16"/>
                <w:szCs w:val="16"/>
                <w:b w:val="1"/>
                <w:bCs w:val="1"/>
                <w:color w:val="auto"/>
                <w:w w:val="97"/>
              </w:rPr>
              <w:t>o</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600"/>
              <w:spacing w:after="0"/>
              <w:rPr>
                <w:sz w:val="20"/>
                <w:szCs w:val="20"/>
                <w:color w:val="auto"/>
              </w:rPr>
            </w:pPr>
            <w:r>
              <w:rPr>
                <w:rFonts w:ascii="Wingdings" w:cs="Wingdings" w:eastAsia="Wingdings" w:hAnsi="Wingdings"/>
                <w:sz w:val="16"/>
                <w:szCs w:val="16"/>
                <w:b w:val="1"/>
                <w:bCs w:val="1"/>
                <w:color w:val="auto"/>
              </w:rPr>
              <w:t>x</w:t>
            </w:r>
          </w:p>
        </w:tc>
        <w:tc>
          <w:tcPr>
            <w:tcW w:w="472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rPr>
                <w:sz w:val="20"/>
                <w:szCs w:val="20"/>
                <w:color w:val="auto"/>
              </w:rPr>
            </w:pPr>
            <w:r>
              <w:rPr>
                <w:rFonts w:ascii="Wingdings" w:cs="Wingdings" w:eastAsia="Wingdings" w:hAnsi="Wingdings"/>
                <w:sz w:val="16"/>
                <w:szCs w:val="16"/>
                <w:b w:val="1"/>
                <w:bCs w:val="1"/>
                <w:color w:val="auto"/>
                <w:w w:val="82"/>
              </w:rPr>
              <w:t>x</w:t>
            </w:r>
          </w:p>
        </w:tc>
        <w:tc>
          <w:tcPr>
            <w:tcW w:w="0" w:type="dxa"/>
            <w:vAlign w:val="bottom"/>
          </w:tcPr>
          <w:p>
            <w:pPr>
              <w:spacing w:after="0"/>
              <w:rPr>
                <w:sz w:val="1"/>
                <w:szCs w:val="1"/>
                <w:color w:val="auto"/>
              </w:rPr>
            </w:pPr>
          </w:p>
        </w:tc>
      </w:tr>
      <w:tr>
        <w:trPr>
          <w:trHeight w:val="198"/>
        </w:trPr>
        <w:tc>
          <w:tcPr>
            <w:tcW w:w="2520" w:type="dxa"/>
            <w:vAlign w:val="bottom"/>
            <w:vMerge w:val="restart"/>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600"/>
              <w:spacing w:after="0"/>
              <w:rPr>
                <w:sz w:val="20"/>
                <w:szCs w:val="20"/>
                <w:color w:val="auto"/>
              </w:rPr>
            </w:pPr>
            <w:r>
              <w:rPr>
                <w:rFonts w:ascii="Wingdings" w:cs="Wingdings" w:eastAsia="Wingdings" w:hAnsi="Wingdings"/>
                <w:sz w:val="16"/>
                <w:szCs w:val="16"/>
                <w:b w:val="1"/>
                <w:bCs w:val="1"/>
                <w:color w:val="auto"/>
              </w:rPr>
              <w:t>o</w:t>
            </w:r>
          </w:p>
        </w:tc>
        <w:tc>
          <w:tcPr>
            <w:tcW w:w="4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2520" w:type="dxa"/>
            <w:vAlign w:val="bottom"/>
            <w:vMerge w:val="continue"/>
          </w:tcPr>
          <w:p>
            <w:pPr>
              <w:spacing w:after="0"/>
              <w:rPr>
                <w:sz w:val="7"/>
                <w:szCs w:val="7"/>
                <w:color w:val="auto"/>
              </w:rPr>
            </w:pPr>
          </w:p>
        </w:tc>
        <w:tc>
          <w:tcPr>
            <w:tcW w:w="3140" w:type="dxa"/>
            <w:vAlign w:val="bottom"/>
          </w:tcPr>
          <w:p>
            <w:pPr>
              <w:spacing w:after="0"/>
              <w:rPr>
                <w:sz w:val="7"/>
                <w:szCs w:val="7"/>
                <w:color w:val="auto"/>
              </w:rPr>
            </w:pPr>
          </w:p>
        </w:tc>
        <w:tc>
          <w:tcPr>
            <w:tcW w:w="4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Wingdings" w:cs="Wingdings" w:eastAsia="Wingdings" w:hAnsi="Wingdings"/>
          <w:sz w:val="16"/>
          <w:szCs w:val="16"/>
          <w:b w:val="1"/>
          <w:bCs w:val="1"/>
          <w:color w:val="auto"/>
        </w:rPr>
        <w:t>o</w:t>
      </w:r>
    </w:p>
    <w:p>
      <w:pPr>
        <w:ind w:left="340" w:right="174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As of May 13, 2026, 14,979,502 shares of the Registrant’s Common Stock, par value $0.0001,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814"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"aim," "goal," "prepare," “believe,” “may,” “will,” “estimate,” “continue,” “anticipate,” “design,” “intend,” “expect,” “could,” "can," “plan,” “potential,” “predict,” “seek,” "pursue," “should,” “would,” "contemplate," “accelerate,” "project,” “target,” “tend to,” or the negative version of these words and similar expressions.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39"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 to fund our operating needs and continue as a going concern;</w:t>
      </w:r>
    </w:p>
    <w:p>
      <w:pPr>
        <w:spacing w:after="0" w:line="141"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22"/>
          <w:szCs w:val="22"/>
          <w:i w:val="1"/>
          <w:iCs w:val="1"/>
          <w:color w:val="auto"/>
        </w:rPr>
      </w:pPr>
      <w:r>
        <w:rPr>
          <w:rFonts w:ascii="Arial" w:cs="Arial" w:eastAsia="Arial" w:hAnsi="Arial"/>
          <w:sz w:val="18"/>
          <w:szCs w:val="18"/>
          <w:i w:val="1"/>
          <w:iCs w:val="1"/>
          <w:color w:val="auto"/>
        </w:rPr>
        <w:t>Failure to maintain the listing of our common stock on the Nasdaq Capital Market or another nationally recognized exchange;</w:t>
      </w:r>
    </w:p>
    <w:p>
      <w:pPr>
        <w:spacing w:after="0" w:line="127" w:lineRule="exact"/>
        <w:rPr>
          <w:rFonts w:ascii="Arial" w:cs="Arial" w:eastAsia="Arial" w:hAnsi="Arial"/>
          <w:sz w:val="22"/>
          <w:szCs w:val="22"/>
          <w:i w:val="1"/>
          <w:iCs w:val="1"/>
          <w:color w:val="auto"/>
        </w:rPr>
      </w:pPr>
    </w:p>
    <w:p>
      <w:pPr>
        <w:ind w:left="980" w:right="60" w:hanging="324"/>
        <w:spacing w:after="0" w:line="236" w:lineRule="auto"/>
        <w:tabs>
          <w:tab w:leader="none" w:pos="975" w:val="left"/>
        </w:tabs>
        <w:numPr>
          <w:ilvl w:val="0"/>
          <w:numId w:val="3"/>
        </w:numPr>
        <w:rPr>
          <w:rFonts w:ascii="Arial" w:cs="Arial" w:eastAsia="Arial" w:hAnsi="Arial"/>
          <w:sz w:val="22"/>
          <w:szCs w:val="22"/>
          <w:i w:val="1"/>
          <w:iCs w:val="1"/>
          <w:color w:val="auto"/>
        </w:rPr>
      </w:pPr>
      <w:r>
        <w:rPr>
          <w:rFonts w:ascii="Arial" w:cs="Arial" w:eastAsia="Arial" w:hAnsi="Arial"/>
          <w:sz w:val="18"/>
          <w:szCs w:val="18"/>
          <w:i w:val="1"/>
          <w:iCs w:val="1"/>
          <w:color w:val="auto"/>
        </w:rPr>
        <w:t>Inability to generate significant revenue from sales of DARE to PLAY and other potential compounded drugs under Section 503B of the Federal Food, Drug, and Cosmetic Act, or FDCA;</w:t>
      </w:r>
    </w:p>
    <w:p>
      <w:pPr>
        <w:spacing w:after="0" w:line="87" w:lineRule="exact"/>
        <w:rPr>
          <w:rFonts w:ascii="Arial" w:cs="Arial" w:eastAsia="Arial" w:hAnsi="Arial"/>
          <w:sz w:val="22"/>
          <w:szCs w:val="22"/>
          <w:i w:val="1"/>
          <w:iCs w:val="1"/>
          <w:color w:val="auto"/>
        </w:rPr>
      </w:pPr>
    </w:p>
    <w:p>
      <w:pPr>
        <w:ind w:left="980" w:right="680" w:hanging="324"/>
        <w:spacing w:after="0" w:line="285"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maintain and enter into arrangements with outsourcing facilities on commercially reasonable terms required to compound and distribute the compounded drugs that we seek to make available under Section 503B of the FDCA;</w:t>
      </w:r>
    </w:p>
    <w:p>
      <w:pPr>
        <w:spacing w:after="0" w:line="88" w:lineRule="exact"/>
        <w:rPr>
          <w:rFonts w:ascii="Arial" w:cs="Arial" w:eastAsia="Arial" w:hAnsi="Arial"/>
          <w:sz w:val="18"/>
          <w:szCs w:val="18"/>
          <w:i w:val="1"/>
          <w:iCs w:val="1"/>
          <w:color w:val="auto"/>
        </w:rPr>
      </w:pPr>
    </w:p>
    <w:p>
      <w:pPr>
        <w:ind w:left="980" w:right="220" w:hanging="324"/>
        <w:spacing w:after="0" w:line="248" w:lineRule="auto"/>
        <w:tabs>
          <w:tab w:leader="none" w:pos="975" w:val="left"/>
        </w:tabs>
        <w:numPr>
          <w:ilvl w:val="0"/>
          <w:numId w:val="3"/>
        </w:numPr>
        <w:rPr>
          <w:rFonts w:ascii="Arial" w:cs="Arial" w:eastAsia="Arial" w:hAnsi="Arial"/>
          <w:sz w:val="22"/>
          <w:szCs w:val="22"/>
          <w:i w:val="1"/>
          <w:iCs w:val="1"/>
          <w:color w:val="auto"/>
        </w:rPr>
      </w:pPr>
      <w:r>
        <w:rPr>
          <w:rFonts w:ascii="Arial" w:cs="Arial" w:eastAsia="Arial" w:hAnsi="Arial"/>
          <w:sz w:val="18"/>
          <w:szCs w:val="18"/>
          <w:i w:val="1"/>
          <w:iCs w:val="1"/>
          <w:color w:val="auto"/>
        </w:rPr>
        <w:t>The removal of sildenafil citrate or any other bulk drug substance needed to compound the compounded drugs that we seek to make available under Section 503B of the FDCA from the FDA’s list of bulk drug substances that can be compounded under Section 503B of the FDCA;</w:t>
      </w:r>
    </w:p>
    <w:p>
      <w:pPr>
        <w:spacing w:after="0" w:line="80" w:lineRule="exact"/>
        <w:rPr>
          <w:rFonts w:ascii="Arial" w:cs="Arial" w:eastAsia="Arial" w:hAnsi="Arial"/>
          <w:sz w:val="22"/>
          <w:szCs w:val="22"/>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performance of third parties on which we will rely to bring to market, or assist us in bringing to market, compounded drugs;</w:t>
      </w:r>
    </w:p>
    <w:p>
      <w:pPr>
        <w:spacing w:after="0" w:line="117"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related to compounded drugs under Section 503B of the FDCA;</w:t>
      </w:r>
    </w:p>
    <w:p>
      <w:pPr>
        <w:spacing w:after="0" w:line="117" w:lineRule="exact"/>
        <w:rPr>
          <w:rFonts w:ascii="Arial" w:cs="Arial" w:eastAsia="Arial" w:hAnsi="Arial"/>
          <w:sz w:val="18"/>
          <w:szCs w:val="18"/>
          <w:i w:val="1"/>
          <w:iCs w:val="1"/>
          <w:color w:val="auto"/>
        </w:rPr>
      </w:pPr>
    </w:p>
    <w:p>
      <w:pPr>
        <w:ind w:left="980" w:hanging="324"/>
        <w:spacing w:after="0" w:line="285"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Difficulties or delays in commencement or completion, or the termination or suspension, of our current or planned clinical or preclinical studies;</w:t>
      </w:r>
    </w:p>
    <w:p>
      <w:pPr>
        <w:spacing w:after="0" w:line="48"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Clinical trial outcomes and results of preclinical development;</w:t>
      </w:r>
    </w:p>
    <w:p>
      <w:pPr>
        <w:spacing w:after="0" w:line="157" w:lineRule="exact"/>
        <w:rPr>
          <w:rFonts w:ascii="Arial" w:cs="Arial" w:eastAsia="Arial" w:hAnsi="Arial"/>
          <w:sz w:val="18"/>
          <w:szCs w:val="18"/>
          <w:i w:val="1"/>
          <w:iCs w:val="1"/>
          <w:color w:val="auto"/>
        </w:rPr>
      </w:pPr>
    </w:p>
    <w:p>
      <w:pPr>
        <w:ind w:left="980" w:hanging="324"/>
        <w:spacing w:after="0" w:line="236"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Failure to complete development of our product candidates or submit and obtain United States Food and Drug Administration, or FDA, or foreign regulatory authority approval for our product candidates on projected timelines or budgets, or at all;</w:t>
      </w:r>
    </w:p>
    <w:p>
      <w:pPr>
        <w:spacing w:after="0" w:line="128" w:lineRule="exact"/>
        <w:rPr>
          <w:rFonts w:ascii="Arial" w:cs="Arial" w:eastAsia="Arial" w:hAnsi="Arial"/>
          <w:sz w:val="22"/>
          <w:szCs w:val="22"/>
          <w:color w:val="auto"/>
        </w:rPr>
      </w:pPr>
    </w:p>
    <w:p>
      <w:pPr>
        <w:jc w:val="both"/>
        <w:ind w:left="980" w:hanging="324"/>
        <w:spacing w:after="0" w:line="241"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spacing w:after="0" w:line="110"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performance of third parties on which we rely to conduct nonclinical studies and clinical trials of our product candidates;</w:t>
      </w:r>
    </w:p>
    <w:p>
      <w:pPr>
        <w:spacing w:after="0" w:line="127" w:lineRule="exact"/>
        <w:rPr>
          <w:rFonts w:ascii="Arial" w:cs="Arial" w:eastAsia="Arial" w:hAnsi="Arial"/>
          <w:sz w:val="22"/>
          <w:szCs w:val="22"/>
          <w:color w:val="auto"/>
        </w:rPr>
      </w:pPr>
    </w:p>
    <w:p>
      <w:pPr>
        <w:ind w:left="980" w:hanging="324"/>
        <w:spacing w:after="0" w:line="236" w:lineRule="auto"/>
        <w:tabs>
          <w:tab w:leader="none" w:pos="975" w:val="left"/>
        </w:tabs>
        <w:numPr>
          <w:ilvl w:val="0"/>
          <w:numId w:val="3"/>
        </w:numPr>
        <w:rPr>
          <w:rFonts w:ascii="Arial" w:cs="Arial" w:eastAsia="Arial" w:hAnsi="Arial"/>
          <w:sz w:val="22"/>
          <w:szCs w:val="22"/>
          <w:i w:val="1"/>
          <w:iCs w:val="1"/>
          <w:color w:val="auto"/>
        </w:rPr>
      </w:pPr>
      <w:r>
        <w:rPr>
          <w:rFonts w:ascii="Arial" w:cs="Arial" w:eastAsia="Arial" w:hAnsi="Arial"/>
          <w:sz w:val="18"/>
          <w:szCs w:val="18"/>
          <w:i w:val="1"/>
          <w:iCs w:val="1"/>
          <w:color w:val="auto"/>
        </w:rPr>
        <w:t>Our failure, or a failure of a strategic collaborator, to successfully commercialize our product candidates, if approved, or our failure to otherwise monetize our portfolio programs and assets;</w:t>
      </w:r>
    </w:p>
    <w:p>
      <w:pPr>
        <w:spacing w:after="0" w:line="112" w:lineRule="exact"/>
        <w:rPr>
          <w:rFonts w:ascii="Arial" w:cs="Arial" w:eastAsia="Arial" w:hAnsi="Arial"/>
          <w:sz w:val="22"/>
          <w:szCs w:val="22"/>
          <w:i w:val="1"/>
          <w:iCs w:val="1"/>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number and scope of product development programs we pursue;</w:t>
      </w:r>
    </w:p>
    <w:p>
      <w:pPr>
        <w:sectPr>
          <w:pgSz w:w="11900" w:h="16838" w:orient="portrait"/>
          <w:cols w:equalWidth="0" w:num="1">
            <w:col w:w="11240"/>
          </w:cols>
          <w:pgMar w:left="320" w:top="769" w:right="339" w:bottom="1440" w:gutter="0" w:footer="0" w:header="0"/>
        </w:sectPr>
      </w:pPr>
    </w:p>
    <w:bookmarkStart w:id="5" w:name="page6"/>
    <w:bookmarkEnd w:id="5"/>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Termination by Organon of our out-license agreement for commercialization of XACIATO® (clindamycin phosphate) vaginal gel 2%, or XACIATO;</w:t>
      </w:r>
    </w:p>
    <w:p>
      <w:pPr>
        <w:spacing w:after="0" w:line="128"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timing and amount of future upside-sharing milestone payments from XOMA under our traditional and synthetic royalty purchase agreements, if any;</w:t>
      </w:r>
    </w:p>
    <w:p>
      <w:pPr>
        <w:spacing w:after="0" w:line="128" w:lineRule="exact"/>
        <w:rPr>
          <w:rFonts w:ascii="Arial" w:cs="Arial" w:eastAsia="Arial" w:hAnsi="Arial"/>
          <w:sz w:val="22"/>
          <w:szCs w:val="22"/>
          <w:color w:val="auto"/>
        </w:rPr>
      </w:pPr>
    </w:p>
    <w:p>
      <w:pPr>
        <w:ind w:left="324" w:hanging="324"/>
        <w:spacing w:after="0" w:line="247"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performance of third parties on which we rely to commercialize, or assist us in commercializing, XACIATO and any future product;</w:t>
      </w:r>
    </w:p>
    <w:p>
      <w:pPr>
        <w:spacing w:after="0" w:line="120"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Difficulties with maintaining existing collaborations relating to the development and/or commercialization of our product candidates, or establishing new ones on a timely basis or on acceptable terms, or at all;</w:t>
      </w:r>
    </w:p>
    <w:p>
      <w:pPr>
        <w:spacing w:after="0" w:line="112"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terms and conditions of any future strategic collaborations relating to our product candidates;</w:t>
      </w:r>
    </w:p>
    <w:p>
      <w:pPr>
        <w:spacing w:after="0" w:line="111"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degree of market acceptance that XACIATO and any future product achieves;</w:t>
      </w:r>
    </w:p>
    <w:p>
      <w:pPr>
        <w:spacing w:after="0" w:line="127"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Coverage and reimbursement levels for XACIATO and any future product by government health care programs, private health insurance companies and other third-party payors;</w:t>
      </w:r>
    </w:p>
    <w:p>
      <w:pPr>
        <w:spacing w:after="0" w:line="112"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Our loss of, or inability to attract, key personnel;</w:t>
      </w:r>
    </w:p>
    <w:p>
      <w:pPr>
        <w:spacing w:after="0" w:line="141" w:lineRule="exact"/>
        <w:rPr>
          <w:rFonts w:ascii="Arial" w:cs="Arial" w:eastAsia="Arial" w:hAnsi="Arial"/>
          <w:sz w:val="22"/>
          <w:szCs w:val="22"/>
          <w:color w:val="auto"/>
        </w:rPr>
      </w:pPr>
    </w:p>
    <w:p>
      <w:pPr>
        <w:ind w:left="324" w:right="20"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A change in the FDA's prior determination that the Center for Devices and Radiological Health would lead the review of a premarket approval application for potential marketing approval of Ovaprene;</w:t>
      </w:r>
    </w:p>
    <w:p>
      <w:pPr>
        <w:spacing w:after="0" w:line="107"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A change in regulatory requirements for our product candidates, including the development pathway pursuant to Section 505(b)</w:t>
      </w:r>
    </w:p>
    <w:p>
      <w:pPr>
        <w:ind w:left="324"/>
        <w:spacing w:after="0"/>
        <w:rPr>
          <w:rFonts w:ascii="Arial" w:cs="Arial" w:eastAsia="Arial" w:hAnsi="Arial"/>
          <w:sz w:val="22"/>
          <w:szCs w:val="22"/>
          <w:color w:val="auto"/>
        </w:rPr>
      </w:pPr>
      <w:r>
        <w:rPr>
          <w:rFonts w:ascii="Arial" w:cs="Arial" w:eastAsia="Arial" w:hAnsi="Arial"/>
          <w:sz w:val="18"/>
          <w:szCs w:val="18"/>
          <w:i w:val="1"/>
          <w:iCs w:val="1"/>
          <w:color w:val="auto"/>
        </w:rPr>
        <w:t>(2) of the FDCA, or the FDA's 505(b)(2) pathway;</w:t>
      </w:r>
    </w:p>
    <w:p>
      <w:pPr>
        <w:spacing w:after="0" w:line="125"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Unfavorable differences between preliminary, interim or topline clinical study data reported by us and final study results;</w:t>
      </w:r>
    </w:p>
    <w:p>
      <w:pPr>
        <w:spacing w:after="0" w:line="127" w:lineRule="exact"/>
        <w:rPr>
          <w:rFonts w:ascii="Arial" w:cs="Arial" w:eastAsia="Arial" w:hAnsi="Arial"/>
          <w:sz w:val="22"/>
          <w:szCs w:val="22"/>
          <w:color w:val="auto"/>
        </w:rPr>
      </w:pPr>
    </w:p>
    <w:p>
      <w:pPr>
        <w:jc w:val="both"/>
        <w:ind w:left="324" w:hanging="324"/>
        <w:spacing w:after="0" w:line="243"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spacing w:after="0" w:line="127"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Failure to select product candidates that capitalize on the most scientifically, clinically or commercially promising or profitable indications or therapeutic areas within women's health including due to our limited financial resources;</w:t>
      </w:r>
    </w:p>
    <w:p>
      <w:pPr>
        <w:spacing w:after="0" w:line="128" w:lineRule="exact"/>
        <w:rPr>
          <w:rFonts w:ascii="Arial" w:cs="Arial" w:eastAsia="Arial" w:hAnsi="Arial"/>
          <w:sz w:val="22"/>
          <w:szCs w:val="22"/>
          <w:color w:val="auto"/>
        </w:rPr>
      </w:pPr>
    </w:p>
    <w:p>
      <w:pPr>
        <w:ind w:left="324" w:hanging="324"/>
        <w:spacing w:after="0" w:line="247"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Loss or impairment of our in-licensed rights to develop and commercialize XACIATO, our product candidates, and DARE to PLAY or potential other Section 503B compounded drugs;</w:t>
      </w:r>
    </w:p>
    <w:p>
      <w:pPr>
        <w:spacing w:after="0" w:line="120" w:lineRule="exact"/>
        <w:rPr>
          <w:rFonts w:ascii="Arial" w:cs="Arial" w:eastAsia="Arial" w:hAnsi="Arial"/>
          <w:sz w:val="22"/>
          <w:szCs w:val="22"/>
          <w:color w:val="auto"/>
        </w:rPr>
      </w:pPr>
    </w:p>
    <w:p>
      <w:pPr>
        <w:ind w:left="324" w:right="140"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timing and amount of our payment and other obligations under our in-license and acquisition agreements for XACIATO, our product candidates, and DARE to PLAY or potential other Section 503B compounded drugs;</w:t>
      </w:r>
    </w:p>
    <w:p>
      <w:pPr>
        <w:spacing w:after="0" w:line="112"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Developments by our competitors that make XACIATO, or any potential product we develop, less competitive or obsolete;</w:t>
      </w:r>
    </w:p>
    <w:p>
      <w:pPr>
        <w:spacing w:after="0" w:line="73"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Unfavorable or unanticipated macroeconomic factors, geopolitical events or conflicts, public health emergencies, or natural disasters;</w:t>
      </w:r>
    </w:p>
    <w:p>
      <w:pPr>
        <w:spacing w:after="0" w:line="74"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Weak interest in women's health relative to other healthcare sectors from the investment community or from pharmaceutical companies and other potential development and commercialization collaborators;</w:t>
      </w:r>
    </w:p>
    <w:p>
      <w:pPr>
        <w:spacing w:after="0" w:line="74" w:lineRule="exact"/>
        <w:rPr>
          <w:rFonts w:ascii="Arial" w:cs="Arial" w:eastAsia="Arial" w:hAnsi="Arial"/>
          <w:sz w:val="22"/>
          <w:szCs w:val="22"/>
          <w:color w:val="auto"/>
        </w:rPr>
      </w:pPr>
    </w:p>
    <w:p>
      <w:pPr>
        <w:ind w:left="324" w:hanging="324"/>
        <w:spacing w:after="0" w:line="247"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Cyber-attacks, security breaches or similar events compromising our technology systems and data, our financial resources and other assets, or the technology systems and data of third parties on which we rely;</w:t>
      </w:r>
    </w:p>
    <w:p>
      <w:pPr>
        <w:spacing w:after="0" w:line="50"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Difficulty in introducing branded products in a market made up of generic products;</w:t>
      </w:r>
    </w:p>
    <w:p>
      <w:pPr>
        <w:sectPr>
          <w:pgSz w:w="11900" w:h="16838" w:orient="portrait"/>
          <w:cols w:equalWidth="0" w:num="1">
            <w:col w:w="10584"/>
          </w:cols>
          <w:pgMar w:left="976" w:top="865" w:right="339" w:bottom="1440" w:gutter="0" w:footer="0" w:header="0"/>
        </w:sectPr>
      </w:pPr>
    </w:p>
    <w:bookmarkStart w:id="6" w:name="page7"/>
    <w:bookmarkEnd w:id="6"/>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73" w:lineRule="exact"/>
        <w:rPr>
          <w:rFonts w:ascii="Arial" w:cs="Arial" w:eastAsia="Arial" w:hAnsi="Arial"/>
          <w:sz w:val="22"/>
          <w:szCs w:val="22"/>
          <w:color w:val="auto"/>
        </w:rPr>
      </w:pPr>
    </w:p>
    <w:p>
      <w:pPr>
        <w:ind w:left="980" w:right="20" w:hanging="324"/>
        <w:spacing w:after="0" w:line="236"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Lack of patent protection for the active ingredients in XACIATO and certain of our product candidates that expose them to competition from other formulations using the same active ingredients;</w:t>
      </w:r>
    </w:p>
    <w:p>
      <w:pPr>
        <w:spacing w:after="0" w:line="74" w:lineRule="exact"/>
        <w:rPr>
          <w:rFonts w:ascii="Arial" w:cs="Arial" w:eastAsia="Arial" w:hAnsi="Arial"/>
          <w:sz w:val="22"/>
          <w:szCs w:val="22"/>
          <w:color w:val="auto"/>
        </w:rPr>
      </w:pPr>
    </w:p>
    <w:p>
      <w:pPr>
        <w:ind w:left="980" w:hanging="324"/>
        <w:spacing w:after="0" w:line="247"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66" w:lineRule="exact"/>
        <w:rPr>
          <w:rFonts w:ascii="Arial" w:cs="Arial" w:eastAsia="Arial" w:hAnsi="Arial"/>
          <w:sz w:val="22"/>
          <w:szCs w:val="22"/>
          <w:color w:val="auto"/>
        </w:rPr>
      </w:pPr>
    </w:p>
    <w:p>
      <w:pPr>
        <w:ind w:left="980" w:hanging="324"/>
        <w:spacing w:after="0" w:line="236"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Dependence on grants and other financial awards from governmental entities and private foundations to advance the development of several of our product candidates;</w:t>
      </w:r>
    </w:p>
    <w:p>
      <w:pPr>
        <w:spacing w:after="0" w:line="58"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Disputes or other developments concerning our intellectual property rights;</w:t>
      </w:r>
    </w:p>
    <w:p>
      <w:pPr>
        <w:spacing w:after="0" w:line="73" w:lineRule="exact"/>
        <w:rPr>
          <w:rFonts w:ascii="Arial" w:cs="Arial" w:eastAsia="Arial" w:hAnsi="Arial"/>
          <w:sz w:val="22"/>
          <w:szCs w:val="22"/>
          <w:color w:val="auto"/>
        </w:rPr>
      </w:pPr>
    </w:p>
    <w:p>
      <w:pPr>
        <w:ind w:left="980" w:right="20" w:hanging="324"/>
        <w:spacing w:after="0" w:line="236"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Actual and anticipated fluctuations in our quarterly or annual operating results or results that differ from investors' expectations for such results;</w:t>
      </w:r>
    </w:p>
    <w:p>
      <w:pPr>
        <w:spacing w:after="0" w:line="74" w:lineRule="exact"/>
        <w:rPr>
          <w:rFonts w:ascii="Arial" w:cs="Arial" w:eastAsia="Arial" w:hAnsi="Arial"/>
          <w:sz w:val="22"/>
          <w:szCs w:val="22"/>
          <w:color w:val="auto"/>
        </w:rPr>
      </w:pPr>
    </w:p>
    <w:p>
      <w:pPr>
        <w:ind w:left="980" w:hanging="324"/>
        <w:spacing w:after="0" w:line="236"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Price and volume fluctuations in the stock market, and in our stock in particular, which could cause investors to experience losses and subject us to securities class-action litigation;</w:t>
      </w:r>
    </w:p>
    <w:p>
      <w:pPr>
        <w:spacing w:after="0" w:line="33" w:lineRule="exact"/>
        <w:rPr>
          <w:rFonts w:ascii="Arial" w:cs="Arial" w:eastAsia="Arial" w:hAnsi="Arial"/>
          <w:sz w:val="22"/>
          <w:szCs w:val="22"/>
          <w:color w:val="auto"/>
        </w:rPr>
      </w:pPr>
    </w:p>
    <w:p>
      <w:pPr>
        <w:jc w:val="both"/>
        <w:ind w:left="980" w:hanging="324"/>
        <w:spacing w:after="0" w:line="262"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spacing w:after="0" w:line="1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Product liability claims or governmental investigations;</w:t>
      </w:r>
    </w:p>
    <w:p>
      <w:pPr>
        <w:spacing w:after="0" w:line="63" w:lineRule="exact"/>
        <w:rPr>
          <w:rFonts w:ascii="Arial" w:cs="Arial" w:eastAsia="Arial" w:hAnsi="Arial"/>
          <w:sz w:val="18"/>
          <w:szCs w:val="18"/>
          <w:i w:val="1"/>
          <w:iCs w:val="1"/>
          <w:color w:val="auto"/>
        </w:rPr>
      </w:pPr>
    </w:p>
    <w:p>
      <w:pPr>
        <w:jc w:val="both"/>
        <w:ind w:left="980" w:hanging="324"/>
        <w:spacing w:after="0" w:line="262" w:lineRule="auto"/>
        <w:tabs>
          <w:tab w:leader="none" w:pos="97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spacing w:after="0" w:line="14" w:lineRule="exact"/>
        <w:rPr>
          <w:rFonts w:ascii="Arial" w:cs="Arial" w:eastAsia="Arial" w:hAnsi="Arial"/>
          <w:sz w:val="18"/>
          <w:szCs w:val="18"/>
          <w:i w:val="1"/>
          <w:iCs w:val="1"/>
          <w:color w:val="auto"/>
        </w:rPr>
      </w:pPr>
    </w:p>
    <w:p>
      <w:pPr>
        <w:ind w:left="980" w:hanging="324"/>
        <w:spacing w:after="0" w:line="285" w:lineRule="auto"/>
        <w:tabs>
          <w:tab w:leader="none" w:pos="97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1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pgSz w:w="11900" w:h="16838" w:orient="portrait"/>
          <w:cols w:equalWidth="0" w:num="1">
            <w:col w:w="11240"/>
          </w:cols>
          <w:pgMar w:left="320" w:top="84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160" w:type="dxa"/>
            <w:vAlign w:val="bottom"/>
            <w:gridSpan w:val="4"/>
          </w:tcPr>
          <w:p>
            <w:pPr>
              <w:ind w:left="2680"/>
              <w:spacing w:after="0"/>
              <w:rPr>
                <w:sz w:val="20"/>
                <w:szCs w:val="20"/>
                <w:color w:val="auto"/>
              </w:rPr>
            </w:pPr>
            <w:r>
              <w:rPr>
                <w:rFonts w:ascii="Arial" w:cs="Arial" w:eastAsia="Arial" w:hAnsi="Arial"/>
                <w:sz w:val="14"/>
                <w:szCs w:val="14"/>
                <w:color w:val="auto"/>
              </w:rPr>
              <w:t>Page</w:t>
            </w:r>
          </w:p>
        </w:tc>
      </w:tr>
      <w:tr>
        <w:trPr>
          <w:trHeight w:val="264"/>
        </w:trPr>
        <w:tc>
          <w:tcPr>
            <w:tcW w:w="29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w w:val="98"/>
              </w:rPr>
              <w:t>PART I. FINANCIAL INFORMATION</w:t>
            </w:r>
          </w:p>
        </w:tc>
        <w:tc>
          <w:tcPr>
            <w:tcW w:w="5100" w:type="dxa"/>
            <w:vAlign w:val="bottom"/>
            <w:gridSpan w:val="5"/>
          </w:tcPr>
          <w:p>
            <w:pPr>
              <w:spacing w:after="0"/>
              <w:rPr>
                <w:sz w:val="23"/>
                <w:szCs w:val="23"/>
                <w:color w:val="auto"/>
              </w:rPr>
            </w:pPr>
          </w:p>
        </w:tc>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Condensed Consolidated Financial Statements (Unaudited)</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9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140" w:type="dxa"/>
            <w:vAlign w:val="bottom"/>
            <w:gridSpan w:val="2"/>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43</w:t>
            </w:r>
          </w:p>
        </w:tc>
        <w:tc>
          <w:tcPr>
            <w:tcW w:w="2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19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Controls and Procedures</w:t>
            </w:r>
          </w:p>
        </w:tc>
        <w:tc>
          <w:tcPr>
            <w:tcW w:w="560" w:type="dxa"/>
            <w:vAlign w:val="bottom"/>
          </w:tcPr>
          <w:p>
            <w:pPr>
              <w:spacing w:after="0"/>
              <w:rPr>
                <w:sz w:val="24"/>
                <w:szCs w:val="24"/>
                <w:color w:val="auto"/>
              </w:rPr>
            </w:pPr>
          </w:p>
        </w:tc>
        <w:tc>
          <w:tcPr>
            <w:tcW w:w="2300" w:type="dxa"/>
            <w:vAlign w:val="bottom"/>
            <w:gridSpan w:val="3"/>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43</w:t>
            </w:r>
          </w:p>
        </w:tc>
        <w:tc>
          <w:tcPr>
            <w:tcW w:w="20" w:type="dxa"/>
            <w:vAlign w:val="bottom"/>
          </w:tcPr>
          <w:p>
            <w:pPr>
              <w:spacing w:after="0"/>
              <w:rPr>
                <w:sz w:val="24"/>
                <w:szCs w:val="24"/>
                <w:color w:val="auto"/>
              </w:rPr>
            </w:pPr>
          </w:p>
        </w:tc>
      </w:tr>
      <w:tr>
        <w:trPr>
          <w:trHeight w:val="628"/>
        </w:trPr>
        <w:tc>
          <w:tcPr>
            <w:tcW w:w="8060" w:type="dxa"/>
            <w:vAlign w:val="bottom"/>
            <w:gridSpan w:val="14"/>
          </w:tcPr>
          <w:p>
            <w:pPr>
              <w:spacing w:after="0"/>
              <w:rPr>
                <w:sz w:val="20"/>
                <w:szCs w:val="20"/>
                <w:color w:val="auto"/>
              </w:rPr>
            </w:pPr>
            <w:r>
              <w:rPr>
                <w:rFonts w:ascii="Arial" w:cs="Arial" w:eastAsia="Arial" w:hAnsi="Arial"/>
                <w:sz w:val="18"/>
                <w:szCs w:val="18"/>
                <w:b w:val="1"/>
                <w:bCs w:val="1"/>
                <w:color w:val="0000FF"/>
              </w:rPr>
              <w:t>PART II. OTHER INFORMATION</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9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7"/>
              </w:rPr>
              <w:t>Legal Proceedings</w:t>
            </w:r>
          </w:p>
        </w:tc>
        <w:tc>
          <w:tcPr>
            <w:tcW w:w="2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2300" w:type="dxa"/>
            <w:vAlign w:val="bottom"/>
            <w:gridSpan w:val="3"/>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Risk Factors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620" w:type="dxa"/>
            <w:vAlign w:val="bottom"/>
            <w:gridSpan w:val="2"/>
          </w:tcPr>
          <w:p>
            <w:pPr>
              <w:spacing w:after="0"/>
              <w:rPr>
                <w:sz w:val="24"/>
                <w:szCs w:val="24"/>
                <w:color w:val="auto"/>
              </w:rPr>
            </w:pPr>
          </w:p>
        </w:tc>
        <w:tc>
          <w:tcPr>
            <w:tcW w:w="2300" w:type="dxa"/>
            <w:vAlign w:val="bottom"/>
            <w:gridSpan w:val="3"/>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24"/>
                <w:szCs w:val="24"/>
                <w:color w:val="auto"/>
              </w:rPr>
            </w:pPr>
          </w:p>
        </w:tc>
      </w:tr>
      <w:tr>
        <w:trPr>
          <w:trHeight w:val="378"/>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48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24"/>
                <w:szCs w:val="24"/>
                <w:color w:val="auto"/>
              </w:rPr>
            </w:pP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5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8"/>
              </w:rPr>
              <w:t>Defaults Upon Senior Securities</w:t>
            </w:r>
          </w:p>
        </w:tc>
        <w:tc>
          <w:tcPr>
            <w:tcW w:w="4540" w:type="dxa"/>
            <w:vAlign w:val="bottom"/>
            <w:gridSpan w:val="4"/>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Mine Safety Disclosures</w:t>
            </w:r>
          </w:p>
        </w:tc>
        <w:tc>
          <w:tcPr>
            <w:tcW w:w="5160" w:type="dxa"/>
            <w:vAlign w:val="bottom"/>
            <w:gridSpan w:val="6"/>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Other Information</w:t>
            </w:r>
          </w:p>
        </w:tc>
        <w:tc>
          <w:tcPr>
            <w:tcW w:w="5680" w:type="dxa"/>
            <w:vAlign w:val="bottom"/>
            <w:gridSpan w:val="9"/>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5"/>
              </w:rPr>
              <w:t>Exhibits</w:t>
            </w:r>
          </w:p>
        </w:tc>
        <w:tc>
          <w:tcPr>
            <w:tcW w:w="540" w:type="dxa"/>
            <w:vAlign w:val="bottom"/>
            <w:gridSpan w:val="2"/>
          </w:tcPr>
          <w:p>
            <w:pPr>
              <w:spacing w:after="0"/>
              <w:rPr>
                <w:sz w:val="24"/>
                <w:szCs w:val="24"/>
                <w:color w:val="auto"/>
              </w:rPr>
            </w:pPr>
          </w:p>
        </w:tc>
        <w:tc>
          <w:tcPr>
            <w:tcW w:w="5920" w:type="dxa"/>
            <w:vAlign w:val="bottom"/>
            <w:gridSpan w:val="10"/>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45</w:t>
            </w:r>
          </w:p>
        </w:tc>
        <w:tc>
          <w:tcPr>
            <w:tcW w:w="20" w:type="dxa"/>
            <w:vAlign w:val="bottom"/>
          </w:tcPr>
          <w:p>
            <w:pPr>
              <w:spacing w:after="0"/>
              <w:rPr>
                <w:sz w:val="24"/>
                <w:szCs w:val="24"/>
                <w:color w:val="auto"/>
              </w:rPr>
            </w:pPr>
          </w:p>
        </w:tc>
      </w:tr>
      <w:tr>
        <w:trPr>
          <w:trHeight w:val="358"/>
        </w:trPr>
        <w:tc>
          <w:tcPr>
            <w:tcW w:w="98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SIGNATURES</w:t>
            </w:r>
          </w:p>
        </w:tc>
        <w:tc>
          <w:tcPr>
            <w:tcW w:w="5920" w:type="dxa"/>
            <w:vAlign w:val="bottom"/>
            <w:gridSpan w:val="10"/>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47</w:t>
            </w:r>
          </w:p>
        </w:tc>
        <w:tc>
          <w:tcPr>
            <w:tcW w:w="20" w:type="dxa"/>
            <w:vAlign w:val="bottom"/>
          </w:tcPr>
          <w:p>
            <w:pPr>
              <w:spacing w:after="0"/>
              <w:rPr>
                <w:sz w:val="24"/>
                <w:szCs w:val="24"/>
                <w:color w:val="auto"/>
              </w:rPr>
            </w:pPr>
          </w:p>
        </w:tc>
      </w:tr>
    </w:tbl>
    <w:p>
      <w:pPr>
        <w:sectPr>
          <w:pgSz w:w="11900" w:h="16838" w:orient="portrait"/>
          <w:cols w:equalWidth="0" w:num="1">
            <w:col w:w="11200"/>
          </w:cols>
          <w:pgMar w:left="340" w:top="782" w:right="359" w:bottom="1440" w:gutter="0" w:footer="0" w:header="0"/>
        </w:sectPr>
      </w:pPr>
    </w:p>
    <w:bookmarkStart w:id="8" w:name="page9"/>
    <w:bookmarkEnd w:id="8"/>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March 31,</w:t>
            </w:r>
          </w:p>
        </w:tc>
        <w:tc>
          <w:tcPr>
            <w:tcW w:w="1560" w:type="dxa"/>
            <w:vAlign w:val="bottom"/>
            <w:gridSpan w:val="2"/>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8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2"/>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18,519,784</w:t>
            </w:r>
          </w:p>
        </w:tc>
        <w:tc>
          <w:tcPr>
            <w:tcW w:w="100" w:type="dxa"/>
            <w:vAlign w:val="bottom"/>
            <w:shd w:val="clear" w:color="auto" w:fill="CCEEFF"/>
          </w:tcPr>
          <w:p>
            <w:pPr>
              <w:spacing w:after="0"/>
              <w:rPr>
                <w:sz w:val="20"/>
                <w:szCs w:val="20"/>
                <w:color w:val="auto"/>
              </w:rPr>
            </w:pPr>
          </w:p>
        </w:tc>
        <w:tc>
          <w:tcPr>
            <w:tcW w:w="40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24,711,356</w:t>
            </w:r>
          </w:p>
        </w:tc>
        <w:tc>
          <w:tcPr>
            <w:tcW w:w="0" w:type="dxa"/>
            <w:vAlign w:val="bottom"/>
          </w:tcPr>
          <w:p>
            <w:pPr>
              <w:spacing w:after="0"/>
              <w:rPr>
                <w:sz w:val="1"/>
                <w:szCs w:val="1"/>
                <w:color w:val="auto"/>
              </w:rPr>
            </w:pPr>
          </w:p>
        </w:tc>
      </w:tr>
      <w:tr>
        <w:trPr>
          <w:trHeight w:val="65"/>
        </w:trPr>
        <w:tc>
          <w:tcPr>
            <w:tcW w:w="80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vMerge w:val="continue"/>
            <w:shd w:val="clear" w:color="auto" w:fill="CCEEFF"/>
          </w:tcPr>
          <w:p>
            <w:pPr>
              <w:spacing w:after="0"/>
              <w:rPr>
                <w:sz w:val="5"/>
                <w:szCs w:val="5"/>
                <w:color w:val="auto"/>
              </w:rPr>
            </w:pPr>
          </w:p>
        </w:tc>
        <w:tc>
          <w:tcPr>
            <w:tcW w:w="12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1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0"/>
                <w:szCs w:val="20"/>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1,770,844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131"/>
              <w:spacing w:after="0"/>
              <w:rPr>
                <w:sz w:val="20"/>
                <w:szCs w:val="20"/>
                <w:color w:val="auto"/>
              </w:rPr>
            </w:pPr>
            <w:r>
              <w:rPr>
                <w:rFonts w:ascii="Arial" w:cs="Arial" w:eastAsia="Arial" w:hAnsi="Arial"/>
                <w:sz w:val="18"/>
                <w:szCs w:val="18"/>
                <w:color w:val="auto"/>
              </w:rPr>
              <w:t>1,392,371</w:t>
            </w:r>
          </w:p>
        </w:tc>
        <w:tc>
          <w:tcPr>
            <w:tcW w:w="0" w:type="dxa"/>
            <w:vAlign w:val="bottom"/>
          </w:tcPr>
          <w:p>
            <w:pPr>
              <w:spacing w:after="0"/>
              <w:rPr>
                <w:sz w:val="1"/>
                <w:szCs w:val="1"/>
                <w:color w:val="auto"/>
              </w:rPr>
            </w:pPr>
          </w:p>
        </w:tc>
      </w:tr>
      <w:tr>
        <w:trPr>
          <w:trHeight w:val="62"/>
        </w:trPr>
        <w:tc>
          <w:tcPr>
            <w:tcW w:w="8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3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687,756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573,062</w:t>
            </w:r>
          </w:p>
        </w:tc>
        <w:tc>
          <w:tcPr>
            <w:tcW w:w="0" w:type="dxa"/>
            <w:vAlign w:val="bottom"/>
          </w:tcPr>
          <w:p>
            <w:pPr>
              <w:spacing w:after="0"/>
              <w:rPr>
                <w:sz w:val="1"/>
                <w:szCs w:val="1"/>
                <w:color w:val="auto"/>
              </w:rPr>
            </w:pPr>
          </w:p>
        </w:tc>
      </w:tr>
      <w:tr>
        <w:trPr>
          <w:trHeight w:val="65"/>
        </w:trPr>
        <w:tc>
          <w:tcPr>
            <w:tcW w:w="80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2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0"/>
                <w:szCs w:val="20"/>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680,753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131"/>
              <w:spacing w:after="0"/>
              <w:rPr>
                <w:sz w:val="20"/>
                <w:szCs w:val="20"/>
                <w:color w:val="auto"/>
              </w:rPr>
            </w:pPr>
            <w:r>
              <w:rPr>
                <w:rFonts w:ascii="Arial" w:cs="Arial" w:eastAsia="Arial" w:hAnsi="Arial"/>
                <w:sz w:val="18"/>
                <w:szCs w:val="18"/>
                <w:color w:val="auto"/>
              </w:rPr>
              <w:t>387,090</w:t>
            </w:r>
          </w:p>
        </w:tc>
        <w:tc>
          <w:tcPr>
            <w:tcW w:w="0" w:type="dxa"/>
            <w:vAlign w:val="bottom"/>
          </w:tcPr>
          <w:p>
            <w:pPr>
              <w:spacing w:after="0"/>
              <w:rPr>
                <w:sz w:val="1"/>
                <w:szCs w:val="1"/>
                <w:color w:val="auto"/>
              </w:rPr>
            </w:pPr>
          </w:p>
        </w:tc>
      </w:tr>
      <w:tr>
        <w:trPr>
          <w:trHeight w:val="62"/>
        </w:trPr>
        <w:tc>
          <w:tcPr>
            <w:tcW w:w="8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21,659,137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27,063,879</w:t>
            </w:r>
          </w:p>
        </w:tc>
        <w:tc>
          <w:tcPr>
            <w:tcW w:w="0" w:type="dxa"/>
            <w:vAlign w:val="bottom"/>
          </w:tcPr>
          <w:p>
            <w:pPr>
              <w:spacing w:after="0"/>
              <w:rPr>
                <w:sz w:val="1"/>
                <w:szCs w:val="1"/>
                <w:color w:val="auto"/>
              </w:rPr>
            </w:pP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0"/>
                <w:szCs w:val="20"/>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1,448,990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131"/>
              <w:spacing w:after="0"/>
              <w:rPr>
                <w:sz w:val="20"/>
                <w:szCs w:val="20"/>
                <w:color w:val="auto"/>
              </w:rPr>
            </w:pPr>
            <w:r>
              <w:rPr>
                <w:rFonts w:ascii="Arial" w:cs="Arial" w:eastAsia="Arial" w:hAnsi="Arial"/>
                <w:sz w:val="18"/>
                <w:szCs w:val="18"/>
                <w:color w:val="auto"/>
              </w:rPr>
              <w:t>1,558,890</w:t>
            </w:r>
          </w:p>
        </w:tc>
        <w:tc>
          <w:tcPr>
            <w:tcW w:w="0" w:type="dxa"/>
            <w:vAlign w:val="bottom"/>
          </w:tcPr>
          <w:p>
            <w:pPr>
              <w:spacing w:after="0"/>
              <w:rPr>
                <w:sz w:val="1"/>
                <w:szCs w:val="1"/>
                <w:color w:val="auto"/>
              </w:rPr>
            </w:pPr>
          </w:p>
        </w:tc>
      </w:tr>
      <w:tr>
        <w:trPr>
          <w:trHeight w:val="62"/>
        </w:trPr>
        <w:tc>
          <w:tcPr>
            <w:tcW w:w="8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969,256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1,097,580</w:t>
            </w:r>
          </w:p>
        </w:tc>
        <w:tc>
          <w:tcPr>
            <w:tcW w:w="0" w:type="dxa"/>
            <w:vAlign w:val="bottom"/>
          </w:tcPr>
          <w:p>
            <w:pPr>
              <w:spacing w:after="0"/>
              <w:rPr>
                <w:sz w:val="1"/>
                <w:szCs w:val="1"/>
                <w:color w:val="auto"/>
              </w:rPr>
            </w:pPr>
          </w:p>
        </w:tc>
      </w:tr>
      <w:tr>
        <w:trPr>
          <w:trHeight w:val="65"/>
        </w:trPr>
        <w:tc>
          <w:tcPr>
            <w:tcW w:w="80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2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color w:val="auto"/>
              </w:rPr>
              <w:t>Finance lease right-of-use asset</w:t>
            </w:r>
          </w:p>
        </w:tc>
        <w:tc>
          <w:tcPr>
            <w:tcW w:w="360" w:type="dxa"/>
            <w:vAlign w:val="bottom"/>
          </w:tcPr>
          <w:p>
            <w:pPr>
              <w:spacing w:after="0"/>
              <w:rPr>
                <w:sz w:val="20"/>
                <w:szCs w:val="20"/>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1,308,581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131"/>
              <w:spacing w:after="0"/>
              <w:rPr>
                <w:sz w:val="20"/>
                <w:szCs w:val="20"/>
                <w:color w:val="auto"/>
              </w:rPr>
            </w:pPr>
            <w:r>
              <w:rPr>
                <w:rFonts w:ascii="Arial" w:cs="Arial" w:eastAsia="Arial" w:hAnsi="Arial"/>
                <w:sz w:val="18"/>
                <w:szCs w:val="18"/>
                <w:color w:val="auto"/>
              </w:rPr>
              <w:t>1,744,775</w:t>
            </w:r>
          </w:p>
        </w:tc>
        <w:tc>
          <w:tcPr>
            <w:tcW w:w="0" w:type="dxa"/>
            <w:vAlign w:val="bottom"/>
          </w:tcPr>
          <w:p>
            <w:pPr>
              <w:spacing w:after="0"/>
              <w:rPr>
                <w:sz w:val="1"/>
                <w:szCs w:val="1"/>
                <w:color w:val="auto"/>
              </w:rPr>
            </w:pPr>
          </w:p>
        </w:tc>
      </w:tr>
      <w:tr>
        <w:trPr>
          <w:trHeight w:val="62"/>
        </w:trPr>
        <w:tc>
          <w:tcPr>
            <w:tcW w:w="8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2,442,450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1,009,439</w:t>
            </w:r>
          </w:p>
        </w:tc>
        <w:tc>
          <w:tcPr>
            <w:tcW w:w="0" w:type="dxa"/>
            <w:vAlign w:val="bottom"/>
          </w:tcPr>
          <w:p>
            <w:pPr>
              <w:spacing w:after="0"/>
              <w:rPr>
                <w:sz w:val="1"/>
                <w:szCs w:val="1"/>
                <w:color w:val="auto"/>
              </w:rPr>
            </w:pPr>
          </w:p>
        </w:tc>
      </w:tr>
      <w:tr>
        <w:trPr>
          <w:trHeight w:val="85"/>
        </w:trPr>
        <w:tc>
          <w:tcPr>
            <w:tcW w:w="802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2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802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27,828,414</w:t>
            </w:r>
          </w:p>
        </w:tc>
        <w:tc>
          <w:tcPr>
            <w:tcW w:w="100" w:type="dxa"/>
            <w:vAlign w:val="bottom"/>
          </w:tcPr>
          <w:p>
            <w:pPr>
              <w:spacing w:after="0"/>
              <w:rPr>
                <w:sz w:val="24"/>
                <w:szCs w:val="24"/>
                <w:color w:val="auto"/>
              </w:rPr>
            </w:pPr>
          </w:p>
        </w:tc>
        <w:tc>
          <w:tcPr>
            <w:tcW w:w="4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32,474,563</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1,231,086</w:t>
            </w:r>
          </w:p>
        </w:tc>
        <w:tc>
          <w:tcPr>
            <w:tcW w:w="100" w:type="dxa"/>
            <w:vAlign w:val="bottom"/>
            <w:shd w:val="clear" w:color="auto" w:fill="CCEEFF"/>
          </w:tcPr>
          <w:p>
            <w:pPr>
              <w:spacing w:after="0"/>
              <w:rPr>
                <w:sz w:val="20"/>
                <w:szCs w:val="2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1,200,686</w:t>
            </w:r>
          </w:p>
        </w:tc>
        <w:tc>
          <w:tcPr>
            <w:tcW w:w="0" w:type="dxa"/>
            <w:vAlign w:val="bottom"/>
          </w:tcPr>
          <w:p>
            <w:pPr>
              <w:spacing w:after="0"/>
              <w:rPr>
                <w:sz w:val="1"/>
                <w:szCs w:val="1"/>
                <w:color w:val="auto"/>
              </w:rPr>
            </w:pPr>
          </w:p>
        </w:tc>
      </w:tr>
      <w:tr>
        <w:trPr>
          <w:trHeight w:val="65"/>
        </w:trPr>
        <w:tc>
          <w:tcPr>
            <w:tcW w:w="80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vMerge w:val="continue"/>
            <w:shd w:val="clear" w:color="auto" w:fill="CCEEFF"/>
          </w:tcPr>
          <w:p>
            <w:pPr>
              <w:spacing w:after="0"/>
              <w:rPr>
                <w:sz w:val="5"/>
                <w:szCs w:val="5"/>
                <w:color w:val="auto"/>
              </w:rPr>
            </w:pPr>
          </w:p>
        </w:tc>
        <w:tc>
          <w:tcPr>
            <w:tcW w:w="12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1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0"/>
                <w:szCs w:val="20"/>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529,325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131"/>
              <w:spacing w:after="0"/>
              <w:rPr>
                <w:sz w:val="20"/>
                <w:szCs w:val="20"/>
                <w:color w:val="auto"/>
              </w:rPr>
            </w:pPr>
            <w:r>
              <w:rPr>
                <w:rFonts w:ascii="Arial" w:cs="Arial" w:eastAsia="Arial" w:hAnsi="Arial"/>
                <w:sz w:val="18"/>
                <w:szCs w:val="18"/>
                <w:color w:val="auto"/>
              </w:rPr>
              <w:t>725,184</w:t>
            </w:r>
          </w:p>
        </w:tc>
        <w:tc>
          <w:tcPr>
            <w:tcW w:w="0" w:type="dxa"/>
            <w:vAlign w:val="bottom"/>
          </w:tcPr>
          <w:p>
            <w:pPr>
              <w:spacing w:after="0"/>
              <w:rPr>
                <w:sz w:val="1"/>
                <w:szCs w:val="1"/>
                <w:color w:val="auto"/>
              </w:rPr>
            </w:pPr>
          </w:p>
        </w:tc>
      </w:tr>
      <w:tr>
        <w:trPr>
          <w:trHeight w:val="62"/>
        </w:trPr>
        <w:tc>
          <w:tcPr>
            <w:tcW w:w="8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grant funding</w:t>
            </w:r>
          </w:p>
        </w:tc>
        <w:tc>
          <w:tcPr>
            <w:tcW w:w="3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18,150,459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19,651,452</w:t>
            </w:r>
          </w:p>
        </w:tc>
        <w:tc>
          <w:tcPr>
            <w:tcW w:w="0" w:type="dxa"/>
            <w:vAlign w:val="bottom"/>
          </w:tcPr>
          <w:p>
            <w:pPr>
              <w:spacing w:after="0"/>
              <w:rPr>
                <w:sz w:val="1"/>
                <w:szCs w:val="1"/>
                <w:color w:val="auto"/>
              </w:rPr>
            </w:pPr>
          </w:p>
        </w:tc>
      </w:tr>
      <w:tr>
        <w:trPr>
          <w:trHeight w:val="65"/>
        </w:trPr>
        <w:tc>
          <w:tcPr>
            <w:tcW w:w="80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2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20" w:type="dxa"/>
            <w:vAlign w:val="bottom"/>
          </w:tcPr>
          <w:p>
            <w:pPr>
              <w:ind w:left="220"/>
              <w:spacing w:after="0"/>
              <w:rPr>
                <w:sz w:val="20"/>
                <w:szCs w:val="20"/>
                <w:color w:val="auto"/>
              </w:rPr>
            </w:pPr>
            <w:r>
              <w:rPr>
                <w:rFonts w:ascii="Arial" w:cs="Arial" w:eastAsia="Arial" w:hAnsi="Arial"/>
                <w:sz w:val="18"/>
                <w:szCs w:val="18"/>
                <w:color w:val="auto"/>
              </w:rPr>
              <w:t>Current portion of liability related to the sale of future royalties</w:t>
            </w:r>
          </w:p>
        </w:tc>
        <w:tc>
          <w:tcPr>
            <w:tcW w:w="360" w:type="dxa"/>
            <w:vAlign w:val="bottom"/>
          </w:tcPr>
          <w:p>
            <w:pPr>
              <w:spacing w:after="0"/>
              <w:rPr>
                <w:sz w:val="20"/>
                <w:szCs w:val="20"/>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12,035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131"/>
              <w:spacing w:after="0"/>
              <w:rPr>
                <w:sz w:val="20"/>
                <w:szCs w:val="20"/>
                <w:color w:val="auto"/>
              </w:rPr>
            </w:pPr>
            <w:r>
              <w:rPr>
                <w:rFonts w:ascii="Arial" w:cs="Arial" w:eastAsia="Arial" w:hAnsi="Arial"/>
                <w:sz w:val="18"/>
                <w:szCs w:val="18"/>
                <w:color w:val="auto"/>
              </w:rPr>
              <w:t>11,711</w:t>
            </w:r>
          </w:p>
        </w:tc>
        <w:tc>
          <w:tcPr>
            <w:tcW w:w="0" w:type="dxa"/>
            <w:vAlign w:val="bottom"/>
          </w:tcPr>
          <w:p>
            <w:pPr>
              <w:spacing w:after="0"/>
              <w:rPr>
                <w:sz w:val="1"/>
                <w:szCs w:val="1"/>
                <w:color w:val="auto"/>
              </w:rPr>
            </w:pPr>
          </w:p>
        </w:tc>
      </w:tr>
      <w:tr>
        <w:trPr>
          <w:trHeight w:val="62"/>
        </w:trPr>
        <w:tc>
          <w:tcPr>
            <w:tcW w:w="8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 operating</w:t>
            </w:r>
          </w:p>
        </w:tc>
        <w:tc>
          <w:tcPr>
            <w:tcW w:w="3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598,556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602,552</w:t>
            </w:r>
          </w:p>
        </w:tc>
        <w:tc>
          <w:tcPr>
            <w:tcW w:w="0" w:type="dxa"/>
            <w:vAlign w:val="bottom"/>
          </w:tcPr>
          <w:p>
            <w:pPr>
              <w:spacing w:after="0"/>
              <w:rPr>
                <w:sz w:val="1"/>
                <w:szCs w:val="1"/>
                <w:color w:val="auto"/>
              </w:rPr>
            </w:pPr>
          </w:p>
        </w:tc>
      </w:tr>
      <w:tr>
        <w:trPr>
          <w:trHeight w:val="65"/>
        </w:trPr>
        <w:tc>
          <w:tcPr>
            <w:tcW w:w="80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2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20" w:type="dxa"/>
            <w:vAlign w:val="bottom"/>
          </w:tcPr>
          <w:p>
            <w:pPr>
              <w:ind w:left="220"/>
              <w:spacing w:after="0"/>
              <w:rPr>
                <w:sz w:val="20"/>
                <w:szCs w:val="20"/>
                <w:color w:val="auto"/>
              </w:rPr>
            </w:pPr>
            <w:r>
              <w:rPr>
                <w:rFonts w:ascii="Arial" w:cs="Arial" w:eastAsia="Arial" w:hAnsi="Arial"/>
                <w:sz w:val="18"/>
                <w:szCs w:val="18"/>
                <w:color w:val="auto"/>
              </w:rPr>
              <w:t>Current portion of lease liability, finance</w:t>
            </w:r>
          </w:p>
        </w:tc>
        <w:tc>
          <w:tcPr>
            <w:tcW w:w="360" w:type="dxa"/>
            <w:vAlign w:val="bottom"/>
          </w:tcPr>
          <w:p>
            <w:pPr>
              <w:spacing w:after="0"/>
              <w:rPr>
                <w:sz w:val="20"/>
                <w:szCs w:val="20"/>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597,552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131"/>
              <w:spacing w:after="0"/>
              <w:rPr>
                <w:sz w:val="20"/>
                <w:szCs w:val="20"/>
                <w:color w:val="auto"/>
              </w:rPr>
            </w:pPr>
            <w:r>
              <w:rPr>
                <w:rFonts w:ascii="Arial" w:cs="Arial" w:eastAsia="Arial" w:hAnsi="Arial"/>
                <w:sz w:val="18"/>
                <w:szCs w:val="18"/>
                <w:color w:val="auto"/>
              </w:rPr>
              <w:t>1,494,102</w:t>
            </w:r>
          </w:p>
        </w:tc>
        <w:tc>
          <w:tcPr>
            <w:tcW w:w="0" w:type="dxa"/>
            <w:vAlign w:val="bottom"/>
          </w:tcPr>
          <w:p>
            <w:pPr>
              <w:spacing w:after="0"/>
              <w:rPr>
                <w:sz w:val="1"/>
                <w:szCs w:val="1"/>
                <w:color w:val="auto"/>
              </w:rPr>
            </w:pPr>
          </w:p>
        </w:tc>
      </w:tr>
      <w:tr>
        <w:trPr>
          <w:trHeight w:val="62"/>
        </w:trPr>
        <w:tc>
          <w:tcPr>
            <w:tcW w:w="8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21,119,013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23,685,687</w:t>
            </w:r>
          </w:p>
        </w:tc>
        <w:tc>
          <w:tcPr>
            <w:tcW w:w="0" w:type="dxa"/>
            <w:vAlign w:val="bottom"/>
          </w:tcPr>
          <w:p>
            <w:pPr>
              <w:spacing w:after="0"/>
              <w:rPr>
                <w:sz w:val="1"/>
                <w:szCs w:val="1"/>
                <w:color w:val="auto"/>
              </w:rPr>
            </w:pP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color w:val="auto"/>
              </w:rPr>
              <w:t>Liability related to the sale of future royalties, net</w:t>
            </w:r>
          </w:p>
        </w:tc>
        <w:tc>
          <w:tcPr>
            <w:tcW w:w="360" w:type="dxa"/>
            <w:vAlign w:val="bottom"/>
          </w:tcPr>
          <w:p>
            <w:pPr>
              <w:spacing w:after="0"/>
              <w:rPr>
                <w:sz w:val="20"/>
                <w:szCs w:val="20"/>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5,556,697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131"/>
              <w:spacing w:after="0"/>
              <w:rPr>
                <w:sz w:val="20"/>
                <w:szCs w:val="20"/>
                <w:color w:val="auto"/>
              </w:rPr>
            </w:pPr>
            <w:r>
              <w:rPr>
                <w:rFonts w:ascii="Arial" w:cs="Arial" w:eastAsia="Arial" w:hAnsi="Arial"/>
                <w:sz w:val="18"/>
                <w:szCs w:val="18"/>
                <w:color w:val="auto"/>
              </w:rPr>
              <w:t>5,386,877</w:t>
            </w:r>
          </w:p>
        </w:tc>
        <w:tc>
          <w:tcPr>
            <w:tcW w:w="0" w:type="dxa"/>
            <w:vAlign w:val="bottom"/>
          </w:tcPr>
          <w:p>
            <w:pPr>
              <w:spacing w:after="0"/>
              <w:rPr>
                <w:sz w:val="1"/>
                <w:szCs w:val="1"/>
                <w:color w:val="auto"/>
              </w:rPr>
            </w:pPr>
          </w:p>
        </w:tc>
      </w:tr>
      <w:tr>
        <w:trPr>
          <w:trHeight w:val="62"/>
        </w:trPr>
        <w:tc>
          <w:tcPr>
            <w:tcW w:w="8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long-term, operating</w:t>
            </w:r>
          </w:p>
        </w:tc>
        <w:tc>
          <w:tcPr>
            <w:tcW w:w="3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418,253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559,365</w:t>
            </w:r>
          </w:p>
        </w:tc>
        <w:tc>
          <w:tcPr>
            <w:tcW w:w="0" w:type="dxa"/>
            <w:vAlign w:val="bottom"/>
          </w:tcPr>
          <w:p>
            <w:pPr>
              <w:spacing w:after="0"/>
              <w:rPr>
                <w:sz w:val="1"/>
                <w:szCs w:val="1"/>
                <w:color w:val="auto"/>
              </w:rPr>
            </w:pPr>
          </w:p>
        </w:tc>
      </w:tr>
      <w:tr>
        <w:trPr>
          <w:trHeight w:val="85"/>
        </w:trPr>
        <w:tc>
          <w:tcPr>
            <w:tcW w:w="802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2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802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27,093,963</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29,631,929</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0896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p>
      <w:pPr>
        <w:ind w:left="220"/>
        <w:spacing w:after="0" w:line="219" w:lineRule="auto"/>
        <w:rPr>
          <w:sz w:val="20"/>
          <w:szCs w:val="20"/>
          <w:color w:val="auto"/>
        </w:rPr>
      </w:pPr>
      <w:r>
        <w:rPr>
          <w:rFonts w:ascii="Arial" w:cs="Arial" w:eastAsia="Arial" w:hAnsi="Arial"/>
          <w:sz w:val="18"/>
          <w:szCs w:val="18"/>
          <w:color w:val="auto"/>
        </w:rPr>
        <w:t>Preferred stock, $0.01 par value, 5,000,000 shares authorized; 4,999,620 and 0 designated</w:t>
      </w:r>
    </w:p>
    <w:p>
      <w:pPr>
        <w:jc w:val="both"/>
        <w:ind w:left="220" w:right="120"/>
        <w:spacing w:after="0" w:line="221" w:lineRule="auto"/>
        <w:rPr>
          <w:sz w:val="20"/>
          <w:szCs w:val="20"/>
          <w:color w:val="auto"/>
        </w:rPr>
      </w:pPr>
      <w:r>
        <w:rPr>
          <w:rFonts w:ascii="Arial" w:cs="Arial" w:eastAsia="Arial" w:hAnsi="Arial"/>
          <w:sz w:val="17"/>
          <w:szCs w:val="17"/>
          <w:color w:val="auto"/>
        </w:rPr>
        <w:t>Series A Convertible Preferred Stock at March 31, 2026 and December 31, 2025, respectively; 65,640 and 0 issued and outstanding at March 31, 2026 and December 31, 2025, respectively. Liquidation preference of $328,200 and $0 at March 31, 2026 and December 31, 2025,</w:t>
      </w:r>
    </w:p>
    <w:p>
      <w:pPr>
        <w:ind w:left="220"/>
        <w:spacing w:after="0"/>
        <w:rPr>
          <w:sz w:val="20"/>
          <w:szCs w:val="20"/>
          <w:color w:val="auto"/>
        </w:rPr>
      </w:pPr>
      <w:r>
        <w:rPr>
          <w:rFonts w:ascii="Arial" w:cs="Arial" w:eastAsia="Arial" w:hAnsi="Arial"/>
          <w:sz w:val="18"/>
          <w:szCs w:val="18"/>
          <w:color w:val="auto"/>
        </w:rPr>
        <w:t>respectively</w:t>
      </w:r>
    </w:p>
    <w:p>
      <w:pPr>
        <w:spacing w:after="0" w:line="14" w:lineRule="exact"/>
        <w:rPr>
          <w:sz w:val="20"/>
          <w:szCs w:val="20"/>
          <w:color w:val="auto"/>
        </w:rPr>
      </w:pPr>
    </w:p>
    <w:p>
      <w:pPr>
        <w:ind w:left="220"/>
        <w:spacing w:after="0" w:line="242" w:lineRule="auto"/>
        <w:rPr>
          <w:sz w:val="20"/>
          <w:szCs w:val="20"/>
          <w:color w:val="auto"/>
        </w:rPr>
      </w:pPr>
      <w:r>
        <w:rPr>
          <w:rFonts w:ascii="Arial" w:cs="Arial" w:eastAsia="Arial" w:hAnsi="Arial"/>
          <w:sz w:val="18"/>
          <w:szCs w:val="18"/>
          <w:color w:val="auto"/>
        </w:rPr>
        <w:t>Common stock, $0.0001 par value; 240,000,000 shares authorized; 14,559,502 and 14,499,502 shares issued and outstanding at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Additional paid-in capital</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other comprehensive loss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Total stockholders' equity</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00"/>
        <w:spacing w:after="0"/>
        <w:tabs>
          <w:tab w:leader="none" w:pos="2660" w:val="left"/>
        </w:tabs>
        <w:rPr>
          <w:sz w:val="20"/>
          <w:szCs w:val="20"/>
          <w:color w:val="auto"/>
        </w:rPr>
      </w:pPr>
      <w:r>
        <w:rPr>
          <w:rFonts w:ascii="Arial" w:cs="Arial" w:eastAsia="Arial" w:hAnsi="Arial"/>
          <w:sz w:val="18"/>
          <w:szCs w:val="18"/>
          <w:color w:val="auto"/>
        </w:rPr>
        <w:t>656</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8"/>
          <w:szCs w:val="18"/>
          <w:color w:val="auto"/>
        </w:rPr>
        <w:t>1,456</w:t>
      </w:r>
      <w:r>
        <w:rPr>
          <w:sz w:val="20"/>
          <w:szCs w:val="20"/>
          <w:color w:val="auto"/>
        </w:rPr>
        <w:tab/>
      </w:r>
      <w:r>
        <w:rPr>
          <w:rFonts w:ascii="Arial" w:cs="Arial" w:eastAsia="Arial" w:hAnsi="Arial"/>
          <w:sz w:val="18"/>
          <w:szCs w:val="18"/>
          <w:color w:val="auto"/>
        </w:rPr>
        <w:t>1,450</w:t>
      </w:r>
    </w:p>
    <w:p>
      <w:pPr>
        <w:spacing w:after="0" w:line="117"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color w:val="auto"/>
        </w:rPr>
        <w:t>192,798,213</w:t>
      </w:r>
      <w:r>
        <w:rPr>
          <w:sz w:val="20"/>
          <w:szCs w:val="20"/>
          <w:color w:val="auto"/>
        </w:rPr>
        <w:tab/>
      </w:r>
      <w:r>
        <w:rPr>
          <w:rFonts w:ascii="Arial" w:cs="Arial" w:eastAsia="Arial" w:hAnsi="Arial"/>
          <w:sz w:val="18"/>
          <w:szCs w:val="18"/>
          <w:color w:val="auto"/>
        </w:rPr>
        <w:t>191,951,711</w:t>
      </w:r>
    </w:p>
    <w:p>
      <w:pPr>
        <w:spacing w:after="0" w:line="117" w:lineRule="exact"/>
        <w:rPr>
          <w:sz w:val="20"/>
          <w:szCs w:val="20"/>
          <w:color w:val="auto"/>
        </w:rPr>
      </w:pPr>
    </w:p>
    <w:p>
      <w:pPr>
        <w:jc w:val="both"/>
        <w:ind w:left="640"/>
        <w:spacing w:after="0"/>
        <w:tabs>
          <w:tab w:leader="none" w:pos="2280" w:val="left"/>
        </w:tabs>
        <w:rPr>
          <w:sz w:val="20"/>
          <w:szCs w:val="20"/>
          <w:color w:val="auto"/>
        </w:rPr>
      </w:pPr>
      <w:r>
        <w:rPr>
          <w:rFonts w:ascii="Arial" w:cs="Arial" w:eastAsia="Arial" w:hAnsi="Arial"/>
          <w:sz w:val="18"/>
          <w:szCs w:val="18"/>
          <w:color w:val="auto"/>
        </w:rPr>
        <w:t>(377,081)</w:t>
      </w:r>
      <w:r>
        <w:rPr>
          <w:sz w:val="20"/>
          <w:szCs w:val="20"/>
          <w:color w:val="auto"/>
        </w:rPr>
        <w:tab/>
      </w:r>
      <w:r>
        <w:rPr>
          <w:rFonts w:ascii="Arial" w:cs="Arial" w:eastAsia="Arial" w:hAnsi="Arial"/>
          <w:sz w:val="18"/>
          <w:szCs w:val="18"/>
          <w:color w:val="auto"/>
        </w:rPr>
        <w:t>(421,623)</w:t>
      </w:r>
    </w:p>
    <w:p>
      <w:pPr>
        <w:spacing w:after="0" w:line="50" w:lineRule="exact"/>
        <w:rPr>
          <w:sz w:val="20"/>
          <w:szCs w:val="20"/>
          <w:color w:val="auto"/>
        </w:rPr>
      </w:pPr>
    </w:p>
    <w:p>
      <w:pPr>
        <w:ind w:left="280"/>
        <w:spacing w:after="0"/>
        <w:tabs>
          <w:tab w:leader="none" w:pos="1920" w:val="left"/>
        </w:tabs>
        <w:rPr>
          <w:sz w:val="20"/>
          <w:szCs w:val="20"/>
          <w:color w:val="auto"/>
        </w:rPr>
      </w:pPr>
      <w:r>
        <w:rPr>
          <w:rFonts w:ascii="Arial" w:cs="Arial" w:eastAsia="Arial" w:hAnsi="Arial"/>
          <w:sz w:val="17"/>
          <w:szCs w:val="17"/>
          <w:color w:val="auto"/>
        </w:rPr>
        <w:t>(191,688,793)</w:t>
      </w:r>
      <w:r>
        <w:rPr>
          <w:sz w:val="20"/>
          <w:szCs w:val="20"/>
          <w:color w:val="auto"/>
        </w:rPr>
        <w:tab/>
      </w:r>
      <w:r>
        <w:rPr>
          <w:rFonts w:ascii="Arial" w:cs="Arial" w:eastAsia="Arial" w:hAnsi="Arial"/>
          <w:sz w:val="17"/>
          <w:szCs w:val="17"/>
          <w:color w:val="auto"/>
        </w:rPr>
        <w:t>(188,688,904)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24765</wp:posOffset>
            </wp:positionV>
            <wp:extent cx="2040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82"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color w:val="auto"/>
        </w:rPr>
        <w:t>734,451</w:t>
      </w:r>
      <w:r>
        <w:rPr>
          <w:sz w:val="20"/>
          <w:szCs w:val="20"/>
          <w:color w:val="auto"/>
        </w:rPr>
        <w:tab/>
      </w:r>
      <w:r>
        <w:rPr>
          <w:rFonts w:ascii="Arial" w:cs="Arial" w:eastAsia="Arial" w:hAnsi="Arial"/>
          <w:sz w:val="18"/>
          <w:szCs w:val="18"/>
          <w:color w:val="auto"/>
        </w:rPr>
        <w:t>2,842,634</w:t>
      </w:r>
    </w:p>
    <w:p>
      <w:pPr>
        <w:spacing w:after="0" w:line="117" w:lineRule="exact"/>
        <w:rPr>
          <w:sz w:val="20"/>
          <w:szCs w:val="20"/>
          <w:color w:val="auto"/>
        </w:rPr>
      </w:pPr>
    </w:p>
    <w:p>
      <w:pPr>
        <w:spacing w:after="0"/>
        <w:tabs>
          <w:tab w:leader="none" w:pos="280" w:val="left"/>
          <w:tab w:leader="none" w:pos="1640" w:val="left"/>
          <w:tab w:leader="none" w:pos="1940" w:val="left"/>
        </w:tabs>
        <w:rPr>
          <w:sz w:val="20"/>
          <w:szCs w:val="20"/>
          <w:color w:val="auto"/>
        </w:rPr>
      </w:pPr>
      <w:r>
        <w:rPr>
          <w:rFonts w:ascii="Arial" w:cs="Arial" w:eastAsia="Arial" w:hAnsi="Arial"/>
          <w:sz w:val="18"/>
          <w:szCs w:val="18"/>
          <w:color w:val="auto"/>
        </w:rPr>
        <w:t>$</w:t>
        <w:tab/>
        <w:t>27,828,414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32,474,563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60325</wp:posOffset>
            </wp:positionV>
            <wp:extent cx="2040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300"/>
            <w:col w:w="3080"/>
          </w:cols>
          <w:pgMar w:left="320" w:top="620" w:right="339" w:bottom="1440" w:gutter="0" w:footer="0" w:header="0"/>
          <w:type w:val="continuous"/>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ectPr>
          <w:pgSz w:w="11900" w:h="16838" w:orient="portrait"/>
          <w:cols w:equalWidth="0" w:num="1">
            <w:col w:w="11240"/>
          </w:cols>
          <w:pgMar w:left="320" w:top="620" w:right="339" w:bottom="1440" w:gutter="0" w:footer="0" w:header="0"/>
          <w:type w:val="continuous"/>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620"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Daré Bioscience</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r>
        <w:rPr>
          <w:rFonts w:ascii="Arial" w:cs="Arial" w:eastAsia="Arial" w:hAnsi="Arial"/>
          <w:sz w:val="18"/>
          <w:szCs w:val="18"/>
          <w:b w:val="1"/>
          <w:bCs w:val="1"/>
          <w:color w:val="auto"/>
        </w:rPr>
        <w:t xml:space="preserve">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80" w:type="dxa"/>
            <w:vAlign w:val="bottom"/>
          </w:tcPr>
          <w:p>
            <w:pPr>
              <w:ind w:left="140"/>
              <w:spacing w:after="0"/>
              <w:rPr>
                <w:sz w:val="20"/>
                <w:szCs w:val="20"/>
                <w:color w:val="auto"/>
              </w:rPr>
            </w:pPr>
            <w:r>
              <w:rPr>
                <w:rFonts w:ascii="Arial" w:cs="Arial" w:eastAsia="Arial" w:hAnsi="Arial"/>
                <w:sz w:val="18"/>
                <w:szCs w:val="18"/>
                <w:color w:val="auto"/>
              </w:rPr>
              <w:t>Research and development services and royalty revenue</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33"/>
              <w:spacing w:after="0"/>
              <w:rPr>
                <w:sz w:val="20"/>
                <w:szCs w:val="20"/>
                <w:color w:val="auto"/>
              </w:rPr>
            </w:pPr>
            <w:r>
              <w:rPr>
                <w:rFonts w:ascii="Arial" w:cs="Arial" w:eastAsia="Arial" w:hAnsi="Arial"/>
                <w:sz w:val="18"/>
                <w:szCs w:val="18"/>
                <w:color w:val="auto"/>
              </w:rPr>
              <w:t>152,455</w:t>
            </w:r>
          </w:p>
        </w:tc>
        <w:tc>
          <w:tcPr>
            <w:tcW w:w="100" w:type="dxa"/>
            <w:vAlign w:val="bottom"/>
          </w:tcPr>
          <w:p>
            <w:pPr>
              <w:spacing w:after="0"/>
              <w:rPr>
                <w:sz w:val="20"/>
                <w:szCs w:val="20"/>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32"/>
              <w:spacing w:after="0"/>
              <w:rPr>
                <w:sz w:val="20"/>
                <w:szCs w:val="20"/>
                <w:color w:val="auto"/>
              </w:rPr>
            </w:pPr>
            <w:r>
              <w:rPr>
                <w:rFonts w:ascii="Arial" w:cs="Arial" w:eastAsia="Arial" w:hAnsi="Arial"/>
                <w:sz w:val="18"/>
                <w:szCs w:val="18"/>
                <w:color w:val="auto"/>
              </w:rPr>
              <w:t>25,427</w:t>
            </w:r>
          </w:p>
        </w:tc>
        <w:tc>
          <w:tcPr>
            <w:tcW w:w="0" w:type="dxa"/>
            <w:vAlign w:val="bottom"/>
          </w:tcPr>
          <w:p>
            <w:pPr>
              <w:spacing w:after="0"/>
              <w:rPr>
                <w:sz w:val="1"/>
                <w:szCs w:val="1"/>
                <w:color w:val="auto"/>
              </w:rPr>
            </w:pPr>
          </w:p>
        </w:tc>
      </w:tr>
      <w:tr>
        <w:trPr>
          <w:trHeight w:val="62"/>
        </w:trPr>
        <w:tc>
          <w:tcPr>
            <w:tcW w:w="80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8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5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152,455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25,427</w:t>
            </w:r>
          </w:p>
        </w:tc>
        <w:tc>
          <w:tcPr>
            <w:tcW w:w="0" w:type="dxa"/>
            <w:vAlign w:val="bottom"/>
          </w:tcPr>
          <w:p>
            <w:pPr>
              <w:spacing w:after="0"/>
              <w:rPr>
                <w:sz w:val="1"/>
                <w:szCs w:val="1"/>
                <w:color w:val="auto"/>
              </w:rPr>
            </w:pPr>
          </w:p>
        </w:tc>
      </w:tr>
      <w:tr>
        <w:trPr>
          <w:trHeight w:val="268"/>
        </w:trPr>
        <w:tc>
          <w:tcPr>
            <w:tcW w:w="80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5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242,325</w:t>
            </w:r>
          </w:p>
        </w:tc>
        <w:tc>
          <w:tcPr>
            <w:tcW w:w="10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80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20"/>
                <w:szCs w:val="20"/>
                <w:color w:val="auto"/>
              </w:rPr>
            </w:pPr>
          </w:p>
        </w:tc>
        <w:tc>
          <w:tcPr>
            <w:tcW w:w="1040" w:type="dxa"/>
            <w:vAlign w:val="bottom"/>
            <w:vMerge w:val="restart"/>
          </w:tcPr>
          <w:p>
            <w:pPr>
              <w:jc w:val="right"/>
              <w:ind w:right="133"/>
              <w:spacing w:after="0"/>
              <w:rPr>
                <w:sz w:val="20"/>
                <w:szCs w:val="20"/>
                <w:color w:val="auto"/>
              </w:rPr>
            </w:pPr>
            <w:r>
              <w:rPr>
                <w:rFonts w:ascii="Arial" w:cs="Arial" w:eastAsia="Arial" w:hAnsi="Arial"/>
                <w:sz w:val="18"/>
                <w:szCs w:val="18"/>
                <w:color w:val="auto"/>
                <w:w w:val="99"/>
              </w:rPr>
              <w:t>2,248,566</w:t>
            </w:r>
          </w:p>
        </w:tc>
        <w:tc>
          <w:tcPr>
            <w:tcW w:w="100" w:type="dxa"/>
            <w:vAlign w:val="bottom"/>
          </w:tcPr>
          <w:p>
            <w:pPr>
              <w:spacing w:after="0"/>
              <w:rPr>
                <w:sz w:val="20"/>
                <w:szCs w:val="20"/>
                <w:color w:val="auto"/>
              </w:rPr>
            </w:pPr>
          </w:p>
        </w:tc>
        <w:tc>
          <w:tcPr>
            <w:tcW w:w="1520" w:type="dxa"/>
            <w:vAlign w:val="bottom"/>
            <w:gridSpan w:val="2"/>
            <w:vMerge w:val="restart"/>
          </w:tcPr>
          <w:p>
            <w:pPr>
              <w:jc w:val="right"/>
              <w:ind w:right="132"/>
              <w:spacing w:after="0"/>
              <w:rPr>
                <w:sz w:val="20"/>
                <w:szCs w:val="20"/>
                <w:color w:val="auto"/>
              </w:rPr>
            </w:pPr>
            <w:r>
              <w:rPr>
                <w:rFonts w:ascii="Arial" w:cs="Arial" w:eastAsia="Arial" w:hAnsi="Arial"/>
                <w:sz w:val="18"/>
                <w:szCs w:val="18"/>
                <w:color w:val="auto"/>
              </w:rPr>
              <w:t>2,309,164</w:t>
            </w:r>
          </w:p>
        </w:tc>
        <w:tc>
          <w:tcPr>
            <w:tcW w:w="0" w:type="dxa"/>
            <w:vAlign w:val="bottom"/>
          </w:tcPr>
          <w:p>
            <w:pPr>
              <w:spacing w:after="0"/>
              <w:rPr>
                <w:sz w:val="1"/>
                <w:szCs w:val="1"/>
                <w:color w:val="auto"/>
              </w:rPr>
            </w:pPr>
          </w:p>
        </w:tc>
      </w:tr>
      <w:tr>
        <w:trPr>
          <w:trHeight w:val="62"/>
        </w:trPr>
        <w:tc>
          <w:tcPr>
            <w:tcW w:w="8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660,462</w:t>
            </w:r>
          </w:p>
        </w:tc>
        <w:tc>
          <w:tcPr>
            <w:tcW w:w="100" w:type="dxa"/>
            <w:vAlign w:val="bottom"/>
            <w:shd w:val="clear" w:color="auto" w:fill="CCEEFF"/>
          </w:tcPr>
          <w:p>
            <w:pPr>
              <w:spacing w:after="0"/>
              <w:rPr>
                <w:sz w:val="20"/>
                <w:szCs w:val="20"/>
                <w:color w:val="auto"/>
              </w:rPr>
            </w:pPr>
          </w:p>
        </w:tc>
        <w:tc>
          <w:tcPr>
            <w:tcW w:w="1520" w:type="dxa"/>
            <w:vAlign w:val="bottom"/>
            <w:gridSpan w:val="2"/>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2,297,381</w:t>
            </w:r>
          </w:p>
        </w:tc>
        <w:tc>
          <w:tcPr>
            <w:tcW w:w="0" w:type="dxa"/>
            <w:vAlign w:val="bottom"/>
          </w:tcPr>
          <w:p>
            <w:pPr>
              <w:spacing w:after="0"/>
              <w:rPr>
                <w:sz w:val="1"/>
                <w:szCs w:val="1"/>
                <w:color w:val="auto"/>
              </w:rPr>
            </w:pPr>
          </w:p>
        </w:tc>
      </w:tr>
      <w:tr>
        <w:trPr>
          <w:trHeight w:val="85"/>
        </w:trPr>
        <w:tc>
          <w:tcPr>
            <w:tcW w:w="808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520" w:type="dxa"/>
            <w:vAlign w:val="bottom"/>
            <w:tcBorders>
              <w:bottom w:val="single" w:sz="8" w:color="CCEEFF"/>
            </w:tcBorders>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808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99"/>
              </w:rPr>
              <w:t>2,909,028</w:t>
            </w:r>
          </w:p>
        </w:tc>
        <w:tc>
          <w:tcPr>
            <w:tcW w:w="100" w:type="dxa"/>
            <w:vAlign w:val="bottom"/>
          </w:tcPr>
          <w:p>
            <w:pPr>
              <w:spacing w:after="0"/>
              <w:rPr>
                <w:sz w:val="23"/>
                <w:szCs w:val="23"/>
                <w:color w:val="auto"/>
              </w:rPr>
            </w:pPr>
          </w:p>
        </w:tc>
        <w:tc>
          <w:tcPr>
            <w:tcW w:w="1520" w:type="dxa"/>
            <w:vAlign w:val="bottom"/>
            <w:tcBorders>
              <w:top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4,606,545</w:t>
            </w:r>
          </w:p>
        </w:tc>
        <w:tc>
          <w:tcPr>
            <w:tcW w:w="0" w:type="dxa"/>
            <w:vAlign w:val="bottom"/>
          </w:tcPr>
          <w:p>
            <w:pPr>
              <w:spacing w:after="0"/>
              <w:rPr>
                <w:sz w:val="1"/>
                <w:szCs w:val="1"/>
                <w:color w:val="auto"/>
              </w:rPr>
            </w:pPr>
          </w:p>
        </w:tc>
      </w:tr>
      <w:tr>
        <w:trPr>
          <w:trHeight w:val="36"/>
        </w:trPr>
        <w:tc>
          <w:tcPr>
            <w:tcW w:w="80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5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(2,998,898)</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(4,581,118)</w:t>
            </w:r>
          </w:p>
        </w:tc>
        <w:tc>
          <w:tcPr>
            <w:tcW w:w="0" w:type="dxa"/>
            <w:vAlign w:val="bottom"/>
          </w:tcPr>
          <w:p>
            <w:pPr>
              <w:spacing w:after="0"/>
              <w:rPr>
                <w:sz w:val="1"/>
                <w:szCs w:val="1"/>
                <w:color w:val="auto"/>
              </w:rPr>
            </w:pPr>
          </w:p>
        </w:tc>
      </w:tr>
      <w:tr>
        <w:trPr>
          <w:trHeight w:val="239"/>
        </w:trPr>
        <w:tc>
          <w:tcPr>
            <w:tcW w:w="80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50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vMerge w:val="restart"/>
          </w:tcPr>
          <w:p>
            <w:pPr>
              <w:jc w:val="right"/>
              <w:ind w:right="132"/>
              <w:spacing w:after="0"/>
              <w:rPr>
                <w:sz w:val="20"/>
                <w:szCs w:val="20"/>
                <w:color w:val="auto"/>
              </w:rPr>
            </w:pPr>
            <w:r>
              <w:rPr>
                <w:rFonts w:ascii="Arial" w:cs="Arial" w:eastAsia="Arial" w:hAnsi="Arial"/>
                <w:sz w:val="18"/>
                <w:szCs w:val="18"/>
                <w:color w:val="auto"/>
              </w:rPr>
              <w:t>202,811</w:t>
            </w:r>
          </w:p>
        </w:tc>
        <w:tc>
          <w:tcPr>
            <w:tcW w:w="0" w:type="dxa"/>
            <w:vAlign w:val="bottom"/>
          </w:tcPr>
          <w:p>
            <w:pPr>
              <w:spacing w:after="0"/>
              <w:rPr>
                <w:sz w:val="1"/>
                <w:szCs w:val="1"/>
                <w:color w:val="auto"/>
              </w:rPr>
            </w:pPr>
          </w:p>
        </w:tc>
      </w:tr>
      <w:tr>
        <w:trPr>
          <w:trHeight w:val="62"/>
        </w:trPr>
        <w:tc>
          <w:tcPr>
            <w:tcW w:w="8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(2,999,889)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(4,378,307)</w:t>
            </w:r>
          </w:p>
        </w:tc>
        <w:tc>
          <w:tcPr>
            <w:tcW w:w="0" w:type="dxa"/>
            <w:vAlign w:val="bottom"/>
          </w:tcPr>
          <w:p>
            <w:pPr>
              <w:spacing w:after="0"/>
              <w:rPr>
                <w:sz w:val="1"/>
                <w:szCs w:val="1"/>
                <w:color w:val="auto"/>
              </w:rPr>
            </w:pPr>
          </w:p>
        </w:tc>
      </w:tr>
      <w:tr>
        <w:trPr>
          <w:trHeight w:val="221"/>
        </w:trPr>
        <w:tc>
          <w:tcPr>
            <w:tcW w:w="8080" w:type="dxa"/>
            <w:vAlign w:val="bottom"/>
            <w:tcBorders>
              <w:top w:val="single" w:sz="8" w:color="CCEEFF"/>
            </w:tcBorders>
          </w:tcPr>
          <w:p>
            <w:pPr>
              <w:ind w:left="140"/>
              <w:spacing w:after="0" w:line="199" w:lineRule="exact"/>
              <w:rPr>
                <w:sz w:val="20"/>
                <w:szCs w:val="20"/>
                <w:color w:val="auto"/>
              </w:rPr>
            </w:pPr>
            <w:r>
              <w:rPr>
                <w:rFonts w:ascii="Arial" w:cs="Arial" w:eastAsia="Arial" w:hAnsi="Arial"/>
                <w:sz w:val="18"/>
                <w:szCs w:val="18"/>
                <w:color w:val="auto"/>
              </w:rPr>
              <w:t>Foreign currency translation adjustments</w:t>
            </w:r>
          </w:p>
        </w:tc>
        <w:tc>
          <w:tcPr>
            <w:tcW w:w="5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44,542</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13,090</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(2,955,347)</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(4,365,217)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 basic and diluted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(0.50)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8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540" w:type="dxa"/>
            <w:vAlign w:val="bottom"/>
            <w:gridSpan w:val="2"/>
            <w:vMerge w:val="restart"/>
          </w:tcPr>
          <w:p>
            <w:pPr>
              <w:jc w:val="right"/>
              <w:ind w:right="133"/>
              <w:spacing w:after="0"/>
              <w:rPr>
                <w:sz w:val="20"/>
                <w:szCs w:val="20"/>
                <w:color w:val="auto"/>
              </w:rPr>
            </w:pPr>
            <w:r>
              <w:rPr>
                <w:rFonts w:ascii="Arial" w:cs="Arial" w:eastAsia="Arial" w:hAnsi="Arial"/>
                <w:sz w:val="18"/>
                <w:szCs w:val="18"/>
                <w:color w:val="auto"/>
              </w:rPr>
              <w:t>14,522,835</w:t>
            </w:r>
          </w:p>
        </w:tc>
        <w:tc>
          <w:tcPr>
            <w:tcW w:w="100" w:type="dxa"/>
            <w:vAlign w:val="bottom"/>
          </w:tcPr>
          <w:p>
            <w:pPr>
              <w:spacing w:after="0"/>
              <w:rPr>
                <w:sz w:val="20"/>
                <w:szCs w:val="20"/>
                <w:color w:val="auto"/>
              </w:rPr>
            </w:pPr>
          </w:p>
        </w:tc>
        <w:tc>
          <w:tcPr>
            <w:tcW w:w="1520" w:type="dxa"/>
            <w:vAlign w:val="bottom"/>
            <w:gridSpan w:val="2"/>
            <w:vMerge w:val="restart"/>
          </w:tcPr>
          <w:p>
            <w:pPr>
              <w:jc w:val="right"/>
              <w:ind w:right="132"/>
              <w:spacing w:after="0"/>
              <w:rPr>
                <w:sz w:val="20"/>
                <w:szCs w:val="20"/>
                <w:color w:val="auto"/>
              </w:rPr>
            </w:pPr>
            <w:r>
              <w:rPr>
                <w:rFonts w:ascii="Arial" w:cs="Arial" w:eastAsia="Arial" w:hAnsi="Arial"/>
                <w:sz w:val="18"/>
                <w:szCs w:val="18"/>
                <w:color w:val="auto"/>
              </w:rPr>
              <w:t>8,759,053</w:t>
            </w:r>
          </w:p>
        </w:tc>
        <w:tc>
          <w:tcPr>
            <w:tcW w:w="0" w:type="dxa"/>
            <w:vAlign w:val="bottom"/>
          </w:tcPr>
          <w:p>
            <w:pPr>
              <w:spacing w:after="0"/>
              <w:rPr>
                <w:sz w:val="1"/>
                <w:szCs w:val="1"/>
                <w:color w:val="auto"/>
              </w:rPr>
            </w:pPr>
          </w:p>
        </w:tc>
      </w:tr>
      <w:tr>
        <w:trPr>
          <w:trHeight w:val="62"/>
        </w:trPr>
        <w:tc>
          <w:tcPr>
            <w:tcW w:w="80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rPr>
              <w:t>Series A</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6"/>
          </w:tcPr>
          <w:p>
            <w:pPr>
              <w:jc w:val="center"/>
              <w:ind w:right="4"/>
              <w:spacing w:after="0" w:line="151" w:lineRule="exact"/>
              <w:rPr>
                <w:sz w:val="20"/>
                <w:szCs w:val="20"/>
                <w:color w:val="auto"/>
              </w:rPr>
            </w:pPr>
            <w:r>
              <w:rPr>
                <w:rFonts w:ascii="Arial" w:cs="Arial" w:eastAsia="Arial" w:hAnsi="Arial"/>
                <w:sz w:val="14"/>
                <w:szCs w:val="14"/>
                <w:b w:val="1"/>
                <w:bCs w:val="1"/>
                <w:color w:val="auto"/>
              </w:rPr>
              <w:t>Convertible Preferred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3"/>
                <w:szCs w:val="13"/>
                <w:color w:val="auto"/>
              </w:rPr>
            </w:pPr>
          </w:p>
        </w:tc>
        <w:tc>
          <w:tcPr>
            <w:tcW w:w="12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center"/>
              <w:ind w:right="104"/>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capital</w:t>
            </w: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loss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4"/>
        </w:trPr>
        <w:tc>
          <w:tcPr>
            <w:tcW w:w="1540" w:type="dxa"/>
            <w:vAlign w:val="bottom"/>
            <w:gridSpan w:val="2"/>
          </w:tcPr>
          <w:p>
            <w:pPr>
              <w:ind w:left="20"/>
              <w:spacing w:after="0" w:line="144" w:lineRule="exact"/>
              <w:rPr>
                <w:sz w:val="20"/>
                <w:szCs w:val="20"/>
                <w:color w:val="auto"/>
              </w:rPr>
            </w:pPr>
            <w:r>
              <w:rPr>
                <w:rFonts w:ascii="Arial" w:cs="Arial" w:eastAsia="Arial" w:hAnsi="Arial"/>
                <w:sz w:val="16"/>
                <w:szCs w:val="16"/>
                <w:b w:val="1"/>
                <w:bCs w:val="1"/>
                <w:color w:val="auto"/>
              </w:rPr>
              <w:t>Balance at</w:t>
            </w:r>
          </w:p>
        </w:tc>
        <w:tc>
          <w:tcPr>
            <w:tcW w:w="80" w:type="dxa"/>
            <w:vAlign w:val="bottom"/>
          </w:tcPr>
          <w:p>
            <w:pPr>
              <w:spacing w:after="0"/>
              <w:rPr>
                <w:sz w:val="12"/>
                <w:szCs w:val="12"/>
                <w:color w:val="auto"/>
              </w:rPr>
            </w:pPr>
          </w:p>
        </w:tc>
        <w:tc>
          <w:tcPr>
            <w:tcW w:w="820" w:type="dxa"/>
            <w:vAlign w:val="bottom"/>
            <w:gridSpan w:val="2"/>
            <w:vMerge w:val="restart"/>
          </w:tcPr>
          <w:p>
            <w:pPr>
              <w:jc w:val="right"/>
              <w:ind w:right="128"/>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w:t>
            </w:r>
          </w:p>
        </w:tc>
        <w:tc>
          <w:tcPr>
            <w:tcW w:w="440" w:type="dxa"/>
            <w:vAlign w:val="bottom"/>
            <w:gridSpan w:val="2"/>
            <w:vMerge w:val="restart"/>
          </w:tcPr>
          <w:p>
            <w:pPr>
              <w:jc w:val="right"/>
              <w:ind w:right="104"/>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4"/>
            <w:vMerge w:val="restart"/>
          </w:tcPr>
          <w:p>
            <w:pPr>
              <w:jc w:val="right"/>
              <w:ind w:right="122"/>
              <w:spacing w:after="0"/>
              <w:rPr>
                <w:sz w:val="20"/>
                <w:szCs w:val="20"/>
                <w:color w:val="auto"/>
              </w:rPr>
            </w:pPr>
            <w:r>
              <w:rPr>
                <w:rFonts w:ascii="Arial" w:cs="Arial" w:eastAsia="Arial" w:hAnsi="Arial"/>
                <w:sz w:val="16"/>
                <w:szCs w:val="16"/>
                <w:b w:val="1"/>
                <w:bCs w:val="1"/>
                <w:color w:val="auto"/>
              </w:rPr>
              <w:t>14,499,502</w:t>
            </w:r>
          </w:p>
        </w:tc>
        <w:tc>
          <w:tcPr>
            <w:tcW w:w="100" w:type="dxa"/>
            <w:vAlign w:val="bottom"/>
          </w:tcPr>
          <w:p>
            <w:pPr>
              <w:spacing w:after="0"/>
              <w:rPr>
                <w:sz w:val="12"/>
                <w:szCs w:val="12"/>
                <w:color w:val="auto"/>
              </w:rPr>
            </w:pPr>
          </w:p>
        </w:tc>
        <w:tc>
          <w:tcPr>
            <w:tcW w:w="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w:t>
            </w:r>
          </w:p>
        </w:tc>
        <w:tc>
          <w:tcPr>
            <w:tcW w:w="740" w:type="dxa"/>
            <w:vAlign w:val="bottom"/>
            <w:gridSpan w:val="3"/>
            <w:vMerge w:val="restart"/>
          </w:tcPr>
          <w:p>
            <w:pPr>
              <w:jc w:val="right"/>
              <w:ind w:right="99"/>
              <w:spacing w:after="0"/>
              <w:rPr>
                <w:sz w:val="20"/>
                <w:szCs w:val="20"/>
                <w:color w:val="auto"/>
              </w:rPr>
            </w:pPr>
            <w:r>
              <w:rPr>
                <w:rFonts w:ascii="Arial" w:cs="Arial" w:eastAsia="Arial" w:hAnsi="Arial"/>
                <w:sz w:val="16"/>
                <w:szCs w:val="16"/>
                <w:b w:val="1"/>
                <w:bCs w:val="1"/>
                <w:color w:val="auto"/>
              </w:rPr>
              <w:t>1,450</w:t>
            </w:r>
          </w:p>
        </w:tc>
        <w:tc>
          <w:tcPr>
            <w:tcW w:w="100" w:type="dxa"/>
            <w:vAlign w:val="bottom"/>
          </w:tcPr>
          <w:p>
            <w:pPr>
              <w:spacing w:after="0"/>
              <w:rPr>
                <w:sz w:val="12"/>
                <w:szCs w:val="12"/>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2"/>
                <w:szCs w:val="12"/>
                <w:color w:val="auto"/>
              </w:rPr>
            </w:pPr>
          </w:p>
        </w:tc>
        <w:tc>
          <w:tcPr>
            <w:tcW w:w="110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98"/>
              </w:rPr>
              <w:t>191,951,711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12"/>
                <w:szCs w:val="12"/>
                <w:color w:val="auto"/>
              </w:rPr>
            </w:pPr>
          </w:p>
        </w:tc>
        <w:tc>
          <w:tcPr>
            <w:tcW w:w="90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99"/>
              </w:rPr>
              <w:t>(421,623)</w:t>
            </w:r>
          </w:p>
        </w:tc>
        <w:tc>
          <w:tcPr>
            <w:tcW w:w="100" w:type="dxa"/>
            <w:vAlign w:val="bottom"/>
          </w:tcPr>
          <w:p>
            <w:pPr>
              <w:spacing w:after="0"/>
              <w:rPr>
                <w:sz w:val="12"/>
                <w:szCs w:val="12"/>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2"/>
                <w:szCs w:val="12"/>
                <w:color w:val="auto"/>
              </w:rPr>
            </w:pPr>
          </w:p>
        </w:tc>
        <w:tc>
          <w:tcPr>
            <w:tcW w:w="1100" w:type="dxa"/>
            <w:vAlign w:val="bottom"/>
            <w:vMerge w:val="restart"/>
          </w:tcPr>
          <w:p>
            <w:pPr>
              <w:jc w:val="center"/>
              <w:ind w:right="21"/>
              <w:spacing w:after="0"/>
              <w:rPr>
                <w:sz w:val="20"/>
                <w:szCs w:val="20"/>
                <w:color w:val="auto"/>
              </w:rPr>
            </w:pPr>
            <w:r>
              <w:rPr>
                <w:rFonts w:ascii="Arial" w:cs="Arial" w:eastAsia="Arial" w:hAnsi="Arial"/>
                <w:sz w:val="16"/>
                <w:szCs w:val="16"/>
                <w:b w:val="1"/>
                <w:bCs w:val="1"/>
                <w:color w:val="auto"/>
              </w:rPr>
              <w:t>(188,688,904)</w:t>
            </w:r>
          </w:p>
        </w:tc>
        <w:tc>
          <w:tcPr>
            <w:tcW w:w="100" w:type="dxa"/>
            <w:vAlign w:val="bottom"/>
          </w:tcPr>
          <w:p>
            <w:pPr>
              <w:spacing w:after="0"/>
              <w:rPr>
                <w:sz w:val="12"/>
                <w:szCs w:val="1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2,842,634</w:t>
            </w:r>
          </w:p>
        </w:tc>
        <w:tc>
          <w:tcPr>
            <w:tcW w:w="0" w:type="dxa"/>
            <w:vAlign w:val="bottom"/>
          </w:tcPr>
          <w:p>
            <w:pPr>
              <w:spacing w:after="0"/>
              <w:rPr>
                <w:sz w:val="1"/>
                <w:szCs w:val="1"/>
                <w:color w:val="auto"/>
              </w:rPr>
            </w:pPr>
          </w:p>
        </w:tc>
      </w:tr>
      <w:tr>
        <w:trPr>
          <w:trHeight w:val="216"/>
        </w:trPr>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 2025</w:t>
            </w:r>
          </w:p>
        </w:tc>
        <w:tc>
          <w:tcPr>
            <w:tcW w:w="82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2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6"/>
                <w:szCs w:val="16"/>
                <w:color w:val="auto"/>
              </w:rPr>
              <w:t>Stock-based</w:t>
            </w:r>
          </w:p>
        </w:tc>
        <w:tc>
          <w:tcPr>
            <w:tcW w:w="8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455,064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455,064</w:t>
            </w:r>
          </w:p>
        </w:tc>
        <w:tc>
          <w:tcPr>
            <w:tcW w:w="0" w:type="dxa"/>
            <w:vAlign w:val="bottom"/>
          </w:tcPr>
          <w:p>
            <w:pPr>
              <w:spacing w:after="0"/>
              <w:rPr>
                <w:sz w:val="1"/>
                <w:szCs w:val="1"/>
                <w:color w:val="auto"/>
              </w:rPr>
            </w:pPr>
          </w:p>
        </w:tc>
      </w:tr>
      <w:tr>
        <w:trPr>
          <w:trHeight w:val="216"/>
        </w:trPr>
        <w:tc>
          <w:tcPr>
            <w:tcW w:w="1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2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Issuance of Series A</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Convertible</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Preferred Stock and</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warrants in</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connection with</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Regulation A</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financing, net of</w:t>
            </w:r>
          </w:p>
        </w:tc>
        <w:tc>
          <w:tcPr>
            <w:tcW w:w="820" w:type="dxa"/>
            <w:vAlign w:val="bottom"/>
            <w:gridSpan w:val="2"/>
            <w:vMerge w:val="restart"/>
          </w:tcPr>
          <w:p>
            <w:pPr>
              <w:jc w:val="right"/>
              <w:ind w:right="128"/>
              <w:spacing w:after="0"/>
              <w:rPr>
                <w:sz w:val="20"/>
                <w:szCs w:val="20"/>
                <w:color w:val="auto"/>
              </w:rPr>
            </w:pPr>
            <w:r>
              <w:rPr>
                <w:rFonts w:ascii="Arial" w:cs="Arial" w:eastAsia="Arial" w:hAnsi="Arial"/>
                <w:sz w:val="16"/>
                <w:szCs w:val="16"/>
                <w:color w:val="auto"/>
              </w:rPr>
              <w:t>65,640</w:t>
            </w:r>
          </w:p>
        </w:tc>
        <w:tc>
          <w:tcPr>
            <w:tcW w:w="800" w:type="dxa"/>
            <w:vAlign w:val="bottom"/>
            <w:gridSpan w:val="4"/>
            <w:vMerge w:val="restart"/>
          </w:tcPr>
          <w:p>
            <w:pPr>
              <w:jc w:val="right"/>
              <w:ind w:right="104"/>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ind w:right="122"/>
              <w:spacing w:after="0"/>
              <w:rPr>
                <w:sz w:val="20"/>
                <w:szCs w:val="20"/>
                <w:color w:val="auto"/>
              </w:rPr>
            </w:pPr>
            <w:r>
              <w:rPr>
                <w:rFonts w:ascii="Arial" w:cs="Arial" w:eastAsia="Arial" w:hAnsi="Arial"/>
                <w:sz w:val="16"/>
                <w:szCs w:val="16"/>
                <w:color w:val="auto"/>
              </w:rPr>
              <w:t>296,557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122"/>
              <w:spacing w:after="0"/>
              <w:rPr>
                <w:sz w:val="20"/>
                <w:szCs w:val="20"/>
                <w:color w:val="auto"/>
              </w:rPr>
            </w:pPr>
            <w:r>
              <w:rPr>
                <w:rFonts w:ascii="Arial" w:cs="Arial" w:eastAsia="Arial" w:hAnsi="Arial"/>
                <w:sz w:val="16"/>
                <w:szCs w:val="16"/>
                <w:color w:val="auto"/>
              </w:rPr>
              <w:t>297,213</w:t>
            </w:r>
          </w:p>
        </w:tc>
        <w:tc>
          <w:tcPr>
            <w:tcW w:w="0" w:type="dxa"/>
            <w:vAlign w:val="bottom"/>
          </w:tcPr>
          <w:p>
            <w:pPr>
              <w:spacing w:after="0"/>
              <w:rPr>
                <w:sz w:val="1"/>
                <w:szCs w:val="1"/>
                <w:color w:val="auto"/>
              </w:rPr>
            </w:pPr>
          </w:p>
        </w:tc>
      </w:tr>
      <w:tr>
        <w:trPr>
          <w:trHeight w:val="215"/>
        </w:trPr>
        <w:tc>
          <w:tcPr>
            <w:tcW w:w="1620" w:type="dxa"/>
            <w:vAlign w:val="bottom"/>
            <w:gridSpan w:val="3"/>
          </w:tcPr>
          <w:p>
            <w:pPr>
              <w:ind w:left="20"/>
              <w:spacing w:after="0"/>
              <w:rPr>
                <w:sz w:val="20"/>
                <w:szCs w:val="20"/>
                <w:color w:val="auto"/>
              </w:rPr>
            </w:pPr>
            <w:r>
              <w:rPr>
                <w:rFonts w:ascii="Arial" w:cs="Arial" w:eastAsia="Arial" w:hAnsi="Arial"/>
                <w:sz w:val="16"/>
                <w:szCs w:val="16"/>
                <w:color w:val="auto"/>
              </w:rPr>
              <w:t>issuance costs</w:t>
            </w:r>
          </w:p>
        </w:tc>
        <w:tc>
          <w:tcPr>
            <w:tcW w:w="820" w:type="dxa"/>
            <w:vAlign w:val="bottom"/>
            <w:gridSpan w:val="2"/>
            <w:vMerge w:val="continue"/>
          </w:tcPr>
          <w:p>
            <w:pPr>
              <w:spacing w:after="0"/>
              <w:rPr>
                <w:sz w:val="18"/>
                <w:szCs w:val="18"/>
                <w:color w:val="auto"/>
              </w:rPr>
            </w:pPr>
          </w:p>
        </w:tc>
        <w:tc>
          <w:tcPr>
            <w:tcW w:w="80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20" w:type="dxa"/>
            <w:vAlign w:val="bottom"/>
            <w:gridSpan w:val="3"/>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w:t>
            </w: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6"/>
                <w:szCs w:val="16"/>
                <w:color w:val="auto"/>
              </w:rPr>
              <w:t>common stock, net</w:t>
            </w:r>
          </w:p>
        </w:tc>
        <w:tc>
          <w:tcPr>
            <w:tcW w:w="8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94,881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94,887</w:t>
            </w:r>
          </w:p>
        </w:tc>
        <w:tc>
          <w:tcPr>
            <w:tcW w:w="0" w:type="dxa"/>
            <w:vAlign w:val="bottom"/>
          </w:tcPr>
          <w:p>
            <w:pPr>
              <w:spacing w:after="0"/>
              <w:rPr>
                <w:sz w:val="1"/>
                <w:szCs w:val="1"/>
                <w:color w:val="auto"/>
              </w:rPr>
            </w:pPr>
          </w:p>
        </w:tc>
      </w:tr>
      <w:tr>
        <w:trPr>
          <w:trHeight w:val="216"/>
        </w:trPr>
        <w:tc>
          <w:tcPr>
            <w:tcW w:w="1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of issuance costs</w:t>
            </w: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620" w:type="dxa"/>
            <w:vAlign w:val="bottom"/>
            <w:gridSpan w:val="3"/>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(2,999,889)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(2,999,889)</w:t>
            </w:r>
          </w:p>
        </w:tc>
        <w:tc>
          <w:tcPr>
            <w:tcW w:w="0" w:type="dxa"/>
            <w:vAlign w:val="bottom"/>
          </w:tcPr>
          <w:p>
            <w:pPr>
              <w:spacing w:after="0"/>
              <w:rPr>
                <w:sz w:val="1"/>
                <w:szCs w:val="1"/>
                <w:color w:val="auto"/>
              </w:rPr>
            </w:pPr>
          </w:p>
        </w:tc>
      </w:tr>
      <w:tr>
        <w:trPr>
          <w:trHeight w:val="163"/>
        </w:trPr>
        <w:tc>
          <w:tcPr>
            <w:tcW w:w="1620" w:type="dxa"/>
            <w:vAlign w:val="bottom"/>
            <w:gridSpan w:val="3"/>
            <w:shd w:val="clear" w:color="auto" w:fill="CCEEFF"/>
          </w:tcPr>
          <w:p>
            <w:pPr>
              <w:ind w:left="20"/>
              <w:spacing w:after="0" w:line="163" w:lineRule="exact"/>
              <w:rPr>
                <w:sz w:val="20"/>
                <w:szCs w:val="20"/>
                <w:color w:val="auto"/>
              </w:rPr>
            </w:pPr>
            <w:r>
              <w:rPr>
                <w:rFonts w:ascii="Arial" w:cs="Arial" w:eastAsia="Arial" w:hAnsi="Arial"/>
                <w:sz w:val="16"/>
                <w:szCs w:val="16"/>
                <w:color w:val="auto"/>
              </w:rPr>
              <w:t>Foreign currency</w:t>
            </w: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6"/>
                <w:szCs w:val="16"/>
                <w:color w:val="auto"/>
              </w:rPr>
              <w:t>translation</w:t>
            </w:r>
          </w:p>
        </w:tc>
        <w:tc>
          <w:tcPr>
            <w:tcW w:w="8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44,542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44,542</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54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Balance at March</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6"/>
                <w:szCs w:val="16"/>
                <w:b w:val="1"/>
                <w:bCs w:val="1"/>
                <w:color w:val="auto"/>
              </w:rPr>
              <w:t>65,640</w:t>
            </w:r>
          </w:p>
        </w:tc>
        <w:tc>
          <w:tcPr>
            <w:tcW w:w="100" w:type="dxa"/>
            <w:vAlign w:val="bottom"/>
            <w:vMerge w:val="restart"/>
            <w:shd w:val="clear" w:color="auto" w:fill="CCEEFF"/>
          </w:tcPr>
          <w:p>
            <w:pPr>
              <w:spacing w:after="0"/>
              <w:rPr>
                <w:sz w:val="13"/>
                <w:szCs w:val="13"/>
                <w:color w:val="auto"/>
              </w:rPr>
            </w:pP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b w:val="1"/>
                <w:bCs w:val="1"/>
                <w:color w:val="auto"/>
                <w:w w:val="89"/>
              </w:rPr>
              <w:t>$</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656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14,559,502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center"/>
              <w:spacing w:after="0" w:line="155" w:lineRule="exact"/>
              <w:rPr>
                <w:sz w:val="20"/>
                <w:szCs w:val="20"/>
                <w:color w:val="auto"/>
              </w:rPr>
            </w:pPr>
            <w:r>
              <w:rPr>
                <w:rFonts w:ascii="Arial" w:cs="Arial" w:eastAsia="Arial" w:hAnsi="Arial"/>
                <w:sz w:val="16"/>
                <w:szCs w:val="16"/>
                <w:b w:val="1"/>
                <w:bCs w:val="1"/>
                <w:color w:val="auto"/>
              </w:rPr>
              <w:t>$</w:t>
            </w:r>
          </w:p>
        </w:tc>
        <w:tc>
          <w:tcPr>
            <w:tcW w:w="74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1,456</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line="155" w:lineRule="exact"/>
              <w:rPr>
                <w:sz w:val="20"/>
                <w:szCs w:val="20"/>
                <w:color w:val="auto"/>
              </w:rPr>
            </w:pPr>
            <w:r>
              <w:rPr>
                <w:rFonts w:ascii="Arial" w:cs="Arial" w:eastAsia="Arial" w:hAnsi="Arial"/>
                <w:sz w:val="16"/>
                <w:szCs w:val="16"/>
                <w:b w:val="1"/>
                <w:bCs w:val="1"/>
                <w:color w:val="auto"/>
              </w:rPr>
              <w:t>192,798,213</w:t>
            </w:r>
          </w:p>
        </w:tc>
        <w:tc>
          <w:tcPr>
            <w:tcW w:w="8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(377,081)</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6"/>
                <w:szCs w:val="16"/>
                <w:b w:val="1"/>
                <w:bCs w:val="1"/>
                <w:color w:val="auto"/>
              </w:rPr>
              <w:t>(191,688,793)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2"/>
              <w:spacing w:after="0" w:line="155" w:lineRule="exact"/>
              <w:rPr>
                <w:sz w:val="20"/>
                <w:szCs w:val="20"/>
                <w:color w:val="auto"/>
              </w:rPr>
            </w:pPr>
            <w:r>
              <w:rPr>
                <w:rFonts w:ascii="Arial" w:cs="Arial" w:eastAsia="Arial" w:hAnsi="Arial"/>
                <w:sz w:val="16"/>
                <w:szCs w:val="16"/>
                <w:b w:val="1"/>
                <w:bCs w:val="1"/>
                <w:color w:val="auto"/>
              </w:rPr>
              <w:t>734,451</w:t>
            </w:r>
          </w:p>
        </w:tc>
        <w:tc>
          <w:tcPr>
            <w:tcW w:w="0" w:type="dxa"/>
            <w:vAlign w:val="bottom"/>
          </w:tcPr>
          <w:p>
            <w:pPr>
              <w:spacing w:after="0"/>
              <w:rPr>
                <w:sz w:val="1"/>
                <w:szCs w:val="1"/>
                <w:color w:val="auto"/>
              </w:rPr>
            </w:pPr>
          </w:p>
        </w:tc>
      </w:tr>
      <w:tr>
        <w:trPr>
          <w:trHeight w:val="196"/>
        </w:trPr>
        <w:tc>
          <w:tcPr>
            <w:tcW w:w="15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31, 2026</w:t>
            </w: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2"/>
          </w:tcPr>
          <w:p>
            <w:pPr>
              <w:ind w:left="540"/>
              <w:spacing w:after="0"/>
              <w:rPr>
                <w:sz w:val="20"/>
                <w:szCs w:val="20"/>
                <w:color w:val="auto"/>
              </w:rPr>
            </w:pPr>
            <w:r>
              <w:rPr>
                <w:rFonts w:ascii="Arial" w:cs="Arial" w:eastAsia="Arial" w:hAnsi="Arial"/>
                <w:sz w:val="16"/>
                <w:szCs w:val="16"/>
                <w:b w:val="1"/>
                <w:bCs w:val="1"/>
                <w:color w:val="auto"/>
              </w:rPr>
              <w:t>Three Months Ended March 31, 2025</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Series A</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6"/>
          </w:tcPr>
          <w:p>
            <w:pPr>
              <w:jc w:val="center"/>
              <w:ind w:right="199"/>
              <w:spacing w:after="0" w:line="155" w:lineRule="exact"/>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3"/>
                <w:szCs w:val="13"/>
                <w:color w:val="auto"/>
              </w:rPr>
            </w:pPr>
          </w:p>
        </w:tc>
        <w:tc>
          <w:tcPr>
            <w:tcW w:w="1960" w:type="dxa"/>
            <w:vAlign w:val="bottom"/>
            <w:gridSpan w:val="7"/>
            <w:vMerge w:val="restart"/>
          </w:tcPr>
          <w:p>
            <w:pPr>
              <w:jc w:val="center"/>
              <w:ind w:left="4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left="4"/>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220" w:type="dxa"/>
            <w:vAlign w:val="bottom"/>
            <w:gridSpan w:val="2"/>
            <w:vMerge w:val="restart"/>
          </w:tcPr>
          <w:p>
            <w:pPr>
              <w:jc w:val="center"/>
              <w:ind w:right="2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6"/>
                <w:szCs w:val="16"/>
                <w:color w:val="auto"/>
              </w:rPr>
            </w:pPr>
          </w:p>
        </w:tc>
        <w:tc>
          <w:tcPr>
            <w:tcW w:w="1960" w:type="dxa"/>
            <w:vAlign w:val="bottom"/>
            <w:tcBorders>
              <w:bottom w:val="single" w:sz="8" w:color="auto"/>
            </w:tcBorders>
            <w:gridSpan w:val="7"/>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9"/>
              </w:rPr>
              <w:t>loss</w:t>
            </w: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1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Balance at December 31,</w:t>
            </w:r>
          </w:p>
        </w:tc>
        <w:tc>
          <w:tcPr>
            <w:tcW w:w="280" w:type="dxa"/>
            <w:vAlign w:val="bottom"/>
          </w:tcPr>
          <w:p>
            <w:pPr>
              <w:spacing w:after="0"/>
              <w:rPr>
                <w:sz w:val="13"/>
                <w:szCs w:val="13"/>
                <w:color w:val="auto"/>
              </w:rPr>
            </w:pPr>
          </w:p>
        </w:tc>
        <w:tc>
          <w:tcPr>
            <w:tcW w:w="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w:t>
            </w:r>
          </w:p>
        </w:tc>
        <w:tc>
          <w:tcPr>
            <w:tcW w:w="440" w:type="dxa"/>
            <w:vAlign w:val="bottom"/>
            <w:gridSpan w:val="2"/>
            <w:vMerge w:val="restart"/>
          </w:tcPr>
          <w:p>
            <w:pPr>
              <w:jc w:val="right"/>
              <w:ind w:right="84"/>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6"/>
                <w:szCs w:val="16"/>
                <w:b w:val="1"/>
                <w:bCs w:val="1"/>
                <w:color w:val="auto"/>
              </w:rPr>
              <w:t>8,700,386</w:t>
            </w:r>
          </w:p>
        </w:tc>
        <w:tc>
          <w:tcPr>
            <w:tcW w:w="160" w:type="dxa"/>
            <w:vAlign w:val="bottom"/>
          </w:tcPr>
          <w:p>
            <w:pPr>
              <w:spacing w:after="0"/>
              <w:rPr>
                <w:sz w:val="13"/>
                <w:szCs w:val="13"/>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870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169,705,480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(428,809)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(175,289,630)</w:t>
            </w:r>
          </w:p>
        </w:tc>
        <w:tc>
          <w:tcPr>
            <w:tcW w:w="100" w:type="dxa"/>
            <w:vAlign w:val="bottom"/>
          </w:tcPr>
          <w:p>
            <w:pPr>
              <w:spacing w:after="0"/>
              <w:rPr>
                <w:sz w:val="13"/>
                <w:szCs w:val="13"/>
                <w:color w:val="auto"/>
              </w:rPr>
            </w:pPr>
          </w:p>
        </w:tc>
        <w:tc>
          <w:tcPr>
            <w:tcW w:w="240" w:type="dxa"/>
            <w:vAlign w:val="bottom"/>
            <w:gridSpan w:val="2"/>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(6,012,089)</w:t>
            </w:r>
          </w:p>
        </w:tc>
        <w:tc>
          <w:tcPr>
            <w:tcW w:w="0" w:type="dxa"/>
            <w:vAlign w:val="bottom"/>
          </w:tcPr>
          <w:p>
            <w:pPr>
              <w:spacing w:after="0"/>
              <w:rPr>
                <w:sz w:val="1"/>
                <w:szCs w:val="1"/>
                <w:color w:val="auto"/>
              </w:rPr>
            </w:pPr>
          </w:p>
        </w:tc>
      </w:tr>
      <w:tr>
        <w:trPr>
          <w:trHeight w:val="203"/>
        </w:trPr>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24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377,357</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377,357</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0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Issuance of common stock,</w:t>
            </w:r>
          </w:p>
        </w:tc>
        <w:tc>
          <w:tcPr>
            <w:tcW w:w="36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150,000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436,233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122"/>
              <w:spacing w:after="0"/>
              <w:rPr>
                <w:sz w:val="20"/>
                <w:szCs w:val="20"/>
                <w:color w:val="auto"/>
              </w:rPr>
            </w:pPr>
            <w:r>
              <w:rPr>
                <w:rFonts w:ascii="Arial" w:cs="Arial" w:eastAsia="Arial" w:hAnsi="Arial"/>
                <w:sz w:val="16"/>
                <w:szCs w:val="16"/>
                <w:color w:val="auto"/>
              </w:rPr>
              <w:t>436,248</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net of issuance costs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(4,378,307)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(4,378,307)</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0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Foreign currency translation</w:t>
            </w:r>
          </w:p>
        </w:tc>
        <w:tc>
          <w:tcPr>
            <w:tcW w:w="36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13,090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122"/>
              <w:spacing w:after="0"/>
              <w:rPr>
                <w:sz w:val="20"/>
                <w:szCs w:val="20"/>
                <w:color w:val="auto"/>
              </w:rPr>
            </w:pPr>
            <w:r>
              <w:rPr>
                <w:rFonts w:ascii="Arial" w:cs="Arial" w:eastAsia="Arial" w:hAnsi="Arial"/>
                <w:sz w:val="16"/>
                <w:szCs w:val="16"/>
                <w:color w:val="auto"/>
              </w:rPr>
              <w:t>13,090</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adjustments</w:t>
            </w:r>
          </w:p>
        </w:tc>
        <w:tc>
          <w:tcPr>
            <w:tcW w:w="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0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w w:val="99"/>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6"/>
                <w:szCs w:val="16"/>
                <w:b w:val="1"/>
                <w:bCs w:val="1"/>
                <w:color w:val="auto"/>
                <w:w w:val="89"/>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w w:val="99"/>
              </w:rPr>
              <w:t>—</w:t>
            </w: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320"/>
              <w:spacing w:after="0"/>
              <w:rPr>
                <w:sz w:val="20"/>
                <w:szCs w:val="20"/>
                <w:color w:val="auto"/>
              </w:rPr>
            </w:pPr>
            <w:r>
              <w:rPr>
                <w:rFonts w:ascii="Arial" w:cs="Arial" w:eastAsia="Arial" w:hAnsi="Arial"/>
                <w:sz w:val="16"/>
                <w:szCs w:val="16"/>
                <w:b w:val="1"/>
                <w:bCs w:val="1"/>
                <w:color w:val="auto"/>
              </w:rPr>
              <w:t>8,850,386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b w:val="1"/>
                <w:bCs w:val="1"/>
                <w:color w:val="auto"/>
                <w:w w:val="8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885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170,519,070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(415,719)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(179,667,937)</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(9,563,701)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69" w:right="339" w:bottom="1440" w:gutter="0" w:footer="0" w:header="0"/>
        </w:sectPr>
      </w:pPr>
    </w:p>
    <w:bookmarkStart w:id="11" w:name="page12"/>
    <w:bookmarkEnd w:id="11"/>
    <w:p>
      <w:pPr>
        <w:spacing w:after="0" w:line="188" w:lineRule="auto"/>
        <w:framePr w:w="740" w:h="163" w:wrap="auto" w:vAnchor="page" w:hAnchor="page" w:x="10460" w:y="13909"/>
        <w:rPr>
          <w:rFonts w:ascii="Arial" w:cs="Arial" w:eastAsia="Arial" w:hAnsi="Arial"/>
          <w:sz w:val="18"/>
          <w:szCs w:val="18"/>
          <w:color w:val="auto"/>
        </w:rPr>
      </w:pPr>
      <w:r>
        <w:rPr>
          <w:rFonts w:ascii="Arial" w:cs="Arial" w:eastAsia="Arial" w:hAnsi="Arial"/>
          <w:sz w:val="18"/>
          <w:szCs w:val="18"/>
          <w:color w:val="auto"/>
        </w:rPr>
        <w:t>300,000</w:t>
      </w:r>
    </w:p>
    <w:p>
      <w:pPr>
        <w:spacing w:after="0" w:line="54"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40"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71"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ectPr>
          <w:pgSz w:w="11900" w:h="16892" w:orient="portrait"/>
          <w:cols w:equalWidth="0" w:num="1">
            <w:col w:w="11060"/>
          </w:cols>
          <w:pgMar w:left="320" w:top="647" w:right="519" w:bottom="0" w:gutter="0" w:footer="0" w:header="0"/>
        </w:sectPr>
      </w:pPr>
    </w:p>
    <w:p>
      <w:pPr>
        <w:spacing w:after="0" w:line="200" w:lineRule="exact"/>
        <w:rPr>
          <w:rFonts w:ascii="Arial" w:cs="Arial" w:eastAsia="Arial" w:hAnsi="Arial"/>
          <w:sz w:val="18"/>
          <w:szCs w:val="18"/>
          <w:color w:val="auto"/>
        </w:rPr>
      </w:pPr>
    </w:p>
    <w:p>
      <w:pPr>
        <w:spacing w:after="0" w:line="39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spacing w:after="0" w:line="20"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Net loss</w:t>
      </w:r>
    </w:p>
    <w:p>
      <w:pPr>
        <w:spacing w:after="0" w:line="10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spacing w:after="0" w:line="12"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Depreciation and amortization</w:t>
      </w:r>
    </w:p>
    <w:p>
      <w:pPr>
        <w:spacing w:after="0" w:line="108"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Right-of-use assets - operating lease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Stock-based compensation expense</w:t>
      </w:r>
    </w:p>
    <w:p>
      <w:pPr>
        <w:spacing w:after="0" w:line="11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Non-cash royalty revenue related to sale of future royalties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Non-cash interest expense</w:t>
      </w:r>
    </w:p>
    <w:p>
      <w:pPr>
        <w:spacing w:after="0" w:line="117"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2305" cy="145415"/>
                    </a:xfrm>
                    <a:prstGeom prst="rect">
                      <a:avLst/>
                    </a:prstGeom>
                    <a:noFill/>
                  </pic:spPr>
                </pic:pic>
              </a:graphicData>
            </a:graphic>
          </wp:anchor>
        </w:drawing>
      </w:r>
    </w:p>
    <w:p>
      <w:pPr>
        <w:spacing w:after="0" w:line="12"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Accounts receivable</w:t>
      </w:r>
    </w:p>
    <w:p>
      <w:pPr>
        <w:spacing w:after="0" w:line="108"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Other receivables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Prepaid expenses</w:t>
      </w:r>
    </w:p>
    <w:p>
      <w:pPr>
        <w:spacing w:after="0" w:line="11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Deposits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Other current assets</w:t>
      </w:r>
    </w:p>
    <w:p>
      <w:pPr>
        <w:spacing w:after="0" w:line="11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Other non-current assets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Operating lease liabilities</w:t>
      </w:r>
    </w:p>
    <w:p>
      <w:pPr>
        <w:spacing w:after="0" w:line="11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Accounts payable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Accrued expenses</w:t>
      </w:r>
    </w:p>
    <w:p>
      <w:pPr>
        <w:spacing w:after="0" w:line="11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Interest payable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Deferred grant funding</w:t>
      </w:r>
    </w:p>
    <w:p>
      <w:pPr>
        <w:spacing w:after="0" w:line="117"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1230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20"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Purchases of property and equipment</w:t>
      </w:r>
    </w:p>
    <w:p>
      <w:pPr>
        <w:spacing w:after="0" w:line="100"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Net cash used in investing activities</w:t>
      </w:r>
    </w:p>
    <w:p>
      <w:pPr>
        <w:spacing w:after="0" w:line="117"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spacing w:after="0" w:line="20"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Net proceeds from issuance of common stock</w:t>
      </w:r>
    </w:p>
    <w:p>
      <w:pPr>
        <w:spacing w:after="0" w:line="100" w:lineRule="exact"/>
        <w:rPr>
          <w:rFonts w:ascii="Arial" w:cs="Arial" w:eastAsia="Arial" w:hAnsi="Arial"/>
          <w:sz w:val="18"/>
          <w:szCs w:val="18"/>
          <w:color w:val="auto"/>
        </w:rPr>
      </w:pPr>
    </w:p>
    <w:p>
      <w:pPr>
        <w:ind w:left="240" w:right="80"/>
        <w:spacing w:after="0"/>
        <w:rPr>
          <w:sz w:val="20"/>
          <w:szCs w:val="20"/>
          <w:color w:val="auto"/>
        </w:rPr>
      </w:pPr>
      <w:r>
        <w:rPr>
          <w:rFonts w:ascii="Arial" w:cs="Arial" w:eastAsia="Arial" w:hAnsi="Arial"/>
          <w:sz w:val="18"/>
          <w:szCs w:val="18"/>
          <w:color w:val="auto"/>
        </w:rPr>
        <w:t>Net proceeds from issuance of Series A Convertible Preferred Stock and warrants in connection with Regulation A financing</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012305"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2305" cy="26543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Payments of deferred offering costs</w:t>
      </w:r>
    </w:p>
    <w:p>
      <w:pPr>
        <w:spacing w:after="0" w:line="11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Repayment of liability on sale of future royalties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Payments on note payable</w:t>
      </w:r>
    </w:p>
    <w:p>
      <w:pPr>
        <w:spacing w:after="0" w:line="11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Principal payments on financing lease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Net cash (used in) provided by financing activities</w:t>
      </w:r>
    </w:p>
    <w:p>
      <w:pPr>
        <w:spacing w:after="0" w:line="117" w:lineRule="exact"/>
        <w:rPr>
          <w:rFonts w:ascii="Arial" w:cs="Arial" w:eastAsia="Arial" w:hAnsi="Arial"/>
          <w:sz w:val="18"/>
          <w:szCs w:val="18"/>
          <w:color w:val="auto"/>
        </w:rPr>
      </w:pPr>
    </w:p>
    <w:p>
      <w:pPr>
        <w:ind w:left="220"/>
        <w:spacing w:after="0"/>
        <w:rPr>
          <w:sz w:val="20"/>
          <w:szCs w:val="20"/>
          <w:color w:val="auto"/>
        </w:rPr>
      </w:pPr>
      <w:r>
        <w:rPr>
          <w:rFonts w:ascii="Arial" w:cs="Arial" w:eastAsia="Arial" w:hAnsi="Arial"/>
          <w:sz w:val="18"/>
          <w:szCs w:val="18"/>
          <w:color w:val="auto"/>
        </w:rPr>
        <w:t>Effect of exchange rate changes on cash and cash equivalents and restricted cash</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Net change in cash, cash equivalents and restricted cash</w:t>
      </w:r>
    </w:p>
    <w:p>
      <w:pPr>
        <w:spacing w:after="0" w:line="117"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Cash, cash equivalents and restricted cash, beginning of period</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2305" cy="20574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161" w:lineRule="exact"/>
        <w:rPr>
          <w:rFonts w:ascii="Arial" w:cs="Arial" w:eastAsia="Arial" w:hAnsi="Arial"/>
          <w:sz w:val="18"/>
          <w:szCs w:val="18"/>
          <w:color w:val="auto"/>
        </w:rPr>
      </w:pPr>
    </w:p>
    <w:p>
      <w:pPr>
        <w:ind w:left="58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r>
      <w:tr>
        <w:trPr>
          <w:trHeight w:val="511"/>
        </w:trPr>
        <w:tc>
          <w:tcPr>
            <w:tcW w:w="1580" w:type="dxa"/>
            <w:vAlign w:val="bottom"/>
          </w:tcPr>
          <w:p>
            <w:pPr>
              <w:jc w:val="right"/>
              <w:spacing w:after="0"/>
              <w:rPr>
                <w:sz w:val="20"/>
                <w:szCs w:val="20"/>
                <w:color w:val="auto"/>
              </w:rPr>
            </w:pPr>
            <w:r>
              <w:rPr>
                <w:rFonts w:ascii="Arial" w:cs="Arial" w:eastAsia="Arial" w:hAnsi="Arial"/>
                <w:sz w:val="18"/>
                <w:szCs w:val="18"/>
                <w:color w:val="auto"/>
              </w:rPr>
              <w:t>$  (2,999,889)</w:t>
            </w: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(4,378,307)</w:t>
            </w:r>
          </w:p>
        </w:tc>
      </w:tr>
      <w:tr>
        <w:trPr>
          <w:trHeight w:val="553"/>
        </w:trPr>
        <w:tc>
          <w:tcPr>
            <w:tcW w:w="1580" w:type="dxa"/>
            <w:vAlign w:val="bottom"/>
          </w:tcPr>
          <w:p>
            <w:pPr>
              <w:jc w:val="right"/>
              <w:ind w:right="131"/>
              <w:spacing w:after="0"/>
              <w:rPr>
                <w:sz w:val="20"/>
                <w:szCs w:val="20"/>
                <w:color w:val="auto"/>
              </w:rPr>
            </w:pPr>
            <w:r>
              <w:rPr>
                <w:rFonts w:ascii="Arial" w:cs="Arial" w:eastAsia="Arial" w:hAnsi="Arial"/>
                <w:sz w:val="18"/>
                <w:szCs w:val="18"/>
                <w:color w:val="auto"/>
              </w:rPr>
              <w:t>554,643</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175,642</w:t>
            </w:r>
          </w:p>
        </w:tc>
      </w:tr>
      <w:tr>
        <w:trPr>
          <w:trHeight w:val="324"/>
        </w:trPr>
        <w:tc>
          <w:tcPr>
            <w:tcW w:w="1580" w:type="dxa"/>
            <w:vAlign w:val="bottom"/>
          </w:tcPr>
          <w:p>
            <w:pPr>
              <w:jc w:val="right"/>
              <w:ind w:right="131"/>
              <w:spacing w:after="0"/>
              <w:rPr>
                <w:sz w:val="20"/>
                <w:szCs w:val="20"/>
                <w:color w:val="auto"/>
              </w:rPr>
            </w:pPr>
            <w:r>
              <w:rPr>
                <w:rFonts w:ascii="Arial" w:cs="Arial" w:eastAsia="Arial" w:hAnsi="Arial"/>
                <w:sz w:val="18"/>
                <w:szCs w:val="18"/>
                <w:color w:val="auto"/>
              </w:rPr>
              <w:t>128,324</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123,905</w:t>
            </w:r>
          </w:p>
        </w:tc>
      </w:tr>
      <w:tr>
        <w:trPr>
          <w:trHeight w:val="324"/>
        </w:trPr>
        <w:tc>
          <w:tcPr>
            <w:tcW w:w="1580" w:type="dxa"/>
            <w:vAlign w:val="bottom"/>
          </w:tcPr>
          <w:p>
            <w:pPr>
              <w:jc w:val="right"/>
              <w:ind w:right="131"/>
              <w:spacing w:after="0"/>
              <w:rPr>
                <w:sz w:val="20"/>
                <w:szCs w:val="20"/>
                <w:color w:val="auto"/>
              </w:rPr>
            </w:pPr>
            <w:r>
              <w:rPr>
                <w:rFonts w:ascii="Arial" w:cs="Arial" w:eastAsia="Arial" w:hAnsi="Arial"/>
                <w:sz w:val="18"/>
                <w:szCs w:val="18"/>
                <w:color w:val="auto"/>
              </w:rPr>
              <w:t>455,064</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377,357</w:t>
            </w:r>
          </w:p>
        </w:tc>
      </w:tr>
      <w:tr>
        <w:trPr>
          <w:trHeight w:val="324"/>
        </w:trPr>
        <w:tc>
          <w:tcPr>
            <w:tcW w:w="1580" w:type="dxa"/>
            <w:vAlign w:val="bottom"/>
          </w:tcPr>
          <w:p>
            <w:pPr>
              <w:jc w:val="right"/>
              <w:spacing w:after="0"/>
              <w:rPr>
                <w:sz w:val="20"/>
                <w:szCs w:val="20"/>
                <w:color w:val="auto"/>
              </w:rPr>
            </w:pPr>
            <w:r>
              <w:rPr>
                <w:rFonts w:ascii="Arial" w:cs="Arial" w:eastAsia="Arial" w:hAnsi="Arial"/>
                <w:sz w:val="18"/>
                <w:szCs w:val="18"/>
                <w:color w:val="auto"/>
              </w:rPr>
              <w:t>(2,708)</w:t>
            </w: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(23,180)</w:t>
            </w:r>
          </w:p>
        </w:tc>
      </w:tr>
      <w:tr>
        <w:trPr>
          <w:trHeight w:val="324"/>
        </w:trPr>
        <w:tc>
          <w:tcPr>
            <w:tcW w:w="1580" w:type="dxa"/>
            <w:vAlign w:val="bottom"/>
          </w:tcPr>
          <w:p>
            <w:pPr>
              <w:jc w:val="right"/>
              <w:ind w:right="131"/>
              <w:spacing w:after="0"/>
              <w:rPr>
                <w:sz w:val="20"/>
                <w:szCs w:val="20"/>
                <w:color w:val="auto"/>
              </w:rPr>
            </w:pPr>
            <w:r>
              <w:rPr>
                <w:rFonts w:ascii="Arial" w:cs="Arial" w:eastAsia="Arial" w:hAnsi="Arial"/>
                <w:sz w:val="18"/>
                <w:szCs w:val="18"/>
                <w:color w:val="auto"/>
              </w:rPr>
              <w:t>14,809</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10,044</w:t>
            </w:r>
          </w:p>
        </w:tc>
      </w:tr>
      <w:tr>
        <w:trPr>
          <w:trHeight w:val="554"/>
        </w:trPr>
        <w:tc>
          <w:tcPr>
            <w:tcW w:w="1580" w:type="dxa"/>
            <w:vAlign w:val="bottom"/>
          </w:tcPr>
          <w:p>
            <w:pPr>
              <w:jc w:val="right"/>
              <w:spacing w:after="0"/>
              <w:rPr>
                <w:sz w:val="20"/>
                <w:szCs w:val="20"/>
                <w:color w:val="auto"/>
              </w:rPr>
            </w:pPr>
            <w:r>
              <w:rPr>
                <w:rFonts w:ascii="Arial" w:cs="Arial" w:eastAsia="Arial" w:hAnsi="Arial"/>
                <w:sz w:val="18"/>
                <w:szCs w:val="18"/>
                <w:color w:val="auto"/>
              </w:rPr>
              <w:t>(120,633)</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324"/>
        </w:trPr>
        <w:tc>
          <w:tcPr>
            <w:tcW w:w="1580" w:type="dxa"/>
            <w:vAlign w:val="bottom"/>
          </w:tcPr>
          <w:p>
            <w:pPr>
              <w:jc w:val="right"/>
              <w:ind w:right="131"/>
              <w:spacing w:after="0"/>
              <w:rPr>
                <w:sz w:val="20"/>
                <w:szCs w:val="20"/>
                <w:color w:val="auto"/>
              </w:rPr>
            </w:pPr>
            <w:r>
              <w:rPr>
                <w:rFonts w:ascii="Arial" w:cs="Arial" w:eastAsia="Arial" w:hAnsi="Arial"/>
                <w:sz w:val="18"/>
                <w:szCs w:val="18"/>
                <w:color w:val="auto"/>
              </w:rPr>
              <w:t>5,938</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124,748</w:t>
            </w:r>
          </w:p>
        </w:tc>
      </w:tr>
      <w:tr>
        <w:trPr>
          <w:trHeight w:val="324"/>
        </w:trPr>
        <w:tc>
          <w:tcPr>
            <w:tcW w:w="1580" w:type="dxa"/>
            <w:vAlign w:val="bottom"/>
          </w:tcPr>
          <w:p>
            <w:pPr>
              <w:jc w:val="right"/>
              <w:spacing w:after="0"/>
              <w:rPr>
                <w:sz w:val="20"/>
                <w:szCs w:val="20"/>
                <w:color w:val="auto"/>
              </w:rPr>
            </w:pPr>
            <w:r>
              <w:rPr>
                <w:rFonts w:ascii="Arial" w:cs="Arial" w:eastAsia="Arial" w:hAnsi="Arial"/>
                <w:sz w:val="18"/>
                <w:szCs w:val="18"/>
                <w:color w:val="auto"/>
              </w:rPr>
              <w:t>(378,471)</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673,510</w:t>
            </w:r>
          </w:p>
        </w:tc>
      </w:tr>
      <w:tr>
        <w:trPr>
          <w:trHeight w:val="324"/>
        </w:trPr>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324"/>
        </w:trPr>
        <w:tc>
          <w:tcPr>
            <w:tcW w:w="1580" w:type="dxa"/>
            <w:vAlign w:val="bottom"/>
          </w:tcPr>
          <w:p>
            <w:pPr>
              <w:jc w:val="right"/>
              <w:spacing w:after="0"/>
              <w:rPr>
                <w:sz w:val="20"/>
                <w:szCs w:val="20"/>
                <w:color w:val="auto"/>
              </w:rPr>
            </w:pPr>
            <w:r>
              <w:rPr>
                <w:rFonts w:ascii="Arial" w:cs="Arial" w:eastAsia="Arial" w:hAnsi="Arial"/>
                <w:sz w:val="18"/>
                <w:szCs w:val="18"/>
                <w:color w:val="auto"/>
              </w:rPr>
              <w:t>(194,717)</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324"/>
        </w:trPr>
        <w:tc>
          <w:tcPr>
            <w:tcW w:w="1580" w:type="dxa"/>
            <w:vAlign w:val="bottom"/>
          </w:tcPr>
          <w:p>
            <w:pPr>
              <w:jc w:val="right"/>
              <w:spacing w:after="0"/>
              <w:rPr>
                <w:sz w:val="20"/>
                <w:szCs w:val="20"/>
                <w:color w:val="auto"/>
              </w:rPr>
            </w:pPr>
            <w:r>
              <w:rPr>
                <w:rFonts w:ascii="Arial" w:cs="Arial" w:eastAsia="Arial" w:hAnsi="Arial"/>
                <w:sz w:val="18"/>
                <w:szCs w:val="18"/>
                <w:color w:val="auto"/>
              </w:rPr>
              <w:t>(1,436,824)</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14,535</w:t>
            </w:r>
          </w:p>
        </w:tc>
      </w:tr>
      <w:tr>
        <w:trPr>
          <w:trHeight w:val="324"/>
        </w:trPr>
        <w:tc>
          <w:tcPr>
            <w:tcW w:w="1580" w:type="dxa"/>
            <w:vAlign w:val="bottom"/>
          </w:tcPr>
          <w:p>
            <w:pPr>
              <w:jc w:val="right"/>
              <w:spacing w:after="0"/>
              <w:rPr>
                <w:sz w:val="20"/>
                <w:szCs w:val="20"/>
                <w:color w:val="auto"/>
              </w:rPr>
            </w:pPr>
            <w:r>
              <w:rPr>
                <w:rFonts w:ascii="Arial" w:cs="Arial" w:eastAsia="Arial" w:hAnsi="Arial"/>
                <w:sz w:val="18"/>
                <w:szCs w:val="18"/>
                <w:color w:val="auto"/>
              </w:rPr>
              <w:t>(145,108)</w:t>
            </w: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(131,429)</w:t>
            </w:r>
          </w:p>
        </w:tc>
      </w:tr>
      <w:tr>
        <w:trPr>
          <w:trHeight w:val="324"/>
        </w:trPr>
        <w:tc>
          <w:tcPr>
            <w:tcW w:w="1580" w:type="dxa"/>
            <w:vAlign w:val="bottom"/>
          </w:tcPr>
          <w:p>
            <w:pPr>
              <w:jc w:val="right"/>
              <w:spacing w:after="0"/>
              <w:rPr>
                <w:sz w:val="20"/>
                <w:szCs w:val="20"/>
                <w:color w:val="auto"/>
              </w:rPr>
            </w:pPr>
            <w:r>
              <w:rPr>
                <w:rFonts w:ascii="Arial" w:cs="Arial" w:eastAsia="Arial" w:hAnsi="Arial"/>
                <w:sz w:val="18"/>
                <w:szCs w:val="18"/>
                <w:color w:val="auto"/>
              </w:rPr>
              <w:t>(44,782)</w:t>
            </w: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(31,539)</w:t>
            </w:r>
          </w:p>
        </w:tc>
      </w:tr>
      <w:tr>
        <w:trPr>
          <w:trHeight w:val="324"/>
        </w:trPr>
        <w:tc>
          <w:tcPr>
            <w:tcW w:w="1580" w:type="dxa"/>
            <w:vAlign w:val="bottom"/>
          </w:tcPr>
          <w:p>
            <w:pPr>
              <w:jc w:val="right"/>
              <w:spacing w:after="0"/>
              <w:rPr>
                <w:sz w:val="20"/>
                <w:szCs w:val="20"/>
                <w:color w:val="auto"/>
              </w:rPr>
            </w:pPr>
            <w:r>
              <w:rPr>
                <w:rFonts w:ascii="Arial" w:cs="Arial" w:eastAsia="Arial" w:hAnsi="Arial"/>
                <w:sz w:val="18"/>
                <w:szCs w:val="18"/>
                <w:color w:val="auto"/>
              </w:rPr>
              <w:t>(13,338)</w:t>
            </w: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(1,084,031)</w:t>
            </w:r>
          </w:p>
        </w:tc>
      </w:tr>
      <w:tr>
        <w:trPr>
          <w:trHeight w:val="324"/>
        </w:trPr>
        <w:tc>
          <w:tcPr>
            <w:tcW w:w="1580" w:type="dxa"/>
            <w:vAlign w:val="bottom"/>
          </w:tcPr>
          <w:p>
            <w:pPr>
              <w:jc w:val="right"/>
              <w:ind w:right="131"/>
              <w:spacing w:after="0"/>
              <w:rPr>
                <w:sz w:val="20"/>
                <w:szCs w:val="20"/>
                <w:color w:val="auto"/>
              </w:rPr>
            </w:pPr>
            <w:r>
              <w:rPr>
                <w:rFonts w:ascii="Arial" w:cs="Arial" w:eastAsia="Arial" w:hAnsi="Arial"/>
                <w:sz w:val="18"/>
                <w:szCs w:val="18"/>
                <w:color w:val="auto"/>
              </w:rPr>
              <w:t>158,042</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117,865</w:t>
            </w:r>
          </w:p>
        </w:tc>
      </w:tr>
      <w:tr>
        <w:trPr>
          <w:trHeight w:val="324"/>
        </w:trPr>
        <w:tc>
          <w:tcPr>
            <w:tcW w:w="1580" w:type="dxa"/>
            <w:vAlign w:val="bottom"/>
          </w:tcPr>
          <w:p>
            <w:pPr>
              <w:jc w:val="right"/>
              <w:spacing w:after="0"/>
              <w:rPr>
                <w:sz w:val="20"/>
                <w:szCs w:val="20"/>
                <w:color w:val="auto"/>
              </w:rPr>
            </w:pPr>
            <w:r>
              <w:rPr>
                <w:rFonts w:ascii="Arial" w:cs="Arial" w:eastAsia="Arial" w:hAnsi="Arial"/>
                <w:sz w:val="18"/>
                <w:szCs w:val="18"/>
                <w:color w:val="auto"/>
              </w:rPr>
              <w:t>(1,500,994)</w:t>
            </w: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(1,439,663)</w:t>
            </w:r>
          </w:p>
        </w:tc>
      </w:tr>
      <w:tr>
        <w:trPr>
          <w:trHeight w:val="23"/>
        </w:trPr>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1"/>
        </w:trPr>
        <w:tc>
          <w:tcPr>
            <w:tcW w:w="1580" w:type="dxa"/>
            <w:vAlign w:val="bottom"/>
          </w:tcPr>
          <w:p>
            <w:pPr>
              <w:jc w:val="right"/>
              <w:spacing w:after="0"/>
              <w:rPr>
                <w:sz w:val="20"/>
                <w:szCs w:val="20"/>
                <w:color w:val="auto"/>
              </w:rPr>
            </w:pPr>
            <w:r>
              <w:rPr>
                <w:rFonts w:ascii="Arial" w:cs="Arial" w:eastAsia="Arial" w:hAnsi="Arial"/>
                <w:sz w:val="18"/>
                <w:szCs w:val="18"/>
                <w:color w:val="auto"/>
              </w:rPr>
              <w:t>(5,520,644)</w:t>
            </w: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(5,470,543)</w:t>
            </w:r>
          </w:p>
        </w:tc>
      </w:tr>
      <w:tr>
        <w:trPr>
          <w:trHeight w:val="23"/>
        </w:trPr>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510"/>
        </w:trPr>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(157,331)</w:t>
            </w:r>
          </w:p>
        </w:tc>
      </w:tr>
      <w:tr>
        <w:trPr>
          <w:trHeight w:val="23"/>
        </w:trPr>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1"/>
        </w:trPr>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(157,331)</w:t>
            </w:r>
          </w:p>
        </w:tc>
      </w:tr>
      <w:tr>
        <w:trPr>
          <w:trHeight w:val="23"/>
        </w:trPr>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510"/>
        </w:trPr>
        <w:tc>
          <w:tcPr>
            <w:tcW w:w="1580" w:type="dxa"/>
            <w:vAlign w:val="bottom"/>
          </w:tcPr>
          <w:p>
            <w:pPr>
              <w:jc w:val="right"/>
              <w:ind w:right="131"/>
              <w:spacing w:after="0"/>
              <w:rPr>
                <w:sz w:val="20"/>
                <w:szCs w:val="20"/>
                <w:color w:val="auto"/>
              </w:rPr>
            </w:pPr>
            <w:r>
              <w:rPr>
                <w:rFonts w:ascii="Arial" w:cs="Arial" w:eastAsia="Arial" w:hAnsi="Arial"/>
                <w:sz w:val="18"/>
                <w:szCs w:val="18"/>
                <w:color w:val="auto"/>
              </w:rPr>
              <w:t>94,887</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436,248</w:t>
            </w:r>
          </w:p>
        </w:tc>
      </w:tr>
      <w:tr>
        <w:trPr>
          <w:trHeight w:val="419"/>
        </w:trPr>
        <w:tc>
          <w:tcPr>
            <w:tcW w:w="1580" w:type="dxa"/>
            <w:vAlign w:val="bottom"/>
          </w:tcPr>
          <w:p>
            <w:pPr>
              <w:jc w:val="right"/>
              <w:ind w:right="131"/>
              <w:spacing w:after="0"/>
              <w:rPr>
                <w:sz w:val="20"/>
                <w:szCs w:val="20"/>
                <w:color w:val="auto"/>
              </w:rPr>
            </w:pPr>
            <w:r>
              <w:rPr>
                <w:rFonts w:ascii="Arial" w:cs="Arial" w:eastAsia="Arial" w:hAnsi="Arial"/>
                <w:sz w:val="18"/>
                <w:szCs w:val="18"/>
                <w:color w:val="auto"/>
              </w:rPr>
              <w:t>297,213</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324"/>
        </w:trPr>
        <w:tc>
          <w:tcPr>
            <w:tcW w:w="1580" w:type="dxa"/>
            <w:vAlign w:val="bottom"/>
          </w:tcPr>
          <w:p>
            <w:pPr>
              <w:jc w:val="right"/>
              <w:spacing w:after="0"/>
              <w:rPr>
                <w:sz w:val="20"/>
                <w:szCs w:val="20"/>
                <w:color w:val="auto"/>
              </w:rPr>
            </w:pPr>
            <w:r>
              <w:rPr>
                <w:rFonts w:ascii="Arial" w:cs="Arial" w:eastAsia="Arial" w:hAnsi="Arial"/>
                <w:sz w:val="18"/>
                <w:szCs w:val="18"/>
                <w:color w:val="auto"/>
              </w:rPr>
              <w:t>(28,500)</w:t>
            </w:r>
          </w:p>
        </w:tc>
        <w:tc>
          <w:tcPr>
            <w:tcW w:w="140" w:type="dxa"/>
            <w:vAlign w:val="bottom"/>
          </w:tcPr>
          <w:p>
            <w:pPr>
              <w:spacing w:after="0"/>
              <w:rPr>
                <w:sz w:val="24"/>
                <w:szCs w:val="24"/>
                <w:color w:val="auto"/>
              </w:rPr>
            </w:pP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w:t>
            </w:r>
          </w:p>
        </w:tc>
      </w:tr>
    </w:tbl>
    <w:p>
      <w:pPr>
        <w:spacing w:after="0" w:line="8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—(2,450)</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(182,521)(187,221)</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(896,549)—</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(715,470)246,577</w:t>
      </w:r>
    </w:p>
    <w:p>
      <w:pPr>
        <w:spacing w:after="0" w:line="11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44,54213,090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wp:posOffset>
            </wp:positionH>
            <wp:positionV relativeFrom="paragraph">
              <wp:posOffset>-375920</wp:posOffset>
            </wp:positionV>
            <wp:extent cx="2091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97"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9"/>
        </w:trPr>
        <w:tc>
          <w:tcPr>
            <w:tcW w:w="1580" w:type="dxa"/>
            <w:vAlign w:val="bottom"/>
          </w:tcPr>
          <w:p>
            <w:pPr>
              <w:jc w:val="right"/>
              <w:spacing w:after="0"/>
              <w:rPr>
                <w:sz w:val="20"/>
                <w:szCs w:val="20"/>
                <w:color w:val="auto"/>
              </w:rPr>
            </w:pPr>
            <w:r>
              <w:rPr>
                <w:rFonts w:ascii="Arial" w:cs="Arial" w:eastAsia="Arial" w:hAnsi="Arial"/>
                <w:sz w:val="18"/>
                <w:szCs w:val="18"/>
                <w:color w:val="auto"/>
              </w:rPr>
              <w:t>(6,191,572)</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(5,368,207)</w:t>
            </w:r>
          </w:p>
        </w:tc>
      </w:tr>
      <w:tr>
        <w:trPr>
          <w:trHeight w:val="324"/>
        </w:trPr>
        <w:tc>
          <w:tcPr>
            <w:tcW w:w="1580" w:type="dxa"/>
            <w:vAlign w:val="bottom"/>
          </w:tcPr>
          <w:p>
            <w:pPr>
              <w:jc w:val="right"/>
              <w:ind w:right="130"/>
              <w:spacing w:after="0"/>
              <w:rPr>
                <w:sz w:val="20"/>
                <w:szCs w:val="20"/>
                <w:color w:val="auto"/>
              </w:rPr>
            </w:pPr>
            <w:r>
              <w:rPr>
                <w:rFonts w:ascii="Arial" w:cs="Arial" w:eastAsia="Arial" w:hAnsi="Arial"/>
                <w:sz w:val="18"/>
                <w:szCs w:val="18"/>
                <w:color w:val="auto"/>
              </w:rPr>
              <w:t>25,011,356</w:t>
            </w:r>
          </w:p>
        </w:tc>
        <w:tc>
          <w:tcPr>
            <w:tcW w:w="140" w:type="dxa"/>
            <w:vAlign w:val="bottom"/>
          </w:tcPr>
          <w:p>
            <w:pPr>
              <w:spacing w:after="0"/>
              <w:rPr>
                <w:sz w:val="24"/>
                <w:szCs w:val="24"/>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15,998,174</w:t>
            </w:r>
          </w:p>
        </w:tc>
      </w:tr>
      <w:tr>
        <w:trPr>
          <w:trHeight w:val="23"/>
        </w:trPr>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1"/>
        </w:trPr>
        <w:tc>
          <w:tcPr>
            <w:tcW w:w="1580" w:type="dxa"/>
            <w:vAlign w:val="bottom"/>
          </w:tcPr>
          <w:p>
            <w:pPr>
              <w:jc w:val="right"/>
              <w:ind w:right="130"/>
              <w:spacing w:after="0"/>
              <w:rPr>
                <w:sz w:val="20"/>
                <w:szCs w:val="20"/>
                <w:color w:val="auto"/>
              </w:rPr>
            </w:pPr>
            <w:r>
              <w:rPr>
                <w:rFonts w:ascii="Arial" w:cs="Arial" w:eastAsia="Arial" w:hAnsi="Arial"/>
                <w:sz w:val="18"/>
                <w:szCs w:val="18"/>
                <w:color w:val="auto"/>
              </w:rPr>
              <w:t>$  18,819,784</w:t>
            </w:r>
          </w:p>
        </w:tc>
        <w:tc>
          <w:tcPr>
            <w:tcW w:w="140" w:type="dxa"/>
            <w:vAlign w:val="bottom"/>
          </w:tcPr>
          <w:p>
            <w:pPr>
              <w:spacing w:after="0"/>
              <w:rPr>
                <w:sz w:val="24"/>
                <w:szCs w:val="24"/>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  10,629,967</w:t>
            </w: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091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5" w:lineRule="exact"/>
        <w:rPr>
          <w:rFonts w:ascii="Arial" w:cs="Arial" w:eastAsia="Arial" w:hAnsi="Arial"/>
          <w:sz w:val="18"/>
          <w:szCs w:val="18"/>
          <w:color w:val="auto"/>
        </w:rPr>
      </w:pPr>
    </w:p>
    <w:p>
      <w:pPr>
        <w:sectPr>
          <w:pgSz w:w="11900" w:h="16892" w:orient="portrait"/>
          <w:cols w:equalWidth="0" w:num="2">
            <w:col w:w="7040" w:space="720"/>
            <w:col w:w="3300"/>
          </w:cols>
          <w:pgMar w:left="320" w:top="647" w:right="519" w:bottom="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 to amounts reported in the consolidated balance sheets: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spacing w:after="0" w:line="2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30"/>
              <w:spacing w:after="0"/>
              <w:rPr>
                <w:sz w:val="20"/>
                <w:szCs w:val="20"/>
                <w:color w:val="auto"/>
              </w:rPr>
            </w:pPr>
            <w:r>
              <w:rPr>
                <w:rFonts w:ascii="Arial" w:cs="Arial" w:eastAsia="Arial" w:hAnsi="Arial"/>
                <w:sz w:val="18"/>
                <w:szCs w:val="18"/>
                <w:color w:val="auto"/>
              </w:rPr>
              <w:t>18,519,784</w:t>
            </w:r>
          </w:p>
        </w:tc>
        <w:tc>
          <w:tcPr>
            <w:tcW w:w="140" w:type="dxa"/>
            <w:vAlign w:val="bottom"/>
          </w:tcPr>
          <w:p>
            <w:pPr>
              <w:spacing w:after="0"/>
              <w:rPr>
                <w:sz w:val="20"/>
                <w:szCs w:val="20"/>
                <w:color w:val="auto"/>
              </w:rPr>
            </w:pPr>
          </w:p>
        </w:tc>
        <w:tc>
          <w:tcPr>
            <w:tcW w:w="3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30"/>
              <w:spacing w:after="0"/>
              <w:rPr>
                <w:sz w:val="20"/>
                <w:szCs w:val="20"/>
                <w:color w:val="auto"/>
              </w:rPr>
            </w:pPr>
            <w:r>
              <w:rPr>
                <w:rFonts w:ascii="Arial" w:cs="Arial" w:eastAsia="Arial" w:hAnsi="Arial"/>
                <w:sz w:val="18"/>
                <w:szCs w:val="18"/>
                <w:color w:val="auto"/>
              </w:rPr>
              <w:t>10,329,967</w:t>
            </w:r>
          </w:p>
        </w:tc>
        <w:tc>
          <w:tcPr>
            <w:tcW w:w="0" w:type="dxa"/>
            <w:vAlign w:val="bottom"/>
          </w:tcPr>
          <w:p>
            <w:pPr>
              <w:spacing w:after="0"/>
              <w:rPr>
                <w:sz w:val="1"/>
                <w:szCs w:val="1"/>
                <w:color w:val="auto"/>
              </w:rPr>
            </w:pPr>
          </w:p>
        </w:tc>
      </w:tr>
      <w:tr>
        <w:trPr>
          <w:trHeight w:val="81"/>
        </w:trPr>
        <w:tc>
          <w:tcPr>
            <w:tcW w:w="77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36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776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18,819,784</w:t>
            </w:r>
          </w:p>
        </w:tc>
        <w:tc>
          <w:tcPr>
            <w:tcW w:w="140" w:type="dxa"/>
            <w:vAlign w:val="bottom"/>
          </w:tcPr>
          <w:p>
            <w:pPr>
              <w:spacing w:after="0"/>
              <w:rPr>
                <w:sz w:val="24"/>
                <w:szCs w:val="24"/>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10,629,967</w:t>
            </w:r>
          </w:p>
        </w:tc>
        <w:tc>
          <w:tcPr>
            <w:tcW w:w="0" w:type="dxa"/>
            <w:vAlign w:val="bottom"/>
          </w:tcPr>
          <w:p>
            <w:pPr>
              <w:spacing w:after="0"/>
              <w:rPr>
                <w:sz w:val="1"/>
                <w:szCs w:val="1"/>
                <w:color w:val="auto"/>
              </w:rPr>
            </w:pPr>
          </w:p>
        </w:tc>
      </w:tr>
    </w:tbl>
    <w:p>
      <w:pPr>
        <w:spacing w:after="0" w:line="3"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40"/>
        </w:trPr>
        <w:tc>
          <w:tcPr>
            <w:tcW w:w="7760" w:type="dxa"/>
            <w:vAlign w:val="bottom"/>
            <w:tcBorders>
              <w:bottom w:val="single" w:sz="8" w:color="CCEEFF"/>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r>
      <w:tr>
        <w:trPr>
          <w:trHeight w:val="196"/>
        </w:trPr>
        <w:tc>
          <w:tcPr>
            <w:tcW w:w="7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Current asset payment included in accounts payable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(75,181)</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Financing right-of-use assets obtained in exchange for new financing lease liabilities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2,841,027</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Prepaid rent reclassified to finance lease right-of-use asset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458,850</w:t>
            </w: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 payment due included in accounts payable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458,850</w:t>
            </w:r>
          </w:p>
        </w:tc>
      </w:tr>
    </w:tbl>
    <w:p>
      <w:pPr>
        <w:spacing w:after="0" w:line="321"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ectPr>
          <w:pgSz w:w="11900" w:h="16892" w:orient="portrait"/>
          <w:cols w:equalWidth="0" w:num="1">
            <w:col w:w="11060"/>
          </w:cols>
          <w:pgMar w:left="320" w:top="647" w:right="519" w:bottom="0" w:gutter="0" w:footer="0" w:header="0"/>
          <w:type w:val="continuous"/>
        </w:sectPr>
      </w:pPr>
    </w:p>
    <w:p>
      <w:pPr>
        <w:spacing w:after="0" w:line="318"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92" w:orient="portrait"/>
          <w:cols w:equalWidth="0" w:num="1">
            <w:col w:w="11060"/>
          </w:cols>
          <w:pgMar w:left="320" w:top="647" w:right="519" w:bottom="0" w:gutter="0" w:footer="0" w:header="0"/>
          <w:type w:val="continuous"/>
        </w:sectPr>
      </w:pPr>
    </w:p>
    <w:bookmarkStart w:id="12" w:name="page13"/>
    <w:bookmarkEnd w:id="1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Daré Bioscience, Inc. is a purpose-driven health biotech company solely focused on closing the gap in women's health between promising science and real solutions. Daré Bioscience, Inc. and its wholly-owned subsidiaries operate in one segment. In this report, the “Company” refers collectively to Daré Bioscience, Inc. and its wholly-owned subsidiaries, unless otherwise stated or the context otherwise requires.</w:t>
      </w:r>
    </w:p>
    <w:p>
      <w:pPr>
        <w:spacing w:after="0" w:line="10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Company began assembling its diverse portfolio of assets in 2017 through acquisitions, exclusive in-licenses and other collaborations. The Company's programs target unmet needs in women's health, primarily in the areas of contraception, sexual health, pelvic pain, fertility, infectious disease, vaginal health and menopause, and aim to enhance outcomes and convenience.</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operations have historically focused on research and development activities to advance its product candidates through clinical development and regulatory approval</w:t>
      </w:r>
      <w:r>
        <w:rPr>
          <w:rFonts w:ascii="Arial" w:cs="Arial" w:eastAsia="Arial" w:hAnsi="Arial"/>
          <w:sz w:val="18"/>
          <w:szCs w:val="18"/>
          <w:i w:val="1"/>
          <w:iCs w:val="1"/>
          <w:color w:val="auto"/>
        </w:rPr>
        <w:t>.</w:t>
      </w:r>
      <w:r>
        <w:rPr>
          <w:rFonts w:ascii="Arial" w:cs="Arial" w:eastAsia="Arial" w:hAnsi="Arial"/>
          <w:sz w:val="18"/>
          <w:szCs w:val="18"/>
          <w:color w:val="auto"/>
        </w:rPr>
        <w:t xml:space="preserve"> While research and development remain an important part of the Company's strategy, the Company announced in March 2025 an expansion of its business model to include a dual-path approach to bringing new products to market. For select proprietary formulations, the Company is pursuing both traditional FDA approval and earlier market access via outsourcing facilities registered under Section 503B of the Federal Food, Drug, and Cosmetic Act (FDCA), which may compound and distribute certain drugs without patient-specific prescriptions. This dual-path approach reflects a shift in the Company’s operational priorities and resource allocation toward commercial execution, including partnerships and product distribution via Section 503B-registered outsourcing facilities and select consumer health channels. The Company uses the term "Section 503B compounding" to refer to the production and supply of compounded drugs by outsourcing facilities registered under Section 503B of the FDCA without patient-specific prescriptions in accordance with Section 503B of the FDCA. In addition to prescription-based offerings — both products approved by the U.S. Food and Drug Administration (FDA) and compounded drugs— the Company intends to bring to market select consumer health products that do not require a physician’s prescription.</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portfolio of product candidates includes drug and drug/device product candidates and potential product candidates in various stages of development, from preclinical through a Phase 3 clinical study, and will require review and approval from the FDA or a comparable foreign regulatory authority, prior to being marketed and sold.</w:t>
      </w:r>
    </w:p>
    <w:p>
      <w:pPr>
        <w:spacing w:after="0" w:line="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first FDA-approved product to emerge from the Company's portfolio is XACIATO® (clindamycin phosphate) vaginal gel 2%, or XACIATO. In 2022, the Company licensed exclusive worldwide rights to develop, manufacture and commercialize XACIATO to an affiliate of Organon &amp; Co., Organon International GmbH, or Organon. In January 2024, Organon announced that XACIATO was available nationwide in the U.S. In April 2024, the Company sold its rights to all royalty and potential milestone payments based on net sales of XACIATO under its agreement with Organon, net of its obligations to certain third parties, to XOMA (US) LLC, or XOMA, until XOMA receives a specified return on its investment, after which the Company will share equally in the royalty and milestone payments earned on net sales of XACIATO from Organon.</w:t>
      </w:r>
    </w:p>
    <w:p>
      <w:pPr>
        <w:spacing w:after="0" w:line="11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2025, or the 2025 10-K.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and the recoverability of advances to suppliers. Estimates are periodically reviewed in light of changes in circumstances, facts and experience. Actual results could differ from those estimates and could materially affect the reported amounts of assets, liabilities and future operating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Year Presentation</w:t>
      </w:r>
    </w:p>
    <w:p>
      <w:pPr>
        <w:spacing w:after="0" w:line="1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These reclassifications had no effect on the reported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March 31, 2026, the Company had cash and cash equivalents of approximately $18.5 million and working capital of approximately $0.5 million. A substantial portion of the Company's cash and cash equivalents at March 31, 2026 represented funds received under grant agreements that may be applied solely toward direct costs for the projects funded under those grant agreements, or grant-funded projects, subject to an indirect cost allowance of approximately 5% to 22%. In accordance with GAAP, grant funds received but not yet expended on direct costs for grant-funded projects and the associated indirect cost allowance are recorded both in cash and cash equivalents and in the deferred grant funding liability in the Company's condensed consolidated balance sheets. As of March 31, 2026, the Company's deferred grant funding liability was approximately $18.2 million. As the Company incurs and expenses direct costs for grant-funded projects, the deferred grant funding liability is reduced accordingly. However, the deferred grant funding liability may not always correspond directly to the amount of grant funds and the associated indirect cost allowance remaining in cash and cash equivalents. This can occur when the Company incurs direct costs for grant-funded projects in a particular period, thereby reducing its cash, but the related expense is not recognized in the same period due to timing differences under GAAP, resulting in no corresponding reduction of the deferred grant funding liability. As a result of these timing differences, when this occurs, a portion of the Company's cash and cash equivalents that has already been disbursed for grant-funded project costs continues to be reflected in the deferred grant funding liability until the related expense is recognized under GAAP. See Note 10, Grant Awards for additional information.</w:t>
      </w:r>
    </w:p>
    <w:p>
      <w:pPr>
        <w:spacing w:after="0" w:line="11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Company will require additional capital to advance the development programs in its pipeline that are not currently being supported by non-dilutive grant or other funding, to enable further investment across its entire portfolio of product candidates, and to support its operating plan. The Company is currently seeking to raise capital under its Regulation A offering (see Note 4 Stockholders' Equity) and will continue to evaluate and may pursue various other capital raising options, including sales of equity, debt financings, government or other</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grant funding, collaborations, structured financings, and commercial collaborations or other strategic transactions. The Company’s ability to obtain additional capital, including through its ongoing Regulation A offering, and the timing and terms thereof, depend on various factors, many aspects of which are not entirely within its control, and there can be no assurance that capital will be available when needed or, if available, on terms favorable to the Company and its stockholders. Raising additional capital may cause substantial dilution to the Company’s stockholders, restrict its operations or require it to relinquish rights in its technologies or product candidates and their future</w:t>
      </w:r>
    </w:p>
    <w:p>
      <w:pPr>
        <w:spacing w:after="0" w:line="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streams. If the Company cannot raise capital when needed, on favorable terms or at all, the Company will need to reevaluate its planned operations and may need to delay, scale back or eliminate some or all of its product candidate programs and/or reduce expenses.</w:t>
      </w:r>
    </w:p>
    <w:p>
      <w:pPr>
        <w:spacing w:after="0" w:line="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 history of losses from operations, net losses and negative cash flows from operations. At March 31, 2026, the Company had an accumulated deficit of approximately $191.7 million and the Company incurred a net loss of approximately $3.0 million and had negative cash flow from operations of approximately $5.5 million for the three months ended March 31, 2026. Because the Company is in the early stages of executing against its Section 503B compounding and consumer health products business strategies and, as an organization, the Company has no experience in and limited infrastructure for commercializing products, both the timing and amount of potential revenue the Company may generate remain uncertain. As a result, the Company may continue to incur significant losses from operations and negative cash flows from operations for the next several years, and may never generate sufficient revenues to finance its operations or achieve profitability. Based on the Company’s current analysis of the conditions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46" w:right="33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8"/>
          <w:szCs w:val="18"/>
          <w:color w:val="auto"/>
        </w:rPr>
        <w:t>described above, there is substantial doubt about the Company's ability to continue as a going concern within the 12 month period from the issuance date of the accompanying condensed consolidated financial statements given that the timing and amount of potential revenue the Company may generate remain uncertain. The accompanying condensed consolidated financial statements were prepared on a going concern basis, which assumes that the Company will realize its assets and satisfy its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Operating segments are defined as components of an enterprise about which discrete financial information is available for evaluation by the Chief Operating Decision Maker, or CODM, or decision-making group in making decisions on how to allocate resources and assess performance. The Company's CODM is the Chief Executive Officer, or CEO. The CEO views the Company's operations and manages its business as one reportable and operating segment, Women's Health. See Note 12, Segment Information,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significant accounting policies are described in Note 2 to the consolidated financial statements included in the 2025 10-K. Since the date on which the 2025 10-K was filed with the U.S. Securities and Exchange Commission, or the SEC, there have been no material changes to the Company’s significant accounting policies except as described below.</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Research and Development Services Revenue. </w:t>
      </w:r>
      <w:r>
        <w:rPr>
          <w:rFonts w:ascii="Arial" w:cs="Arial" w:eastAsia="Arial" w:hAnsi="Arial"/>
          <w:sz w:val="18"/>
          <w:szCs w:val="18"/>
          <w:color w:val="auto"/>
        </w:rPr>
        <w:t>In September and October 2025, the Company entered into two separate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the Gates Foundation (the "Foundation") (collectively, "Foundation Services Agreements"): (i) a Preeclampsia Project Support and Mentorship Agreement (the "Preeclampsia Agreement"), under which the Company may receive up to approximately $499,000, and (ii) a Contraceptive Landscape Review Agreement (the "Contraceptive Landscape Review Agreement"), under which the Company may receive up to approximately $300,000. The Foundation Services Agreements are accounted for as contracts with a customer under FASB Accounting Standards Codification ("ASC") 606, as each represents an exchange transaction in which the Foundation obtains services that directly benefit the Foundation, and for which the Foundation is the sole owner of all deliverables produced in exchange for consideration. The work under both agreements commenced in November 2025.</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recognizes revenue from the Foundation Services Agreements when, or as, the related performance obligations are satisfied. Under the Preeclampsia Agreement, the Company provides ongoing project management, technical guidance, and mentorship services, and under the Contraceptive Landscape Review Agreement, the Company is engaged to perform an assessment of certain organizations with capabilities in contraceptives. In both cases, the transaction price is variable, based on actual hours incurred by designated personnel multiplied by agreed upon billing rates, and is recognized over time in the period in which the services are performed. Both contracts are rolling 30-day contracts and the Company invoices the Foundation in arrears on a monthly basis. To date, the Company has recognized approximately $0.2 million in research and development services revenue related to the Foundation Services Agreements.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From time to time, the Company makes unsecured advances to certain suppliers, specifically, the Section 503B-registered outsourcing facilities engaged to manufacture and distribute the Company's Section 503B products. These advances are generally non-interest bearing and are expected to be repaid to the Company through discounts applied to future manufacturing costs or through direct cash payments. Such advances are classified in the condensed consolidated balance sheets based on the estimated repayment period. Amounts expected to be recovered within one year are classified as other receivables, while amounts expected to be recovered beyond one year are classified within other non-current assets. Repayment periods for outstanding advances currently range from two to four years. As of March 31, 2026, total outstanding advances were approximately $1.8 million, consisting of $0.4 million classified as other receivables and $1.4 million classified within other non-current assets. As of </w:t>
      </w:r>
      <w:r>
        <w:rPr>
          <w:rFonts w:ascii="Arial" w:cs="Arial" w:eastAsia="Arial" w:hAnsi="Arial"/>
          <w:sz w:val="18"/>
          <w:szCs w:val="18"/>
          <w:color w:val="191C1F"/>
        </w:rPr>
        <w:t>December 31, 2025</w:t>
      </w:r>
      <w:r>
        <w:rPr>
          <w:rFonts w:ascii="Arial" w:cs="Arial" w:eastAsia="Arial" w:hAnsi="Arial"/>
          <w:sz w:val="18"/>
          <w:szCs w:val="18"/>
          <w:color w:val="auto"/>
        </w:rPr>
        <w:t>, total outstanding advances were approximately $0.4 million, all of which were classified as other receivables. The Company evaluates advances for impairment each reporting period. An advance is considered impaired when, based on current information and events, it is probable that the Company will be unable to collect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17" w:right="339" w:bottom="1440" w:gutter="0" w:footer="0" w:header="0"/>
        </w:sectPr>
      </w:pPr>
    </w:p>
    <w:bookmarkStart w:id="16" w:name="page17"/>
    <w:bookmarkEnd w:id="16"/>
    <w:p>
      <w:pPr>
        <w:jc w:val="both"/>
        <w:spacing w:after="0" w:line="287" w:lineRule="auto"/>
        <w:rPr>
          <w:sz w:val="20"/>
          <w:szCs w:val="20"/>
          <w:color w:val="auto"/>
        </w:rPr>
      </w:pPr>
      <w:r>
        <w:rPr>
          <w:rFonts w:ascii="Arial" w:cs="Arial" w:eastAsia="Arial" w:hAnsi="Arial"/>
          <w:sz w:val="18"/>
          <w:szCs w:val="18"/>
          <w:color w:val="auto"/>
        </w:rPr>
        <w:t>amounts due. As of March 31, 2026, the Company determined that all outstanding advances are probable of full recovery and, accordingly, no impairment has been recognized.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Significant Accounting Policies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6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62" w:lineRule="exact"/>
        <w:rPr>
          <w:rFonts w:ascii="Arial" w:cs="Arial" w:eastAsia="Arial" w:hAnsi="Arial"/>
          <w:sz w:val="18"/>
          <w:szCs w:val="18"/>
          <w:color w:val="auto"/>
        </w:rPr>
      </w:pPr>
    </w:p>
    <w:p>
      <w:pPr>
        <w:ind w:left="980" w:right="20" w:hanging="324"/>
        <w:spacing w:after="0" w:line="28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2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191C1F"/>
        </w:rPr>
        <w:t>following tables present the classification within the fair value hierarchy of financial assets and liabilities that are remeasured on</w:t>
      </w:r>
      <w:r>
        <w:rPr>
          <w:rFonts w:ascii="Arial" w:cs="Arial" w:eastAsia="Arial" w:hAnsi="Arial"/>
          <w:sz w:val="18"/>
          <w:szCs w:val="18"/>
          <w:color w:val="auto"/>
        </w:rPr>
        <w:t xml:space="preserve"> </w:t>
      </w:r>
      <w:r>
        <w:rPr>
          <w:rFonts w:ascii="Arial" w:cs="Arial" w:eastAsia="Arial" w:hAnsi="Arial"/>
          <w:sz w:val="18"/>
          <w:szCs w:val="18"/>
          <w:color w:val="191C1F"/>
        </w:rPr>
        <w:t>a recurring basis as of March 31, 2026 and December 31, 2025. There were no financial assets or liabilities that were remeasured using other observable inputs (Level 2) or using unobservable inputs (Level 3) as of March 31, 2026 or December 31, 2025.</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Fair Value Measurements</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2026</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18,158,053</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18,158,053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at December 31, 2025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200" w:type="dxa"/>
            <w:vAlign w:val="bottom"/>
          </w:tcPr>
          <w:p>
            <w:pPr>
              <w:ind w:left="20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24,356,333</w:t>
            </w:r>
          </w:p>
        </w:tc>
        <w:tc>
          <w:tcPr>
            <w:tcW w:w="220" w:type="dxa"/>
            <w:vAlign w:val="bottom"/>
          </w:tcPr>
          <w:p>
            <w:pPr>
              <w:spacing w:after="0"/>
              <w:rPr>
                <w:sz w:val="24"/>
                <w:szCs w:val="24"/>
                <w:color w:val="auto"/>
              </w:rPr>
            </w:pP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24,356,333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60" w:hanging="171"/>
        <w:spacing w:after="0" w:line="223" w:lineRule="auto"/>
        <w:tabs>
          <w:tab w:leader="none" w:pos="46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Represents cash held in money market funds.</w:t>
      </w:r>
    </w:p>
    <w:p>
      <w:pPr>
        <w:spacing w:after="0" w:line="3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carrying amounts of all prepaid expenses and other current assets, accounts payable and accrued liabilities are considered to be representative of their respective fair values because of the short-term nature of those instruments. In addition, the carrying value of the liability related to the sale of future royalties approximates its fair value as of </w:t>
      </w:r>
      <w:r>
        <w:rPr>
          <w:rFonts w:ascii="Arial" w:cs="Arial" w:eastAsia="Arial" w:hAnsi="Arial"/>
          <w:sz w:val="18"/>
          <w:szCs w:val="18"/>
          <w:color w:val="191C1F"/>
        </w:rPr>
        <w:t>March 31, 2026</w:t>
      </w:r>
      <w:r>
        <w:rPr>
          <w:rFonts w:ascii="Arial" w:cs="Arial" w:eastAsia="Arial" w:hAnsi="Arial"/>
          <w:sz w:val="18"/>
          <w:szCs w:val="18"/>
          <w:color w:val="auto"/>
        </w:rPr>
        <w:t>, and is based on the Company’s current estimate of future royalties expected to be earned over the estimated life of the royalty interest financing arrangement. See Note 7 for the description of the Level 3 inputs used to estimate the carrying value of the liability.</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considers cash and all highly liquid investments with an original maturity of three months or less to be cash and cash equivalents. The Company has an aggregate of approximately $0.3 million in restricted cash as of March 31, 2026,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condensed consolidated balance sheet.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In December 2025, the FASB issued ASU 2025-11, </w:t>
      </w:r>
      <w:r>
        <w:rPr>
          <w:rFonts w:ascii="Arial" w:cs="Arial" w:eastAsia="Arial" w:hAnsi="Arial"/>
          <w:sz w:val="18"/>
          <w:szCs w:val="18"/>
          <w:i w:val="1"/>
          <w:iCs w:val="1"/>
          <w:color w:val="auto"/>
        </w:rPr>
        <w:t>Interim Reporting (Topic 270): Narrow-Scope Improvements</w:t>
      </w:r>
      <w:r>
        <w:rPr>
          <w:rFonts w:ascii="Arial" w:cs="Arial" w:eastAsia="Arial" w:hAnsi="Arial"/>
          <w:sz w:val="18"/>
          <w:szCs w:val="18"/>
          <w:color w:val="auto"/>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69" w:right="3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8"/>
          <w:szCs w:val="18"/>
          <w:color w:val="auto"/>
        </w:rPr>
        <w:t>ASU 2025-11 is effective for fiscal years beginning after December 15, 2027, including interim periods within those fiscal years, with early adoption permitted. The Company is currently evaluating the impact of adopting ASU 2025-11 on its consolidated financial statements and related disclosures.</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December 2025, the FASB issued ASU 2025-10, </w:t>
      </w:r>
      <w:r>
        <w:rPr>
          <w:rFonts w:ascii="Arial" w:cs="Arial" w:eastAsia="Arial" w:hAnsi="Arial"/>
          <w:sz w:val="18"/>
          <w:szCs w:val="18"/>
          <w:i w:val="1"/>
          <w:iCs w:val="1"/>
          <w:color w:val="auto"/>
        </w:rPr>
        <w:t>Government Grants (Topic 832): Accounting for Government Grants Received</w:t>
      </w:r>
      <w:r>
        <w:rPr>
          <w:rFonts w:ascii="Arial" w:cs="Arial" w:eastAsia="Arial" w:hAnsi="Arial"/>
          <w:sz w:val="18"/>
          <w:szCs w:val="18"/>
          <w:color w:val="auto"/>
        </w:rPr>
        <w:t xml:space="preserve"> </w:t>
      </w:r>
      <w:r>
        <w:rPr>
          <w:rFonts w:ascii="Arial" w:cs="Arial" w:eastAsia="Arial" w:hAnsi="Arial"/>
          <w:sz w:val="18"/>
          <w:szCs w:val="18"/>
          <w:i w:val="1"/>
          <w:iCs w:val="1"/>
          <w:color w:val="auto"/>
        </w:rPr>
        <w:t>by Business Entities</w:t>
      </w:r>
      <w:r>
        <w:rPr>
          <w:rFonts w:ascii="Arial" w:cs="Arial" w:eastAsia="Arial" w:hAnsi="Arial"/>
          <w:sz w:val="18"/>
          <w:szCs w:val="18"/>
          <w:color w:val="auto"/>
        </w:rPr>
        <w:t>, which establishes authoritative guidance on the recognition, measurement, presentation, and disclosure of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 on its consolidated financial statements and related disclosures.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Targeted Improvements to the Accounting for Internal Use Software</w:t>
      </w:r>
      <w:r>
        <w:rPr>
          <w:rFonts w:ascii="Arial" w:cs="Arial" w:eastAsia="Arial" w:hAnsi="Arial"/>
          <w:sz w:val="18"/>
          <w:szCs w:val="18"/>
          <w:color w:val="auto"/>
        </w:rPr>
        <w:t>, which modernizes the accounting guidance for costs associated with developing or obtaining internal-use software. The ASU eliminates the previous stage-based model (preliminary project stage, application development stage, and post-implementation-stage) and replaces it with a principles-based approach that better aligns with modern software development practices, including agile and iterative methodologies. Under the new guidance, companies may begin to capitalize internal-use software development costs when (1) management has authorized and committed to funding the project, and (2) it is probable that the project will be completed and the software will be used as intended. The ASU also supersedes the separate guidance on website development costs and incorporates it into the internal-use software framework. This guidance is effective for annual reporting periods beginning after December 15, 2027, and interim reporting periods within those annual reporting periods. Early adoption is permitted. The Company is evaluating the impact of adopting ASU 2025-06 on its consolidated financial statements and related disclosures.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ASU 2024-03 requires new financial statement disclosures in tabular format, disaggregating information about prescribed categories underlying any relevant income statement expense captions. Additionally, in January 2025, the FASB issued ASU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is assessing the guidance, noting the adoption impacts disclosure only.</w:t>
      </w:r>
    </w:p>
    <w:p>
      <w:pPr>
        <w:spacing w:after="0" w:line="1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statements.</w:t>
      </w:r>
    </w:p>
    <w:p>
      <w:pPr>
        <w:spacing w:after="0" w:line="261"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STRATEGIC AGREEMENTS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Agreements for Product Commercialization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Organon Exclusive License Agreement</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In 2022, the Company entered into an exclusive license agreement with Organon, whereby Organon licensed exclusive worldwide rights to develop, manufacture and commercialize XACIATO and other future intravaginal or urological products for human use formulated with clindamycin that rely on intellectual property controlled by the Company. As of </w:t>
      </w:r>
      <w:r>
        <w:rPr>
          <w:rFonts w:ascii="Arial" w:cs="Arial" w:eastAsia="Arial" w:hAnsi="Arial"/>
          <w:sz w:val="18"/>
          <w:szCs w:val="18"/>
          <w:color w:val="191C1F"/>
        </w:rPr>
        <w:t>March 31, 2026</w:t>
      </w:r>
      <w:r>
        <w:rPr>
          <w:rFonts w:ascii="Arial" w:cs="Arial" w:eastAsia="Arial" w:hAnsi="Arial"/>
          <w:sz w:val="18"/>
          <w:szCs w:val="18"/>
          <w:color w:val="auto"/>
        </w:rPr>
        <w:t>, the Company has received a total of $12.8 million in non-refundable payments, all of which have been recorded as license fee revenue in historical periods.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44" w:right="339" w:bottom="1440" w:gutter="0" w:footer="0" w:header="0"/>
        </w:sectPr>
      </w:pPr>
    </w:p>
    <w:bookmarkStart w:id="18" w:name="page19"/>
    <w:bookmarkEnd w:id="18"/>
    <w:p>
      <w:pPr>
        <w:jc w:val="both"/>
        <w:ind w:firstLine="648"/>
        <w:spacing w:after="0" w:line="256" w:lineRule="auto"/>
        <w:rPr>
          <w:sz w:val="20"/>
          <w:szCs w:val="20"/>
          <w:color w:val="auto"/>
        </w:rPr>
      </w:pPr>
      <w:r>
        <w:rPr>
          <w:rFonts w:ascii="Arial" w:cs="Arial" w:eastAsia="Arial" w:hAnsi="Arial"/>
          <w:sz w:val="18"/>
          <w:szCs w:val="18"/>
          <w:color w:val="auto"/>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As a result of a $1.0 million payment in connection with the license agreement amendment and a $1.8 million milestone payment, both of which occurred in 2023, the transaction price was $12.8 million as of March 31, 2026.</w:t>
      </w:r>
    </w:p>
    <w:p>
      <w:pPr>
        <w:spacing w:after="0" w:line="1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Generally, because sales-based payments are required to be paid more than 45 days after the end of each quarter, other than with respect to the fourth quarter, the Company estimates sales-based payments it will recognize for a particular quarter based on an analysis of historical experience and the Company's estimated gross sales and customary deductions for the applicable quarter. To date, it has been challenging for the Company to accurately estimate the amount of the sales-based payments for a particular quarter due to limited historical information available to the Company to inform such estimates. Differences between actual and estimated sales-based payments will be adjusted for in the quarter in which the actual amount becomes known, which is generally expected to be the following quarter.</w:t>
      </w:r>
    </w:p>
    <w:p>
      <w:pPr>
        <w:spacing w:after="0" w:line="1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Refer to Note 8, Royalty Purchase Agreements, regarding the Company's sale to XOMA of all the Company's right, title and interest in and to, from and after April 1, 2024, all net royalty and potential net milestone payments from Organon based on net sales of XACIATO.</w:t>
      </w:r>
    </w:p>
    <w:p>
      <w:pPr>
        <w:spacing w:after="0" w:line="1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Bayer HealthCare License Agreement</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January 2020, the Company entered into a license agreement with Bayer, regarding the further development and commercialization of Ovaprene in the U.S. In November 2025, the Company received notice from Bayer that it was terminating the license agreement. The Company and Bayer mutually agreed to terminate the agreement effective as of December 2, 2025.</w:t>
      </w:r>
    </w:p>
    <w:p>
      <w:pPr>
        <w:spacing w:after="0" w:line="13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connection with entering into the license agreement, the Company received a $1.0 million upfront non-refundable license fee payment from Bayer, which was recorded as license revenue when the agreement terminated. See Note 2, Basis of Presentation and Summary of Significant Accounting Policies – Revenue Recognition—Bayer License, to our consolidated financial statements contained in the 2025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Agreements for Pipeline Development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Theramex Co-Development and Licensing Agreement</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2025, the Company entered into a co-development and licensing agreement with Theramex for a potential first-in-category biodegradable contraceptive implant called Casea S recently acquired by Theramex. Under the agreement, the Company received a royalty-free, exclusive, fully paid up, sublicensable license to the U.S. patents Theramex recently acquired for Casea S. The license fee paid by the Company during the first quarter of 2025 was recorded as research and development expense. Given that the product is in an ongoing Phase 1 study funded by a grant, there are no development costs for the Company or Theramex at this time. If the Company determines that the results from the study are positive, it would be responsible for conducting a Phase II study in the U.S., and funding for such study and for a future Phase III study in the U.S. will be shared by the Company and Theramex on terms to be agreed upon by the parties, taking into account the size of the opportunity for Casea S in the respective markets.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Douglas License Agreement / The University of Manchester Stand-by Direct License Arrangement</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and other HPV-related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44"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As a result of this license, the Company commenced its DARE-HPV program. The Company is entitled to sublicense the rights granted to it under the agreement.</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 subject to specified limitations. Additionally, Douglas is eligible to receive tiered royalties in low single-digit to low double-digit percentages based on annual net sales of products and processes covered by the licenses granted under the agreement. As of March 31, 2026, no payments had been made under the Douglas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Hennepin License Agreement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w:t>
      </w:r>
    </w:p>
    <w:p>
      <w:pPr>
        <w:jc w:val="both"/>
        <w:spacing w:after="0" w:line="276" w:lineRule="auto"/>
        <w:rPr>
          <w:sz w:val="20"/>
          <w:szCs w:val="20"/>
          <w:color w:val="auto"/>
        </w:rPr>
      </w:pPr>
      <w:r>
        <w:rPr>
          <w:rFonts w:ascii="Arial" w:cs="Arial" w:eastAsia="Arial" w:hAnsi="Arial"/>
          <w:sz w:val="18"/>
          <w:szCs w:val="18"/>
          <w:color w:val="auto"/>
        </w:rPr>
        <w:t>Company’s sole discretion, in cash or shares of the Company’s common stock. Additionally, Hennepin is eligible to receive tiered royalties in low single-digit to low double-digit percentages based on worldwide net sales of products and processes covered by the licenses granted under the agreement. As of March 31, 2026, no payments have been made under this agreement.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MBI Acquisition</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November 2019, the Company acquired Dare MB Inc., or MBI, to secure the rights to develop a long-acting reversible contraception method, that a woman can turn on or off herself, according to her own needs. This candidate is now known as DARE-LARC1 and the drug delivery technology underlying DARE-LARC1 is now known as the Company's intelligent drug delivery system platform, DARE-IDDS.</w:t>
      </w:r>
    </w:p>
    <w:p>
      <w:pPr>
        <w:spacing w:after="0" w:line="1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w:t>
      </w:r>
    </w:p>
    <w:p>
      <w:pPr>
        <w:spacing w:after="0" w:line="1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2021, a total of $1.25 million of the contingent consideration became payable, $75,000 of which was paid in cash and the balance of which was paid in shares of the Company's common stock, as permitted by the terms of the merger agreement. As of March 31, 2026, no additional payments have been made under this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TriLogic and MilanaPharm License Agreement / Hammock Assignment Agreement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44" w:right="3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2022, the Company entered into a Consent, Waiver and Stand-By License Agreement with TriLogic, MilanaPharm and Organon, which further amended the License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had been paid as of March 31, 2026.</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Pear Tree Acquisition</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spacing w:after="0" w:line="14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As of March 31, 2026, no payments have been made under this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Catalent JNP License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44" w:right="33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8"/>
          <w:szCs w:val="18"/>
          <w:color w:val="auto"/>
        </w:rPr>
        <w:t>have imported products and processes. As a result of this license agreement, the Company commenced its DARE-HRT1, DARE-FRT1 and DARE-PTB1 programs. The Company is entitled to sublicense the rights granted to it under this agreement.</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had been paid as of March 31, 2026;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As of March 31, 2026, no such payments have been made under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Adare Development and Option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SST License and Collaboration Agreement</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 -digit to mid double-digits subject to customary royalty reductions and offsets, and a percentage of sublicense revenue. As of March 31, 2026, $1.0 million has been paid under this agreement, which was paid in February 2025.</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ADVA-Tec License Agreement</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March 2017, the Company entered into a license agreement with ADVA-Tec, Inc., or ADVA-Tec, under which the Company was granted the exclusive right to develop and commercialize Ovaprene for human contraceptive use worldwide.</w:t>
      </w:r>
    </w:p>
    <w:p>
      <w:pPr>
        <w:spacing w:after="0" w:line="1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Under the terms of the license agreement, the Company will pay ADVA-Tec (a) up to $14.6 million in the aggregate based on the achievement of specified development and regulatory milestones, and (b) up to $20.0 million in the aggregate based on the achievement of certain worldwide net sales milestones. As of March 31, 2026, $1.2 million in milestone payments have been paid, all of which were made prior to the periods presented in these condensed consolidated financial statements.</w:t>
      </w:r>
    </w:p>
    <w:p>
      <w:pPr>
        <w:spacing w:after="0" w:line="1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44" w:right="339" w:bottom="1440" w:gutter="0" w:footer="0" w:header="0"/>
        </w:sectPr>
      </w:pPr>
    </w:p>
    <w:bookmarkStart w:id="22" w:name="page23"/>
    <w:bookmarkEnd w:id="22"/>
    <w:p>
      <w:pPr>
        <w:jc w:val="both"/>
        <w:ind w:firstLine="648"/>
        <w:spacing w:after="0" w:line="262" w:lineRule="auto"/>
        <w:rPr>
          <w:sz w:val="20"/>
          <w:szCs w:val="20"/>
          <w:color w:val="auto"/>
        </w:rPr>
      </w:pPr>
      <w:r>
        <w:rPr>
          <w:rFonts w:ascii="Arial" w:cs="Arial" w:eastAsia="Arial" w:hAnsi="Arial"/>
          <w:sz w:val="18"/>
          <w:szCs w:val="18"/>
          <w:color w:val="auto"/>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w:t>
      </w:r>
    </w:p>
    <w:p>
      <w:pPr>
        <w:spacing w:after="0" w:line="28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21, 2024,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shares of the Company’s common stock. Sales of such shares by the Company, if any, are subject to certain limitations, and may occur from time to time, at the Company’s sole discretion, over the 24-month period commencing on November 27, 2024, which is referred to as the "Commencement Date."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From time to time after the Commencement Date, at the Company’s sole discretion, on any business day selected by the Company on which the closing sale price of the Company’s common stock is not below $0.50 per share, the Company may direct Lincoln Park to purchase up to 30,000 shares of the Company’s common stock (or up to 35,000 and 40,000 shares if the closing sale price of the Company’s common stock on the day on which the Company initiates a purchase is not below $5.00 or $ 7.50, respectively, subject to customary adjustments for stock splits and similar transactions) at a purchase price equal to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However, Lincoln Park’s maximum commitment in any single purchase may not exceed $500,000. In addition,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under applicable Nasdaq rules, the Company may not issue or sell to Lincoln Park under the purchase agreement more than 1,711,172 shares of the Company’s common stock, which is referred to as the Exchange Cap, unless (i) the Company obtains stockholder approval to issue shares in excess of the Exchange Cap or (ii) the average price of all applicable sales of the Company’s common stock to Lincoln Park under the purchase agreement equals or exceeds $3.59 per share (which represents the lower of (A) the official closing price per share of the Company’s common stock on Nasdaq immediately preceding the signing of the purchase agreement and (B) the average official closing price of the Company’s common stock on Nasdaq for the five consecutive trading days ending on the trading day immediately preceding the date of the purchase agreement). At its 2026 annual meeting of stockholders, the Company will be seeking stockholder approval to issue shares in excess of the Exchange Cap. The Company may also not sell shares to Lincoln Park under the purchase agreement if it would result in Lincoln Park beneficially owning more than 4.99% of the Company’s then outstanding shares of common stock, which limitation is referred to as the beneficial ownership cap. Lincoln Park, upon written notice to the Company, may increase the beneficial ownership cap to up to 9.99%. Any increase in the beneficial ownership cap will not be effective until the 61st day after such written notice is delivered to the Company.</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connection with entering into the purchase agreement, the Company issued 137,614 shares of its common stock to Lincoln Park in consideration for its commitment to purchase shares thereunder.</w:t>
      </w:r>
    </w:p>
    <w:p>
      <w:pPr>
        <w:spacing w:after="0" w:line="1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During the three months ended March 31, 2026 and 2025, the Company sold 60,000 and 150,000 shares of common stock, respectively, under this agreement for net proceeds of approximately $0.1 million and $0.4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2023 ATM Sales Agreement</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the agreement or such lower amount as the Company and Stifel and Cantor agree, plus certain legal expenses. In April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44" w:right="33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8"/>
          <w:szCs w:val="18"/>
          <w:color w:val="auto"/>
        </w:rPr>
        <w:t>2024, the Company and Cantor mutually agreed to terminate the sales agreement with respect to Cantor. The Company sold no shares of common stock under this agreement during either of the three months ended March 31, 2026 or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warrants outstanding as of March 31, 2026, are exercisable into 1,399,851 shares of common stock which shares had a fair value of $1.82 per share, based on the closing market price of the Company's common stock on March 31, 2026. The aggregate intrinsic value of warrants outstanding as of March 31, 2026, is calculated as the difference between the exercise price of the warrants and the closing market price of the Company's common stock on that date. The intrinsic value of warrants outstanding as of March 31, 2026, was zero. The Company has performed an assessment of all warrants issued and determined that the Company's warrants are equity-classified.</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common stock warrants outstanding as of March 31, 2026 and December 31, 2025 is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360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Quantity of Warrants Outstanding as of</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Expiration Date</w:t>
            </w:r>
          </w:p>
        </w:tc>
      </w:tr>
      <w:tr>
        <w:trPr>
          <w:trHeight w:val="30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Initial Royalty Warrant </w:t>
            </w:r>
            <w:r>
              <w:rPr>
                <w:rFonts w:ascii="Arial" w:cs="Arial" w:eastAsia="Arial" w:hAnsi="Arial"/>
                <w:sz w:val="23"/>
                <w:szCs w:val="23"/>
                <w:color w:val="auto"/>
                <w:vertAlign w:val="superscript"/>
              </w:rPr>
              <w:t>(1)*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422,804</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422,804</w:t>
            </w:r>
          </w:p>
        </w:tc>
        <w:tc>
          <w:tcPr>
            <w:tcW w:w="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12/22/2028</w:t>
            </w:r>
          </w:p>
        </w:tc>
      </w:tr>
      <w:tr>
        <w:trPr>
          <w:trHeight w:val="324"/>
        </w:trPr>
        <w:tc>
          <w:tcPr>
            <w:tcW w:w="4860" w:type="dxa"/>
            <w:vAlign w:val="bottom"/>
          </w:tcPr>
          <w:p>
            <w:pPr>
              <w:ind w:left="20"/>
              <w:spacing w:after="0"/>
              <w:rPr>
                <w:sz w:val="20"/>
                <w:szCs w:val="20"/>
                <w:color w:val="auto"/>
              </w:rPr>
            </w:pPr>
            <w:r>
              <w:rPr>
                <w:rFonts w:ascii="Arial" w:cs="Arial" w:eastAsia="Arial" w:hAnsi="Arial"/>
                <w:sz w:val="18"/>
                <w:szCs w:val="18"/>
                <w:color w:val="auto"/>
              </w:rPr>
              <w:t xml:space="preserve">September 2023 Warrants </w:t>
            </w:r>
            <w:r>
              <w:rPr>
                <w:rFonts w:ascii="Arial" w:cs="Arial" w:eastAsia="Arial" w:hAnsi="Arial"/>
                <w:sz w:val="23"/>
                <w:szCs w:val="23"/>
                <w:color w:val="auto"/>
                <w:vertAlign w:val="superscript"/>
              </w:rPr>
              <w:t>(2)*</w:t>
            </w:r>
          </w:p>
        </w:tc>
        <w:tc>
          <w:tcPr>
            <w:tcW w:w="1700" w:type="dxa"/>
            <w:vAlign w:val="bottom"/>
          </w:tcPr>
          <w:p>
            <w:pPr>
              <w:jc w:val="right"/>
              <w:spacing w:after="0"/>
              <w:rPr>
                <w:sz w:val="20"/>
                <w:szCs w:val="20"/>
                <w:color w:val="auto"/>
              </w:rPr>
            </w:pPr>
            <w:r>
              <w:rPr>
                <w:rFonts w:ascii="Arial" w:cs="Arial" w:eastAsia="Arial" w:hAnsi="Arial"/>
                <w:sz w:val="18"/>
                <w:szCs w:val="18"/>
                <w:color w:val="auto"/>
              </w:rPr>
              <w:t>845,225</w:t>
            </w: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845,225</w:t>
            </w: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3/1/2029</w:t>
            </w:r>
          </w:p>
        </w:tc>
      </w:tr>
      <w:tr>
        <w:trPr>
          <w:trHeight w:val="3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October 2016 Warrants </w:t>
            </w:r>
            <w:r>
              <w:rPr>
                <w:rFonts w:ascii="Arial" w:cs="Arial" w:eastAsia="Arial" w:hAnsi="Arial"/>
                <w:sz w:val="23"/>
                <w:szCs w:val="23"/>
                <w:color w:val="auto"/>
                <w:vertAlign w:val="superscript"/>
              </w:rPr>
              <w:t>(3)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10/4/2026</w:t>
            </w:r>
          </w:p>
        </w:tc>
      </w:tr>
      <w:tr>
        <w:trPr>
          <w:trHeight w:val="324"/>
        </w:trPr>
        <w:tc>
          <w:tcPr>
            <w:tcW w:w="4860" w:type="dxa"/>
            <w:vAlign w:val="bottom"/>
          </w:tcPr>
          <w:p>
            <w:pPr>
              <w:ind w:left="20"/>
              <w:spacing w:after="0"/>
              <w:rPr>
                <w:sz w:val="20"/>
                <w:szCs w:val="20"/>
                <w:color w:val="auto"/>
              </w:rPr>
            </w:pPr>
            <w:r>
              <w:rPr>
                <w:rFonts w:ascii="Arial" w:cs="Arial" w:eastAsia="Arial" w:hAnsi="Arial"/>
                <w:sz w:val="18"/>
                <w:szCs w:val="18"/>
                <w:color w:val="auto"/>
              </w:rPr>
              <w:t xml:space="preserve">Regulation A Offering Investor Warrants </w:t>
            </w:r>
            <w:r>
              <w:rPr>
                <w:rFonts w:ascii="Arial" w:cs="Arial" w:eastAsia="Arial" w:hAnsi="Arial"/>
                <w:sz w:val="23"/>
                <w:szCs w:val="23"/>
                <w:color w:val="auto"/>
                <w:vertAlign w:val="superscript"/>
              </w:rPr>
              <w:t>(4)</w:t>
            </w:r>
          </w:p>
        </w:tc>
        <w:tc>
          <w:tcPr>
            <w:tcW w:w="1700" w:type="dxa"/>
            <w:vAlign w:val="bottom"/>
          </w:tcPr>
          <w:p>
            <w:pPr>
              <w:jc w:val="right"/>
              <w:spacing w:after="0"/>
              <w:rPr>
                <w:sz w:val="20"/>
                <w:szCs w:val="20"/>
                <w:color w:val="auto"/>
              </w:rPr>
            </w:pPr>
            <w:r>
              <w:rPr>
                <w:rFonts w:ascii="Arial" w:cs="Arial" w:eastAsia="Arial" w:hAnsi="Arial"/>
                <w:sz w:val="18"/>
                <w:szCs w:val="18"/>
                <w:color w:val="auto"/>
              </w:rPr>
              <w:t>131,280</w:t>
            </w: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4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Warrants Outstanding</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1,399,851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1,268,571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ind w:left="200" w:hanging="174"/>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Refers to a warrant issued in connection with entering into the royalty interest financing agreement with UiE.</w:t>
      </w:r>
    </w:p>
    <w:p>
      <w:pPr>
        <w:spacing w:after="0" w:line="230" w:lineRule="exact"/>
        <w:rPr>
          <w:rFonts w:ascii="Arial" w:cs="Arial" w:eastAsia="Arial" w:hAnsi="Arial"/>
          <w:sz w:val="14"/>
          <w:szCs w:val="14"/>
          <w:color w:val="auto"/>
        </w:rPr>
      </w:pPr>
    </w:p>
    <w:p>
      <w:pPr>
        <w:ind w:left="200" w:hanging="174"/>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Refers to the warrants issued in connection with a registered direct offering the Company completed in September 2023.</w:t>
      </w:r>
    </w:p>
    <w:p>
      <w:pPr>
        <w:spacing w:after="0" w:line="230" w:lineRule="exact"/>
        <w:rPr>
          <w:rFonts w:ascii="Arial" w:cs="Arial" w:eastAsia="Arial" w:hAnsi="Arial"/>
          <w:sz w:val="14"/>
          <w:szCs w:val="14"/>
          <w:color w:val="auto"/>
        </w:rPr>
      </w:pPr>
    </w:p>
    <w:p>
      <w:pPr>
        <w:ind w:left="200" w:hanging="174"/>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Refers to a warrant issued in October 2016 to a former financial advisor.</w:t>
      </w:r>
    </w:p>
    <w:p>
      <w:pPr>
        <w:spacing w:after="0" w:line="217" w:lineRule="exact"/>
        <w:rPr>
          <w:rFonts w:ascii="Arial" w:cs="Arial" w:eastAsia="Arial" w:hAnsi="Arial"/>
          <w:sz w:val="14"/>
          <w:szCs w:val="14"/>
          <w:color w:val="auto"/>
        </w:rPr>
      </w:pPr>
    </w:p>
    <w:p>
      <w:pPr>
        <w:ind w:left="200" w:hanging="174"/>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Refers to warrants issued to investors in the Regulation A Offering. Such warrants have expiration dates ranging from 1/27/29 to 3/16/29.</w:t>
      </w:r>
    </w:p>
    <w:p>
      <w:pPr>
        <w:spacing w:after="0" w:line="231" w:lineRule="exact"/>
        <w:rPr>
          <w:sz w:val="20"/>
          <w:szCs w:val="20"/>
          <w:color w:val="auto"/>
        </w:rPr>
      </w:pPr>
    </w:p>
    <w:p>
      <w:pPr>
        <w:ind w:left="20" w:right="60" w:firstLine="6"/>
        <w:spacing w:after="0" w:line="235" w:lineRule="auto"/>
        <w:tabs>
          <w:tab w:leader="none" w:pos="1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warrant includes certain rights in favor of the holder upon a "fundamental transaction" as described in the warrant, including the right of the holder to receive from the Company or the successor entity an amount of cash equal to the Black-Scholes value (as described in the warrants) of the unexercised portion of the warrant on the date of the consummation of such fundamental transaction.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83"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On January 23, 2026, the Company filed a certificate of designation with the Delaware Secretary of State pursuant to which 4,999,620 shares of the Company’s preferred stock, $0.01 par value per share, was designated as Series A Convertible Preferred Stock (the “Series A Preferred Stock”).</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Series A Preferred Stock ranks, as to rights upon liquidation, dissolution, or winding up, senior to the Company’s common stock. Each share of the Series A Preferred Stock has a stated value and liquidation preference of $5.00, in each case, subject to customary adjustments in the event of stock dividends, stock splits, reorganizations or similar events affecting the Series A Preferred Stock. Except as required by law, the Series A Preferred Stock has no voting rights. The Series A Preferred Stock is convertible at the holder's option into shares of the Company’s common stock at a conversion price of $2.50 per share, subject to customary adjustments in the event of stock dividends, stock splits, reorganizations or similar events affecting the Series A Preferred Stock. The Company has the right to require all or any portion of the Series A Preferred Stock to convert into shares of the Company’s common stock: (a) in the event of a change in control,</w:t>
      </w:r>
    </w:p>
    <w:p>
      <w:pPr>
        <w:spacing w:after="0" w:line="3" w:lineRule="exact"/>
        <w:rPr>
          <w:sz w:val="20"/>
          <w:szCs w:val="20"/>
          <w:color w:val="auto"/>
        </w:rPr>
      </w:pPr>
    </w:p>
    <w:p>
      <w:pPr>
        <w:jc w:val="both"/>
        <w:ind w:firstLine="8"/>
        <w:spacing w:after="0" w:line="261"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closing price of the Company’s common stock is at or above $4.50 per share, subject to customary adjustments in the event of stock dividends, stock splits, reorganizations or similar events, for any 10 trading days out of any 30 consecutive trading day period, or (c) if the Company consummates a firm commitment public offering of shares of the Company’s common stock resulting in gross proceeds of at least $15.0 million at an offering price per share equal to or greater than $4.50, subject to customary adjustments in the event of stock dividends, stock splits, reorganizations or similar events. Commencing on January 27, 2029, the Company may redeem the outstanding shares of Series A Preferred Stock at the lesser of (i) the stated value per share plus a non-compounded rate of return calculated at 8% per annum, and (ii) 200% of the stated value per share. Notwithstanding the conversion rights described above, to the extent prohibited by Nasdaq listing rules, the Company will not issue shares of its common stock upon conversion of shares of Series A Preferred Stock if such</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4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issuance will result in a change of control of the Company, unless the Company obtains stockholder approval of such issuance.</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The Company evaluated the terms of the Series A Preferred Stock, and in accordance with the guidance of ASC 480, </w:t>
      </w:r>
      <w:r>
        <w:rPr>
          <w:rFonts w:ascii="Arial" w:cs="Arial" w:eastAsia="Arial" w:hAnsi="Arial"/>
          <w:sz w:val="18"/>
          <w:szCs w:val="18"/>
          <w:i w:val="1"/>
          <w:iCs w:val="1"/>
          <w:color w:val="auto"/>
        </w:rPr>
        <w:t>Distinguishing</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Equity</w:t>
      </w:r>
      <w:r>
        <w:rPr>
          <w:rFonts w:ascii="Arial" w:cs="Arial" w:eastAsia="Arial" w:hAnsi="Arial"/>
          <w:sz w:val="18"/>
          <w:szCs w:val="18"/>
          <w:color w:val="auto"/>
        </w:rPr>
        <w:t>, the Series A Preferred Stock is classified as permanent equity in the accompanying condensed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 Offering</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27, 2026, the Company completed the initial closing of its Regulation A Offering of up to 4,854,000 units (each, an “Investor Unit” and collectively the “Investor Units”), each consisting of one share of Series A Preferred Stock and two warrants, each to purchase one share of the Company’s common stock (“Investor Warrants”), with each Investor Unit being offered at an offering price of $5.00 (the “Regulation A Offering”). The closing price of the Company’s common stock on January 26, 2026, was $1.90, and because the Initial Conversion Price exceeded the sum of that closing price plus $0.125, the limitations under Nasdaq Listing Rule 5635(d) that could have applied to the conversion of the Series A Preferred Stock and to the exercise of the Investor Warrants issued in the Regulation A Offering will not apply to any of the shares of Series A Preferred Stock or the Investor Warrants that are part of the up to 4,854,000 Investors Units that may be issued in the Regulation A offering.</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Regulation A Offering is being conducted pursuant to the Company’s offering statement on Form 1-A (File No. 024-12688), as amended (the “Offering Statement”), which was most recently qualified by the SEC on April 1, 2026, and the offering circular, dated January 6, 2026, and the offering circular supplement dated March 26, 2026, which form a part thereof (the “Offering Circular”). The Regulation A Offering is being conducted on a “best efforts” basis pursuant to a selling agency agreement, dated January 5, 2026 (the “Selling Agency Agreement”), between the Company and Digital Offering, LLC (“Digital Offering”), acting as the lead selling agent for the Regulation A Offering. Digital Offering is not required to sell any specific number or dollar amount of Investor Units. The Company will pay to Digital Offering a placement fee equal to 7.25% of the offering price per Investor Unit sold in the Regulation A Offering. The Company will also issue Agent Unit Warrants (as defined below) to purchase that number of Agent Units (as defined below) equal to 3% of the total number of Investor Units sold in the Regulation A Offering. In addition, the Company paid Digital Offering a $25,000 consulting fee and reimbursed or will reimburse Digital Offering for up to $85,000 of its reasonable, out-of-pocket, and documented fees and expenses incurred in connection with the Regulation A Offering.</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Investor Warrants are exercisable at any time after issuance through the 36-month anniversary of their date of issuance at an exercise price of $4.00 per share, subject to customary adjustments in the event of stock dividends, stock splits, reorganizations or similar events. Notwithstanding the foregoing, there are certain limitations on the exercise of the Investor Warrants to the extent a holder (together with its affiliates) would own more than 4.99% (or 9.99% if elected by the warrant holder) of the Company’s common stock outstanding immediately after exercise.</w:t>
      </w:r>
    </w:p>
    <w:p>
      <w:pPr>
        <w:spacing w:after="0" w:line="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Regulation A Offering will terminate at the earliest of (i) the date on which the maximum offering amount of Investor Units has been sold, (ii) January 5, 2027 (one year after the date on which the Offering Statement was initially qualified by the SEC) and (iii) the date on which the Company determines to terminate the Regulation A Offering, which the Company may do in its sole discretion at any time and for any reason or no reason.</w:t>
      </w:r>
    </w:p>
    <w:p>
      <w:pPr>
        <w:spacing w:after="0" w:line="68"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Offering Circular also relates to 145,620 warrants (the “Agent Unit Warrants”) to purchase up to 145,620 units (the “Agent Units”) issuable to the selling agent(s) for the Regulation A offering, each Agent Unit consisting of one share of Series A Preferred Stock and two warrants, each to purchase one share of the Company’s common stock (the "Agent Common Warrants").</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exercise price per Agent Unit Warrant is $6.25, subject to customary adjustments in the event of stock dividends, stock splits, reorganizations or similar events. The Agent Unit Warrants will expire on January 7, 2031, which is the five-year anniversary of the date of commencement of sales in the Regulation A Offering.</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exercise price per Agent Common Warrant is $ 4.00 per share, subject to customary adjustments in the event of stock dividends, stock splits, reorganizations or similar events. The terms of the Agent Common Warrant are substantially similar to the terms of the Investor Warrants, except that they expire on January 7, 2031.</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March 31, 2026, the Company issued an aggregate of 65,640 Investor Units consisting of 65,640 shares of Series A Preferred Stock and Investor Warrants to purchase up to 131,280 shares of the Company’s common stock, for gross proceeds of approximately $0.3 million, and Agent Unit Warrants to purchase up to 1,968 Agent Units. The Company incurred total issuance costs of approximately $31,000 including legal fees and placement fees directly related to the issuance that are recognized as a reduction in equity, resulting in net proceeds of approximately $0.3 million. The Investor Warrants were recognized in additional paid-in-capital as they met the criteria for equity classification.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69"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color w:val="auto"/>
        </w:rPr>
        <w:t>Summary of Agent Unit Warrant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Agent Unit Warrants outstanding during the three months ended March 31, 2026 is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Agent Unit Warrants</w:t>
            </w: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200" w:type="dxa"/>
            <w:vAlign w:val="bottom"/>
          </w:tcPr>
          <w:p>
            <w:pPr>
              <w:spacing w:after="0"/>
              <w:rPr>
                <w:sz w:val="12"/>
                <w:szCs w:val="12"/>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Number of Shares</w:t>
            </w: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12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Average</w:t>
            </w: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Underlying</w:t>
            </w: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Average</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Remaining Life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Years</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0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2025,</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200" w:type="dxa"/>
            <w:vAlign w:val="bottom"/>
          </w:tcPr>
          <w:p>
            <w:pPr>
              <w:ind w:left="20"/>
              <w:spacing w:after="0"/>
              <w:rPr>
                <w:sz w:val="20"/>
                <w:szCs w:val="20"/>
                <w:color w:val="auto"/>
              </w:rPr>
            </w:pPr>
            <w:r>
              <w:rPr>
                <w:rFonts w:ascii="Arial" w:cs="Arial" w:eastAsia="Arial" w:hAnsi="Arial"/>
                <w:sz w:val="18"/>
                <w:szCs w:val="18"/>
                <w:color w:val="auto"/>
              </w:rPr>
              <w:t>Agent Unit Warrants Issued in connection with Regulation A Offering</w:t>
            </w:r>
          </w:p>
        </w:tc>
        <w:tc>
          <w:tcPr>
            <w:tcW w:w="1360" w:type="dxa"/>
            <w:vAlign w:val="bottom"/>
          </w:tcPr>
          <w:p>
            <w:pPr>
              <w:jc w:val="right"/>
              <w:ind w:right="137"/>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6.25</w:t>
            </w:r>
          </w:p>
        </w:tc>
        <w:tc>
          <w:tcPr>
            <w:tcW w:w="10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March 31, 2026</w:t>
            </w:r>
          </w:p>
        </w:tc>
        <w:tc>
          <w:tcPr>
            <w:tcW w:w="136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1,968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6.25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4.77</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Company’s 2014 Employee Stock Purchase Plan, or the ESPP, was suspended in June 2024. There was no stock-based compensation related to the ESPP for the three months ended March 31, 2026 or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Amended and Restated 2014 Stock Incentive Plan, or the Amended 2014 Plan, provided for the grant of stock-based awards to employees, directors, consultants and advisors. As a result of the approval of the 2022 Plan (as defined below) by the Company's stockholders in June 2022, no further awards have been or will be granted under the Amended 2014 Plan since such approval. Outstanding awards previously granted under the Amended 2014 Plan continue to remain outstanding in accordance with their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Stock Incentive Plan</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April 2022, the Company's board of directors approved the Daré Bioscience, Inc. 2022 Stock Incentive Plan, or the 2022 Plan, which was subsequently approved by the Company's stockholders in June 2022, and became effective as of such approval. In April 2025, the Company's board of directors approved an amendment to the 2022 Plan to increase the number of shares of common stock available for issuance thereunder by 600,000, which was subsequently approved by the Company's stockholders in July 2025.</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2022 Plan provides for the grant of stock-based incentive awards to employees, directors, consultants, and advisors.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As of March 31, 2026, the number of shares of common stock authorized for issuance under the 2022 Plan was 1,949,085, which is the sum of:</w:t>
      </w:r>
    </w:p>
    <w:p>
      <w:pPr>
        <w:spacing w:after="0" w:line="11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128,343 shares available for awards that may be granted under the 2022 Plan, plus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1,427,483 shares underlying awards granted under the 2022 Plan, plus</w:t>
      </w:r>
    </w:p>
    <w:p>
      <w:pPr>
        <w:spacing w:after="0" w:line="117" w:lineRule="exact"/>
        <w:rPr>
          <w:rFonts w:ascii="Arial" w:cs="Arial" w:eastAsia="Arial" w:hAnsi="Arial"/>
          <w:sz w:val="18"/>
          <w:szCs w:val="18"/>
          <w:color w:val="auto"/>
        </w:rPr>
      </w:pPr>
    </w:p>
    <w:p>
      <w:pPr>
        <w:ind w:left="980" w:hanging="324"/>
        <w:spacing w:after="0" w:line="287" w:lineRule="auto"/>
        <w:tabs>
          <w:tab w:leader="none" w:pos="9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393,259 shares underlying awards granted under the Amended 2014 Plan, which if they expire, terminate or are otherwise forfeited will become available for issuance under the 2022 Plan.</w:t>
      </w:r>
    </w:p>
    <w:p>
      <w:pPr>
        <w:spacing w:after="0" w:line="4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Options granted are exercisable at various dates as determined upon grant and will expire no more than ten years from their date of grant. Stock options generally vest over a four-year term. The exercise price of each option is determined by the Company's board of directors or its compensation committee based on the estimated fair value of the Company's stock on the date of grant.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table below summarizes stock option activity under the Company's stock incentive plans and related information for the three months ended March 31, 2026. The exercise price of all options granted during the three months ended March 31, 2026 was equal to the market value of the Company’s common stock on the date of grant.</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877" w:right="339" w:bottom="1440" w:gutter="0" w:footer="0" w:header="0"/>
          <w:type w:val="continuous"/>
        </w:sectPr>
      </w:pPr>
    </w:p>
    <w:bookmarkStart w:id="26" w:name="page27"/>
    <w:bookmarkEnd w:id="26"/>
    <w:p>
      <w:pPr>
        <w:jc w:val="both"/>
        <w:ind w:right="20"/>
        <w:spacing w:after="0" w:line="268" w:lineRule="auto"/>
        <w:rPr>
          <w:sz w:val="20"/>
          <w:szCs w:val="20"/>
          <w:color w:val="auto"/>
        </w:rPr>
      </w:pPr>
      <w:r>
        <w:rPr>
          <w:rFonts w:ascii="Arial" w:cs="Arial" w:eastAsia="Arial" w:hAnsi="Arial"/>
          <w:sz w:val="18"/>
          <w:szCs w:val="18"/>
          <w:color w:val="auto"/>
        </w:rPr>
        <w:t>As of March 31, 2026, unamortized stock-based compensation expense of approximately $1.9 million will be amortized over a weighted average period of 1.29 years. The number of shares of common stock available for future awards granted under the 2022 Plan as of March 31, 2026 was 128,343.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215"/>
        </w:trPr>
        <w:tc>
          <w:tcPr>
            <w:tcW w:w="8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305"/>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1,409,042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9"/>
        </w:trPr>
        <w:tc>
          <w:tcPr>
            <w:tcW w:w="81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vMerge w:val="restart"/>
          </w:tcPr>
          <w:p>
            <w:pPr>
              <w:jc w:val="right"/>
              <w:ind w:right="132"/>
              <w:spacing w:after="0"/>
              <w:rPr>
                <w:sz w:val="20"/>
                <w:szCs w:val="20"/>
                <w:color w:val="auto"/>
              </w:rPr>
            </w:pPr>
            <w:r>
              <w:rPr>
                <w:rFonts w:ascii="Arial" w:cs="Arial" w:eastAsia="Arial" w:hAnsi="Arial"/>
                <w:sz w:val="18"/>
                <w:szCs w:val="18"/>
                <w:color w:val="auto"/>
              </w:rPr>
              <w:t>411,700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62"/>
        </w:trPr>
        <w:tc>
          <w:tcPr>
            <w:tcW w:w="8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8100" w:type="dxa"/>
            <w:vAlign w:val="bottom"/>
            <w:tcBorders>
              <w:bottom w:val="single" w:sz="8" w:color="CCEEFF"/>
            </w:tcBorders>
            <w:shd w:val="clear" w:color="auto" w:fill="CCEEFF"/>
          </w:tcPr>
          <w:p>
            <w:pPr>
              <w:spacing w:after="0"/>
              <w:rPr>
                <w:sz w:val="5"/>
                <w:szCs w:val="5"/>
                <w:color w:val="auto"/>
              </w:rPr>
            </w:pPr>
          </w:p>
        </w:tc>
        <w:tc>
          <w:tcPr>
            <w:tcW w:w="14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220"/>
              <w:spacing w:after="0"/>
              <w:rPr>
                <w:sz w:val="20"/>
                <w:szCs w:val="20"/>
                <w:color w:val="auto"/>
              </w:rPr>
            </w:pPr>
            <w:r>
              <w:rPr>
                <w:rFonts w:ascii="Arial" w:cs="Arial" w:eastAsia="Arial" w:hAnsi="Arial"/>
                <w:sz w:val="18"/>
                <w:szCs w:val="18"/>
                <w:color w:val="auto"/>
              </w:rPr>
              <w:t>Cancelled/forfeited</w:t>
            </w:r>
          </w:p>
        </w:tc>
        <w:tc>
          <w:tcPr>
            <w:tcW w:w="142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8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4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810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8100" w:type="dxa"/>
            <w:vAlign w:val="bottom"/>
          </w:tcPr>
          <w:p>
            <w:pPr>
              <w:ind w:left="20"/>
              <w:spacing w:after="0"/>
              <w:rPr>
                <w:sz w:val="20"/>
                <w:szCs w:val="20"/>
                <w:color w:val="auto"/>
              </w:rPr>
            </w:pPr>
            <w:r>
              <w:rPr>
                <w:rFonts w:ascii="Arial" w:cs="Arial" w:eastAsia="Arial" w:hAnsi="Arial"/>
                <w:sz w:val="18"/>
                <w:szCs w:val="18"/>
                <w:color w:val="auto"/>
              </w:rPr>
              <w:t>Outstanding at March 31, 2026</w:t>
            </w:r>
          </w:p>
        </w:tc>
        <w:tc>
          <w:tcPr>
            <w:tcW w:w="14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1,820,742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2026</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929,342</w:t>
            </w:r>
          </w:p>
        </w:tc>
        <w:tc>
          <w:tcPr>
            <w:tcW w:w="7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weighted average grant-date fair value of stock options granted during the three months ended March 31, 2026 and 2025 was $1.26 and $2.51, respectively. The total fair value of stock options vested during the three months ended March 31, 2026 and 2025, was approximately $0.5 million and $0.4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condensed consolidated statements of operations and comprehensive loss is as follows:</w:t>
      </w:r>
    </w:p>
    <w:p>
      <w:pPr>
        <w:spacing w:after="0" w:line="257"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March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2025</w:t>
            </w:r>
          </w:p>
        </w:tc>
      </w:tr>
      <w:tr>
        <w:trPr>
          <w:trHeight w:val="305"/>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221,813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167,058</w:t>
            </w:r>
          </w:p>
        </w:tc>
      </w:tr>
      <w:tr>
        <w:trPr>
          <w:trHeight w:val="324"/>
        </w:trPr>
        <w:tc>
          <w:tcPr>
            <w:tcW w:w="81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233,251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210,299</w:t>
            </w:r>
          </w:p>
        </w:tc>
      </w:tr>
      <w:tr>
        <w:trPr>
          <w:trHeight w:val="329"/>
        </w:trPr>
        <w:tc>
          <w:tcPr>
            <w:tcW w:w="81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455,064</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377,357</w:t>
            </w: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LEASED PROPERTIES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Finance Lease - Clean Room Space</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24, 2024, the Company entered into a scope of work (the "SOW") with an unrelated third party for a controlled clean room space in Massachusetts. The SOW became effective upon the execution of an associated License and Services Agreement (the "LSA") which governs the SOW. On February 25, 2025, the parties entered into a termination agreement related to the original LSA and SOW and concurrently entered into a revised LSA and revised SOW, collectively, the Clean Room Agreement, primarily to clarify the location of the clean room subject to the arrangement. The term of the Clean Room Agreement is 22 months and commenced on March 1, 2025. Fixed payments are due at the beginning of each calendar quarter and variable amounts related to support services are due monthly based on services provided during the preceding month. Upon execution of the SOW, the Company made a prepayment of approximately $459,000. The Clean Room Agreement may be renewed each year and if renewed, the fixed payment amount may increase yearly by up to 5%.</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determined that the Clean Room Agreement is a finance lease. On the commencement date, the Company recorded an initial finance lease right-of-use, or ROU, asset and related lease liability of approximately $3.3 million and $2.8 million, respectively. Included in the $3.3 million finance ROU asset is the $459,000 prepayment which was reclassified to the finance lease ROU asset on the commencement date. The lease does not provide an implicit rate and therefore the Company used its incremental borrowing rate as the discount rate when measuring the finance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consisting of the current prime rate plus 200 basis points for its finance lease. During 2025, the parties executed two change orders primarily to amend the total contract consideration under the lease arrangement. The Company evaluated these amendments and concluded they represented a lease modification. As such, the finance lease ROU asset and finance lease liability were remeasured using an incremental borrowing rate at the date of the modification resulting in a decrease of approximately $83,000 to both the ROU asset and corresponding finance lease liability.</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87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Operating Leases - General Office Space</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lease for its corporate headquarters (3,169 square feet of office space) commenced in July 2018 and, as a result of an extension entered into in March 2024, expires on October 31, 2027. The extension entered into in March 2024 resulted in additional operating lease liabilities and ROU assets of approximately $0.4 million in March 2024.</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MBI, a wholly-owned subsidiary the Company, leases general office and laboratory space in Massachusetts. The lease commenced on November 1, 2023 for a term of three years, expiring on December 31, 2026. On December 18, 2025, the term of the lease was extended to December 31, 2027, which resulted in additional operating lease liabilities and ROU assets of approximately $0.4 million.</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color w:val="191C1F"/>
        </w:rPr>
        <w:t>the terms of each lease, the lessee pays base annual rent (subject to an annual fixed percentage increase), plus property</w:t>
      </w:r>
      <w:r>
        <w:rPr>
          <w:rFonts w:ascii="Arial" w:cs="Arial" w:eastAsia="Arial" w:hAnsi="Arial"/>
          <w:sz w:val="18"/>
          <w:szCs w:val="18"/>
          <w:color w:val="auto"/>
        </w:rPr>
        <w:t xml:space="preserve"> </w:t>
      </w:r>
      <w:r>
        <w:rPr>
          <w:rFonts w:ascii="Arial" w:cs="Arial" w:eastAsia="Arial" w:hAnsi="Arial"/>
          <w:sz w:val="18"/>
          <w:szCs w:val="18"/>
          <w:color w:val="191C1F"/>
        </w:rPr>
        <w:t xml:space="preserve">taxes, and other normal and necessary expenses, such as utilities, repairs, and maintenance. </w:t>
      </w:r>
      <w:r>
        <w:rPr>
          <w:rFonts w:ascii="Arial" w:cs="Arial" w:eastAsia="Arial" w:hAnsi="Arial"/>
          <w:sz w:val="18"/>
          <w:szCs w:val="18"/>
          <w:color w:val="000000"/>
        </w:rPr>
        <w:t>The Company evaluates renewal options at</w:t>
      </w:r>
      <w:r>
        <w:rPr>
          <w:rFonts w:ascii="Arial" w:cs="Arial" w:eastAsia="Arial" w:hAnsi="Arial"/>
          <w:sz w:val="18"/>
          <w:szCs w:val="18"/>
          <w:color w:val="191C1F"/>
        </w:rPr>
        <w:t xml:space="preserve"> </w:t>
      </w:r>
      <w:r>
        <w:rPr>
          <w:rFonts w:ascii="Arial" w:cs="Arial" w:eastAsia="Arial" w:hAnsi="Arial"/>
          <w:sz w:val="18"/>
          <w:szCs w:val="18"/>
          <w:color w:val="000000"/>
        </w:rPr>
        <w:t>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Aggregate Lease Information</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components of lease cost recorded in the Company's condensed consolidated statements of operations and comprehensive loss were as follows:</w:t>
      </w:r>
    </w:p>
    <w:p>
      <w:pPr>
        <w:spacing w:after="0" w:line="246" w:lineRule="exact"/>
        <w:rPr>
          <w:sz w:val="20"/>
          <w:szCs w:val="20"/>
          <w:color w:val="auto"/>
        </w:rPr>
      </w:pPr>
    </w:p>
    <w:p>
      <w:pPr>
        <w:jc w:val="center"/>
        <w:ind w:left="7880"/>
        <w:spacing w:after="0"/>
        <w:rPr>
          <w:sz w:val="20"/>
          <w:szCs w:val="20"/>
          <w:color w:val="auto"/>
        </w:rPr>
      </w:pPr>
      <w:r>
        <w:rPr>
          <w:rFonts w:ascii="Arial" w:cs="Arial" w:eastAsia="Arial" w:hAnsi="Arial"/>
          <w:sz w:val="16"/>
          <w:szCs w:val="16"/>
          <w:b w:val="1"/>
          <w:bCs w:val="1"/>
          <w:color w:val="auto"/>
        </w:rPr>
        <w:t>Three Months Ended</w:t>
      </w:r>
    </w:p>
    <w:p>
      <w:pPr>
        <w:jc w:val="center"/>
        <w:ind w:left="7880"/>
        <w:spacing w:after="0"/>
        <w:rPr>
          <w:sz w:val="20"/>
          <w:szCs w:val="20"/>
          <w:color w:val="auto"/>
        </w:rPr>
      </w:pPr>
      <w:r>
        <w:rPr>
          <w:rFonts w:ascii="Arial" w:cs="Arial" w:eastAsia="Arial" w:hAnsi="Arial"/>
          <w:sz w:val="16"/>
          <w:szCs w:val="16"/>
          <w:b w:val="1"/>
          <w:bCs w:val="1"/>
          <w:color w:val="auto"/>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304"/>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cost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196,308</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196,918</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Finance lease cost</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Amortization of finance lease</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436,194</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149,994</w:t>
            </w:r>
          </w:p>
        </w:tc>
        <w:tc>
          <w:tcPr>
            <w:tcW w:w="0" w:type="dxa"/>
            <w:vAlign w:val="bottom"/>
          </w:tcPr>
          <w:p>
            <w:pPr>
              <w:spacing w:after="0"/>
              <w:rPr>
                <w:sz w:val="1"/>
                <w:szCs w:val="1"/>
                <w:color w:val="auto"/>
              </w:rPr>
            </w:pPr>
          </w:p>
        </w:tc>
      </w:tr>
      <w:tr>
        <w:trPr>
          <w:trHeight w:val="324"/>
        </w:trPr>
        <w:tc>
          <w:tcPr>
            <w:tcW w:w="8100" w:type="dxa"/>
            <w:vAlign w:val="bottom"/>
          </w:tcPr>
          <w:p>
            <w:pPr>
              <w:ind w:left="560"/>
              <w:spacing w:after="0"/>
              <w:rPr>
                <w:sz w:val="20"/>
                <w:szCs w:val="20"/>
                <w:color w:val="auto"/>
              </w:rPr>
            </w:pPr>
            <w:r>
              <w:rPr>
                <w:rFonts w:ascii="Arial" w:cs="Arial" w:eastAsia="Arial" w:hAnsi="Arial"/>
                <w:sz w:val="18"/>
                <w:szCs w:val="18"/>
                <w:color w:val="auto"/>
              </w:rPr>
              <w:t>Interest on finance lease liability</w:t>
            </w:r>
          </w:p>
        </w:tc>
        <w:tc>
          <w:tcPr>
            <w:tcW w:w="420" w:type="dxa"/>
            <w:vAlign w:val="bottom"/>
          </w:tcPr>
          <w:p>
            <w:pPr>
              <w:spacing w:after="0"/>
              <w:rPr>
                <w:sz w:val="24"/>
                <w:szCs w:val="24"/>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21,150</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18,859</w:t>
            </w:r>
          </w:p>
        </w:tc>
        <w:tc>
          <w:tcPr>
            <w:tcW w:w="0" w:type="dxa"/>
            <w:vAlign w:val="bottom"/>
          </w:tcPr>
          <w:p>
            <w:pPr>
              <w:spacing w:after="0"/>
              <w:rPr>
                <w:sz w:val="1"/>
                <w:szCs w:val="1"/>
                <w:color w:val="auto"/>
              </w:rPr>
            </w:pPr>
          </w:p>
        </w:tc>
      </w:tr>
      <w:tr>
        <w:trPr>
          <w:trHeight w:val="324"/>
        </w:trPr>
        <w:tc>
          <w:tcPr>
            <w:tcW w:w="8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Variable lease cost</w:t>
            </w:r>
          </w:p>
        </w:tc>
        <w:tc>
          <w:tcPr>
            <w:tcW w:w="4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34,314</w:t>
            </w:r>
          </w:p>
        </w:tc>
        <w:tc>
          <w:tcPr>
            <w:tcW w:w="14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36,116</w:t>
            </w:r>
          </w:p>
        </w:tc>
        <w:tc>
          <w:tcPr>
            <w:tcW w:w="0" w:type="dxa"/>
            <w:vAlign w:val="bottom"/>
          </w:tcPr>
          <w:p>
            <w:pPr>
              <w:spacing w:after="0"/>
              <w:rPr>
                <w:sz w:val="1"/>
                <w:szCs w:val="1"/>
                <w:color w:val="auto"/>
              </w:rPr>
            </w:pPr>
          </w:p>
        </w:tc>
      </w:tr>
      <w:tr>
        <w:trPr>
          <w:trHeight w:val="267"/>
        </w:trPr>
        <w:tc>
          <w:tcPr>
            <w:tcW w:w="8100" w:type="dxa"/>
            <w:vAlign w:val="bottom"/>
            <w:vMerge w:val="restart"/>
          </w:tcPr>
          <w:p>
            <w:pPr>
              <w:ind w:left="220"/>
              <w:spacing w:after="0"/>
              <w:rPr>
                <w:sz w:val="20"/>
                <w:szCs w:val="20"/>
                <w:color w:val="auto"/>
              </w:rPr>
            </w:pPr>
            <w:r>
              <w:rPr>
                <w:rFonts w:ascii="Arial" w:cs="Arial" w:eastAsia="Arial" w:hAnsi="Arial"/>
                <w:sz w:val="18"/>
                <w:szCs w:val="18"/>
                <w:color w:val="auto"/>
              </w:rPr>
              <w:t>Total lease cost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687,966</w:t>
            </w:r>
          </w:p>
        </w:tc>
        <w:tc>
          <w:tcPr>
            <w:tcW w:w="1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401,887</w:t>
            </w:r>
          </w:p>
        </w:tc>
        <w:tc>
          <w:tcPr>
            <w:tcW w:w="0" w:type="dxa"/>
            <w:vAlign w:val="bottom"/>
          </w:tcPr>
          <w:p>
            <w:pPr>
              <w:spacing w:after="0"/>
              <w:rPr>
                <w:sz w:val="1"/>
                <w:szCs w:val="1"/>
                <w:color w:val="auto"/>
              </w:rPr>
            </w:pPr>
          </w:p>
        </w:tc>
      </w:tr>
      <w:tr>
        <w:trPr>
          <w:trHeight w:val="37"/>
        </w:trPr>
        <w:tc>
          <w:tcPr>
            <w:tcW w:w="8100" w:type="dxa"/>
            <w:vAlign w:val="bottom"/>
            <w:vMerge w:val="continue"/>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the Company's finance and operating lease liabilities as of March 31, 2026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0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Year</w:t>
            </w:r>
          </w:p>
        </w:tc>
        <w:tc>
          <w:tcPr>
            <w:tcW w:w="20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Operating Leases</w:t>
            </w:r>
          </w:p>
        </w:tc>
        <w:tc>
          <w:tcPr>
            <w:tcW w:w="14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Finance Lease</w:t>
            </w:r>
          </w:p>
        </w:tc>
        <w:tc>
          <w:tcPr>
            <w:tcW w:w="10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b w:val="1"/>
                <w:bCs w:val="1"/>
                <w:color w:val="auto"/>
              </w:rPr>
              <w:t>Total</w:t>
            </w:r>
          </w:p>
        </w:tc>
      </w:tr>
      <w:tr>
        <w:trPr>
          <w:trHeight w:val="304"/>
        </w:trPr>
        <w:tc>
          <w:tcPr>
            <w:tcW w:w="4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2026 (remaining)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510,505</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611,800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1,122,305</w:t>
            </w:r>
          </w:p>
        </w:tc>
      </w:tr>
      <w:tr>
        <w:trPr>
          <w:trHeight w:val="324"/>
        </w:trPr>
        <w:tc>
          <w:tcPr>
            <w:tcW w:w="4000" w:type="dxa"/>
            <w:vAlign w:val="bottom"/>
          </w:tcPr>
          <w:p>
            <w:pPr>
              <w:ind w:left="24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583,046</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583,046</w:t>
            </w:r>
          </w:p>
        </w:tc>
      </w:tr>
      <w:tr>
        <w:trPr>
          <w:trHeight w:val="304"/>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14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1,093,551</w:t>
            </w:r>
          </w:p>
        </w:tc>
        <w:tc>
          <w:tcPr>
            <w:tcW w:w="14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611,800</w:t>
            </w:r>
          </w:p>
        </w:tc>
        <w:tc>
          <w:tcPr>
            <w:tcW w:w="10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1,705,351</w:t>
            </w:r>
          </w:p>
        </w:tc>
      </w:tr>
      <w:tr>
        <w:trPr>
          <w:trHeight w:val="324"/>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1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1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(90,990)</w:t>
            </w:r>
          </w:p>
        </w:tc>
      </w:tr>
      <w:tr>
        <w:trPr>
          <w:trHeight w:val="329"/>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1,016,809</w:t>
            </w:r>
          </w:p>
        </w:tc>
        <w:tc>
          <w:tcPr>
            <w:tcW w:w="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597,552</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1,614,361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93"/>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jc w:val="right"/>
              <w:ind w:right="57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771"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The weighted-average remaining lease terms and discount rates related to the Company's leases were as follows:</w:t>
      </w:r>
    </w:p>
    <w:p>
      <w:pPr>
        <w:spacing w:after="0" w:line="243"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As of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9"/>
        </w:trPr>
        <w:tc>
          <w:tcPr>
            <w:tcW w:w="768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7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24"/>
        </w:trPr>
        <w:tc>
          <w:tcPr>
            <w:tcW w:w="7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8"/>
        </w:trPr>
        <w:tc>
          <w:tcPr>
            <w:tcW w:w="7680" w:type="dxa"/>
            <w:vAlign w:val="bottom"/>
            <w:gridSpan w:val="2"/>
          </w:tcPr>
          <w:p>
            <w:pPr>
              <w:ind w:left="240"/>
              <w:spacing w:after="0"/>
              <w:rPr>
                <w:sz w:val="20"/>
                <w:szCs w:val="20"/>
                <w:color w:val="auto"/>
              </w:rPr>
            </w:pPr>
            <w:r>
              <w:rPr>
                <w:rFonts w:ascii="Arial" w:cs="Arial" w:eastAsia="Arial" w:hAnsi="Arial"/>
                <w:sz w:val="18"/>
                <w:szCs w:val="18"/>
                <w:color w:val="auto"/>
              </w:rPr>
              <w:t>Finance lease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13"/>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the Company's leases was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74"/>
        </w:trPr>
        <w:tc>
          <w:tcPr>
            <w:tcW w:w="7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8"/>
          </w:tcPr>
          <w:p>
            <w:pPr>
              <w:jc w:val="center"/>
              <w:ind w:right="30"/>
              <w:spacing w:after="0"/>
              <w:rPr>
                <w:sz w:val="20"/>
                <w:szCs w:val="20"/>
                <w:color w:val="auto"/>
              </w:rPr>
            </w:pPr>
            <w:r>
              <w:rPr>
                <w:rFonts w:ascii="Arial" w:cs="Arial" w:eastAsia="Arial" w:hAnsi="Arial"/>
                <w:sz w:val="16"/>
                <w:szCs w:val="16"/>
                <w:b w:val="1"/>
                <w:bCs w:val="1"/>
                <w:color w:val="auto"/>
              </w:rPr>
              <w:t>Three Months Ended March</w:t>
            </w:r>
          </w:p>
        </w:tc>
      </w:tr>
      <w:tr>
        <w:trPr>
          <w:trHeight w:val="216"/>
        </w:trPr>
        <w:tc>
          <w:tcPr>
            <w:tcW w:w="7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9"/>
              </w:rPr>
              <w:t>31,</w:t>
            </w: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09"/>
        </w:trPr>
        <w:tc>
          <w:tcPr>
            <w:tcW w:w="72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r>
      <w:tr>
        <w:trPr>
          <w:trHeight w:val="21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9"/>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Financing cash flows from finance lease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896,549</w:t>
            </w:r>
          </w:p>
        </w:tc>
        <w:tc>
          <w:tcPr>
            <w:tcW w:w="4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21,150</w:t>
            </w:r>
          </w:p>
        </w:tc>
        <w:tc>
          <w:tcPr>
            <w:tcW w:w="4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18,859</w:t>
            </w:r>
          </w:p>
        </w:tc>
      </w:tr>
      <w:tr>
        <w:trPr>
          <w:trHeight w:val="239"/>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169,576</w:t>
            </w:r>
          </w:p>
        </w:tc>
        <w:tc>
          <w:tcPr>
            <w:tcW w:w="4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164,490</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ROYALTY INTEREST FINANCING</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2023, the Company entered into a royalty interest financing agreement, or the Royalty Interest Agreement, with United in Endeavour, LLC, or UiE, under which UiE acquired a portion of the Company's royalty interest in XACIATO. The Company received $5.0 million from UiE when the parties entered into the Royalty Interest Agreement (the "Initial Investment"), and until December 31, 2026, the Company may, in its sole discretion, but subject to XOMA's prior written consent (see Note 8, Royalty Purchase Agreements), elect to receive three additional payments (each a "Supplemental Investment") from UiE of up to an aggregate of $7.0 million, for a total of up to $12.0 million.</w:t>
      </w:r>
    </w:p>
    <w:p>
      <w:pPr>
        <w:spacing w:after="0" w:line="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Royalty Interest Agreement, the Company agreed to make the following payments to UiE, until such time when UiE has received aggregate payments equaling a 12% internal rate of return (the “IRR”) on the Initial Investment and each Supplemental Investment, if any: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IRR by December 31, 2029, December 31, 2033, and December 31, 2034, respectively. In addition, if UiE has not received payments equaling the IRR by December 31, 2035 and the Company has other sources of assets or income (besides XACIATO) sufficient to complete such payments, the Company has agreed to pay UiE quarterly payments evenly divided over a two-year term ("Catch-up Payments"), such that UiE will have obtained the IRR, taking into account all other payments received by UiE from the Company under the Royalty Interest Agreement. UiE’s right to receive payments will terminate when UiE has received payments in an amount equal to the IRR (such period of time is referred to as the "Financing Term"). Under the Royalty Interest Agreement, the Company has the right, at any time and from time to time, to make voluntary prepayments to UiE, and such payments will be credited against the IRR. In addition, the Company has the right at any time to pay in full and retire all of the Company's payment obligations to UiE by paying the full amount of the IRR (the "Call Payment"), calculated as of the date of the payment.</w:t>
      </w:r>
    </w:p>
    <w:p>
      <w:pPr>
        <w:spacing w:after="0" w:line="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Company evaluated the terms of the Royalty Interest Agreement and concluded that its features were similar to those of a debt instrument. As a result, the Company applied the debt recognition guidance under ASC 470,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71"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Debt, and recorded the Initial Investment as a liability related to the sale of future royalties, which will be amortized under the effective interest method over the estimated Financing Term.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Financing Term. In addition, in accordance with ASC 470, Debt, any royalties and milestone payments received by or on behalf of the Company from Organon from and after the date of the Initial Investment are recorded as non-cash royalty revenue in the consolidated statements of operations as a reduction to the liability related to the sale of future royalties.</w:t>
      </w:r>
    </w:p>
    <w:p>
      <w:pPr>
        <w:spacing w:after="0" w:line="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amortization of the liability related to the sale of future royalties, the Company is required to estimate the duration of the Financing Term and the total amount of future payments to UiE during the Financing Term. These estimates involve significant estimates and assumptions regarding future Net Royalty Payments that impact both the amount of the liability related to the sale of future royalties and the interest expense that will be recognized over the Financing Term. The Company will periodically reassess the estimated amounts due and payable to UiE and the duration of the Financing Term and to the extent the estimated amount or timing of such payments is materially different than the prior estimate, an adjustment will be recorded in future periods, prospectively, to increase or decrease interest expense. There are a number of factors that could materially affect XACIATO's commercial success, and therefore the amount and timing of the Company's payments to UiE, and correspondingly, the amount of interest expense and interest payable recorded by the Company, most of which are not within the Company’s control. Such factors include, but are not limited to, the capabilities of Organon and its commitment of sufficient resources to market, distribute and sell the product; timely and adequate commercial supply of XACIATO and its components; perceived superiority of XACIATO's cure rates compared to other available treatments; patient satisfaction and willingness to use XACIATO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the length of the Financing Term and the total amount owed to UiE.</w:t>
      </w:r>
    </w:p>
    <w:p>
      <w:pPr>
        <w:spacing w:after="0" w:line="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2026, based on Net Royalty Payments to date and other factors, the Financing Term is estimated to extend through 2037, and the effective interest rate on the liability related to the sale of future royalties is 12.8%. Under the current estimated Financing Term, the estimated total amount potentially owed to UiE would be approximately $22.0 million, substantially all of which would be paid as Catch-up Payments. However, as discussed above, the Company has the right to make voluntary prepayments to UiE that would be credited against the IRR, as well as the right to make the Call Payment, either of which actions could reduce the total amount owed to UiE, potentially materially.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entering into the Royalty Interest Agreement, the Company issued to UiE a warrant (the “Initial Royalty Warrant”) to purchase up to 422,804 shares of the Company’s common stock (see Note 4, Stockholders' Equity). In addition, for every $1.0 million of Supplemental Investment, the Company will issue to UiE a warrant to purchase 84,561 shares of common stock. If the Company elects to receive the maximum amount of Supplemental Investments, the Company would issue to UiE warrants to purchase an aggregate of up to 591,927 shares of common stock (collectively the “Additional Royalty Warrants,” and together with the Initial Royalty Warrant, the “Royalty Interest Agreement Warrants”). As of March 31, 2026, the Company has only issued the Initial Royalty Warrant.</w:t>
      </w:r>
    </w:p>
    <w:p>
      <w:pPr>
        <w:spacing w:after="0" w:line="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Initial Royalty Warrant was deemed to be an equity classified warrant and recorded under additional paid in capital. The fair value of the Initial Royalty Warrant was determined to be $0.8 million (Note 4) and was recorded as a debt discount against the Initial Investment.</w:t>
      </w:r>
    </w:p>
    <w:p>
      <w:pPr>
        <w:spacing w:after="0" w:line="6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The following table shows the activity of the liability related to the sale of future royalties since the date of the Initial Investment through the period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8820" w:type="dxa"/>
            <w:vAlign w:val="bottom"/>
          </w:tcPr>
          <w:p>
            <w:pPr>
              <w:spacing w:after="0"/>
              <w:rPr>
                <w:sz w:val="17"/>
                <w:szCs w:val="17"/>
                <w:color w:val="auto"/>
              </w:rPr>
            </w:pPr>
          </w:p>
        </w:tc>
        <w:tc>
          <w:tcPr>
            <w:tcW w:w="186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March 31, 2026</w:t>
            </w:r>
          </w:p>
        </w:tc>
      </w:tr>
      <w:tr>
        <w:trPr>
          <w:trHeight w:val="56"/>
        </w:trPr>
        <w:tc>
          <w:tcPr>
            <w:tcW w:w="88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338"/>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Upfront payment from the sale of future royalties</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5,000,000</w:t>
            </w:r>
          </w:p>
        </w:tc>
      </w:tr>
      <w:tr>
        <w:trPr>
          <w:trHeight w:val="328"/>
        </w:trPr>
        <w:tc>
          <w:tcPr>
            <w:tcW w:w="8820" w:type="dxa"/>
            <w:vAlign w:val="bottom"/>
          </w:tcPr>
          <w:p>
            <w:pPr>
              <w:ind w:left="100"/>
              <w:spacing w:after="0"/>
              <w:rPr>
                <w:sz w:val="20"/>
                <w:szCs w:val="20"/>
                <w:color w:val="auto"/>
              </w:rPr>
            </w:pPr>
            <w:r>
              <w:rPr>
                <w:rFonts w:ascii="Arial" w:cs="Arial" w:eastAsia="Arial" w:hAnsi="Arial"/>
                <w:sz w:val="18"/>
                <w:szCs w:val="18"/>
                <w:color w:val="auto"/>
              </w:rPr>
              <w:t>Debt issuance cost</w:t>
            </w:r>
          </w:p>
        </w:tc>
        <w:tc>
          <w:tcPr>
            <w:tcW w:w="7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(276,101)</w:t>
            </w:r>
          </w:p>
        </w:tc>
      </w:tr>
      <w:tr>
        <w:trPr>
          <w:trHeight w:val="50"/>
        </w:trPr>
        <w:tc>
          <w:tcPr>
            <w:tcW w:w="8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58"/>
        </w:trPr>
        <w:tc>
          <w:tcPr>
            <w:tcW w:w="8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Relative fair value of Initial Royalty Warrant</w:t>
            </w:r>
          </w:p>
        </w:tc>
        <w:tc>
          <w:tcPr>
            <w:tcW w:w="7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(834,512)</w:t>
            </w:r>
          </w:p>
        </w:tc>
      </w:tr>
      <w:tr>
        <w:trPr>
          <w:trHeight w:val="328"/>
        </w:trPr>
        <w:tc>
          <w:tcPr>
            <w:tcW w:w="8820" w:type="dxa"/>
            <w:vAlign w:val="bottom"/>
          </w:tcPr>
          <w:p>
            <w:pPr>
              <w:ind w:left="100"/>
              <w:spacing w:after="0"/>
              <w:rPr>
                <w:sz w:val="20"/>
                <w:szCs w:val="20"/>
                <w:color w:val="auto"/>
              </w:rPr>
            </w:pPr>
            <w:r>
              <w:rPr>
                <w:rFonts w:ascii="Arial" w:cs="Arial" w:eastAsia="Arial" w:hAnsi="Arial"/>
                <w:sz w:val="18"/>
                <w:szCs w:val="18"/>
                <w:color w:val="auto"/>
              </w:rPr>
              <w:t>Royalty payments</w:t>
            </w:r>
          </w:p>
        </w:tc>
        <w:tc>
          <w:tcPr>
            <w:tcW w:w="7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(10,964)</w:t>
            </w:r>
          </w:p>
        </w:tc>
      </w:tr>
      <w:tr>
        <w:trPr>
          <w:trHeight w:val="50"/>
        </w:trPr>
        <w:tc>
          <w:tcPr>
            <w:tcW w:w="8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78"/>
        </w:trPr>
        <w:tc>
          <w:tcPr>
            <w:tcW w:w="8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Non-cash interest expense and interest payable associated with the sale of future royalties</w:t>
            </w:r>
          </w:p>
        </w:tc>
        <w:tc>
          <w:tcPr>
            <w:tcW w:w="7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1,690,309</w:t>
            </w:r>
          </w:p>
        </w:tc>
      </w:tr>
      <w:tr>
        <w:trPr>
          <w:trHeight w:val="308"/>
        </w:trPr>
        <w:tc>
          <w:tcPr>
            <w:tcW w:w="8820" w:type="dxa"/>
            <w:vAlign w:val="bottom"/>
          </w:tcPr>
          <w:p>
            <w:pPr>
              <w:ind w:left="100"/>
              <w:spacing w:after="0"/>
              <w:rPr>
                <w:sz w:val="20"/>
                <w:szCs w:val="20"/>
                <w:color w:val="auto"/>
              </w:rPr>
            </w:pPr>
            <w:r>
              <w:rPr>
                <w:rFonts w:ascii="Arial" w:cs="Arial" w:eastAsia="Arial" w:hAnsi="Arial"/>
                <w:sz w:val="18"/>
                <w:szCs w:val="18"/>
                <w:color w:val="auto"/>
              </w:rPr>
              <w:t>Liability related to the sale of future royalties</w:t>
            </w:r>
          </w:p>
        </w:tc>
        <w:tc>
          <w:tcPr>
            <w:tcW w:w="7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5,568,732</w:t>
            </w:r>
          </w:p>
        </w:tc>
      </w:tr>
      <w:tr>
        <w:trPr>
          <w:trHeight w:val="50"/>
        </w:trPr>
        <w:tc>
          <w:tcPr>
            <w:tcW w:w="88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877" w:right="339" w:bottom="1440" w:gutter="0" w:footer="0" w:header="0"/>
        </w:sectPr>
      </w:pPr>
    </w:p>
    <w:bookmarkStart w:id="30" w:name="page31"/>
    <w:bookmarkEnd w:id="30"/>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ROYALTY PURCHASE AGREEMENTS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2024, the Company entered into a traditional royalty purchase agreement (the "XACIATO RPA") and a synthetic royalty purchase agreement (the "Synthetic RPA and together with the XACIATO RPA, the “Royalty Purchase Agreements”) with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Under the Royalty Purchase Agreements, the Company sold, assigned, transferred and conveyed its right, title and interest in and to the following to XOMA:</w:t>
      </w:r>
    </w:p>
    <w:p>
      <w:pPr>
        <w:spacing w:after="0" w:line="126" w:lineRule="exact"/>
        <w:rPr>
          <w:sz w:val="20"/>
          <w:szCs w:val="20"/>
          <w:color w:val="auto"/>
        </w:rPr>
      </w:pPr>
    </w:p>
    <w:p>
      <w:pPr>
        <w:jc w:val="both"/>
        <w:ind w:firstLine="656"/>
        <w:spacing w:after="0" w:line="259" w:lineRule="auto"/>
        <w:tabs>
          <w:tab w:leader="none" w:pos="9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spacing w:after="0" w:line="138" w:lineRule="exact"/>
        <w:rPr>
          <w:rFonts w:ascii="Arial" w:cs="Arial" w:eastAsia="Arial" w:hAnsi="Arial"/>
          <w:sz w:val="18"/>
          <w:szCs w:val="18"/>
          <w:color w:val="auto"/>
        </w:rPr>
      </w:pPr>
    </w:p>
    <w:p>
      <w:pPr>
        <w:ind w:firstLine="656"/>
        <w:spacing w:after="0" w:line="287" w:lineRule="auto"/>
        <w:tabs>
          <w:tab w:leader="none" w:pos="9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 of the $20.0 million payment that the Company could have potentially received under the Company's since terminated license agreement with Bayer relating to Ovaprene; and</w:t>
      </w:r>
    </w:p>
    <w:p>
      <w:pPr>
        <w:spacing w:after="0" w:line="112" w:lineRule="exact"/>
        <w:rPr>
          <w:rFonts w:ascii="Arial" w:cs="Arial" w:eastAsia="Arial" w:hAnsi="Arial"/>
          <w:sz w:val="18"/>
          <w:szCs w:val="18"/>
          <w:color w:val="auto"/>
        </w:rPr>
      </w:pPr>
    </w:p>
    <w:p>
      <w:pPr>
        <w:jc w:val="both"/>
        <w:ind w:firstLine="656"/>
        <w:spacing w:after="0" w:line="242" w:lineRule="auto"/>
        <w:tabs>
          <w:tab w:leader="none" w:pos="9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synthetic royalty of 4.0% of the Company's, its affiliates’ and its sublicensees’ future net sales of Ovaprene, and 2.0% of the Company's, its affiliates’ and its sublicensees’ future net sales of Sildenafil Cream and DARE to PLAY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Sildenafil Cream;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XOMA receives total payments under the Royalty Purchase Agreements, net of any Contingent Purchase Price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made to the Company, equal to an amount that exceeds $110.0 million, the foregoing percentages will be reduced to 2.5% and 1.25%, respectively (we refer to the amounts described in this clause (c) as the “Revenue Participation Right”).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XACIATO RPA,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XACIATO RPA. The Company cannot elect to receive any additional funding from UiE under the Royalty Interest Agreement without XOMA’s prior written consent. In connection with the synthetic royalty purchase agreement, the Company granted to XOMA a security interest in certain product assets related to Ovaprene, Sildenafil Cream and DARE to PLAY.</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$22.0 million the Company received from XOMA, less transaction costs of approximately $1.6 million, was allocated to the XACIATO RPA and recorded as other income on the Company's consolidated statement of operations and comprehensive loss in the second quarter of 2024. See Note 2, Basis of Presentation and Summary of Significant Accounting Policies – Sale of Future Payments, to our consolidated financial statements in the 2025 10-K.</w:t>
      </w:r>
    </w:p>
    <w:p>
      <w:pPr>
        <w:spacing w:after="0" w:line="284"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pacing w:after="0" w:line="284" w:lineRule="exact"/>
        <w:rPr>
          <w:sz w:val="20"/>
          <w:szCs w:val="20"/>
          <w:color w:val="auto"/>
        </w:rPr>
      </w:pPr>
    </w:p>
    <w:p>
      <w:pPr>
        <w:ind w:right="8960" w:firstLine="8"/>
        <w:spacing w:after="0" w:line="406" w:lineRule="auto"/>
        <w:tabs>
          <w:tab w:leader="none" w:pos="45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AWARDS </w:t>
      </w:r>
      <w:r>
        <w:rPr>
          <w:rFonts w:ascii="Arial" w:cs="Arial" w:eastAsia="Arial" w:hAnsi="Arial"/>
          <w:sz w:val="18"/>
          <w:szCs w:val="18"/>
          <w:b w:val="1"/>
          <w:bCs w:val="1"/>
          <w:i w:val="1"/>
          <w:iCs w:val="1"/>
          <w:color w:val="auto"/>
        </w:rPr>
        <w:t>October 2024 Grant Award</w:t>
      </w: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2024, the Company entered into a subaward agreement with National Collegiate Inventors and Innovators Alliance, Inc. d/b/a VentureWell (the "CMF") under which the Company is entitled to receive funding of up to $10.0 million in milestone-based payments subject to the Company's achievement over an approximately 24-month period of specified research activities and objectives relating to the advancement of the Company's DARE-HPV development program, including commencement of a Phase 2 clinical study to evaluate the safety and preliminary</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039" w:right="339" w:bottom="1440" w:gutter="0" w:footer="0" w:header="0"/>
          <w:type w:val="continuous"/>
        </w:sectPr>
      </w:pPr>
    </w:p>
    <w:bookmarkStart w:id="31" w:name="page32"/>
    <w:bookmarkEnd w:id="31"/>
    <w:p>
      <w:pPr>
        <w:jc w:val="both"/>
        <w:spacing w:after="0" w:line="268" w:lineRule="auto"/>
        <w:rPr>
          <w:sz w:val="20"/>
          <w:szCs w:val="20"/>
          <w:color w:val="auto"/>
        </w:rPr>
      </w:pPr>
      <w:r>
        <w:rPr>
          <w:rFonts w:ascii="Arial" w:cs="Arial" w:eastAsia="Arial" w:hAnsi="Arial"/>
          <w:sz w:val="18"/>
          <w:szCs w:val="18"/>
          <w:color w:val="auto"/>
        </w:rPr>
        <w:t>efficacy of DARE-HPV for the clearance of high-risk HPV infection in women. The subaward agreement was the result of the Company's selection by Advanced Research Projects Agency for Health (ARPA-H), part of the U.S. Department of Health and Human Services. The CMF is a consortium management firm that received funding from the federal agency for the subaward agreement.</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receives funding in advance and tracks and reports eligible expenses incurred to the federal agency. The Company is required to apply the funds it receives solely toward direct costs for the funded project, other than an approximately 22% indirect cost allowance. An “indirect cost allowance” refers to the portion of the grant funds the Company receives that it may apply toward general overhead and administrative expenses that support the entire operations of the Company and which may be applied as the direct costs for the funded project are incurred. Funds received that have not been spent are recorded both in cash and cash equivalents and in deferred grant funding liability in the Company’s condensed consolidated balance sheets. Funds that have been spent but not yet expensed in accordance with GAAP or not spent on direct costs for the funded project in excess of the indirect cost allowance are also recorded in deferred grant funding liability.</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 March 31, 2026, the Company had received payments totaling $7.5 million under this award. The Company recorded credits to research and development expense of approximately $ 0.6 million and $ 0.6 million for costs related to this award for the three months ended March 31, 2026 and March 31, 2025, respectively. As of March 31, 2026 and December 31, 2025, the Company recorded approximately $ 3.4 million and $2.0 million in deferred grant funding liability related to this award in the Company's condensed consolidated balance sheets,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NICHD and NIH Non-Dilutive Grant Funding</w:t>
      </w:r>
    </w:p>
    <w:p>
      <w:pPr>
        <w:spacing w:after="0" w:line="2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received notices of awards and grant funding from NICHD and the National Institutes of Health, or NIH, to support the development of several of its product candidates. NICHD and the NIH issue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 The federal agency that administers funding to the NIH is the Small Business Innovation Research (SBIR). In October 2025, legislative authority for the SBIR program expired, halting new solicitations and continuation awards across federal agencies, including NIH. On April 13, 2026, the Small Business Innovation and Economic Security Act (S. 3971) was signed into law, reauthorizing the SBIR and STTR programs through September 30, 2031. While the legal barrier to funding has been lifted, NIH is working through administrative backlogs resulting from the lapse, and the Company has been informed that drawdowns on its existing awards are not yet available pending NIH's resumption of normal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DARE-HPV</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December 2024, the Company received a notice of award from the National Institute of Allergy and Infectious Diseases (NIAID), a component of the NIH, that the Company was awarded a $ 1.0 million grant in support of non-clinical activities for the development of DARE-HPV for an initial project year of December 2024 through November 2025, and that an additional $1.0 million was recommended for the subsequent project year, subject to the availability of funds and satisfactory progress of the project, as determined by NIAID. The Company recorded credits to research and development expense of $0 and approximately $31,000 for costs related to this award during the three months ended March 31, 2026 and March 31, 2025, respectively. The Company recorded a receivable of $0 and $11,000 at March 31, 2026 and December 31, 2025,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DARE-PTB1</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2023, the Company received a notice of award from NICHD of approximately $2.0 million to support the development of DARE-PTB1. The award is to be used to support what is referred to as the "Phase II" segment of the project outlined in the Company's grant application through November 2026. The Company recorded credits to research and development expense for costs related to this award of $0 and approximately $0.2 million during the three months ended March 31, 2026 and March 31, 2025 respectively. At March 31, 2026 and December 31, 2025, the Company had no outstanding receivable under this award.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769"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color w:val="auto"/>
        </w:rPr>
        <w:t>Other Non-Dilutive Grant Funding</w:t>
      </w:r>
    </w:p>
    <w:p>
      <w:pPr>
        <w:spacing w:after="0" w:line="1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described below, the Company has received substantial funding under grant agreements it entered into with the Foundation. The Company receives funding in advance and tracks and reports eligible expenses incurred to the Foundation. The Company is required to apply the funds it receives solely toward direct costs for the funded projects, other than an approximately 5% to 15% indirect cost allowance (see “—October 2024 Grant Awards" for more information regarding the indirect cost allowance). Funds received that have not been spent are recorded both in cash and cash equivalents and in deferred grant funding liability in the Company’s consolidated balance sheets. Funds spent but not yet expensed in accordance with GAAP or not spent on direct costs for the funded project in excess of the indirect cost allowance are also recorded in deferred grant funding liability.</w:t>
      </w:r>
    </w:p>
    <w:p>
      <w:pPr>
        <w:spacing w:after="0" w:line="1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grant agreements include the Foundation's standard discretionary termination provisions. Any grant funds received that have not been committed to the funded project or spent in compliance with the applicable grant agreement must be returned promptly to the Foundation upon expiration or termination of the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2024 Contraceptive Product Candidate Grant Agreement</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2024, the Company entered into a grant agreement with the Foundation under which the Company was awarded a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The term of the agreement, as amended, extends through January 2027. An initial payment of approximately $5.4 million was made to the Company in November 2024 and a second payment of approximately $3.6 million was made to the Company in November 2025. Additional payments are contingent upon the Company's achievement of specified development and reporting milestones during the term of the grant agreement. The Company will track and report eligible expenses incurred to the Foundation.</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Company recorded credits to research and development expense of approximately $1.2 million and $0.8 million for costs related to this award for the three months ended March 31, 2026 and March 31, 2025, respectively. As of March 31, 2026 and December 31, 2025, the Company had recorded approximately $3.9 million and $5.1 million of deferred grant funding liability related to this award in the Company's condensed consolidated balance sheets, respectively.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2021 DARE-LARC1 Grant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2021, the Company entered into an agreement with the Foundation under which the Company was awarded up to approximately $49.0 million to support the development of DARE-LARC1. The term of the agreement, as amended, extends through December 2027. The agreement supports technology development and preclinical activities to advance DARE-LARC1 through nonclinical proof-of-principle studies and other IND-enabling work to allow for the submission of an investigational new drug, or IND, application with the FDA, approval of which will be required to commence testing in humans.</w:t>
      </w:r>
    </w:p>
    <w:p>
      <w:pPr>
        <w:spacing w:after="0" w:line="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2026, the Company had received a cumulative total of approximately $41.8 million under the agreement. Additional payments are contingent upon the DARE-LARC1 program’s achievement of specified development and reporting milestones. The Company recorded credits to research and development expense of approximately $1.7 million and $1.5 million for costs related to this award for the three months ended March 31, 2026 and March 31, 2025, respectively. As of March 31, 2026 and December 31, 2025, the Company had recorded approximately $10.9 million and $12.6 million of deferred grant funding liability related to this award in the Company's condensed consolidated balance sheets, respectively.</w:t>
      </w:r>
    </w:p>
    <w:p>
      <w:pPr>
        <w:spacing w:after="0" w:line="290"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87" w:right="339" w:bottom="1440" w:gutter="0" w:footer="0" w:header="0"/>
        </w:sectPr>
      </w:pPr>
    </w:p>
    <w:bookmarkStart w:id="33" w:name="page34"/>
    <w:bookmarkEnd w:id="33"/>
    <w:p>
      <w:pPr>
        <w:spacing w:after="0" w:line="308" w:lineRule="auto"/>
        <w:rPr>
          <w:sz w:val="20"/>
          <w:szCs w:val="20"/>
          <w:color w:val="auto"/>
        </w:rPr>
      </w:pPr>
      <w:r>
        <w:rPr>
          <w:rFonts w:ascii="Arial" w:cs="Arial" w:eastAsia="Arial" w:hAnsi="Arial"/>
          <w:sz w:val="18"/>
          <w:szCs w:val="18"/>
          <w:color w:val="auto"/>
        </w:rPr>
        <w:t>paid-in capital, if any, when the option or warrant is exercised are assumed to be used to repurchase shares in the current period</w:t>
      </w:r>
      <w:r>
        <w:rPr>
          <w:rFonts w:ascii="Arial" w:cs="Arial" w:eastAsia="Arial" w:hAnsi="Arial"/>
          <w:sz w:val="19"/>
          <w:szCs w:val="19"/>
          <w:color w:val="auto"/>
        </w:rPr>
        <w:t>.</w:t>
      </w:r>
      <w:r>
        <w:rPr>
          <w:rFonts w:ascii="Arial" w:cs="Arial" w:eastAsia="Arial" w:hAnsi="Arial"/>
          <w:sz w:val="18"/>
          <w:szCs w:val="18"/>
          <w:color w:val="auto"/>
        </w:rPr>
        <w:t xml:space="preserve"> Dilutive securities are excluded from the diluted EPS calculation if their effect is anti-dilutive.</w:t>
      </w:r>
    </w:p>
    <w:p>
      <w:pPr>
        <w:spacing w:after="0" w:line="24"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following potentially dilutive outstanding securities were excluded from diluted EPS for the period indicated because of their anti-dilutive effect: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Potentially dilutive securities</w:t>
            </w:r>
          </w:p>
        </w:tc>
        <w:tc>
          <w:tcPr>
            <w:tcW w:w="30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2"/>
        </w:trPr>
        <w:tc>
          <w:tcPr>
            <w:tcW w:w="7980" w:type="dxa"/>
            <w:vAlign w:val="bottom"/>
            <w:gridSpan w:val="2"/>
            <w:vMerge w:val="continue"/>
          </w:tcPr>
          <w:p>
            <w:pPr>
              <w:spacing w:after="0"/>
              <w:rPr>
                <w:sz w:val="18"/>
                <w:szCs w:val="18"/>
                <w:color w:val="auto"/>
              </w:rPr>
            </w:pPr>
          </w:p>
        </w:tc>
        <w:tc>
          <w:tcPr>
            <w:tcW w:w="1960" w:type="dxa"/>
            <w:vAlign w:val="bottom"/>
            <w:gridSpan w:val="3"/>
          </w:tcPr>
          <w:p>
            <w:pPr>
              <w:jc w:val="center"/>
              <w:ind w:left="1017"/>
              <w:spacing w:after="0"/>
              <w:rPr>
                <w:sz w:val="20"/>
                <w:szCs w:val="20"/>
                <w:color w:val="auto"/>
              </w:rPr>
            </w:pPr>
            <w:r>
              <w:rPr>
                <w:rFonts w:ascii="Arial" w:cs="Arial" w:eastAsia="Arial" w:hAnsi="Arial"/>
                <w:sz w:val="14"/>
                <w:szCs w:val="14"/>
                <w:b w:val="1"/>
                <w:bCs w:val="1"/>
                <w:color w:val="auto"/>
              </w:rPr>
              <w:t>March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6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305"/>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1,820,742</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1,119,010</w:t>
            </w:r>
          </w:p>
        </w:tc>
        <w:tc>
          <w:tcPr>
            <w:tcW w:w="0" w:type="dxa"/>
            <w:vAlign w:val="bottom"/>
          </w:tcPr>
          <w:p>
            <w:pPr>
              <w:spacing w:after="0"/>
              <w:rPr>
                <w:sz w:val="1"/>
                <w:szCs w:val="1"/>
                <w:color w:val="auto"/>
              </w:rPr>
            </w:pPr>
          </w:p>
        </w:tc>
      </w:tr>
      <w:tr>
        <w:trPr>
          <w:trHeight w:val="324"/>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Common stock warrants</w:t>
            </w:r>
          </w:p>
        </w:tc>
        <w:tc>
          <w:tcPr>
            <w:tcW w:w="1460" w:type="dxa"/>
            <w:vAlign w:val="bottom"/>
          </w:tcPr>
          <w:p>
            <w:pPr>
              <w:jc w:val="right"/>
              <w:ind w:right="137"/>
              <w:spacing w:after="0"/>
              <w:rPr>
                <w:sz w:val="20"/>
                <w:szCs w:val="20"/>
                <w:color w:val="auto"/>
              </w:rPr>
            </w:pPr>
            <w:r>
              <w:rPr>
                <w:rFonts w:ascii="Arial" w:cs="Arial" w:eastAsia="Arial" w:hAnsi="Arial"/>
                <w:sz w:val="18"/>
                <w:szCs w:val="18"/>
                <w:color w:val="auto"/>
              </w:rPr>
              <w:t>1,399,851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1,268,571</w:t>
            </w:r>
          </w:p>
        </w:tc>
        <w:tc>
          <w:tcPr>
            <w:tcW w:w="0" w:type="dxa"/>
            <w:vAlign w:val="bottom"/>
          </w:tcPr>
          <w:p>
            <w:pPr>
              <w:spacing w:after="0"/>
              <w:rPr>
                <w:sz w:val="1"/>
                <w:szCs w:val="1"/>
                <w:color w:val="auto"/>
              </w:rPr>
            </w:pPr>
          </w:p>
        </w:tc>
      </w:tr>
      <w:tr>
        <w:trPr>
          <w:trHeight w:val="31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issuable upon conversion of Series A Preferred Stock</w:t>
            </w:r>
          </w:p>
        </w:tc>
        <w:tc>
          <w:tcPr>
            <w:tcW w:w="14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131,280</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Common stock issuable upon exercise or conversion of the securities underlying the Agent Units</w:t>
            </w:r>
          </w:p>
        </w:tc>
        <w:tc>
          <w:tcPr>
            <w:tcW w:w="1460" w:type="dxa"/>
            <w:vAlign w:val="bottom"/>
            <w:vMerge w:val="restart"/>
          </w:tcPr>
          <w:p>
            <w:pPr>
              <w:jc w:val="right"/>
              <w:ind w:right="137"/>
              <w:spacing w:after="0"/>
              <w:rPr>
                <w:sz w:val="20"/>
                <w:szCs w:val="20"/>
                <w:color w:val="auto"/>
              </w:rPr>
            </w:pPr>
            <w:r>
              <w:rPr>
                <w:rFonts w:ascii="Arial" w:cs="Arial" w:eastAsia="Arial" w:hAnsi="Arial"/>
                <w:sz w:val="18"/>
                <w:szCs w:val="18"/>
                <w:color w:val="auto"/>
              </w:rPr>
              <w:t>7,872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vMerge w:val="restart"/>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7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3,359,745</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2,387,582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(“CODM”), in deciding how to allocate resources and in assessing performance. The Company and the Company’s chief operating decision maker view the Company’s operations and manage its business in one operating segment, which is the business of identifying, developing and commercializing pharmaceutical products that target unmet needs in women's health. The CODM, who is the chief executive officer (“CEO”), manages and allocates resources to the operations of the Company on a consolidated basis. The Company’s measure of segment profit or loss is net loss. Managing and allocating resources on a consolidated basis enables the CEO to assess the overall level of resources available and how to best deploy these resources across functions and research and development projects that are in line with the Company’s long-term company-wide strategic goals. Consistent with this decision-making process, the CEO uses consolidated financial information for purposes of evaluating performance, forecasting future period financial results, allocating resources and setting incentive targets. Operating expenses are used to monitor budget versus actual results. The CODM does not review assets in evaluating the results of the Company, and therefore, such information is not presented. In addition, substantially all of the Company's revenue was generated in the United States and substantially all of the Company's long-lived assets reside in the United States.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segment's financial information including the Company’s significant segment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41" w:right="339" w:bottom="1440" w:gutter="0" w:footer="0" w:header="0"/>
        </w:sectPr>
      </w:pPr>
    </w:p>
    <w:bookmarkStart w:id="34" w:name="page35"/>
    <w:bookmarkEnd w:id="34"/>
    <w:p>
      <w:pPr>
        <w:jc w:val="center"/>
        <w:ind w:left="810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24"/>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Research and development services and royalty revenue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152,455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25,427</w:t>
            </w:r>
          </w:p>
        </w:tc>
      </w:tr>
      <w:tr>
        <w:trPr>
          <w:trHeight w:val="30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152,455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25,427</w:t>
            </w:r>
          </w:p>
        </w:tc>
      </w:tr>
      <w:tr>
        <w:trPr>
          <w:trHeight w:val="30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242,325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 program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324"/>
        </w:trPr>
        <w:tc>
          <w:tcPr>
            <w:tcW w:w="8320" w:type="dxa"/>
            <w:vAlign w:val="bottom"/>
          </w:tcPr>
          <w:p>
            <w:pPr>
              <w:ind w:left="360"/>
              <w:spacing w:after="0"/>
              <w:rPr>
                <w:sz w:val="20"/>
                <w:szCs w:val="20"/>
                <w:color w:val="auto"/>
              </w:rPr>
            </w:pPr>
            <w:r>
              <w:rPr>
                <w:rFonts w:ascii="Arial" w:cs="Arial" w:eastAsia="Arial" w:hAnsi="Arial"/>
                <w:sz w:val="18"/>
                <w:szCs w:val="18"/>
                <w:color w:val="auto"/>
              </w:rPr>
              <w:t xml:space="preserve">Ovaprene </w:t>
            </w:r>
            <w:r>
              <w:rPr>
                <w:rFonts w:ascii="Arial" w:cs="Arial" w:eastAsia="Arial" w:hAnsi="Arial"/>
                <w:sz w:val="23"/>
                <w:szCs w:val="23"/>
                <w:color w:val="auto"/>
                <w:vertAlign w:val="superscript"/>
              </w:rPr>
              <w:t>(1)</w:t>
            </w:r>
          </w:p>
        </w:tc>
        <w:tc>
          <w:tcPr>
            <w:tcW w:w="28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w w:val="99"/>
              </w:rPr>
              <w:t>1,231,760</w:t>
            </w:r>
          </w:p>
        </w:tc>
        <w:tc>
          <w:tcPr>
            <w:tcW w:w="120" w:type="dxa"/>
            <w:vAlign w:val="bottom"/>
          </w:tcPr>
          <w:p>
            <w:pPr>
              <w:spacing w:after="0"/>
              <w:rPr>
                <w:sz w:val="24"/>
                <w:szCs w:val="24"/>
                <w:color w:val="auto"/>
              </w:rPr>
            </w:pPr>
          </w:p>
        </w:tc>
        <w:tc>
          <w:tcPr>
            <w:tcW w:w="1300" w:type="dxa"/>
            <w:vAlign w:val="bottom"/>
            <w:gridSpan w:val="2"/>
          </w:tcPr>
          <w:p>
            <w:pPr>
              <w:jc w:val="right"/>
              <w:ind w:right="131"/>
              <w:spacing w:after="0"/>
              <w:rPr>
                <w:sz w:val="20"/>
                <w:szCs w:val="20"/>
                <w:color w:val="auto"/>
              </w:rPr>
            </w:pPr>
            <w:r>
              <w:rPr>
                <w:rFonts w:ascii="Arial" w:cs="Arial" w:eastAsia="Arial" w:hAnsi="Arial"/>
                <w:sz w:val="18"/>
                <w:szCs w:val="18"/>
                <w:color w:val="auto"/>
              </w:rPr>
              <w:t>1,495,727</w:t>
            </w:r>
          </w:p>
        </w:tc>
      </w:tr>
      <w:tr>
        <w:trPr>
          <w:trHeight w:val="324"/>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Sildenafil Cream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67,791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211,389</w:t>
            </w:r>
          </w:p>
        </w:tc>
      </w:tr>
      <w:tr>
        <w:trPr>
          <w:trHeight w:val="324"/>
        </w:trPr>
        <w:tc>
          <w:tcPr>
            <w:tcW w:w="8320" w:type="dxa"/>
            <w:vAlign w:val="bottom"/>
          </w:tcPr>
          <w:p>
            <w:pPr>
              <w:ind w:left="360"/>
              <w:spacing w:after="0"/>
              <w:rPr>
                <w:sz w:val="20"/>
                <w:szCs w:val="20"/>
                <w:color w:val="auto"/>
              </w:rPr>
            </w:pPr>
            <w:r>
              <w:rPr>
                <w:rFonts w:ascii="Arial" w:cs="Arial" w:eastAsia="Arial" w:hAnsi="Arial"/>
                <w:sz w:val="18"/>
                <w:szCs w:val="18"/>
                <w:color w:val="auto"/>
              </w:rPr>
              <w:t>Other advanced clinical stage programs</w:t>
            </w:r>
          </w:p>
        </w:tc>
        <w:tc>
          <w:tcPr>
            <w:tcW w:w="28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375,763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490,562</w:t>
            </w:r>
          </w:p>
        </w:tc>
      </w:tr>
      <w:tr>
        <w:trPr>
          <w:trHeight w:val="324"/>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Phase 1 and Phase 1-ready clinical stage programs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96,055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496,747</w:t>
            </w:r>
          </w:p>
        </w:tc>
      </w:tr>
      <w:tr>
        <w:trPr>
          <w:trHeight w:val="324"/>
        </w:trPr>
        <w:tc>
          <w:tcPr>
            <w:tcW w:w="8320" w:type="dxa"/>
            <w:vAlign w:val="bottom"/>
          </w:tcPr>
          <w:p>
            <w:pPr>
              <w:ind w:left="360"/>
              <w:spacing w:after="0"/>
              <w:rPr>
                <w:sz w:val="20"/>
                <w:szCs w:val="20"/>
                <w:color w:val="auto"/>
              </w:rPr>
            </w:pPr>
            <w:r>
              <w:rPr>
                <w:rFonts w:ascii="Arial" w:cs="Arial" w:eastAsia="Arial" w:hAnsi="Arial"/>
                <w:sz w:val="18"/>
                <w:szCs w:val="18"/>
                <w:color w:val="auto"/>
              </w:rPr>
              <w:t>Preclinical stage programs</w:t>
            </w:r>
          </w:p>
        </w:tc>
        <w:tc>
          <w:tcPr>
            <w:tcW w:w="28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w w:val="99"/>
              </w:rPr>
              <w:t>1,168,379</w:t>
            </w:r>
          </w:p>
        </w:tc>
        <w:tc>
          <w:tcPr>
            <w:tcW w:w="120" w:type="dxa"/>
            <w:vAlign w:val="bottom"/>
          </w:tcPr>
          <w:p>
            <w:pPr>
              <w:spacing w:after="0"/>
              <w:rPr>
                <w:sz w:val="24"/>
                <w:szCs w:val="24"/>
                <w:color w:val="auto"/>
              </w:rPr>
            </w:pPr>
          </w:p>
        </w:tc>
        <w:tc>
          <w:tcPr>
            <w:tcW w:w="1300" w:type="dxa"/>
            <w:vAlign w:val="bottom"/>
            <w:gridSpan w:val="2"/>
          </w:tcPr>
          <w:p>
            <w:pPr>
              <w:jc w:val="right"/>
              <w:ind w:right="131"/>
              <w:spacing w:after="0"/>
              <w:rPr>
                <w:sz w:val="20"/>
                <w:szCs w:val="20"/>
                <w:color w:val="auto"/>
              </w:rPr>
            </w:pPr>
            <w:r>
              <w:rPr>
                <w:rFonts w:ascii="Arial" w:cs="Arial" w:eastAsia="Arial" w:hAnsi="Arial"/>
                <w:sz w:val="18"/>
                <w:szCs w:val="18"/>
                <w:color w:val="auto"/>
              </w:rPr>
              <w:t>1,098,738</w:t>
            </w:r>
          </w:p>
        </w:tc>
      </w:tr>
      <w:tr>
        <w:trPr>
          <w:trHeight w:val="324"/>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Contra-R&amp;D expenses </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(3,069,146)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(2,618,373)</w:t>
            </w:r>
          </w:p>
        </w:tc>
      </w:tr>
      <w:tr>
        <w:trPr>
          <w:trHeight w:val="304"/>
        </w:trPr>
        <w:tc>
          <w:tcPr>
            <w:tcW w:w="8320" w:type="dxa"/>
            <w:vAlign w:val="bottom"/>
          </w:tcPr>
          <w:p>
            <w:pPr>
              <w:ind w:left="240"/>
              <w:spacing w:after="0"/>
              <w:rPr>
                <w:sz w:val="20"/>
                <w:szCs w:val="20"/>
                <w:color w:val="auto"/>
              </w:rPr>
            </w:pPr>
            <w:r>
              <w:rPr>
                <w:rFonts w:ascii="Arial" w:cs="Arial" w:eastAsia="Arial" w:hAnsi="Arial"/>
                <w:sz w:val="18"/>
                <w:szCs w:val="18"/>
                <w:color w:val="auto"/>
              </w:rPr>
              <w:t>Total research and development direct program costs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(129,398)</w:t>
            </w:r>
          </w:p>
        </w:tc>
        <w:tc>
          <w:tcPr>
            <w:tcW w:w="120" w:type="dxa"/>
            <w:vAlign w:val="bottom"/>
          </w:tcPr>
          <w:p>
            <w:pPr>
              <w:spacing w:after="0"/>
              <w:rPr>
                <w:sz w:val="24"/>
                <w:szCs w:val="24"/>
                <w:color w:val="auto"/>
              </w:rPr>
            </w:pPr>
          </w:p>
        </w:tc>
        <w:tc>
          <w:tcPr>
            <w:tcW w:w="1300" w:type="dxa"/>
            <w:vAlign w:val="bottom"/>
            <w:gridSpan w:val="2"/>
          </w:tcPr>
          <w:p>
            <w:pPr>
              <w:jc w:val="right"/>
              <w:ind w:right="131"/>
              <w:spacing w:after="0"/>
              <w:rPr>
                <w:sz w:val="20"/>
                <w:szCs w:val="20"/>
                <w:color w:val="auto"/>
              </w:rPr>
            </w:pPr>
            <w:r>
              <w:rPr>
                <w:rFonts w:ascii="Arial" w:cs="Arial" w:eastAsia="Arial" w:hAnsi="Arial"/>
                <w:sz w:val="18"/>
                <w:szCs w:val="18"/>
                <w:color w:val="auto"/>
              </w:rPr>
              <w:t>1,174,790</w:t>
            </w:r>
          </w:p>
        </w:tc>
      </w:tr>
      <w:tr>
        <w:trPr>
          <w:trHeight w:val="229"/>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Indirect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324"/>
        </w:trPr>
        <w:tc>
          <w:tcPr>
            <w:tcW w:w="8320" w:type="dxa"/>
            <w:vAlign w:val="bottom"/>
          </w:tcPr>
          <w:p>
            <w:pPr>
              <w:ind w:left="360"/>
              <w:spacing w:after="0"/>
              <w:rPr>
                <w:sz w:val="20"/>
                <w:szCs w:val="20"/>
                <w:color w:val="auto"/>
              </w:rPr>
            </w:pPr>
            <w:r>
              <w:rPr>
                <w:rFonts w:ascii="Arial" w:cs="Arial" w:eastAsia="Arial" w:hAnsi="Arial"/>
                <w:sz w:val="18"/>
                <w:szCs w:val="18"/>
                <w:color w:val="auto"/>
              </w:rPr>
              <w:t>Personnel-related (including stock-based compensation)</w:t>
            </w:r>
          </w:p>
        </w:tc>
        <w:tc>
          <w:tcPr>
            <w:tcW w:w="28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w w:val="99"/>
              </w:rPr>
              <w:t>1,192,862</w:t>
            </w:r>
          </w:p>
        </w:tc>
        <w:tc>
          <w:tcPr>
            <w:tcW w:w="120" w:type="dxa"/>
            <w:vAlign w:val="bottom"/>
          </w:tcPr>
          <w:p>
            <w:pPr>
              <w:spacing w:after="0"/>
              <w:rPr>
                <w:sz w:val="24"/>
                <w:szCs w:val="24"/>
                <w:color w:val="auto"/>
              </w:rPr>
            </w:pPr>
          </w:p>
        </w:tc>
        <w:tc>
          <w:tcPr>
            <w:tcW w:w="1300" w:type="dxa"/>
            <w:vAlign w:val="bottom"/>
            <w:gridSpan w:val="2"/>
          </w:tcPr>
          <w:p>
            <w:pPr>
              <w:jc w:val="right"/>
              <w:ind w:right="131"/>
              <w:spacing w:after="0"/>
              <w:rPr>
                <w:sz w:val="20"/>
                <w:szCs w:val="20"/>
                <w:color w:val="auto"/>
              </w:rPr>
            </w:pPr>
            <w:r>
              <w:rPr>
                <w:rFonts w:ascii="Arial" w:cs="Arial" w:eastAsia="Arial" w:hAnsi="Arial"/>
                <w:sz w:val="18"/>
                <w:szCs w:val="18"/>
                <w:color w:val="auto"/>
              </w:rPr>
              <w:t>1,492,248</w:t>
            </w:r>
          </w:p>
        </w:tc>
      </w:tr>
      <w:tr>
        <w:trPr>
          <w:trHeight w:val="324"/>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indirect costs</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28,846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78,735</w:t>
            </w:r>
          </w:p>
        </w:tc>
      </w:tr>
      <w:tr>
        <w:trPr>
          <w:trHeight w:val="324"/>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 R&amp;D expenses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(431,848)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(448,392)</w:t>
            </w:r>
          </w:p>
        </w:tc>
      </w:tr>
      <w:tr>
        <w:trPr>
          <w:trHeight w:val="304"/>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 indirect costs</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789,860</w:t>
            </w:r>
          </w:p>
        </w:tc>
        <w:tc>
          <w:tcPr>
            <w:tcW w:w="120" w:type="dxa"/>
            <w:vAlign w:val="bottom"/>
            <w:shd w:val="clear" w:color="auto" w:fill="CCEEFF"/>
          </w:tcPr>
          <w:p>
            <w:pPr>
              <w:spacing w:after="0"/>
              <w:rPr>
                <w:sz w:val="24"/>
                <w:szCs w:val="24"/>
                <w:color w:val="auto"/>
              </w:rPr>
            </w:pPr>
          </w:p>
        </w:tc>
        <w:tc>
          <w:tcPr>
            <w:tcW w:w="1300" w:type="dxa"/>
            <w:vAlign w:val="bottom"/>
            <w:tcBorders>
              <w:bottom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1,122,591</w:t>
            </w:r>
          </w:p>
        </w:tc>
      </w:tr>
      <w:tr>
        <w:trPr>
          <w:trHeight w:val="304"/>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research and development</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660,462</w:t>
            </w: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8"/>
                <w:szCs w:val="18"/>
                <w:color w:val="auto"/>
              </w:rPr>
              <w:t>2,297,381</w:t>
            </w:r>
          </w:p>
        </w:tc>
      </w:tr>
      <w:tr>
        <w:trPr>
          <w:trHeight w:val="304"/>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2,248,566</w:t>
            </w:r>
          </w:p>
        </w:tc>
        <w:tc>
          <w:tcPr>
            <w:tcW w:w="120" w:type="dxa"/>
            <w:vAlign w:val="bottom"/>
            <w:shd w:val="clear" w:color="auto" w:fill="CCEEFF"/>
          </w:tcPr>
          <w:p>
            <w:pPr>
              <w:spacing w:after="0"/>
              <w:rPr>
                <w:sz w:val="24"/>
                <w:szCs w:val="24"/>
                <w:color w:val="auto"/>
              </w:rPr>
            </w:pPr>
          </w:p>
        </w:tc>
        <w:tc>
          <w:tcPr>
            <w:tcW w:w="1300" w:type="dxa"/>
            <w:vAlign w:val="bottom"/>
            <w:tcBorders>
              <w:bottom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2,309,164</w:t>
            </w:r>
          </w:p>
        </w:tc>
      </w:tr>
      <w:tr>
        <w:trPr>
          <w:trHeight w:val="30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2,909,028</w:t>
            </w: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8"/>
                <w:szCs w:val="18"/>
                <w:color w:val="auto"/>
              </w:rPr>
              <w:t>4,606,545</w:t>
            </w:r>
          </w:p>
        </w:tc>
      </w:tr>
      <w:tr>
        <w:trPr>
          <w:trHeight w:val="30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(2,998,898)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(4,581,118)</w:t>
            </w:r>
          </w:p>
        </w:tc>
      </w:tr>
      <w:tr>
        <w:trPr>
          <w:trHeight w:val="324"/>
        </w:trPr>
        <w:tc>
          <w:tcPr>
            <w:tcW w:w="83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199,394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134,050</w:t>
            </w:r>
          </w:p>
        </w:tc>
      </w:tr>
      <w:tr>
        <w:trPr>
          <w:trHeight w:val="324"/>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(156,621)</w:t>
            </w:r>
          </w:p>
        </w:tc>
      </w:tr>
      <w:tr>
        <w:trPr>
          <w:trHeight w:val="324"/>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6,715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180,240</w:t>
            </w:r>
          </w:p>
        </w:tc>
      </w:tr>
      <w:tr>
        <w:trPr>
          <w:trHeight w:val="311"/>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(2,999,889)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(4,378,307)</w:t>
            </w:r>
          </w:p>
        </w:tc>
      </w:tr>
    </w:tbl>
    <w:p>
      <w:pPr>
        <w:spacing w:after="0" w:line="10" w:lineRule="exact"/>
        <w:rPr>
          <w:sz w:val="20"/>
          <w:szCs w:val="20"/>
          <w:color w:val="auto"/>
        </w:rPr>
      </w:pPr>
    </w:p>
    <w:p>
      <w:pPr>
        <w:ind w:left="680" w:right="240" w:hanging="330"/>
        <w:spacing w:after="0" w:line="232" w:lineRule="auto"/>
        <w:tabs>
          <w:tab w:leader="none" w:pos="670"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applicable program(s) receive grant funding and/or the Tax Incentive. The amount of R&amp;D expense for the period indicated is shown on a gross basis (i.e., without deducting the amount of contra R&amp;D expense for the applicable program(s). See footnote (3) below.</w:t>
      </w:r>
    </w:p>
    <w:p>
      <w:pPr>
        <w:spacing w:after="0" w:line="47" w:lineRule="exact"/>
        <w:rPr>
          <w:rFonts w:ascii="Arial" w:cs="Arial" w:eastAsia="Arial" w:hAnsi="Arial"/>
          <w:sz w:val="18"/>
          <w:szCs w:val="18"/>
          <w:i w:val="1"/>
          <w:iCs w:val="1"/>
          <w:color w:val="auto"/>
        </w:rPr>
      </w:pPr>
    </w:p>
    <w:p>
      <w:pPr>
        <w:ind w:left="660" w:hanging="310"/>
        <w:spacing w:after="0"/>
        <w:tabs>
          <w:tab w:leader="none" w:pos="660"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of expenses includes expenses for Sildenafil Cream, 3.6% and DARE to PLAY Sildenafil Cream.</w:t>
      </w:r>
    </w:p>
    <w:p>
      <w:pPr>
        <w:spacing w:after="0" w:line="74" w:lineRule="exact"/>
        <w:rPr>
          <w:rFonts w:ascii="Arial" w:cs="Arial" w:eastAsia="Arial" w:hAnsi="Arial"/>
          <w:sz w:val="18"/>
          <w:szCs w:val="18"/>
          <w:i w:val="1"/>
          <w:iCs w:val="1"/>
          <w:color w:val="auto"/>
        </w:rPr>
      </w:pPr>
    </w:p>
    <w:p>
      <w:pPr>
        <w:ind w:left="660" w:hanging="310"/>
        <w:spacing w:after="0"/>
        <w:tabs>
          <w:tab w:leader="none" w:pos="660"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These contra R&amp;D expenses were recognized as follows for the three months ended March 31, 2026 and 2025: (a) Ovaprene,</w:t>
      </w:r>
    </w:p>
    <w:p>
      <w:pPr>
        <w:ind w:left="680"/>
        <w:spacing w:after="0" w:line="203" w:lineRule="auto"/>
        <w:rPr>
          <w:rFonts w:ascii="Arial" w:cs="Arial" w:eastAsia="Arial" w:hAnsi="Arial"/>
          <w:sz w:val="18"/>
          <w:szCs w:val="18"/>
          <w:i w:val="1"/>
          <w:iCs w:val="1"/>
          <w:color w:val="auto"/>
        </w:rPr>
      </w:pPr>
      <w:r>
        <w:rPr>
          <w:rFonts w:ascii="Arial" w:cs="Arial" w:eastAsia="Arial" w:hAnsi="Arial"/>
          <w:sz w:val="18"/>
          <w:szCs w:val="18"/>
          <w:i w:val="1"/>
          <w:iCs w:val="1"/>
          <w:color w:val="auto"/>
        </w:rPr>
        <w:t>$1.0 million, and $0.5 million, respectively; (b) Other advanced clinical stage programs, $0.4 million and $0.5 million, respectively,</w:t>
      </w:r>
    </w:p>
    <w:p>
      <w:pPr>
        <w:ind w:left="680" w:right="240"/>
        <w:spacing w:after="0" w:line="229" w:lineRule="auto"/>
        <w:rPr>
          <w:rFonts w:ascii="Arial" w:cs="Arial" w:eastAsia="Arial" w:hAnsi="Arial"/>
          <w:sz w:val="18"/>
          <w:szCs w:val="18"/>
          <w:i w:val="1"/>
          <w:iCs w:val="1"/>
          <w:color w:val="auto"/>
        </w:rPr>
      </w:pPr>
      <w:r>
        <w:rPr>
          <w:rFonts w:ascii="Arial" w:cs="Arial" w:eastAsia="Arial" w:hAnsi="Arial"/>
          <w:sz w:val="18"/>
          <w:szCs w:val="18"/>
          <w:i w:val="1"/>
          <w:iCs w:val="1"/>
          <w:color w:val="auto"/>
        </w:rPr>
        <w:t>(c) Phase 1 and Phase 1-ready clinical stage programs, $0 and $0.1 million, respectively; and (d) Preclinical stage programs, $1.7 million and $1.6 million, respectively.</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80" w:lineRule="exact"/>
        <w:rPr>
          <w:rFonts w:ascii="Arial" w:cs="Arial" w:eastAsia="Arial" w:hAnsi="Arial"/>
          <w:sz w:val="18"/>
          <w:szCs w:val="18"/>
          <w:i w:val="1"/>
          <w:iCs w:val="1"/>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-1644650</wp:posOffset>
            </wp:positionV>
            <wp:extent cx="1739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 Offering</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In April and May 2026, the Company issued an aggregate of 219,680 Investor Units consisting of 219,680 shares of Series A Preferred Stock and Investor Warrants to purchase up to 439,360 shares of the Company’s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886" w:right="339" w:bottom="1440" w:gutter="0" w:footer="0" w:header="0"/>
          <w:type w:val="continuous"/>
        </w:sectPr>
      </w:pPr>
    </w:p>
    <w:bookmarkStart w:id="35" w:name="page36"/>
    <w:bookmarkEnd w:id="35"/>
    <w:p>
      <w:pPr>
        <w:jc w:val="both"/>
        <w:ind w:right="20"/>
        <w:spacing w:after="0" w:line="287" w:lineRule="auto"/>
        <w:rPr>
          <w:sz w:val="20"/>
          <w:szCs w:val="20"/>
          <w:color w:val="auto"/>
        </w:rPr>
      </w:pPr>
      <w:r>
        <w:rPr>
          <w:rFonts w:ascii="Arial" w:cs="Arial" w:eastAsia="Arial" w:hAnsi="Arial"/>
          <w:sz w:val="18"/>
          <w:szCs w:val="18"/>
          <w:color w:val="auto"/>
        </w:rPr>
        <w:t>common stock, for gross proceeds of approximately $1.1 million. The Company issued Agent Unit Warrants to purchase up to 6,590 Agent Units in connection with the foregoing.</w:t>
      </w:r>
    </w:p>
    <w:p>
      <w:pPr>
        <w:spacing w:after="0" w:line="1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Subsequent to March 31, 2026, 210,000 shares of Series A Preferred Stock were converted in accordance with the certificate of designation of the Series A Preferred Stock into 420,000 shares of the Company's common stock. Taking into account these conversions, as of May 13, 2026, the Company had a total of 14,979,502 shares of common stock and 75,320 shares of Series A Preferred Stock outstanding.</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Receipt of Payment Under October 2024 Grant Award</w:t>
      </w:r>
    </w:p>
    <w:p>
      <w:pPr>
        <w:spacing w:after="0" w:line="22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May 8, 2026, the Company received a $1.5 million payment from CMF under the agreement the Company entered into with CMF in October 2024 to support the development of DARE-HPV. For a discussion of this agreement, see Note 10, Grant Awards. Taking into account this payment, the Company has received a cumulative total of approximately $9.0 million of the up to $10.0 million in potential funding under this award.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94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unaudited condensed consolidated financial statements and notes thereto included in this Quarterly Report on Form 10-Q and our audited consolidated financial statements and notes thereto for the year ended December 31, 2025 included in our Annual Report on Form 10-K for the year ended December 31, 2025, or our 2025 10-K, filed with the Securities and Exchange Commission, or SEC, on March 26, 2026. Past operating results are not necessarily indicative of results that may occur in future periods.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2025 10-K, and in our subsequent filings with the SEC, including any discussed in Part II, Item 1A of this report under the heading “Risk Factors,” which are incorporated herein by reference.</w:t>
      </w:r>
    </w:p>
    <w:p>
      <w:pPr>
        <w:spacing w:after="0" w:line="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and DARE to PLAY™, DARE to RESTORE™, and DARE to RECLAIM™ are trademarks of Daré Bioscience, Inc. with registration pending.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XACIATO® is a registered trademark of N.V. Organon.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are a purpose-driven health biotech company solely focused on closing the gap in women's health between promising science and real-world solutions. Every innovation we advance is based in advanced science and backed by rigorous, peer-reviewed research. From contraception to menopause, pelvic pain to fertility, vaginal health to infectious disease, we’re working to close critical gaps in care using science that serves her needs.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2025, we announced an expansion of our business model to include a dual-path approach to bringing new products to market. For select proprietary formulations, we are pursuing both traditional FDA approval and earlier market access via Section 503B compounding. We believe this strategy allows us to respond to clinician and patient demand for timely access while continuing to generate the data necessary to seek FDA approval and support long-term value creation. In addition to prescription-based offerings — both FDA-approved products and compounded drugs— we intend to bring to market select consumer health products that do not require a physician’s prescription, where appropriate based on product profile and market opportunity.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503B Compounding</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proprietary topical cream formulation of sildenafil is our first product to market under Section 503B. The compounded drug is branded as DARE to PLAY Sildenafil Cream and became available for pre-order fulfillment by prescription in the U.S. in December 2025. We expect to begin shipping product and recording revenue from sales thereof in the third quarter of 2026, however, we do not expect the amount of such revenue, if any, to be material during 2026. Because we are in the early stages of executing against our Section 503B compounding strategy and, as an organization, we have no experience in and limited infrastructure for commercializing products, the amount of potential revenue we may generate during 2026 remains uncertain.</w:t>
      </w:r>
    </w:p>
    <w:p>
      <w:pPr>
        <w:spacing w:after="0" w:line="15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are also taking action to bring our proprietary estradiol progesterone intravaginal ring (DARE-HRT1) to market under Section 503B. The compounded product will be branded as DARE to RECLAIM. We are targeting to have DARE to RECLAIM available in 2027. There are no FDA-approved products that provide estradiol and progesterone together in a non-oral monthly form.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Consumer Health Products - DARE to RESTORE</w:t>
      </w:r>
    </w:p>
    <w:p>
      <w:pPr>
        <w:spacing w:after="0" w:line="198"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The first product in our DARE to RESTORE vaginal probiotic suppositories product line, Flora Sync LF5, is expected to become commercially available in the U.S. in June 2026.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Pipeline: Clinical Stage and Pre-Clinical Stage Programs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product candidates are in various stages of development, from pre-clinical through a pivotal Phase 3 clinical study, and will require review and approval from the FDA, or a comparable foreign regulatory authority, prior to being marketed and sold. The most clinically advanced product candidates we are developing are: Ovaprene®, an investigational, hormone-free, monthly intravaginal contraceptive currently being evaluated in a pivotal Phase 3 clinical study; Sildenafil Cream, 3.6%, or Sildenafil Cream, an investigational cream formulation of sildenafil, the active ingredient in Viagra®, for topical administration for the treatment of female sexual arousal disorder, or FSAD; DARE-HRT1, an intravaginal ring designed to deliver combination menopausal hormone therapy, bio-identical 17β-estradiol and progesterone together, continuously over a 28-day period for the treatment of moderate to severe vasomotor symptoms, also known as hot flashes; DARE-VVA1, an investigational formulation of tamoxifen in a soft gelatin capsule for intravaginal administration as a hormone-free alternative to estrogen-based therapies for the treatment of moderate-to-severe dyspareunia, or pain during sexual intercourse; and DARE-HPV, an investigational, proprietary fixed-dose formulation of lopinavir and ritonavir in a soft gel vaginal insert for the treatment of genital human papillomavirus (HPV) infection in women as well as treatment of cervical intraepithelial neoplasia (also known as cervical dysplasia), and other HPV-related pathologies. See ITEM 1. "BUSINESS," in Part I of our 2025 10-K and “—Recent Events—Product Candidate Updates,” below, for additional information regarding our product candidates.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XACIATO®</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first FDA-approved product to emerge from our portfolio is XACIATO® (clindamycin phosphate) vaginal gel 2%, or XACIATO, was approved by the FDA in December 2021, as a single-dose prescription medication for the treatment of bacterial vaginosis in females 12 years of age and older. In 2022, we licensed exclusive worldwide rights to develop, manufacture and commercialize XACIATO to Organon and in April 2024, we sold our rights to all royalty and potential milestone payments based on net sales of XACIATO under our agreement with Organon to XOMA. See Note 3 “Strategic Agreements” and Note 8 “Royalty Purchase Agreements” to the condensed consolidated financial statements included in this report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operations consist of research and development activities to advance our portfolio of product candidates through late-stage clinical development and/or regulatory approval, and commercialization activities for the 503B and consumer health products we seek to bring to market. Until we secure additional capital to fund our operating needs, we will focus our research and development resources primarily on advancement of Ovaprene. In addition, we expect to incur significant research and development expenses for the DARE-LARC1 and DARE-HPV programs, but we also expect such expenses will be supported by non-dilutive funding, with respect to DARE-LARC1, through December 2027, and with respect to DARE-HPV, through October 2026. See Note 10, "Grant Awards" to the accompanying condensed consolidated financial statements for additional information.</w:t>
      </w:r>
    </w:p>
    <w:p>
      <w:pPr>
        <w:spacing w:after="0" w:line="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limited sales, marketing and distribution infrastructure, and currently, we do not intend to build our own sales force or marketing and distribution infrastructure. However, reflecting the shift in our business model, we have been and will be allocating resources to support commercial execution activities, including entering into and maintaining relationships with 503B-registered outsourcing facilities, dispensing pharmacies, telehealth providers and other third parties to help bring our proprietary formulations to market.</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As discussed below, we will need to raise substantial additional capital to continue to fund our operations and execute our current business strategy. Our business is subject to a number of risks common to biopharmaceutical companies (see Item 1A. Risk Factors in Part</w:t>
      </w:r>
    </w:p>
    <w:p>
      <w:pPr>
        <w:spacing w:after="0" w:line="2" w:lineRule="exact"/>
        <w:rPr>
          <w:sz w:val="20"/>
          <w:szCs w:val="20"/>
          <w:color w:val="auto"/>
        </w:rPr>
      </w:pPr>
    </w:p>
    <w:p>
      <w:pPr>
        <w:jc w:val="both"/>
        <w:ind w:firstLine="8"/>
        <w:spacing w:after="0" w:line="253" w:lineRule="auto"/>
        <w:tabs>
          <w:tab w:leader="none" w:pos="1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this report) and the process of developing and obtaining regulatory approvals for prescription drug and drug/device products in the United States and in foreign jurisdictions is inherently uncertain and requires the expenditure of substantial financial resources without any guarantee of success. The commercialization of a product and compliance with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94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Recent Events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 Updates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Ovaprene®</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Enrollment is ongoing in our pivotal Phase 3 multicenter, single-arm, non-comparative clinical study of Ovaprene to evaluate its effectiveness as a contraceptive along with its safety and acceptability (ClinicalTrials.gov ID: NCT06127199). We intend to maintain active recruitment at five study sites, supported by funding received under a grant agreement we entered into in November 2024.</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2026, the study's data safety monitoring board (DSMB), an independent group of experts which evaluates the safety and integrity of the study, conducted a second planned interim analysis and recommended the study continue without modification. As was the case with the data presented to the DSMB in July 2025, these interim data showed that approximately 9% of the women treated in the study had experienced a pregnancy. No new types of adverse events or tolerability concerns were identified. Neither an increase in the frequency of adverse events nor the emergence of new types of adverse events was observed with prolonged Ovaprene use. Approximately 12% of participants discontinued the study due to vaginal odor, the most commonly reported product-related adverse event, which is a 5% decrease compared to data reviewed by the DSMB in July 2025. No serious adverse events related to the study device were identified. A majority of participants who had completed the study reported they would be very likely or likely to use Ovaprene if it became available.</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interim analysis, the DSMB reviewed data from 339 study subjects, contributing 1,789 menstrual cycles of safety data. The study protocol calls for at least 2,500 cycles of exposure and at least 250 subjects completing 13 menstrual cycles of use. Based on current enrollment trends, we expect to achieve 2,500 menstrual cycles of exposure before 250 subjects complete 13 menstrual cycles of use. Interim data reviewed by the DSMB indicate that prolonged product use was not associated with the emergence of new types of adverse events or an increase in the frequency of adverse events, which we believe may support the sufficiency of fewer than 250 subjects completing 13 menstrual cycles of use to evaluate Ovaprene's safety profile. We intend to engage with FDA regarding these findings. We currently expect to complete enrollment sufficient to achieve at least 2,500 menstrual cycles of exposure in 2026.</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DARE-HPV</w:t>
      </w:r>
    </w:p>
    <w:p>
      <w:pPr>
        <w:spacing w:after="0" w:line="19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February 2026, we announced FDA clearance of our investigational new drug, or IND, application for a Phase 2 clinical study of DARE-HPV to evaluate the safety and antiviral activity of DARE-HPV in women with persistent high-risk HPV infection. The planned Phase 2 study is expected to be supported by ARPA-H award funding. We are preparing to advance DARE-HPV into the Phase 2 study in May 2026.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Receipt of Payments Under October 2024 Grant Award</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and February 2026, we received payments of $1.5 million and $2.0 million, respectively, under the subaward agreement we entered into with National Collegiate Inventors and Innovators Alliance, Inc. d/b/a VentureWell in October 2024 to support the development of DARE-HPV, which was the result of our selection for an initiative award by the Advanced Research Projects Agency for Health (ARPA-H), part of the U.S. Department of Health and Human Services. For a discussion of this agreement, see Note 10, "Grant Awards" to the accompanying condensed consolidated financial statements. Taking into account these payments, we have received a cumulative total of approximately $9.0 million of the up to $10.0 million in potential funding under the subaward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 Offering</w:t>
      </w:r>
    </w:p>
    <w:p>
      <w:pPr>
        <w:spacing w:after="0" w:line="1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January 2026, we commenced a Regulation A offering of up to 4,854,000 units, each consisting of one share of our Series A convertible preferred stock, which is convertible into two shares of our common stock, and two warrants, each exercisable for one share of our common stock at an exercise price of $4.00 per share, and we completed the initial closing thereunder. The offering price of each unit is $5.00.</w:t>
      </w:r>
    </w:p>
    <w:p>
      <w:pPr>
        <w:spacing w:after="0" w:line="1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offering is being conducted on a “best efforts” basis pursuant to a selling agency agreement, dated January 5, 2026, between us and Digital Offering, LLC, acting as the lead selling agent for the offering. Digital Offering is not required to sell any specific number or dollar amount of units in the offering. The offering will terminate at the earliest of (i) the date on which the maximum offering amount of units has been sold, (ii) January 5, 2027 (one year after the date on which the offering statement on Form 1-A (File No. 024-12688), as amended, was qualified by the SEC), and (iii) the date on which we determine to terminate the offering, which we may do in our sole discretion at any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944" w:right="339" w:bottom="1440" w:gutter="0" w:footer="0" w:header="0"/>
        </w:sectPr>
      </w:pPr>
    </w:p>
    <w:bookmarkStart w:id="39" w:name="page40"/>
    <w:bookmarkEnd w:id="39"/>
    <w:p>
      <w:pPr>
        <w:jc w:val="both"/>
        <w:spacing w:after="0" w:line="268" w:lineRule="auto"/>
        <w:rPr>
          <w:sz w:val="20"/>
          <w:szCs w:val="20"/>
          <w:color w:val="auto"/>
        </w:rPr>
      </w:pPr>
      <w:r>
        <w:rPr>
          <w:rFonts w:ascii="Arial" w:cs="Arial" w:eastAsia="Arial" w:hAnsi="Arial"/>
          <w:sz w:val="18"/>
          <w:szCs w:val="18"/>
          <w:color w:val="auto"/>
        </w:rPr>
        <w:t>time and for any reason or no reason. See Note 4, "Stockholders’ Equity—Designation of Series A Preferred Stock” and “--Regulation A Offering" and Note 13, "Subsequent Events--Regulation A Offering" to the accompanying condensed consolidated financial statements and “Liquidity and Capital Resources–Capital Resources” below for additional information about the Regulation A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On July 24, 2025, we received a letter from the Nasdaq Office of General Counsel confirming that we had demonstrated compliance with the stockholders’ equity requirement in Nasdaq Listing Rule 5550(b)(1) that our stockholders' equity be at least $2.5 million, or the Stockholders’ Equity Rule, and that we are therefore in compliance with the Nasdaq Capital Market's continued listing requirements. We are subject to a mandatory monitoring period of one-year from July 24, 2025. The July 2025 letter stated that if, within that one-year period, the Nasdaq Listing Qualifications Staff determines that we fall out of compliance with the Stockholders' Equity Rule, the Staff will issue a delist determination letter, and we will have an opportunity to request a new hearing with Nasdaq's Hearing Panel. Notwithstanding Nasdaq Listing Rule 5810(c)(2), the July 2025 letter also stated we will not be permitted to provide a plan of compliance to the Staff with respect to such non-compliance, the Staff will not be permitted to grant us additional time to regain compliance, and we will not be afforded a cure period pursuant to Nasdaq Listing Rule 5810(c)(3). We were not in compliance with the Stockholders’ Equity Rule as of March 31, 2026. Under Nasdaq Listing Rule 5550(b), an alternative to satisfying the Stockholders' Equity Rule is that the market value of our common stock be at least $35 million (which is calculated by multiplying the consolidated closing bid price of our common stock by the total number of shares of our common stock outstanding), or the Market Value of Listed Securities Rule. While the market value of our common stock has exceeded $35 million from time to time, including in May 2026, no assurances can be given that we will satisfy the Market Value of Listed Securities Rule at the time the Staff assesses our compliance with Nasdaq Listing Rule 5550(b). Unless the Staff determines that we satisfy the Market Value of Listed Securities Rule, we expect the Staff will issue a delist determination letter. In that event, we intend to request a new hearing with Nasdaq's Hearing Panel, though there can be no assurance that any such hearing would result in a favorable outcome. See the risk factor titled, </w:t>
      </w:r>
      <w:r>
        <w:rPr>
          <w:rFonts w:ascii="Arial" w:cs="Arial" w:eastAsia="Arial" w:hAnsi="Arial"/>
          <w:sz w:val="18"/>
          <w:szCs w:val="18"/>
          <w:i w:val="1"/>
          <w:iCs w:val="1"/>
          <w:color w:val="auto"/>
        </w:rPr>
        <w:t>There is no assurance that we will continue satisfying the listing requirements of the Nasdaq Capital Market</w:t>
      </w:r>
      <w:r>
        <w:rPr>
          <w:rFonts w:ascii="Arial" w:cs="Arial" w:eastAsia="Arial" w:hAnsi="Arial"/>
          <w:sz w:val="18"/>
          <w:szCs w:val="18"/>
          <w:color w:val="auto"/>
        </w:rPr>
        <w:t>, in Item 1A of Part II of our 2025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Political, and Regulatory Environment Considerations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financial condition, operating results, and our ability to raise additional capital may be adversely affected by the uncertainty in the U.S. and global macroeconomic, political, and regulatory environments, such as inflation, trade disruptions and restrictive measures, including tariffs, high interest rates, slowed economic growth or recession, uncertainty with respect to the federal budget and debt ceiling, potential or prolonged U.S. government shutdowns, volatility in financial markets, changes in the regulatory landscape in the U.S., including due to significant reductions in funding and staffing of federal agencies and changes in leadership, and geopolitical factors. Unstable and unfavorable market and economic conditions may make it more difficult, more costly, and more dilutive to our stockholders to raise additional capital to fund our operations and execute against our business strategy, as well as adversely impact market demand for the women’s health solutions we bring to market. Further, the service providers, manufacturers, vendors, and collaborators on which we rely may be adversely affected by the foregoing risks, which could directly impact our ability to achieve our operating goals within planned timelines and budgets.</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may be significant future effects on the women's health sector and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Recent initiatives have resulted in material reductions in staffing levels at the FDA and NIH, including through workforce reductions and reorganizations, and have impacted the agencies’ ability to retain remaining key personnel and hire additional personnel, disrupting their ability to perform routine activities or function in the normal course. A prolonged federal government shutdown with additional agency staff furloughed or laid off could exacerbate these risks. With respect to the FDA, this may result in delays or limitations on our ability to obtain guidance from agency staff, slow review times for applications we submit to commence clinical studies and obtain requisite regulatory approvals in the future, and consequently, negatively impact the cost and timelines for developing and obtaining regulatory approval of our product candidates. Moreover, our business strategy has included seeking non-dilutive sources of funding and collaborations to support product development, and we have benefited significantly from federal government funding through grants and other agreements in support of several of our development programs, including Ovaprene and DARE-HPV. Beginning in early 2025, the U.S. presidential administration took actions to freeze or terminate billions of dollars in NIH grants. In addition, although the Small Business Innovation and Economic Security Act (S. 3971), signed into law in April 2026, reauthorized the SBIR and STTR programs through September 30, 2031 following a lapse in legislative authority 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944" w:right="3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October 2025, NIH continues to work through resulting administrative backlogs, and we have been informed that drawdowns on our existing awards are not yet available. See Note 10 “Grant Awards” to the accompanying condensed consolidated financial statements. Our business, financial condition and operating results may be significantly adversely affected if existing grants or other arrangements supporting our development programs are frozen or terminated or we are unable to secure additional grants or other federal government funding in the future. Given the high level of uncertainty regarding federal policy and enforcement and regulatory changes and that circumstances are rapidly evolving, including as a result of legal challenges to recent federal government actions, we are not able to reasonably predict the full extent of the potential impact on our business at this time. For additional information, see the risk factors described in Part II, Item 1A, Risk Factors in this report and Part I, Item 1A. Risk Factors in our 2025 10-K.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To date, substantially all of our revenue for 2026 relates to two agreements we entered into with the Gates Foundation, or the Foundation, under which we provide research and development services related to preeclampsia and the contraceptive market. We commenced work under both agreements in November 2025. We may receive up to approximately $499,000 under the agreement related to preeclampsia, and up to approximately $300,000 under the agreement related to the contraceptive market.</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All of our revenue for 2025 was royalties from net sales of XACIATO, which have been paid to UiE under our royalty interest financing agreement with UiE, and recognized as non-cash royalty revenue.</w:t>
      </w:r>
    </w:p>
    <w:p>
      <w:pPr>
        <w:spacing w:after="0" w:line="1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future, we may generate revenue from license fees, milestone payments, and research and development payments in connection with strategic collaborations, and from product sales, including sales of 503B compounded products, consumer health products, and FDA-approved products, if any. We expect to begin recording revenue from sales of DARE to PLAY in the third quarter of 2026 and of Flora Sync LF5 in June 2026. Our ability to generate such revenue will depend on the extent to which we are successful in executing against our Section 503B and consumer health product business models, the extent to which the clinical development of our product candidates is successful, and whether we or a strategic collaborator receive the regulatory approvals necessary to market such product candidates, as well as the eventual commercial success of any FDA-approved products. If we fail to successfully achieve any of the foregoing, our ability to generate future revenue and our results of operations would be materially adversely affected. For information regarding potential payments to upstream licensors, see Note 3 “Strategic Agreements” to the accompanying condensed consolidated financial statements. For information regarding our contractual obligations to XOMA and UiE, see Note 8 “Royalty Purchase Agreements” and Note 7 “Royalty Interest Financing,” respectively, to the accompanying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9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Cost of revenues primarily represent expenses associated with medical education and consumer awareness related to the commercialization of DARE to PLAY through our 503B business model and the costs of providing research and development services to the Foundation.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Research and development, or R&amp;D, represents a core operational focus. We are advancing multiple product candidates through preclinical and clinical development, supported in part by significant non-dilutive grant funding from governmental and non-governmental organizations.</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Although our R&amp;D activities remain substantial, as explained in more detail below, grant funding and other financial awards offset a significant portion of our R&amp;D expenses. As a result, our reported operating expenses may appear to be weighted more heavily toward selling, general and administrative, or SG&amp;A, expenses. However, this reflects the reduction to R&amp;D expenses (contra R&amp;D expense) as a result of grant funding and other financial awards, rather than a reduction in our commitment to or investment in R&amp;D activities.</w:t>
      </w:r>
    </w:p>
    <w:p>
      <w:pPr>
        <w:spacing w:after="0" w:line="13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We expect our R&amp;D expenses will continue to represent the majority of our operating expenses, on a pre-contra R&amp;D expenses basis, for at least the next twelve months. R&amp;D expenses consist primarily of:</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769" w:right="339" w:bottom="1440" w:gutter="0" w:footer="0" w:header="0"/>
        </w:sectPr>
      </w:pPr>
    </w:p>
    <w:bookmarkStart w:id="41" w:name="page42"/>
    <w:bookmarkEnd w:id="41"/>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program costs, including:</w:t>
      </w:r>
    </w:p>
    <w:p>
      <w:pPr>
        <w:spacing w:after="0" w:line="117" w:lineRule="exact"/>
        <w:rPr>
          <w:rFonts w:ascii="Arial" w:cs="Arial" w:eastAsia="Arial" w:hAnsi="Arial"/>
          <w:sz w:val="18"/>
          <w:szCs w:val="18"/>
          <w:color w:val="auto"/>
        </w:rPr>
      </w:pPr>
    </w:p>
    <w:p>
      <w:pPr>
        <w:jc w:val="both"/>
        <w:ind w:left="980" w:right="20" w:hanging="405"/>
        <w:spacing w:after="0" w:line="268" w:lineRule="auto"/>
        <w:tabs>
          <w:tab w:leader="none" w:pos="976"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expenses incurred under agreements with clinical research organizations (CROs), investigative sites and other third parties that assist in the conduct of our clinical trials and nonclinical studies and conduct other R&amp;D and regulatory affairs activities on our behalf,</w:t>
      </w:r>
    </w:p>
    <w:p>
      <w:pPr>
        <w:spacing w:after="0" w:line="62" w:lineRule="exact"/>
        <w:rPr>
          <w:rFonts w:ascii="Arial" w:cs="Arial" w:eastAsia="Arial" w:hAnsi="Arial"/>
          <w:sz w:val="18"/>
          <w:szCs w:val="18"/>
          <w:color w:val="auto"/>
        </w:rPr>
      </w:pPr>
    </w:p>
    <w:p>
      <w:pPr>
        <w:ind w:left="980" w:hanging="405"/>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materials for use in our clinical trials and nonclinical studies;</w:t>
      </w:r>
    </w:p>
    <w:p>
      <w:pPr>
        <w:spacing w:after="0" w:line="117" w:lineRule="exact"/>
        <w:rPr>
          <w:rFonts w:ascii="Arial" w:cs="Arial" w:eastAsia="Arial" w:hAnsi="Arial"/>
          <w:sz w:val="18"/>
          <w:szCs w:val="18"/>
          <w:color w:val="auto"/>
        </w:rPr>
      </w:pPr>
    </w:p>
    <w:p>
      <w:pPr>
        <w:ind w:left="980" w:right="20" w:hanging="405"/>
        <w:spacing w:after="0" w:line="281" w:lineRule="auto"/>
        <w:tabs>
          <w:tab w:leader="none" w:pos="9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expenses related to production of select proprietary formulations by 503B-registered outsourcing facilities prior to commercial launch of the product via Section 503B compounding;</w:t>
      </w:r>
    </w:p>
    <w:p>
      <w:pPr>
        <w:spacing w:after="0" w:line="1" w:lineRule="exact"/>
        <w:rPr>
          <w:rFonts w:ascii="Arial" w:cs="Arial" w:eastAsia="Arial" w:hAnsi="Arial"/>
          <w:sz w:val="18"/>
          <w:szCs w:val="18"/>
          <w:color w:val="auto"/>
        </w:rPr>
      </w:pPr>
    </w:p>
    <w:p>
      <w:pPr>
        <w:ind w:left="980" w:hanging="405"/>
        <w:spacing w:after="0"/>
        <w:tabs>
          <w:tab w:leader="none" w:pos="980" w:val="left"/>
        </w:tabs>
        <w:numPr>
          <w:ilvl w:val="1"/>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transaction costs related to acquisitions of companies, technologies and related intellectual property, and other assets, and</w:t>
      </w:r>
    </w:p>
    <w:p>
      <w:pPr>
        <w:spacing w:after="0" w:line="63" w:lineRule="exact"/>
        <w:rPr>
          <w:rFonts w:ascii="Arial" w:cs="Arial" w:eastAsia="Arial" w:hAnsi="Arial"/>
          <w:sz w:val="18"/>
          <w:szCs w:val="18"/>
          <w:b w:val="1"/>
          <w:bCs w:val="1"/>
          <w:i w:val="1"/>
          <w:iCs w:val="1"/>
          <w:color w:val="auto"/>
        </w:rPr>
      </w:pPr>
    </w:p>
    <w:p>
      <w:pPr>
        <w:ind w:left="980" w:hanging="405"/>
        <w:spacing w:after="0" w:line="287" w:lineRule="auto"/>
        <w:tabs>
          <w:tab w:leader="none" w:pos="1003" w:val="left"/>
        </w:tabs>
        <w:numPr>
          <w:ilvl w:val="1"/>
          <w:numId w:val="29"/>
        </w:numPr>
        <w:rPr>
          <w:rFonts w:ascii="Arial" w:cs="Arial" w:eastAsia="Arial" w:hAnsi="Arial"/>
          <w:sz w:val="18"/>
          <w:szCs w:val="18"/>
          <w:color w:val="auto"/>
        </w:rPr>
      </w:pPr>
      <w:r>
        <w:rPr>
          <w:rFonts w:ascii="Arial" w:cs="Arial" w:eastAsia="Arial" w:hAnsi="Arial"/>
          <w:sz w:val="18"/>
          <w:szCs w:val="18"/>
          <w:color w:val="auto"/>
        </w:rPr>
        <w:t>milestone payments due to third parties under acquisition and in-licensing arrangements based on our product candidates' achievement of R&amp;D and regulatory milestones specified therein, and</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indirect costs, including:</w:t>
      </w:r>
    </w:p>
    <w:p>
      <w:pPr>
        <w:spacing w:after="0" w:line="117" w:lineRule="exact"/>
        <w:rPr>
          <w:rFonts w:ascii="Arial" w:cs="Arial" w:eastAsia="Arial" w:hAnsi="Arial"/>
          <w:sz w:val="18"/>
          <w:szCs w:val="18"/>
          <w:color w:val="auto"/>
        </w:rPr>
      </w:pPr>
    </w:p>
    <w:p>
      <w:pPr>
        <w:ind w:left="980" w:hanging="405"/>
        <w:spacing w:after="0" w:line="281" w:lineRule="auto"/>
        <w:tabs>
          <w:tab w:leader="none" w:pos="1017"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personnel-related costs, including salaries, bonuses, benefits, payroll taxes, and stock-based compensation expenses for employees engaged in R&amp;D functions,</w:t>
      </w:r>
    </w:p>
    <w:p>
      <w:pPr>
        <w:spacing w:after="0" w:line="1" w:lineRule="exact"/>
        <w:rPr>
          <w:rFonts w:ascii="Arial" w:cs="Arial" w:eastAsia="Arial" w:hAnsi="Arial"/>
          <w:sz w:val="18"/>
          <w:szCs w:val="18"/>
          <w:color w:val="auto"/>
        </w:rPr>
      </w:pPr>
    </w:p>
    <w:p>
      <w:pPr>
        <w:ind w:left="980" w:hanging="405"/>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costs of services performed by third parties, including consulting services,</w:t>
      </w:r>
    </w:p>
    <w:p>
      <w:pPr>
        <w:spacing w:after="0" w:line="63" w:lineRule="exact"/>
        <w:rPr>
          <w:rFonts w:ascii="Arial" w:cs="Arial" w:eastAsia="Arial" w:hAnsi="Arial"/>
          <w:sz w:val="18"/>
          <w:szCs w:val="18"/>
          <w:color w:val="auto"/>
        </w:rPr>
      </w:pPr>
    </w:p>
    <w:p>
      <w:pPr>
        <w:ind w:left="980" w:hanging="405"/>
        <w:spacing w:after="0" w:line="281" w:lineRule="auto"/>
        <w:tabs>
          <w:tab w:leader="none" w:pos="103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facilities-related costs, including rent and maintenance costs, and insurance, depreciation, supplies, and miscellaneous expenses, and</w:t>
      </w:r>
    </w:p>
    <w:p>
      <w:pPr>
        <w:spacing w:after="0" w:line="1" w:lineRule="exact"/>
        <w:rPr>
          <w:rFonts w:ascii="Arial" w:cs="Arial" w:eastAsia="Arial" w:hAnsi="Arial"/>
          <w:sz w:val="18"/>
          <w:szCs w:val="18"/>
          <w:color w:val="auto"/>
        </w:rPr>
      </w:pPr>
    </w:p>
    <w:p>
      <w:pPr>
        <w:ind w:left="980" w:hanging="405"/>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costs related to travel, conference participation, service contracts, information technology, dues and subscriptions.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R&amp;D expenses as they are incurred. External expenses are recognized based on our evaluation of the progress to completion of specific tasks using information provided to us by our service providers or our estimate of the amount of services that has been performed at each reporting date. Nonrefundable payments we make prior to the receipt of goods or services to be used in R&amp;D are recognized as an expense as the related goods are delivered or services are performed. Milestone payments to third parties under acquisition, license, and option agreements are recognized as they are incurred or when we deem their incurrence to be probable.</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generally track direct R&amp;D costs on a specific basis and present direct costs for our key development programs on a program-by-program basis. We present direct costs for all other programs on a consolidated basis generally by stage of development. Specifically, we present consolidated direct costs for (a) such programs that are in (i) advanced clinical development (Phase 2-ready to Phase 3), (ii) Phase 1 clinical development or that we believe are Phase 1-ready, and (iii) preclinical stage, and (b) other development programs. We do not track indirect costs on a program-by-program basis because those costs generally are deployed across multiple development programs.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the Australian Research and Development Tax Incentive Program, or the Tax Incentive, as a reduction of R&amp;D expenses (contra R&amp;D expense). The amounts are determined based on our eligible R&amp;D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received, and may in the future receive, funding through grants and other financial awards from governmental entities, private foundations and other organizations that support activities related to the development of certain of our product candidates. As we incur eligible expenses under those grants or awards, we recognize grant funding in the statements of operations as a reduction to R&amp;D expenses (contra-R&amp;D expense). For more information, see Note 2 "Basis of Presentation and Summary of Significant Accounting Policies– Grant Funding" to our consolidated financial statements contained in our 2025 10-K and Note 10 "Grant Awards" to the accompanying condensed consolidated financial statements. We recognized contra-R&amp;D expense of approximately $3.5 million and $3.1 million for the three months ended March 31, 2026 and 2025, respectively.</w:t>
      </w:r>
    </w:p>
    <w:p>
      <w:pPr>
        <w:spacing w:after="0" w:line="142"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At any one time, we are working on multiple programs at various stages of development. We anticipate that we will make determinations as to which product candidates to pursue and how much funding to direct to each development program on an ongoing basis based on our cash position and capital resources and in response to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944" w:right="339" w:bottom="1440" w:gutter="0" w:footer="0" w:header="0"/>
        </w:sectPr>
      </w:pPr>
    </w:p>
    <w:bookmarkStart w:id="42" w:name="page43"/>
    <w:bookmarkEnd w:id="42"/>
    <w:p>
      <w:pPr>
        <w:jc w:val="both"/>
        <w:spacing w:after="0" w:line="287" w:lineRule="auto"/>
        <w:rPr>
          <w:sz w:val="20"/>
          <w:szCs w:val="20"/>
          <w:color w:val="auto"/>
        </w:rPr>
      </w:pPr>
      <w:r>
        <w:rPr>
          <w:rFonts w:ascii="Arial" w:cs="Arial" w:eastAsia="Arial" w:hAnsi="Arial"/>
          <w:sz w:val="18"/>
          <w:szCs w:val="18"/>
          <w:color w:val="auto"/>
        </w:rPr>
        <w:t>results of ongoing and future clinical trials and preclinical studies, regulatory developments, and our ongoing assessments as to the commercial potential of each product candidate.</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R&amp;D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R&amp;D expenses due to, among other factors, milestone payments. Conducting clinical trials necessary to obtain regulatory approval is costly and time consuming. We may not obtain regulatory approval for any product candidate on a timely or cost-effective basis, or at all. Our future R&amp;D expenses and the probability of success of our product candidates may be affected by numerous factors, including the number, scope, rate of progress, expense, and results of our clinical trials and nonclinical R&amp;D activities, the countries in which our clinical trials are conducted, the phase of clinical development of our product candidates, the cost and timing of manufacturing our product candidates, our ability to scale up manufacturing as needed to support later-stage clinical trials and, if approved, commercialization of our product candidates, the extent of changes in government regulation and regulatory guidance relating to development and approval of our product candidates, the timing, receipt, and terms of any clearances to conduct clinical trials and any marketing approvals from applicable regulatory authorities, competition and commercial viability of our product candidates, the extent to which we establish and maintain intellectual property rights, the extent to which we establish and maintain license, collaboration, or other arrangements. As a result, we cannot accurately determine the duration and completion costs of development projects or if, when and to what extent we will generate revenue from any products we develop.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SG&amp;A expenses consist of personnel costs, facility expenses, expenses for outside professional services, including legal, audit and accounting services, commercial-readiness expenses, including for Section 503B compounded drug products and consumer health products, and milestone expenses. Personnel costs consist of salaries, benefits and stock-based compensation. Facility expenses consist of rent and other related costs. Commercial-readiness expenses consist of consultant and advisor costs. Milestone expenses consist of amounts that become due to third parties under our in-license or other agreements under which we acquired rights to technology or other intellectual property we use in a product based on the product's achievement of commercial milestones specified therein.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condensed consolidated financial statements, that we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in our 2025 10-K. Since December 31, 2025, there have been no material changes to our critical accounting policies or the methodologies or assumptions we apply under them except for as described below.</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944"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i w:val="1"/>
          <w:iCs w:val="1"/>
          <w:color w:val="auto"/>
        </w:rPr>
        <w:t>Research and Development Services Revenue</w:t>
      </w:r>
    </w:p>
    <w:p>
      <w:pPr>
        <w:spacing w:after="0" w:line="25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We entered into two services agreements with the Foundation (the “Foundation Services Agreements”) pursuant to which we provide research and development support services. Revenue from these arrangements is recognized in accordance with ASC 606. Additional information is included in Note 2 to the accompanying condensed consolidated financial statements.</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consider revenue recognition under the Foundation Services Agreements to be a critical accounting policy due to the judgments required in determining the appropriate pattern of revenue recognition and in measuring variable consideration. We recognize revenue over time under both agreements. This determination requires judgment in evaluating whether the customer simultaneously receives and consumes the benefits of our performance or whether our performance creates an asset with no alternative use and an enforceable right to payment for performance completed to date. These conclusions are based on the specific contractual terms and the nature of the services provided. The transaction price under the Foundation Services Agreements is variable and is based on actual hours incurred by designated personnel at contractually specified billing rates. We recognize revenue in the period in which services are performed and apply judgment in determining the appropriate level of effort incurred and the allocation of personnel time to the contracts. Changes in estimates of hours incurred or services performed could result in variability in the timing and amount of revenue recognized. For arrangements involving delivery of a defined work product, revenue is recognized based on progress toward completion. We apply judgment in measuring progress, including estimating total expected effort. Changes in these estimates could result in adjustments to revenue in future periods.</w:t>
      </w:r>
    </w:p>
    <w:p>
      <w:pPr>
        <w:spacing w:after="0" w:line="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Because we invoice the Foundation in arrears, revenue recognized may exceed amounts invoiced, resulting in contract assets. We evaluate such balances to ensure revenue recognized appropriately reflects the transfer of services. Changes in our judgments or estimates regarding performance obligations, measure of progress, or variable consideration could materially impact the amount and timing of revenue recognized.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2026 and 2025 (Unaudited)</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following table summarizes our condensed consolidated results of operations for the periods indicated, together with the changes in those items in terms of dollars and percentage:</w:t>
      </w:r>
    </w:p>
    <w:p>
      <w:pPr>
        <w:spacing w:after="0" w:line="9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3840" w:type="dxa"/>
            <w:vAlign w:val="bottom"/>
            <w:gridSpan w:val="6"/>
          </w:tcPr>
          <w:p>
            <w:pPr>
              <w:ind w:left="80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7"/>
                <w:szCs w:val="17"/>
                <w:color w:val="auto"/>
              </w:rPr>
            </w:pPr>
          </w:p>
        </w:tc>
        <w:tc>
          <w:tcPr>
            <w:tcW w:w="13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tcPr>
          <w:p>
            <w:pPr>
              <w:spacing w:after="0"/>
              <w:rPr>
                <w:sz w:val="17"/>
                <w:szCs w:val="17"/>
                <w:color w:val="auto"/>
              </w:rPr>
            </w:pPr>
          </w:p>
        </w:tc>
        <w:tc>
          <w:tcPr>
            <w:tcW w:w="1900" w:type="dxa"/>
            <w:vAlign w:val="bottom"/>
            <w:tcBorders>
              <w:top w:val="single" w:sz="8" w:color="auto"/>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120"/>
              <w:spacing w:after="0" w:line="176" w:lineRule="exact"/>
              <w:rPr>
                <w:sz w:val="20"/>
                <w:szCs w:val="20"/>
                <w:color w:val="auto"/>
              </w:rPr>
            </w:pPr>
            <w:r>
              <w:rPr>
                <w:rFonts w:ascii="Arial" w:cs="Arial" w:eastAsia="Arial" w:hAnsi="Arial"/>
                <w:sz w:val="18"/>
                <w:szCs w:val="18"/>
                <w:color w:val="auto"/>
              </w:rPr>
              <w:t>Research and development services and royalty</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color w:val="auto"/>
              </w:rPr>
              <w:t>152,455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restart"/>
          </w:tcPr>
          <w:p>
            <w:pPr>
              <w:jc w:val="right"/>
              <w:ind w:right="132"/>
              <w:spacing w:after="0"/>
              <w:rPr>
                <w:sz w:val="20"/>
                <w:szCs w:val="20"/>
                <w:color w:val="auto"/>
              </w:rPr>
            </w:pPr>
            <w:r>
              <w:rPr>
                <w:rFonts w:ascii="Arial" w:cs="Arial" w:eastAsia="Arial" w:hAnsi="Arial"/>
                <w:sz w:val="18"/>
                <w:szCs w:val="18"/>
                <w:color w:val="auto"/>
              </w:rPr>
              <w:t>$  25,427</w:t>
            </w:r>
          </w:p>
        </w:tc>
        <w:tc>
          <w:tcPr>
            <w:tcW w:w="14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33"/>
              <w:spacing w:after="0"/>
              <w:rPr>
                <w:sz w:val="20"/>
                <w:szCs w:val="20"/>
                <w:color w:val="auto"/>
              </w:rPr>
            </w:pPr>
            <w:r>
              <w:rPr>
                <w:rFonts w:ascii="Arial" w:cs="Arial" w:eastAsia="Arial" w:hAnsi="Arial"/>
                <w:sz w:val="18"/>
                <w:szCs w:val="18"/>
                <w:color w:val="auto"/>
              </w:rPr>
              <w:t>127,028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86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152,455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25,427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127,028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5"/>
        </w:trPr>
        <w:tc>
          <w:tcPr>
            <w:tcW w:w="424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shd w:val="clear" w:color="auto" w:fill="CCEEFF"/>
          </w:tcPr>
          <w:p>
            <w:pPr>
              <w:spacing w:after="0"/>
              <w:rPr>
                <w:sz w:val="7"/>
                <w:szCs w:val="7"/>
                <w:color w:val="auto"/>
              </w:rPr>
            </w:pPr>
          </w:p>
        </w:tc>
        <w:tc>
          <w:tcPr>
            <w:tcW w:w="132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3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8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242,325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8"/>
                <w:szCs w:val="18"/>
                <w:color w:val="auto"/>
              </w:rPr>
              <w:t>242,325</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85"/>
        </w:trPr>
        <w:tc>
          <w:tcPr>
            <w:tcW w:w="424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20"/>
                <w:szCs w:val="20"/>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2,248,566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vMerge w:val="restart"/>
          </w:tcPr>
          <w:p>
            <w:pPr>
              <w:jc w:val="right"/>
              <w:ind w:right="132"/>
              <w:spacing w:after="0"/>
              <w:rPr>
                <w:sz w:val="20"/>
                <w:szCs w:val="20"/>
                <w:color w:val="auto"/>
              </w:rPr>
            </w:pPr>
            <w:r>
              <w:rPr>
                <w:rFonts w:ascii="Arial" w:cs="Arial" w:eastAsia="Arial" w:hAnsi="Arial"/>
                <w:sz w:val="18"/>
                <w:szCs w:val="18"/>
                <w:color w:val="auto"/>
              </w:rPr>
              <w:t>2,309,164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(60,598)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4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660,462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2,297,381</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(1,636,919)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5"/>
        </w:trPr>
        <w:tc>
          <w:tcPr>
            <w:tcW w:w="424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shd w:val="clear" w:color="auto" w:fill="CCEEFF"/>
          </w:tcPr>
          <w:p>
            <w:pPr>
              <w:spacing w:after="0"/>
              <w:rPr>
                <w:sz w:val="7"/>
                <w:szCs w:val="7"/>
                <w:color w:val="auto"/>
              </w:rPr>
            </w:pPr>
          </w:p>
        </w:tc>
        <w:tc>
          <w:tcPr>
            <w:tcW w:w="132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3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2,909,028</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4,606,545</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(1,697,517)</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w:t>
            </w: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4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6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(2,998,898)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(4,581,118)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w w:val="99"/>
              </w:rPr>
              <w:t>1,582,220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
        </w:trPr>
        <w:tc>
          <w:tcPr>
            <w:tcW w:w="424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13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120"/>
              <w:spacing w:after="0"/>
              <w:rPr>
                <w:sz w:val="20"/>
                <w:szCs w:val="20"/>
                <w:color w:val="auto"/>
              </w:rPr>
            </w:pPr>
            <w:r>
              <w:rPr>
                <w:rFonts w:ascii="Arial" w:cs="Arial" w:eastAsia="Arial" w:hAnsi="Arial"/>
                <w:sz w:val="18"/>
                <w:szCs w:val="18"/>
                <w:color w:val="auto"/>
              </w:rPr>
              <w:t>Other (expense) income</w:t>
            </w:r>
          </w:p>
        </w:tc>
        <w:tc>
          <w:tcPr>
            <w:tcW w:w="8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vMerge w:val="restart"/>
          </w:tcPr>
          <w:p>
            <w:pPr>
              <w:jc w:val="right"/>
              <w:ind w:right="132"/>
              <w:spacing w:after="0"/>
              <w:rPr>
                <w:sz w:val="20"/>
                <w:szCs w:val="20"/>
                <w:color w:val="auto"/>
              </w:rPr>
            </w:pPr>
            <w:r>
              <w:rPr>
                <w:rFonts w:ascii="Arial" w:cs="Arial" w:eastAsia="Arial" w:hAnsi="Arial"/>
                <w:sz w:val="18"/>
                <w:szCs w:val="18"/>
                <w:color w:val="auto"/>
              </w:rPr>
              <w:t>202,811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(203,802)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4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(2,999,889)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(4,378,307)</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1,378,418</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8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44,542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13,090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31,452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5"/>
        </w:trPr>
        <w:tc>
          <w:tcPr>
            <w:tcW w:w="424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shd w:val="clear" w:color="auto" w:fill="CCEEFF"/>
          </w:tcPr>
          <w:p>
            <w:pPr>
              <w:spacing w:after="0"/>
              <w:rPr>
                <w:sz w:val="7"/>
                <w:szCs w:val="7"/>
                <w:color w:val="auto"/>
              </w:rPr>
            </w:pPr>
          </w:p>
        </w:tc>
        <w:tc>
          <w:tcPr>
            <w:tcW w:w="132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3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42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860" w:type="dxa"/>
            <w:vAlign w:val="bottom"/>
            <w:tcBorders>
              <w:top w:val="single" w:sz="8" w:color="auto"/>
            </w:tcBorders>
          </w:tcPr>
          <w:p>
            <w:pPr>
              <w:jc w:val="right"/>
              <w:ind w:right="657"/>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(2,955,347)</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(4,365,217)</w:t>
            </w:r>
          </w:p>
        </w:tc>
        <w:tc>
          <w:tcPr>
            <w:tcW w:w="140" w:type="dxa"/>
            <w:vAlign w:val="bottom"/>
          </w:tcPr>
          <w:p>
            <w:pPr>
              <w:spacing w:after="0"/>
              <w:rPr>
                <w:sz w:val="24"/>
                <w:szCs w:val="24"/>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1,409,870</w:t>
            </w: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increase of approximately $0.1 million in revenue for the three months ended March 31, 2026 as compared to the three months ended March 31, 2025 was attributable to R&amp;D services revenues from the agreements we entered into with the Foundation in September and October 2025, partially offset by a decrease in non-cash royalty revenues related to XACIATO. See "—Financial Overview—Revenue," above for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Cost of revenues increased by approximately $0.2 million compared to the prior period, which had no comparable activity. Cost of revenues relates primarily to the cost of performing research and development services under our R&amp;D services agreements we entered into with the Foundation in September and October 2025, and to expenses associated with medical education and awareness related to the commercialization of DARE to PLAY.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decrease of approximately $0.1 million in SG&amp;A expenses for the three months ended March 31, 2026 as compared to the three months ended March 31, 2025 was primarily attributable to decreases in personnel costs, offset by increases in professional services and commercial-readiness expenses driven by execution against our expanded business strategy and stock-based compensation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The following table summarizes our R&amp;D expenses for the periods indicated, together with the changes in those items in terms of dollars and percentage: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2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5"/>
        </w:trPr>
        <w:tc>
          <w:tcPr>
            <w:tcW w:w="5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7"/>
                <w:szCs w:val="17"/>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 program costs: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324"/>
        </w:trPr>
        <w:tc>
          <w:tcPr>
            <w:tcW w:w="5200" w:type="dxa"/>
            <w:vAlign w:val="bottom"/>
          </w:tcPr>
          <w:p>
            <w:pPr>
              <w:ind w:left="360"/>
              <w:spacing w:after="0"/>
              <w:rPr>
                <w:sz w:val="20"/>
                <w:szCs w:val="20"/>
                <w:color w:val="auto"/>
              </w:rPr>
            </w:pPr>
            <w:r>
              <w:rPr>
                <w:rFonts w:ascii="Arial" w:cs="Arial" w:eastAsia="Arial" w:hAnsi="Arial"/>
                <w:sz w:val="18"/>
                <w:szCs w:val="18"/>
                <w:color w:val="auto"/>
              </w:rPr>
              <w:t xml:space="preserve">Ovaprene </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1,231,760</w:t>
            </w:r>
          </w:p>
        </w:tc>
        <w:tc>
          <w:tcPr>
            <w:tcW w:w="14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1,495,727</w:t>
            </w:r>
          </w:p>
        </w:tc>
        <w:tc>
          <w:tcPr>
            <w:tcW w:w="1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(263,967)</w:t>
            </w:r>
          </w:p>
        </w:tc>
        <w:tc>
          <w:tcPr>
            <w:tcW w:w="180" w:type="dxa"/>
            <w:vAlign w:val="bottom"/>
          </w:tcPr>
          <w:p>
            <w:pPr>
              <w:spacing w:after="0"/>
              <w:rPr>
                <w:sz w:val="24"/>
                <w:szCs w:val="24"/>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Sildenafil Cream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67,791</w:t>
            </w: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211,389</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(143,598)</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200" w:type="dxa"/>
            <w:vAlign w:val="bottom"/>
          </w:tcPr>
          <w:p>
            <w:pPr>
              <w:ind w:left="360"/>
              <w:spacing w:after="0"/>
              <w:rPr>
                <w:sz w:val="20"/>
                <w:szCs w:val="20"/>
                <w:color w:val="auto"/>
              </w:rPr>
            </w:pPr>
            <w:r>
              <w:rPr>
                <w:rFonts w:ascii="Arial" w:cs="Arial" w:eastAsia="Arial" w:hAnsi="Arial"/>
                <w:sz w:val="18"/>
                <w:szCs w:val="18"/>
                <w:color w:val="auto"/>
              </w:rPr>
              <w:t xml:space="preserve">Other advanced clinical stage programs </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375,763</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490,562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(114,799)</w:t>
            </w:r>
          </w:p>
        </w:tc>
        <w:tc>
          <w:tcPr>
            <w:tcW w:w="180" w:type="dxa"/>
            <w:vAlign w:val="bottom"/>
          </w:tcPr>
          <w:p>
            <w:pPr>
              <w:spacing w:after="0"/>
              <w:rPr>
                <w:sz w:val="24"/>
                <w:szCs w:val="24"/>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Phase 1 and Phase 1-ready clinical stage programs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96,055</w:t>
            </w: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496,747</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(400,692)</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200" w:type="dxa"/>
            <w:vAlign w:val="bottom"/>
          </w:tcPr>
          <w:p>
            <w:pPr>
              <w:ind w:left="360"/>
              <w:spacing w:after="0"/>
              <w:rPr>
                <w:sz w:val="20"/>
                <w:szCs w:val="20"/>
                <w:color w:val="auto"/>
              </w:rPr>
            </w:pPr>
            <w:r>
              <w:rPr>
                <w:rFonts w:ascii="Arial" w:cs="Arial" w:eastAsia="Arial" w:hAnsi="Arial"/>
                <w:sz w:val="18"/>
                <w:szCs w:val="18"/>
                <w:color w:val="auto"/>
              </w:rPr>
              <w:t xml:space="preserve">Preclinical stage programs </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1,168,379</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1,098,738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69,641</w:t>
            </w:r>
          </w:p>
        </w:tc>
        <w:tc>
          <w:tcPr>
            <w:tcW w:w="180" w:type="dxa"/>
            <w:vAlign w:val="bottom"/>
          </w:tcPr>
          <w:p>
            <w:pPr>
              <w:spacing w:after="0"/>
              <w:rPr>
                <w:sz w:val="24"/>
                <w:szCs w:val="24"/>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Contra R&amp;D expenses </w:t>
            </w:r>
            <w:r>
              <w:rPr>
                <w:rFonts w:ascii="Arial" w:cs="Arial" w:eastAsia="Arial" w:hAnsi="Arial"/>
                <w:sz w:val="23"/>
                <w:szCs w:val="23"/>
                <w:color w:val="auto"/>
                <w:vertAlign w:val="superscript"/>
              </w:rPr>
              <w:t>(3)</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(3,069,146)</w:t>
            </w:r>
          </w:p>
        </w:tc>
        <w:tc>
          <w:tcPr>
            <w:tcW w:w="14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(2,618,373)</w:t>
            </w:r>
          </w:p>
        </w:tc>
        <w:tc>
          <w:tcPr>
            <w:tcW w:w="1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(450,773)</w:t>
            </w:r>
          </w:p>
        </w:tc>
        <w:tc>
          <w:tcPr>
            <w:tcW w:w="18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direct program costs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(129,398)</w:t>
            </w: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1,174,790</w:t>
            </w: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(1,304,188)</w:t>
            </w: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Indirect costs: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324"/>
        </w:trPr>
        <w:tc>
          <w:tcPr>
            <w:tcW w:w="5200" w:type="dxa"/>
            <w:vAlign w:val="bottom"/>
          </w:tcPr>
          <w:p>
            <w:pPr>
              <w:ind w:left="360"/>
              <w:spacing w:after="0"/>
              <w:rPr>
                <w:sz w:val="20"/>
                <w:szCs w:val="20"/>
                <w:color w:val="auto"/>
              </w:rPr>
            </w:pPr>
            <w:r>
              <w:rPr>
                <w:rFonts w:ascii="Arial" w:cs="Arial" w:eastAsia="Arial" w:hAnsi="Arial"/>
                <w:sz w:val="18"/>
                <w:szCs w:val="18"/>
                <w:color w:val="auto"/>
              </w:rPr>
              <w:t>Personnel-related (including stock-based compensation)</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1,192,862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1,492,248</w:t>
            </w:r>
          </w:p>
        </w:tc>
        <w:tc>
          <w:tcPr>
            <w:tcW w:w="1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(299,386)</w:t>
            </w:r>
          </w:p>
        </w:tc>
        <w:tc>
          <w:tcPr>
            <w:tcW w:w="180" w:type="dxa"/>
            <w:vAlign w:val="bottom"/>
          </w:tcPr>
          <w:p>
            <w:pPr>
              <w:spacing w:after="0"/>
              <w:rPr>
                <w:sz w:val="24"/>
                <w:szCs w:val="24"/>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services (including consulting)</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19,287</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200" w:type="dxa"/>
            <w:vAlign w:val="bottom"/>
          </w:tcPr>
          <w:p>
            <w:pPr>
              <w:ind w:left="360"/>
              <w:spacing w:after="0"/>
              <w:rPr>
                <w:sz w:val="20"/>
                <w:szCs w:val="20"/>
                <w:color w:val="auto"/>
              </w:rPr>
            </w:pPr>
            <w:r>
              <w:rPr>
                <w:rFonts w:ascii="Arial" w:cs="Arial" w:eastAsia="Arial" w:hAnsi="Arial"/>
                <w:sz w:val="18"/>
                <w:szCs w:val="18"/>
                <w:color w:val="auto"/>
              </w:rPr>
              <w:t>Facilities-related (including depreciation)</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21,092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18,198</w:t>
            </w:r>
          </w:p>
        </w:tc>
        <w:tc>
          <w:tcPr>
            <w:tcW w:w="1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2,894</w:t>
            </w:r>
          </w:p>
        </w:tc>
        <w:tc>
          <w:tcPr>
            <w:tcW w:w="180" w:type="dxa"/>
            <w:vAlign w:val="bottom"/>
          </w:tcPr>
          <w:p>
            <w:pPr>
              <w:spacing w:after="0"/>
              <w:rPr>
                <w:sz w:val="24"/>
                <w:szCs w:val="24"/>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indirect R&amp;D costs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(33,620)</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 R&amp;D expenses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(431,848)</w:t>
            </w: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(448,392)</w:t>
            </w: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16,544</w:t>
            </w: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indirect R&amp;D costs</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789,860</w:t>
            </w:r>
          </w:p>
        </w:tc>
        <w:tc>
          <w:tcPr>
            <w:tcW w:w="14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1,122,591</w:t>
            </w:r>
          </w:p>
        </w:tc>
        <w:tc>
          <w:tcPr>
            <w:tcW w:w="1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(332,731)</w:t>
            </w:r>
          </w:p>
        </w:tc>
        <w:tc>
          <w:tcPr>
            <w:tcW w:w="18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5200" w:type="dxa"/>
            <w:vAlign w:val="bottom"/>
          </w:tcPr>
          <w:p>
            <w:pPr>
              <w:ind w:left="20"/>
              <w:spacing w:after="0"/>
              <w:rPr>
                <w:sz w:val="20"/>
                <w:szCs w:val="20"/>
                <w:color w:val="auto"/>
              </w:rPr>
            </w:pPr>
            <w:r>
              <w:rPr>
                <w:rFonts w:ascii="Arial" w:cs="Arial" w:eastAsia="Arial" w:hAnsi="Arial"/>
                <w:sz w:val="18"/>
                <w:szCs w:val="18"/>
                <w:color w:val="auto"/>
              </w:rPr>
              <w:t>Total R&amp;D expenses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660,462</w:t>
            </w: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2,297,381</w:t>
            </w:r>
          </w:p>
        </w:tc>
        <w:tc>
          <w:tcPr>
            <w:tcW w:w="18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(1,636,919)</w:t>
            </w:r>
          </w:p>
        </w:tc>
        <w:tc>
          <w:tcPr>
            <w:tcW w:w="180" w:type="dxa"/>
            <w:vAlign w:val="bottom"/>
          </w:tcPr>
          <w:p>
            <w:pPr>
              <w:spacing w:after="0"/>
              <w:rPr>
                <w:sz w:val="24"/>
                <w:szCs w:val="24"/>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680" w:right="440" w:hanging="330"/>
        <w:spacing w:after="0" w:line="248" w:lineRule="auto"/>
        <w:tabs>
          <w:tab w:leader="none" w:pos="68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 applicable program(s) receive grant funding and/or the Tax Incentive. The amount of R&amp;D expense for the period indicated is shown on a gross basis (i.e., without deducting the amount of contra R&amp;D expense for the applicable program(s). See footnote (3) below.</w:t>
      </w:r>
    </w:p>
    <w:p>
      <w:pPr>
        <w:spacing w:after="0" w:line="51" w:lineRule="exact"/>
        <w:rPr>
          <w:rFonts w:ascii="Arial" w:cs="Arial" w:eastAsia="Arial" w:hAnsi="Arial"/>
          <w:sz w:val="16"/>
          <w:szCs w:val="16"/>
          <w:i w:val="1"/>
          <w:iCs w:val="1"/>
          <w:color w:val="auto"/>
        </w:rPr>
      </w:pPr>
    </w:p>
    <w:p>
      <w:pPr>
        <w:ind w:left="680" w:hanging="330"/>
        <w:spacing w:after="0"/>
        <w:tabs>
          <w:tab w:leader="none" w:pos="68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include expenses for Sildenafil Cream, 3.6% and DARE to PLAY Sildenafil Cream.</w:t>
      </w:r>
    </w:p>
    <w:p>
      <w:pPr>
        <w:spacing w:after="0" w:line="86" w:lineRule="exact"/>
        <w:rPr>
          <w:rFonts w:ascii="Arial" w:cs="Arial" w:eastAsia="Arial" w:hAnsi="Arial"/>
          <w:sz w:val="16"/>
          <w:szCs w:val="16"/>
          <w:i w:val="1"/>
          <w:iCs w:val="1"/>
          <w:color w:val="auto"/>
        </w:rPr>
      </w:pPr>
    </w:p>
    <w:p>
      <w:pPr>
        <w:jc w:val="both"/>
        <w:ind w:left="680" w:right="300" w:hanging="330"/>
        <w:spacing w:after="0" w:line="233" w:lineRule="auto"/>
        <w:tabs>
          <w:tab w:leader="none" w:pos="68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These contra R&amp;D expenses were recognized as follows for the three months ended March 31, 2026 and 2025: (a) Ovaprene, $1.0 million, and $0.5 million, respectively; (b) other advanced clinical stage programs, $0.4 million and $0.5 million, respectively, (c) Phase 1 and Phase 1-ready clinical stage programs, $0 and $0.1 million, respectively; and (d) preclinical stage programs, $1.7 million and $1.6 million, respectively.</w:t>
      </w:r>
    </w:p>
    <w:p>
      <w:pPr>
        <w:sectPr>
          <w:pgSz w:w="11900" w:h="16838" w:orient="portrait"/>
          <w:cols w:equalWidth="0" w:num="1">
            <w:col w:w="11240"/>
          </w:cols>
          <w:pgMar w:left="320" w:top="946"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946" w:right="339" w:bottom="1440" w:gutter="0" w:footer="0" w:header="0"/>
          <w:type w:val="continuous"/>
        </w:sectPr>
      </w:pPr>
    </w:p>
    <w:bookmarkStart w:id="45" w:name="page46"/>
    <w:bookmarkEnd w:id="45"/>
    <w:p>
      <w:pPr>
        <w:jc w:val="both"/>
        <w:ind w:firstLine="648"/>
        <w:spacing w:after="0" w:line="257" w:lineRule="auto"/>
        <w:rPr>
          <w:sz w:val="20"/>
          <w:szCs w:val="20"/>
          <w:color w:val="auto"/>
        </w:rPr>
      </w:pPr>
      <w:r>
        <w:rPr>
          <w:rFonts w:ascii="Arial" w:cs="Arial" w:eastAsia="Arial" w:hAnsi="Arial"/>
          <w:sz w:val="18"/>
          <w:szCs w:val="18"/>
          <w:color w:val="auto"/>
        </w:rPr>
        <w:t>The decrease of approximately $1.6 million in R&amp;D expenses for the three months ended March 31, 2026 as compared to the three months ended March 31, 2025 was primarily attributable to an increase in contra R&amp;D expenses in direct program costs, and decreases in expenses related to (i) our Phase 1 and Phase 1-ready clinical stage programs - primarily attributable to our DARE-PTB1 program, (ii) personnel costs, (iii) the ongoing Phase 3 clinical trial of Ovaprene, (iv) Sildenafil Cream and DARE to PLAY Sildenafil Cream, and (v) our other advanced clinical stage programs - primarily attributable to our DARE-HPV program. Contra R&amp;D expenses for the three months ended March 31, 2026 and 2025 primarily offset direct program costs for DARE-LARC1, Ovaprene and DARE-HPV.</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decrease of approximately $0.2 million in other (expense) income for the three months ended March 31, 2026 as compared to the same period in 2025 was primarily driven by the absence of employee retention credits recognized in the prior year period. In the first quarter of 2025, we recognized approximately $0.2 million of employee retention credits related to applications filed in 2023 with no comparable benefit in the current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1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near term, we plan to focus primarily on: (a) our ongoing Ovaprene Phase 3 study; (b) executing against our Section 503B compounding and consumer health products business strategies, with a focus on DARE to PLAY, DARE to RECLAIM estradiol progesterone intravaginal ring, and DARE to RESTORE vaginal probiotics; and (c) advancing the development of product candidates for which the costs are being supported by non-dilutive grant or other award funding, in particular DARE-LARC1 and DARE-HPV. We will also continue engagement with the FDA to align on the Phase 3 program for Sildenafil Cream and will continue to work on the development of our other clinical and preclinical-stage programs. For additional information, see “Business Overview" and "Recent Events” above and Note 10 "Grant Awards" to the accompanying condensed consolidated financial statements.</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March 31, 2026, our cash and cash equivalents were approximately $18.5 million, and our working capital was approximately $0.5 million. As of March 31, 2026, our deferred grant funding liability was approximately $18.2 million, substantially all of which consisted of funds intended to support the DARE-LARC1 program, the Ovaprene Phase 3 clinical study, and the DARE-HPV program. For more information about our cash and cash equivalents and our deferred grant funding liability, see Note 2 "Basis of Presentation and Summary of Significant Accounting Policies—Going Concern" to the accompanying condensed consolidated financial statements, and Note 2 "Basis of Presentation and Summary of Significant Accounting Policies—Grant Funding" to our consolidated financial statements in our 2025 10-K.</w:t>
      </w:r>
    </w:p>
    <w:p>
      <w:pPr>
        <w:spacing w:after="0" w:line="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existing cash and cash equivalents will be sufficient to fund our operating needs, including planned commercial launch activities for DARE to PLAY, into the fourth quarter of 2026. We have based this estimate on assumptions that may prove to be wrong, and we could deplete our capital resources sooner than we expect. In addition to our ongoing Regulation A offering, we will continue to evaluate and may pursue various other capital raising options, including sales of equity, debt financings, government or other grant funding, collaborations, structured financings, and commercial collaborations or other strategic transactions. Our ability to obtain additional capital, including through our ongoing Regulation A offering, and the timing and terms thereof, depend on various factors, many aspects of which are not entirely within our control, and there can be no assurance that capital will be available when needed or, if available, on terms favorable to us and our stockholders. Raising additional capital may cause substantial dilution to our stockholders, restrict our operations or require us to relinquish rights in our technologies or product candidates and their future revenue streams. If we cannot raise capital when needed, on favorable terms or at all, we will need to reevaluate our planned operations and may need to delay, scale back or eliminate some or all of our product candidate programs and/or reduce expenses.</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March 31, 2026, our accumulated deficit was approximately $191.7 million, and we had a net loss of approximately $ 3.0 million and negative cash flows from operations of approximately $5.5 million for the three months ended March 31, 2026. Because we are in the early stages of executing against our Section 503B compounding and consumer health products business strategies and, as an organization, we have no experience in and limited infrastructure for commercializing products, both the timing and amount of potential revenue we may generate remain uncertain. As a result, we may continue to incur significant losses from operations and negative cash flows from operations for the next several years, and may never generate sufficient revenues to finance our operations or achieve profitability. Based on our current analysis of the conditions described above, there is substantial doubt about our ability to continue as a going concern within the 12-month period from the issuance date of the accompanying condensed consolidated financial statements. The accompanying condensed consolidated financial statements were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944" w:right="339" w:bottom="1440" w:gutter="0" w:footer="0" w:header="0"/>
        </w:sectPr>
      </w:pPr>
    </w:p>
    <w:bookmarkStart w:id="46" w:name="page47"/>
    <w:bookmarkEnd w:id="46"/>
    <w:p>
      <w:pPr>
        <w:jc w:val="both"/>
        <w:spacing w:after="0" w:line="262" w:lineRule="auto"/>
        <w:rPr>
          <w:sz w:val="20"/>
          <w:szCs w:val="20"/>
          <w:color w:val="auto"/>
        </w:rPr>
      </w:pPr>
      <w:r>
        <w:rPr>
          <w:rFonts w:ascii="Arial" w:cs="Arial" w:eastAsia="Arial" w:hAnsi="Arial"/>
          <w:sz w:val="18"/>
          <w:szCs w:val="18"/>
          <w:color w:val="auto"/>
        </w:rPr>
        <w:t>prepared on a going concern basis, which assumes that we will realize our assets and satisfy our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our operating expenses will increase substantially in the future as we continue to develop and seek FDA approval for our product candidates and expand our capabilities to support our 503B compounding and consumer health business strategies. Our future capital requirements are difficult to predict because they will depend on many factors that are highly variable and difficult to predict, including, but not limited to, those discussed in the risk factors in Part I, Item 1A of our 2025 10-K under “Risks Related to Our Financial Position and Capital Needs.”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Historically, the cash used to fund our operations has come from a variety of sources and predominantly from sales of shares of our common stock. We have also received a significant amount of cash through non-dilutive grants, strategic collaborations and royalty monetization transactions.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an ongoing Regulation A offering in which we are offering up to 4,854,000 units, each consisting of one share of our Series A convertible preferred stock, which is convertible into two shares of our common stock, and two warrants, each exercisable for one share of our common stock at an exercise price of $4.00 per share. The offering price of each unit is $ 5.00. As of the date of this report, we have issued an aggregate of 285,320 units to investors in the offering, consisting of 285,320] shares of Series A convertible preferred stock and warrants to purchase up to 570,640 shares of our common stock, for gross proceeds of approximately $1.4 million.</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sales agreement with Stifel, Nicolaus &amp; Company, Incorporated, or Stifel, to sell shares of our common stock from time to time through an ATM offering under which Stifel acts as our agent. During 2025, we sold 4,329,116 shares of our common stock under the sales agreement for net proceeds of approximately $17.6 million. Shares of our common stock sold under the sales agreement were offered and sold under our shelf registration statement on Form S-3 (File No. 333-278380) declared effective by the SEC on May 10, 2024. Because the market value of our outstanding shares of common stock held by non-affiliates, or our public float, is less than $75.0 million, our use of a shelf registration statement is currently limited by what is known as the SEC’s “baby shelf rule” to one-third of our public float in any 12-month period. Because of the "baby shelf rule" and based on sales of shares of our common stock under our ATM sales agreement, we do not expect to sell any additional shares under our ATM sales agreement during the approximately 12-month period from July 2025, unless and until our public float exceeds approximately $54.0 million, as determined in accordance with SEC rules.</w:t>
      </w:r>
    </w:p>
    <w:p>
      <w:pPr>
        <w:spacing w:after="0" w:line="1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purchase agreement with Lincoln Park Capital Fund, LLC, or Lincoln Park, under which, subject to the conditions thereof, we have the right, but not the obligation, to sell to Lincoln Park, and Lincoln Park is obligated to purchase, up to $15.0 million in shares of our common stock. Such sales of our common stock to Lincoln Park, if any, will be subject to certain limitations, and may occur from time to time, at our sole discretion through December 1, 2026. See Note 4 "Stockholders' Equity—Equity Line" to the accompanying condensed consolidated financial statements for additional information. During 2025, we sold 1,470,000 shares of our common stock under this purchase agreement and received net proceeds of approximately $3.1 million. As of the filing date of this report, due to the limitations in the purchase agreement on the number of shares we can sell at an average price of less than $3.59, unless we obtain stockholder approval to do so, we have effectively exhausted our ability to sell shares to Lincoln Park under the purchase agreement. We are seeking stockholder approval at our 2026 annual meeting of stockholders, but there can be no assurance that approval will be obtained.</w:t>
      </w:r>
    </w:p>
    <w:p>
      <w:pPr>
        <w:spacing w:after="0" w:line="1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expect to begin recording revenue from sales of our 503B products and consumer health products when such products are commercially available for purchase and are shipped. Because we are in the early stages of executing against our Section 503B compounding and consumer health products strategy and, as an organization, we have no experience in and limited infrastructure for commercializing products, the amount of potential revenue we may generate during 2026 remains uncertain.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87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used in operating activities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(used in) provided by financing activities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spacing w:after="0" w:line="9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Net decrease in cash and cash equivalents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23495</wp:posOffset>
            </wp:positionV>
            <wp:extent cx="19373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5" w:lineRule="exact"/>
        <w:rPr>
          <w:sz w:val="20"/>
          <w:szCs w:val="20"/>
          <w:color w:val="auto"/>
        </w:rPr>
      </w:pPr>
    </w:p>
    <w:p>
      <w:pPr>
        <w:ind w:left="340"/>
        <w:spacing w:after="0"/>
        <w:tabs>
          <w:tab w:leader="none" w:pos="190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23495</wp:posOffset>
            </wp:positionV>
            <wp:extent cx="19373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79" w:lineRule="exact"/>
        <w:rPr>
          <w:sz w:val="20"/>
          <w:szCs w:val="20"/>
          <w:color w:val="auto"/>
        </w:rPr>
      </w:pPr>
    </w:p>
    <w:p>
      <w:pPr>
        <w:spacing w:after="0"/>
        <w:tabs>
          <w:tab w:leader="none" w:pos="280" w:val="left"/>
          <w:tab w:leader="none" w:pos="1560" w:val="left"/>
          <w:tab w:leader="none" w:pos="1860" w:val="left"/>
        </w:tabs>
        <w:rPr>
          <w:sz w:val="20"/>
          <w:szCs w:val="20"/>
          <w:color w:val="auto"/>
        </w:rPr>
      </w:pPr>
      <w:r>
        <w:rPr>
          <w:rFonts w:ascii="Arial" w:cs="Arial" w:eastAsia="Arial" w:hAnsi="Arial"/>
          <w:sz w:val="18"/>
          <w:szCs w:val="18"/>
          <w:color w:val="auto"/>
        </w:rPr>
        <w:t>$</w:t>
        <w:tab/>
        <w:t>(5,520,644)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(5,470,543)</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(157,331)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(715,470)</w:t>
      </w:r>
      <w:r>
        <w:rPr>
          <w:rFonts w:ascii="Arial" w:cs="Arial" w:eastAsia="Arial" w:hAnsi="Arial"/>
          <w:sz w:val="17"/>
          <w:szCs w:val="17"/>
          <w:color w:val="auto"/>
        </w:rPr>
        <w:t>246,577</w:t>
      </w:r>
    </w:p>
    <w:p>
      <w:pPr>
        <w:spacing w:after="0" w:line="117" w:lineRule="exact"/>
        <w:rPr>
          <w:sz w:val="20"/>
          <w:szCs w:val="20"/>
          <w:color w:val="auto"/>
        </w:rPr>
      </w:pPr>
    </w:p>
    <w:p>
      <w:pPr>
        <w:ind w:left="480"/>
        <w:spacing w:after="0"/>
        <w:tabs>
          <w:tab w:leader="none" w:pos="2040" w:val="left"/>
        </w:tabs>
        <w:rPr>
          <w:sz w:val="20"/>
          <w:szCs w:val="20"/>
          <w:color w:val="auto"/>
        </w:rPr>
      </w:pPr>
      <w:r>
        <w:rPr>
          <w:rFonts w:ascii="Arial" w:cs="Arial" w:eastAsia="Arial" w:hAnsi="Arial"/>
          <w:sz w:val="18"/>
          <w:szCs w:val="18"/>
          <w:color w:val="auto"/>
        </w:rPr>
        <w:t>44,542</w:t>
      </w:r>
      <w:r>
        <w:rPr>
          <w:sz w:val="20"/>
          <w:szCs w:val="20"/>
          <w:color w:val="auto"/>
        </w:rPr>
        <w:tab/>
      </w:r>
      <w:r>
        <w:rPr>
          <w:rFonts w:ascii="Arial" w:cs="Arial" w:eastAsia="Arial" w:hAnsi="Arial"/>
          <w:sz w:val="18"/>
          <w:szCs w:val="18"/>
          <w:color w:val="auto"/>
        </w:rPr>
        <w:t>13,090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34925</wp:posOffset>
            </wp:positionV>
            <wp:extent cx="19373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97" w:lineRule="exact"/>
        <w:rPr>
          <w:sz w:val="20"/>
          <w:szCs w:val="20"/>
          <w:color w:val="auto"/>
        </w:rPr>
      </w:pPr>
    </w:p>
    <w:p>
      <w:pPr>
        <w:spacing w:after="0"/>
        <w:tabs>
          <w:tab w:leader="none" w:pos="280" w:val="left"/>
          <w:tab w:leader="none" w:pos="1560" w:val="left"/>
          <w:tab w:leader="none" w:pos="1860" w:val="left"/>
        </w:tabs>
        <w:rPr>
          <w:sz w:val="20"/>
          <w:szCs w:val="20"/>
          <w:color w:val="auto"/>
        </w:rPr>
      </w:pPr>
      <w:r>
        <w:rPr>
          <w:rFonts w:ascii="Arial" w:cs="Arial" w:eastAsia="Arial" w:hAnsi="Arial"/>
          <w:sz w:val="18"/>
          <w:szCs w:val="18"/>
          <w:color w:val="auto"/>
        </w:rPr>
        <w:t>$</w:t>
        <w:tab/>
        <w:t>(6,191,572)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(5,368,207)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34925</wp:posOffset>
            </wp:positionV>
            <wp:extent cx="193738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37385" cy="34290"/>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7660" w:space="720"/>
            <w:col w:w="2860"/>
          </w:cols>
          <w:pgMar w:left="320" w:top="987" w:right="339" w:bottom="1440" w:gutter="0" w:footer="0" w:header="0"/>
        </w:sectPr>
      </w:pPr>
    </w:p>
    <w:p>
      <w:pPr>
        <w:jc w:val="both"/>
        <w:ind w:firstLine="648"/>
        <w:spacing w:after="0" w:line="255" w:lineRule="auto"/>
        <w:rPr>
          <w:sz w:val="20"/>
          <w:szCs w:val="20"/>
          <w:color w:val="auto"/>
        </w:rPr>
      </w:pPr>
      <w:r>
        <w:rPr>
          <w:rFonts w:ascii="Arial" w:cs="Arial" w:eastAsia="Arial" w:hAnsi="Arial"/>
          <w:sz w:val="18"/>
          <w:szCs w:val="18"/>
          <w:color w:val="auto"/>
        </w:rPr>
        <w:t>Net cash used in operating activities of $5.5 million for the three months ended March 31, 2026 was primarily due to our net loss of $3.0 million and changes in operating assets and liabilities, offset by non-cash items such as depreciation and amortization expense, stock-based compensation expense, and our operating lease right-of-use asset. Net cash used by changes in operating assets and liabilities resulted primarily from a decrease of $1.5 million in our deferred grant funding liability, an increase of $1.4 million in other non-current assets, an increase of $0.4 million in prepaid expenses, an increase of $0.2 million in other current assets, a decrease of $0.1 million in operating lease liability, an increase of $0.1 million in accounts receivable, and a decrease of $ 45,000 in accounts payable, partially offset by an increase of $0.2 million in interest payable. The $1.4 million increase in other non-current assets relates to a payment made to the third-party Section 503B-registered outsourcing facility for DARE to RECLAIM during the three months ended March 31, 2026, which will be credited against amounts otherwise owed to such third-party for future purchases of DARE to RECLAIM.</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operating activities for the three months ended March 31, 2025 included the net loss of $4.4 million, decreased by non-cash stock-based compensation expense of approximately $0.4 million. Components providing operating cash were a decrease in prepaid expenses of approximately $0.7 million and decrease in other receivables of approximately $0.1 million. Components reducing operating cash were a decrease in deferred grant funding liability of approximately $1.4 million and a decrease in accrued expenses of approximately $1.1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No cash was used in investing activities for the three months ended March 31, 2026. Net cash used in investing activities for the three months ended March 31, 2025 related to purchases of property and equipment.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or provided by financing activities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financing activities for the three months ended March 31, 2026 resulted primarily from (i) approximately $0.9 million in payments on our facility financing lease and (ii) approximately $0.2 million in payments on a note payable related to an insurance premium financing obtained in July 2025 related to certain director and officer and other insurance premiums, partially offset by (A) approximately $0.3 million of net proceeds from sales of units under our Regulation A offering and (B) approximately $0.1 million of net proceeds from sales of our common stock under our purchase agreement with Lincoln Park.</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Net cash provided by financing activities for the three months ended March 31, 2025 consisted primarily of net proceeds from the sales of our common stock under our purchase agreement with Lincoln Park of approximately $0.4 million partially offset by payments on the insurance financing note payable of approximately $0.2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987"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assembled our pipeline primarily through acquisitions, in-license agreements, and other collaborations. We agreed to make royalty and milestone payments, and in some cases annual license fee payments, under the license and development agreements under which we acquired rights to intellectual property from third parties. For information about these obligations see Note 3 "Strategic Agreements —Strategic Agreements for Pipeline Development" to the accompanying condensed consolidated financial statements. The amount and timing of most of these payments are difficult to predict because the timing of milestone payments for pre-commercial programs generally depends on the progress of and success in development of a particular program, which is subject to many risks and uncertainties as discussed elsewhere in this report and difficult to predict, and the timing and amount of royalty and milestone payments related to commercial products generally depends on their commercial success, which may, as it is with XACIATO, be out of our control.</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remainder of 2026, based on our current expectations regarding the progress of development of our product candidates and sales of XACIATO and DARE to PLAY, we expect such payments to upstream licensors to be immaterial. With respect to our license agreement relating to XACIATO, royalties payable by us to upstream licensors will be funded by royalty payments made by our licensee, Organon. For further discussion of these potential payments, see Note 3 "Strategic Agreements—Strategic Agreements for Pipeline Development" to the accompanying condensed consolidated financial statements. With respect to DARE to PLAY, for at least the first twelve months following its market introduction, we anticipate a mid single-digit royalty payment obligation to our upstream licensor on annual net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Agreements</w:t>
      </w:r>
    </w:p>
    <w:p>
      <w:pPr>
        <w:spacing w:after="0" w:line="19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For information regarding our grant agreements with the Foundation, see Note 10 "—Grant Awards—Other Non-Dilutive Grant Funding" to the accompanying condensed consolidated financial statements, and Note 2 "Basis of Presentation and Summary of Significant Accounting Policies—Grant Funding" to our consolidated financial statements in our 2025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Purchase Agreements with XOMA</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2024, we entered into a traditional royalty purchase agreement and a synthetic royalty purchase agreement with XOMA pursuant to which, among other things, we sold our right, title and interest in the following to XOMA: (a) all of the royalties and potential milestone payments we would otherwise have the right to receive from and after April 1, 2024 under our exclusive license agreement with Organon based on net sales of XACIATO, net of our obligations to upstream licensors and UiE; and (b) a portion of future net sales of Ovaprene, Sildenafil Cream and DARE to PLAY.</w:t>
      </w:r>
    </w:p>
    <w:p>
      <w:pPr>
        <w:spacing w:after="0" w:line="1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more information regarding our contractual obligations to XOMA, see Note 8 “Royalty Purchase Agreements” to the accompanying condensed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Interest Financing Agreement</w:t>
      </w:r>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2023, we entered into a royalty interest financing agreement with UiE pursuant to which we sold to UiE an interest in the royalty and milestone payments we are entitled to receive in respect of net sales of XACIATO under our license agreement with Organon. In exchange for any payments to us from UiE under the agreement, we agreed to make payments to UiE out of royalty and milestone payments earned on net sales of XACIATO from Organon, net of our obligations to upstream licensors, until UiE receives a specified return on its investment, or using our other sources of assets or income to complete such payments if UiE has not received the specified return on its investment by the end of 2035. We have the right to make prepayments on or pay in full and retire all of our payment obligations to UiE.</w:t>
      </w:r>
    </w:p>
    <w:p>
      <w:pPr>
        <w:spacing w:after="0" w:line="15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For more information regarding our contractual obligations to UiE, see Note 7 “Royalty Interest Financing” to the accompanying condensed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94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Leases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two operating leases for our laboratory and office spaces that each expire in 2027. As of March 31, 2026, we had future minimum lease payments under these leases of $1.1 million, $ 0.6 million of which is classified as current and $ 0.4 million of which is classified as long-term, the remainder of which represents future interest payments. We have one finance lease for our clean room space that expires in 2026. As of March 31, 2026, we had future minimum lease payments under this lease of $0.6 million, all of which is classified as current. For additional information on our lease obligations, See Note 6 "Leases" to the accompanying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Contractual Obligations</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and with Section 503B-registered outsourcing facilities, dispensing pharmacies, telehealth providers, and other third parties to help bring our proprietary formulations to market. These contracts generally provide for termination upon notice, and we do not believe that our non-cancelable obligations under these agreements are material.</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descriptions of additional contractual obligations and commitments, see Note 9 "Commitments and Contingencies" to the accompanying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98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March 31, 2026 at the reasonable assurance level.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01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2025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2025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jc w:val="both"/>
        <w:ind w:firstLine="656"/>
        <w:spacing w:after="0" w:line="255" w:lineRule="auto"/>
        <w:tabs>
          <w:tab w:leader="none" w:pos="11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October 21, 2024, we entered into a purchase agreement with Lincoln Park Capital Fund, LLC, or Lincoln Park. From January 1, 2026 through May 13, 2026, we sold 60,000 shares of our common stock to Lincoln Park under that purchase agreement for aggregate gross proceeds of approximately $0.1 million. For additional information regarding such sales and our purchase agreement with Lincoln Park, see Note 4 “Stockholders’ Equity—Equity Line” to the accompanying condensed consolidated financial statements. Lincoln Park represented to us, among other things, that it is an “accredited investor” as such term is defined in Rule 501(a)(3) of Regulation D under the Securities Act. The shares of common stock issued to Lincoln Park under the purchase agreement were issued in reliance upon an exemption from the registration requirements of the Securities Act afforded by Section 4(a)(2) of the Securities Act and/or Rule 506 of Regulation D promulgated under the Securities Act.</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January 1, 2026 through May 13, 2026, we issued 420,000 shares of our common stock upon the conversion of 210,000 shares of our Series A convertible preferred stock. Such shares of Series A convertible preferred stock and common stock were issued in reliance upon an exemption from the registration requirements of the Securities Act afforded by Regulation A promulgated under the Securities Act. See Note 4 "Stockholders' Equity—Series A Convertible Preferred Stock" and Note 4 "Stockholders' Equity—Regulation A Offering" to the accompanying condensed consolidated financial statements for information regarding the terms of our Series A convertible preferred stock and our Regulation A offering.</w:t>
      </w:r>
    </w:p>
    <w:p>
      <w:pPr>
        <w:spacing w:after="0" w:line="74"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w:t>
      </w:r>
    </w:p>
    <w:p>
      <w:pPr>
        <w:spacing w:after="0" w:line="31" w:lineRule="exact"/>
        <w:rPr>
          <w:rFonts w:ascii="Arial" w:cs="Arial" w:eastAsia="Arial" w:hAnsi="Arial"/>
          <w:sz w:val="18"/>
          <w:szCs w:val="18"/>
          <w:color w:val="auto"/>
        </w:rPr>
      </w:pPr>
    </w:p>
    <w:p>
      <w:pPr>
        <w:ind w:left="1060" w:hanging="40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w:t>
      </w:r>
      <w:r>
        <w:rPr>
          <w:rFonts w:ascii="Arial" w:cs="Arial" w:eastAsia="Arial" w:hAnsi="Arial"/>
          <w:sz w:val="21"/>
          <w:szCs w:val="2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8" w:lineRule="exact"/>
        <w:rPr>
          <w:sz w:val="20"/>
          <w:szCs w:val="20"/>
          <w:color w:val="auto"/>
        </w:rPr>
      </w:pPr>
    </w:p>
    <w:p>
      <w:pPr>
        <w:ind w:left="1120" w:hanging="464"/>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None.</w:t>
      </w:r>
    </w:p>
    <w:p>
      <w:pPr>
        <w:spacing w:after="0" w:line="27" w:lineRule="exact"/>
        <w:rPr>
          <w:rFonts w:ascii="Arial" w:cs="Arial" w:eastAsia="Arial" w:hAnsi="Arial"/>
          <w:sz w:val="18"/>
          <w:szCs w:val="18"/>
          <w:color w:val="auto"/>
        </w:rPr>
      </w:pPr>
    </w:p>
    <w:p>
      <w:pPr>
        <w:ind w:left="1120" w:hanging="464"/>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jc w:val="both"/>
        <w:ind w:firstLine="656"/>
        <w:spacing w:after="0" w:line="258" w:lineRule="auto"/>
        <w:tabs>
          <w:tab w:leader="none" w:pos="11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period from January 1, 2026 to March 31, 2026, none of our directors or officers (as defined in Rule 16a-1(f) under the Exchange Act) adopted or terminated any Rule 10b5-1 trading arrangement (as defined in Item 408(a)(1)(i) of Regulation S-K) or any non-Rule 10b5-1 trading arrangement (as defined in Item 408(c) of Regulation S-K).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01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7"/>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Item 6. Exhibits</w:t>
            </w: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gridSpan w:val="6"/>
          </w:tcPr>
          <w:p>
            <w:pPr>
              <w:spacing w:after="0"/>
              <w:rPr>
                <w:sz w:val="20"/>
                <w:szCs w:val="20"/>
                <w:color w:val="auto"/>
              </w:rPr>
            </w:pPr>
            <w:r>
              <w:rPr>
                <w:rFonts w:ascii="Arial" w:cs="Arial" w:eastAsia="Arial" w:hAnsi="Arial"/>
                <w:sz w:val="18"/>
                <w:szCs w:val="18"/>
                <w:b w:val="1"/>
                <w:bCs w:val="1"/>
                <w:color w:val="auto"/>
              </w:rPr>
              <w:t>Incorporated by Reference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134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9"/>
              </w:rPr>
              <w:t>Exhibit</w:t>
            </w:r>
          </w:p>
        </w:tc>
        <w:tc>
          <w:tcPr>
            <w:tcW w:w="4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Exhibit</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89"/>
        </w:trPr>
        <w:tc>
          <w:tcPr>
            <w:tcW w:w="1340" w:type="dxa"/>
            <w:vAlign w:val="bottom"/>
            <w:gridSpan w:val="3"/>
            <w:vMerge w:val="continue"/>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Number</w:t>
            </w:r>
          </w:p>
        </w:tc>
        <w:tc>
          <w:tcPr>
            <w:tcW w:w="4280" w:type="dxa"/>
            <w:vAlign w:val="bottom"/>
            <w:gridSpan w:val="2"/>
          </w:tcPr>
          <w:p>
            <w:pPr>
              <w:ind w:left="1080"/>
              <w:spacing w:after="0"/>
              <w:rPr>
                <w:sz w:val="20"/>
                <w:szCs w:val="20"/>
                <w:color w:val="auto"/>
              </w:rPr>
            </w:pPr>
            <w:r>
              <w:rPr>
                <w:rFonts w:ascii="Arial" w:cs="Arial" w:eastAsia="Arial" w:hAnsi="Arial"/>
                <w:sz w:val="18"/>
                <w:szCs w:val="18"/>
                <w:b w:val="1"/>
                <w:bCs w:val="1"/>
                <w:color w:val="auto"/>
              </w:rPr>
              <w:t>Description of Exhibit</w:t>
            </w:r>
          </w:p>
        </w:tc>
        <w:tc>
          <w:tcPr>
            <w:tcW w:w="54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File No.</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Filing Date</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No.</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69"/>
        </w:trPr>
        <w:tc>
          <w:tcPr>
            <w:tcW w:w="10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1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108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Certificate of Designation of Series A Convertible</w:t>
            </w:r>
          </w:p>
        </w:tc>
        <w:tc>
          <w:tcPr>
            <w:tcW w:w="54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500" w:type="dxa"/>
            <w:vAlign w:val="bottom"/>
            <w:gridSpan w:val="3"/>
          </w:tcPr>
          <w:p>
            <w:pPr>
              <w:jc w:val="right"/>
              <w:ind w:right="70"/>
              <w:spacing w:after="0"/>
              <w:rPr>
                <w:sz w:val="20"/>
                <w:szCs w:val="20"/>
                <w:color w:val="auto"/>
              </w:rPr>
            </w:pPr>
            <w:r>
              <w:rPr>
                <w:rFonts w:ascii="Arial" w:cs="Arial" w:eastAsia="Arial" w:hAnsi="Arial"/>
                <w:sz w:val="18"/>
                <w:szCs w:val="18"/>
                <w:color w:val="auto"/>
              </w:rPr>
              <w:t>0001-36395</w:t>
            </w:r>
          </w:p>
        </w:tc>
        <w:tc>
          <w:tcPr>
            <w:tcW w:w="120" w:type="dxa"/>
            <w:vAlign w:val="bottom"/>
          </w:tcPr>
          <w:p>
            <w:pPr>
              <w:spacing w:after="0"/>
              <w:rPr>
                <w:sz w:val="23"/>
                <w:szCs w:val="23"/>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1/29/2026</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Preferred Stock</w:t>
      </w:r>
    </w:p>
    <w:p>
      <w:pPr>
        <w:sectPr>
          <w:pgSz w:w="11900" w:h="16838" w:orient="portrait"/>
          <w:cols w:equalWidth="0" w:num="1">
            <w:col w:w="11240"/>
          </w:cols>
          <w:pgMar w:left="320" w:top="1012" w:right="33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Form of Investor Warrant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Form of Agent Unit Warrant</w:t>
      </w:r>
    </w:p>
    <w:p>
      <w:pPr>
        <w:spacing w:after="0" w:line="306"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Form of Agent Common Warrant (included in exhibit 4.2)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Form of Subscription Agreement</w:t>
      </w:r>
    </w:p>
    <w:p>
      <w:pPr>
        <w:spacing w:after="0" w:line="225" w:lineRule="exact"/>
        <w:rPr>
          <w:sz w:val="20"/>
          <w:szCs w:val="20"/>
          <w:color w:val="auto"/>
        </w:rPr>
      </w:pPr>
    </w:p>
    <w:p>
      <w:pPr>
        <w:ind w:right="180"/>
        <w:spacing w:after="0" w:line="228" w:lineRule="auto"/>
        <w:rPr>
          <w:sz w:val="20"/>
          <w:szCs w:val="20"/>
          <w:color w:val="auto"/>
        </w:rPr>
      </w:pPr>
      <w:r>
        <w:rPr>
          <w:rFonts w:ascii="Arial" w:cs="Arial" w:eastAsia="Arial" w:hAnsi="Arial"/>
          <w:sz w:val="17"/>
          <w:szCs w:val="17"/>
          <w:color w:val="auto"/>
        </w:rPr>
        <w:t>Grant Agreement between Daré Bioscience, Inc. and the Gates Foundation (f/k/a the Bill &amp; Melinda Gates Foundation), effective as of November 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2024, as amended to date</w:t>
      </w:r>
    </w:p>
    <w:p>
      <w:pPr>
        <w:spacing w:after="0" w:line="221" w:lineRule="exact"/>
        <w:rPr>
          <w:sz w:val="20"/>
          <w:szCs w:val="20"/>
          <w:color w:val="auto"/>
        </w:rPr>
      </w:pPr>
    </w:p>
    <w:p>
      <w:pPr>
        <w:ind w:right="200"/>
        <w:spacing w:after="0" w:line="299" w:lineRule="auto"/>
        <w:rPr>
          <w:sz w:val="20"/>
          <w:szCs w:val="20"/>
          <w:color w:val="auto"/>
        </w:rPr>
      </w:pPr>
      <w:r>
        <w:rPr>
          <w:rFonts w:ascii="Arial" w:cs="Arial" w:eastAsia="Arial" w:hAnsi="Arial"/>
          <w:sz w:val="18"/>
          <w:szCs w:val="18"/>
          <w:color w:val="auto"/>
        </w:rPr>
        <w:t>Certification of Principal Executive Officer and Principal Financial Officer pursuant to Rule 13a-14(a)/15d-14(a) of the Securities Exchange Act of 1934, as amended</w:t>
      </w:r>
    </w:p>
    <w:p>
      <w:pPr>
        <w:spacing w:after="0" w:line="170" w:lineRule="exact"/>
        <w:rPr>
          <w:sz w:val="20"/>
          <w:szCs w:val="20"/>
          <w:color w:val="auto"/>
        </w:rPr>
      </w:pPr>
    </w:p>
    <w:p>
      <w:pPr>
        <w:ind w:right="200"/>
        <w:spacing w:after="0" w:line="299" w:lineRule="auto"/>
        <w:rPr>
          <w:sz w:val="20"/>
          <w:szCs w:val="20"/>
          <w:color w:val="auto"/>
        </w:rPr>
      </w:pPr>
      <w:r>
        <w:rPr>
          <w:rFonts w:ascii="Arial" w:cs="Arial" w:eastAsia="Arial" w:hAnsi="Arial"/>
          <w:sz w:val="18"/>
          <w:szCs w:val="18"/>
          <w:color w:val="auto"/>
        </w:rPr>
        <w:t>Certification of Principal Executive Officer and Principal Financial Officer pursuant to 18 U.S.C.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720" w:val="left"/>
          <w:tab w:leader="none" w:pos="2160" w:val="left"/>
          <w:tab w:leader="none" w:pos="36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0001-36395</w:t>
      </w:r>
      <w:r>
        <w:rPr>
          <w:sz w:val="20"/>
          <w:szCs w:val="20"/>
          <w:color w:val="auto"/>
        </w:rPr>
        <w:tab/>
      </w:r>
      <w:r>
        <w:rPr>
          <w:rFonts w:ascii="Arial" w:cs="Arial" w:eastAsia="Arial" w:hAnsi="Arial"/>
          <w:sz w:val="18"/>
          <w:szCs w:val="18"/>
          <w:color w:val="auto"/>
        </w:rPr>
        <w:t>1/29/2026</w:t>
      </w:r>
      <w:r>
        <w:rPr>
          <w:sz w:val="20"/>
          <w:szCs w:val="20"/>
          <w:color w:val="auto"/>
        </w:rPr>
        <w:tab/>
      </w:r>
      <w:r>
        <w:rPr>
          <w:rFonts w:ascii="Arial" w:cs="Arial" w:eastAsia="Arial" w:hAnsi="Arial"/>
          <w:sz w:val="18"/>
          <w:szCs w:val="18"/>
          <w:color w:val="auto"/>
        </w:rPr>
        <w:t>4.1</w:t>
      </w:r>
    </w:p>
    <w:p>
      <w:pPr>
        <w:spacing w:after="0" w:line="347"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306"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spacing w:after="0"/>
        <w:tabs>
          <w:tab w:leader="none" w:pos="720" w:val="left"/>
          <w:tab w:leader="none" w:pos="2160" w:val="left"/>
          <w:tab w:leader="none" w:pos="35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0001-36395</w:t>
      </w:r>
      <w:r>
        <w:rPr>
          <w:sz w:val="20"/>
          <w:szCs w:val="20"/>
          <w:color w:val="auto"/>
        </w:rPr>
        <w:tab/>
      </w:r>
      <w:r>
        <w:rPr>
          <w:rFonts w:ascii="Arial" w:cs="Arial" w:eastAsia="Arial" w:hAnsi="Arial"/>
          <w:sz w:val="18"/>
          <w:szCs w:val="18"/>
          <w:color w:val="auto"/>
        </w:rPr>
        <w:t>1/29/2026</w:t>
      </w:r>
      <w:r>
        <w:rPr>
          <w:sz w:val="20"/>
          <w:szCs w:val="20"/>
          <w:color w:val="auto"/>
        </w:rPr>
        <w:tab/>
      </w:r>
      <w:r>
        <w:rPr>
          <w:rFonts w:ascii="Arial" w:cs="Arial" w:eastAsia="Arial" w:hAnsi="Arial"/>
          <w:sz w:val="17"/>
          <w:szCs w:val="17"/>
          <w:color w:val="auto"/>
        </w:rPr>
        <w:t>10.1</w:t>
      </w:r>
    </w:p>
    <w:p>
      <w:pPr>
        <w:spacing w:after="0" w:line="252"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w:t>
      </w:r>
    </w:p>
    <w:p>
      <w:pPr>
        <w:spacing w:after="0" w:line="1005" w:lineRule="exact"/>
        <w:rPr>
          <w:sz w:val="20"/>
          <w:szCs w:val="20"/>
          <w:color w:val="auto"/>
        </w:rPr>
      </w:pPr>
    </w:p>
    <w:p>
      <w:pPr>
        <w:sectPr>
          <w:pgSz w:w="11900" w:h="16838" w:orient="portrait"/>
          <w:cols w:equalWidth="0" w:num="3">
            <w:col w:w="620" w:space="720"/>
            <w:col w:w="4140" w:space="320"/>
            <w:col w:w="5440"/>
          </w:cols>
          <w:pgMar w:left="320" w:top="1012" w:right="339" w:bottom="1440" w:gutter="0" w:footer="0" w:header="0"/>
          <w:type w:val="continuous"/>
        </w:sectPr>
      </w:pPr>
    </w:p>
    <w:tbl>
      <w:tblPr>
        <w:tblLayout w:type="fixed"/>
        <w:tblInd w:w="2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4460" w:type="dxa"/>
            <w:vAlign w:val="bottom"/>
          </w:tcPr>
          <w:p>
            <w:pPr>
              <w:ind w:left="300"/>
              <w:spacing w:after="0"/>
              <w:rPr>
                <w:sz w:val="20"/>
                <w:szCs w:val="20"/>
                <w:color w:val="auto"/>
              </w:rPr>
            </w:pPr>
            <w:r>
              <w:rPr>
                <w:rFonts w:ascii="Arial" w:cs="Arial" w:eastAsia="Arial" w:hAnsi="Arial"/>
                <w:sz w:val="18"/>
                <w:szCs w:val="18"/>
                <w:color w:val="auto"/>
              </w:rPr>
              <w:t>Inline XBRL Instance Document - The instance</w:t>
            </w:r>
          </w:p>
        </w:tc>
        <w:tc>
          <w:tcPr>
            <w:tcW w:w="5240" w:type="dxa"/>
            <w:vAlign w:val="bottom"/>
          </w:tcPr>
          <w:p>
            <w:pPr>
              <w:ind w:left="5120"/>
              <w:spacing w:after="0"/>
              <w:rPr>
                <w:sz w:val="20"/>
                <w:szCs w:val="20"/>
                <w:color w:val="auto"/>
              </w:rPr>
            </w:pPr>
            <w:r>
              <w:rPr>
                <w:rFonts w:ascii="Arial" w:cs="Arial" w:eastAsia="Arial" w:hAnsi="Arial"/>
                <w:sz w:val="18"/>
                <w:szCs w:val="18"/>
                <w:color w:val="auto"/>
                <w:w w:val="82"/>
              </w:rPr>
              <w:t>X</w:t>
            </w:r>
          </w:p>
        </w:tc>
      </w:tr>
      <w:tr>
        <w:trPr>
          <w:trHeight w:val="243"/>
        </w:trPr>
        <w:tc>
          <w:tcPr>
            <w:tcW w:w="1020" w:type="dxa"/>
            <w:vAlign w:val="bottom"/>
          </w:tcPr>
          <w:p>
            <w:pPr>
              <w:spacing w:after="0"/>
              <w:rPr>
                <w:sz w:val="21"/>
                <w:szCs w:val="21"/>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 does not appear in the interactive data</w:t>
            </w:r>
          </w:p>
        </w:tc>
        <w:tc>
          <w:tcPr>
            <w:tcW w:w="5240" w:type="dxa"/>
            <w:vAlign w:val="bottom"/>
          </w:tcPr>
          <w:p>
            <w:pPr>
              <w:spacing w:after="0"/>
              <w:rPr>
                <w:sz w:val="21"/>
                <w:szCs w:val="21"/>
                <w:color w:val="auto"/>
              </w:rPr>
            </w:pPr>
          </w:p>
        </w:tc>
      </w:tr>
      <w:tr>
        <w:trPr>
          <w:trHeight w:val="256"/>
        </w:trPr>
        <w:tc>
          <w:tcPr>
            <w:tcW w:w="1020" w:type="dxa"/>
            <w:vAlign w:val="bottom"/>
          </w:tcPr>
          <w:p>
            <w:pPr>
              <w:spacing w:after="0"/>
              <w:rPr>
                <w:sz w:val="22"/>
                <w:szCs w:val="22"/>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file because its XBRL tags are embedded within the</w:t>
            </w:r>
          </w:p>
        </w:tc>
        <w:tc>
          <w:tcPr>
            <w:tcW w:w="5240" w:type="dxa"/>
            <w:vAlign w:val="bottom"/>
          </w:tcPr>
          <w:p>
            <w:pPr>
              <w:spacing w:after="0"/>
              <w:rPr>
                <w:sz w:val="22"/>
                <w:szCs w:val="22"/>
                <w:color w:val="auto"/>
              </w:rPr>
            </w:pPr>
          </w:p>
        </w:tc>
      </w:tr>
      <w:tr>
        <w:trPr>
          <w:trHeight w:val="243"/>
        </w:trPr>
        <w:tc>
          <w:tcPr>
            <w:tcW w:w="1020" w:type="dxa"/>
            <w:vAlign w:val="bottom"/>
          </w:tcPr>
          <w:p>
            <w:pPr>
              <w:spacing w:after="0"/>
              <w:rPr>
                <w:sz w:val="21"/>
                <w:szCs w:val="21"/>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inline XBRL document.</w:t>
            </w:r>
          </w:p>
        </w:tc>
        <w:tc>
          <w:tcPr>
            <w:tcW w:w="5240" w:type="dxa"/>
            <w:vAlign w:val="bottom"/>
          </w:tcPr>
          <w:p>
            <w:pPr>
              <w:spacing w:after="0"/>
              <w:rPr>
                <w:sz w:val="21"/>
                <w:szCs w:val="21"/>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4460" w:type="dxa"/>
            <w:vAlign w:val="bottom"/>
          </w:tcPr>
          <w:p>
            <w:pPr>
              <w:ind w:left="300"/>
              <w:spacing w:after="0"/>
              <w:rPr>
                <w:sz w:val="20"/>
                <w:szCs w:val="20"/>
                <w:color w:val="auto"/>
              </w:rPr>
            </w:pPr>
            <w:r>
              <w:rPr>
                <w:rFonts w:ascii="Arial" w:cs="Arial" w:eastAsia="Arial" w:hAnsi="Arial"/>
                <w:sz w:val="18"/>
                <w:szCs w:val="18"/>
                <w:color w:val="auto"/>
              </w:rPr>
              <w:t>Inline XBRL Taxonomy Extension Schema</w:t>
            </w:r>
          </w:p>
        </w:tc>
        <w:tc>
          <w:tcPr>
            <w:tcW w:w="5240" w:type="dxa"/>
            <w:vAlign w:val="bottom"/>
          </w:tcPr>
          <w:p>
            <w:pPr>
              <w:ind w:left="5120"/>
              <w:spacing w:after="0"/>
              <w:rPr>
                <w:sz w:val="20"/>
                <w:szCs w:val="20"/>
                <w:color w:val="auto"/>
              </w:rPr>
            </w:pPr>
            <w:r>
              <w:rPr>
                <w:rFonts w:ascii="Arial" w:cs="Arial" w:eastAsia="Arial" w:hAnsi="Arial"/>
                <w:sz w:val="18"/>
                <w:szCs w:val="18"/>
                <w:color w:val="auto"/>
                <w:w w:val="82"/>
              </w:rPr>
              <w:t>X</w:t>
            </w:r>
          </w:p>
        </w:tc>
      </w:tr>
      <w:tr>
        <w:trPr>
          <w:trHeight w:val="243"/>
        </w:trPr>
        <w:tc>
          <w:tcPr>
            <w:tcW w:w="1020" w:type="dxa"/>
            <w:vAlign w:val="bottom"/>
          </w:tcPr>
          <w:p>
            <w:pPr>
              <w:spacing w:after="0"/>
              <w:rPr>
                <w:sz w:val="21"/>
                <w:szCs w:val="21"/>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c>
          <w:tcPr>
            <w:tcW w:w="5240" w:type="dxa"/>
            <w:vAlign w:val="bottom"/>
          </w:tcPr>
          <w:p>
            <w:pPr>
              <w:spacing w:after="0"/>
              <w:rPr>
                <w:sz w:val="21"/>
                <w:szCs w:val="21"/>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4460" w:type="dxa"/>
            <w:vAlign w:val="bottom"/>
          </w:tcPr>
          <w:p>
            <w:pPr>
              <w:ind w:left="300"/>
              <w:spacing w:after="0"/>
              <w:rPr>
                <w:sz w:val="20"/>
                <w:szCs w:val="20"/>
                <w:color w:val="auto"/>
              </w:rPr>
            </w:pPr>
            <w:r>
              <w:rPr>
                <w:rFonts w:ascii="Arial" w:cs="Arial" w:eastAsia="Arial" w:hAnsi="Arial"/>
                <w:sz w:val="18"/>
                <w:szCs w:val="18"/>
                <w:color w:val="auto"/>
              </w:rPr>
              <w:t>Inline XBRL Taxonomy Extension Calculation</w:t>
            </w:r>
          </w:p>
        </w:tc>
        <w:tc>
          <w:tcPr>
            <w:tcW w:w="5240" w:type="dxa"/>
            <w:vAlign w:val="bottom"/>
          </w:tcPr>
          <w:p>
            <w:pPr>
              <w:ind w:left="5120"/>
              <w:spacing w:after="0"/>
              <w:rPr>
                <w:sz w:val="20"/>
                <w:szCs w:val="20"/>
                <w:color w:val="auto"/>
              </w:rPr>
            </w:pPr>
            <w:r>
              <w:rPr>
                <w:rFonts w:ascii="Arial" w:cs="Arial" w:eastAsia="Arial" w:hAnsi="Arial"/>
                <w:sz w:val="18"/>
                <w:szCs w:val="18"/>
                <w:color w:val="auto"/>
                <w:w w:val="82"/>
              </w:rPr>
              <w:t>X</w:t>
            </w:r>
          </w:p>
        </w:tc>
      </w:tr>
      <w:tr>
        <w:trPr>
          <w:trHeight w:val="243"/>
        </w:trPr>
        <w:tc>
          <w:tcPr>
            <w:tcW w:w="1020" w:type="dxa"/>
            <w:vAlign w:val="bottom"/>
          </w:tcPr>
          <w:p>
            <w:pPr>
              <w:spacing w:after="0"/>
              <w:rPr>
                <w:sz w:val="21"/>
                <w:szCs w:val="21"/>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Linkbase Document</w:t>
            </w:r>
          </w:p>
        </w:tc>
        <w:tc>
          <w:tcPr>
            <w:tcW w:w="5240" w:type="dxa"/>
            <w:vAlign w:val="bottom"/>
          </w:tcPr>
          <w:p>
            <w:pPr>
              <w:spacing w:after="0"/>
              <w:rPr>
                <w:sz w:val="21"/>
                <w:szCs w:val="21"/>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446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w:t>
            </w:r>
          </w:p>
        </w:tc>
        <w:tc>
          <w:tcPr>
            <w:tcW w:w="5240" w:type="dxa"/>
            <w:vAlign w:val="bottom"/>
          </w:tcPr>
          <w:p>
            <w:pPr>
              <w:ind w:left="5120"/>
              <w:spacing w:after="0"/>
              <w:rPr>
                <w:sz w:val="20"/>
                <w:szCs w:val="20"/>
                <w:color w:val="auto"/>
              </w:rPr>
            </w:pPr>
            <w:r>
              <w:rPr>
                <w:rFonts w:ascii="Arial" w:cs="Arial" w:eastAsia="Arial" w:hAnsi="Arial"/>
                <w:sz w:val="18"/>
                <w:szCs w:val="18"/>
                <w:color w:val="auto"/>
                <w:w w:val="82"/>
              </w:rPr>
              <w:t>X</w:t>
            </w:r>
          </w:p>
        </w:tc>
      </w:tr>
      <w:tr>
        <w:trPr>
          <w:trHeight w:val="243"/>
        </w:trPr>
        <w:tc>
          <w:tcPr>
            <w:tcW w:w="1020" w:type="dxa"/>
            <w:vAlign w:val="bottom"/>
          </w:tcPr>
          <w:p>
            <w:pPr>
              <w:spacing w:after="0"/>
              <w:rPr>
                <w:sz w:val="21"/>
                <w:szCs w:val="21"/>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Linkbase Document</w:t>
            </w:r>
          </w:p>
        </w:tc>
        <w:tc>
          <w:tcPr>
            <w:tcW w:w="5240" w:type="dxa"/>
            <w:vAlign w:val="bottom"/>
          </w:tcPr>
          <w:p>
            <w:pPr>
              <w:spacing w:after="0"/>
              <w:rPr>
                <w:sz w:val="21"/>
                <w:szCs w:val="21"/>
                <w:color w:val="auto"/>
              </w:rPr>
            </w:pPr>
          </w:p>
        </w:tc>
      </w:tr>
      <w:tr>
        <w:trPr>
          <w:trHeight w:val="850"/>
        </w:trPr>
        <w:tc>
          <w:tcPr>
            <w:tcW w:w="10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240"/>
          </w:cols>
          <w:pgMar w:left="320" w:top="1012" w:right="339" w:bottom="1440" w:gutter="0" w:footer="0" w:header="0"/>
          <w:type w:val="continuous"/>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692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w:t>
            </w:r>
          </w:p>
        </w:tc>
        <w:tc>
          <w:tcPr>
            <w:tcW w:w="2800" w:type="dxa"/>
            <w:vAlign w:val="bottom"/>
          </w:tcPr>
          <w:p>
            <w:pPr>
              <w:ind w:left="26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2"/>
                <w:szCs w:val="22"/>
                <w:color w:val="auto"/>
              </w:rPr>
            </w:pPr>
          </w:p>
        </w:tc>
        <w:tc>
          <w:tcPr>
            <w:tcW w:w="6920" w:type="dxa"/>
            <w:vAlign w:val="bottom"/>
          </w:tcPr>
          <w:p>
            <w:pPr>
              <w:ind w:left="300"/>
              <w:spacing w:after="0"/>
              <w:rPr>
                <w:sz w:val="20"/>
                <w:szCs w:val="20"/>
                <w:color w:val="auto"/>
              </w:rPr>
            </w:pPr>
            <w:r>
              <w:rPr>
                <w:rFonts w:ascii="Arial" w:cs="Arial" w:eastAsia="Arial" w:hAnsi="Arial"/>
                <w:sz w:val="18"/>
                <w:szCs w:val="18"/>
                <w:color w:val="auto"/>
              </w:rPr>
              <w:t>Document</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692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w:t>
            </w:r>
          </w:p>
        </w:tc>
        <w:tc>
          <w:tcPr>
            <w:tcW w:w="2800" w:type="dxa"/>
            <w:vAlign w:val="bottom"/>
          </w:tcPr>
          <w:p>
            <w:pPr>
              <w:ind w:left="26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6920" w:type="dxa"/>
            <w:vAlign w:val="bottom"/>
          </w:tcPr>
          <w:p>
            <w:pPr>
              <w:ind w:left="300"/>
              <w:spacing w:after="0"/>
              <w:rPr>
                <w:sz w:val="20"/>
                <w:szCs w:val="20"/>
                <w:color w:val="auto"/>
              </w:rPr>
            </w:pPr>
            <w:r>
              <w:rPr>
                <w:rFonts w:ascii="Arial" w:cs="Arial" w:eastAsia="Arial" w:hAnsi="Arial"/>
                <w:sz w:val="18"/>
                <w:szCs w:val="18"/>
                <w:color w:val="auto"/>
              </w:rPr>
              <w:t>Linkbase Document</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6920" w:type="dxa"/>
            <w:vAlign w:val="bottom"/>
          </w:tcPr>
          <w:p>
            <w:pPr>
              <w:ind w:left="300"/>
              <w:spacing w:after="0"/>
              <w:rPr>
                <w:sz w:val="20"/>
                <w:szCs w:val="20"/>
                <w:color w:val="auto"/>
              </w:rPr>
            </w:pPr>
            <w:r>
              <w:rPr>
                <w:rFonts w:ascii="Arial" w:cs="Arial" w:eastAsia="Arial" w:hAnsi="Arial"/>
                <w:sz w:val="18"/>
                <w:szCs w:val="18"/>
                <w:color w:val="auto"/>
              </w:rPr>
              <w:t>Cover Page Interactive Data File (formatted as</w:t>
            </w:r>
          </w:p>
        </w:tc>
        <w:tc>
          <w:tcPr>
            <w:tcW w:w="2800" w:type="dxa"/>
            <w:vAlign w:val="bottom"/>
            <w:vMerge w:val="restart"/>
          </w:tcPr>
          <w:p>
            <w:pPr>
              <w:ind w:left="26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53"/>
        </w:trPr>
        <w:tc>
          <w:tcPr>
            <w:tcW w:w="1020" w:type="dxa"/>
            <w:vAlign w:val="bottom"/>
          </w:tcPr>
          <w:p>
            <w:pPr>
              <w:spacing w:after="0"/>
              <w:rPr>
                <w:sz w:val="13"/>
                <w:szCs w:val="13"/>
                <w:color w:val="auto"/>
              </w:rPr>
            </w:pPr>
          </w:p>
        </w:tc>
        <w:tc>
          <w:tcPr>
            <w:tcW w:w="6920" w:type="dxa"/>
            <w:vAlign w:val="bottom"/>
            <w:vMerge w:val="restart"/>
          </w:tcPr>
          <w:p>
            <w:pPr>
              <w:ind w:left="300"/>
              <w:spacing w:after="0"/>
              <w:rPr>
                <w:sz w:val="20"/>
                <w:szCs w:val="20"/>
                <w:color w:val="auto"/>
              </w:rPr>
            </w:pPr>
            <w:r>
              <w:rPr>
                <w:rFonts w:ascii="Arial" w:cs="Arial" w:eastAsia="Arial" w:hAnsi="Arial"/>
                <w:sz w:val="18"/>
                <w:szCs w:val="18"/>
                <w:color w:val="auto"/>
              </w:rPr>
              <w:t>Inline XBRL and contained in Exhibit 101)</w:t>
            </w: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020" w:type="dxa"/>
            <w:vAlign w:val="bottom"/>
          </w:tcPr>
          <w:p>
            <w:pPr>
              <w:spacing w:after="0"/>
              <w:rPr>
                <w:sz w:val="7"/>
                <w:szCs w:val="7"/>
                <w:color w:val="auto"/>
              </w:rPr>
            </w:pPr>
          </w:p>
        </w:tc>
        <w:tc>
          <w:tcPr>
            <w:tcW w:w="6920" w:type="dxa"/>
            <w:vAlign w:val="bottom"/>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320" w:hanging="835"/>
        <w:spacing w:after="0" w:line="225"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40" w:top="904" w:right="4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Daré Bioscience, Inc.</w:t>
            </w:r>
          </w:p>
        </w:tc>
      </w:tr>
      <w:tr>
        <w:trPr>
          <w:trHeight w:val="523"/>
        </w:trPr>
        <w:tc>
          <w:tcPr>
            <w:tcW w:w="3400" w:type="dxa"/>
            <w:vAlign w:val="bottom"/>
          </w:tcPr>
          <w:p>
            <w:pPr>
              <w:spacing w:after="0"/>
              <w:rPr>
                <w:sz w:val="20"/>
                <w:szCs w:val="20"/>
                <w:color w:val="auto"/>
              </w:rPr>
            </w:pPr>
            <w:r>
              <w:rPr>
                <w:rFonts w:ascii="Arial" w:cs="Arial" w:eastAsia="Arial" w:hAnsi="Arial"/>
                <w:sz w:val="18"/>
                <w:szCs w:val="18"/>
                <w:color w:val="auto"/>
              </w:rPr>
              <w:t>Date: May 14, 2026</w:t>
            </w:r>
          </w:p>
        </w:tc>
        <w:tc>
          <w:tcPr>
            <w:tcW w:w="2100" w:type="dxa"/>
            <w:vAlign w:val="bottom"/>
          </w:tcPr>
          <w:p>
            <w:pPr>
              <w:ind w:left="184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18"/>
        </w:trPr>
        <w:tc>
          <w:tcPr>
            <w:tcW w:w="3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29"/>
        </w:trPr>
        <w:tc>
          <w:tcPr>
            <w:tcW w:w="3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3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Executive Officer and Principal Financial Officer)</w:t>
            </w:r>
          </w:p>
        </w:tc>
      </w:tr>
      <w:tr>
        <w:trPr>
          <w:trHeight w:val="495"/>
        </w:trPr>
        <w:tc>
          <w:tcPr>
            <w:tcW w:w="3400" w:type="dxa"/>
            <w:vAlign w:val="bottom"/>
          </w:tcPr>
          <w:p>
            <w:pPr>
              <w:spacing w:after="0"/>
              <w:rPr>
                <w:sz w:val="20"/>
                <w:szCs w:val="20"/>
                <w:color w:val="auto"/>
              </w:rPr>
            </w:pPr>
            <w:r>
              <w:rPr>
                <w:rFonts w:ascii="Arial" w:cs="Arial" w:eastAsia="Arial" w:hAnsi="Arial"/>
                <w:sz w:val="18"/>
                <w:szCs w:val="18"/>
                <w:color w:val="auto"/>
              </w:rPr>
              <w:t>Date: May 14, 2026</w:t>
            </w:r>
          </w:p>
        </w:tc>
        <w:tc>
          <w:tcPr>
            <w:tcW w:w="2100" w:type="dxa"/>
            <w:vAlign w:val="bottom"/>
          </w:tcPr>
          <w:p>
            <w:pPr>
              <w:ind w:left="184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MarDee Haring-Layton</w:t>
            </w:r>
          </w:p>
        </w:tc>
      </w:tr>
      <w:tr>
        <w:trPr>
          <w:trHeight w:val="218"/>
        </w:trPr>
        <w:tc>
          <w:tcPr>
            <w:tcW w:w="3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MarDee Haring-Layton</w:t>
            </w:r>
          </w:p>
        </w:tc>
      </w:tr>
      <w:tr>
        <w:trPr>
          <w:trHeight w:val="230"/>
        </w:trPr>
        <w:tc>
          <w:tcPr>
            <w:tcW w:w="3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39"/>
        </w:trPr>
        <w:tc>
          <w:tcPr>
            <w:tcW w:w="3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958"/>
        </w:trPr>
        <w:tc>
          <w:tcPr>
            <w:tcW w:w="3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700" w:type="dxa"/>
            <w:vAlign w:val="bottom"/>
            <w:gridSpan w:val="2"/>
          </w:tcPr>
          <w:p>
            <w:pPr>
              <w:jc w:val="right"/>
              <w:ind w:right="5410"/>
              <w:spacing w:after="0"/>
              <w:rPr>
                <w:sz w:val="20"/>
                <w:szCs w:val="20"/>
                <w:color w:val="auto"/>
              </w:rPr>
            </w:pPr>
            <w:r>
              <w:rPr>
                <w:rFonts w:ascii="Arial" w:cs="Arial" w:eastAsia="Arial" w:hAnsi="Arial"/>
                <w:sz w:val="18"/>
                <w:szCs w:val="18"/>
                <w:color w:val="auto"/>
                <w:w w:val="89"/>
              </w:rPr>
              <w:t>46</w:t>
            </w:r>
          </w:p>
        </w:tc>
      </w:tr>
    </w:tbl>
    <w:p>
      <w:pPr>
        <w:spacing w:after="0" w:line="1" w:lineRule="exact"/>
        <w:rPr>
          <w:sz w:val="20"/>
          <w:szCs w:val="20"/>
          <w:color w:val="auto"/>
        </w:rPr>
      </w:pPr>
    </w:p>
    <w:sectPr>
      <w:pgSz w:w="11900" w:h="16838" w:orient="portrait"/>
      <w:cols w:equalWidth="0" w:num="1">
        <w:col w:w="11220"/>
      </w:cols>
      <w:pgMar w:left="320" w:top="10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emdash "/>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2"/>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3"/>
    </w:lvl>
  </w:abstractNum>
  <w:abstractNum w:abstractNumId="11">
    <w:nsid w:val="6763845E"/>
    <w:multiLevelType w:val="hybridMultilevel"/>
    <w:lvl w:ilvl="0">
      <w:lvlJc w:val="left"/>
      <w:lvlText w:val="%1."/>
      <w:numFmt w:val="decimal"/>
      <w:start w:val="4"/>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lowerLetter"/>
      <w:start w:val="2"/>
    </w:lvl>
  </w:abstractNum>
  <w:abstractNum w:abstractNumId="15">
    <w:nsid w:val="4353D0CD"/>
    <w:multiLevelType w:val="hybridMultilevel"/>
    <w:lvl w:ilvl="0">
      <w:lvlJc w:val="left"/>
      <w:lvlText w:val="%1."/>
      <w:numFmt w:val="decimal"/>
      <w:start w:val="5"/>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decimal"/>
      <w:start w:val="6"/>
    </w:lvl>
  </w:abstractNum>
  <w:abstractNum w:abstractNumId="18">
    <w:nsid w:val="54E49EB4"/>
    <w:multiLevelType w:val="hybridMultilevel"/>
    <w:lvl w:ilvl="0">
      <w:lvlJc w:val="left"/>
      <w:lvlText w:val="%1."/>
      <w:numFmt w:val="decimal"/>
      <w:start w:val="7"/>
    </w:lvl>
  </w:abstractNum>
  <w:abstractNum w:abstractNumId="19">
    <w:nsid w:val="71F32454"/>
    <w:multiLevelType w:val="hybridMultilevel"/>
    <w:lvl w:ilvl="0">
      <w:lvlJc w:val="left"/>
      <w:lvlText w:val="%1."/>
      <w:numFmt w:val="decimal"/>
      <w:start w:val="8"/>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decimal"/>
      <w:start w:val="9"/>
    </w:lvl>
  </w:abstractNum>
  <w:abstractNum w:abstractNumId="22">
    <w:nsid w:val="2901D82"/>
    <w:multiLevelType w:val="hybridMultilevel"/>
    <w:lvl w:ilvl="0">
      <w:lvlJc w:val="left"/>
      <w:lvlText w:val="%1."/>
      <w:numFmt w:val="decimal"/>
      <w:start w:val="10"/>
    </w:lvl>
  </w:abstractNum>
  <w:abstractNum w:abstractNumId="23">
    <w:nsid w:val="3A95F874"/>
    <w:multiLevelType w:val="hybridMultilevel"/>
    <w:lvl w:ilvl="0">
      <w:lvlJc w:val="left"/>
      <w:lvlText w:val="%1."/>
      <w:numFmt w:val="decimal"/>
      <w:start w:val="11"/>
    </w:lvl>
  </w:abstractNum>
  <w:abstractNum w:abstractNumId="24">
    <w:nsid w:val="8138641"/>
    <w:multiLevelType w:val="hybridMultilevel"/>
    <w:lvl w:ilvl="0">
      <w:lvlJc w:val="left"/>
      <w:lvlText w:val="%1."/>
      <w:numFmt w:val="decimal"/>
      <w:start w:val="12"/>
    </w:lvl>
  </w:abstractNum>
  <w:abstractNum w:abstractNumId="25">
    <w:nsid w:val="1E7FF521"/>
    <w:multiLevelType w:val="hybridMultilevel"/>
    <w:lvl w:ilvl="0">
      <w:lvlJc w:val="left"/>
      <w:lvlText w:val="%1"/>
      <w:numFmt w:val="decimal"/>
      <w:start w:val="1"/>
    </w:lvl>
    <w:lvl w:ilvl="1">
      <w:lvlJc w:val="left"/>
      <w:lvlText w:val="(%2)"/>
      <w:numFmt w:val="decimal"/>
      <w:start w:val="1"/>
    </w:lvl>
  </w:abstractNum>
  <w:abstractNum w:abstractNumId="26">
    <w:nsid w:val="7C3DBD3D"/>
    <w:multiLevelType w:val="hybridMultilevel"/>
    <w:lvl w:ilvl="0">
      <w:lvlJc w:val="left"/>
      <w:lvlText w:val="%1."/>
      <w:numFmt w:val="decimal"/>
      <w:start w:val="13"/>
    </w:lvl>
    <w:lvl w:ilvl="1">
      <w:lvlJc w:val="left"/>
      <w:lvlText w:val="%2"/>
      <w:numFmt w:val="decimal"/>
      <w:start w:val="1"/>
    </w:lvl>
  </w:abstractNum>
  <w:abstractNum w:abstractNumId="27">
    <w:nsid w:val="737B8DDC"/>
    <w:multiLevelType w:val="hybridMultilevel"/>
    <w:lvl w:ilvl="0">
      <w:lvlJc w:val="left"/>
      <w:lvlText w:val="%1"/>
      <w:numFmt w:val="upperLetter"/>
      <w:start w:val="35"/>
    </w:lvl>
  </w:abstractNum>
  <w:abstractNum w:abstractNumId="28">
    <w:nsid w:val="6CEAF087"/>
    <w:multiLevelType w:val="hybridMultilevel"/>
    <w:lvl w:ilvl="0">
      <w:lvlJc w:val="left"/>
      <w:lvlText w:val="•"/>
      <w:numFmt w:val="bullet"/>
      <w:start w:val="1"/>
    </w:lvl>
    <w:lvl w:ilvl="1">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emdash "/>
      <w:numFmt w:val="bullet"/>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2"/>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2026-05-15T05:15:12Z</dcterms:created>
  <dcterms:modified xsi:type="dcterms:W3CDTF">2026-05-15T05:15:12Z</dcterms:modified>
</cp:coreProperties>
</file>