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80"/>
        <w:spacing w:after="0"/>
        <w:tabs>
          <w:tab w:leader="none" w:pos="6780" w:val="left"/>
          <w:tab w:leader="none" w:pos="7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243205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CERULEAN PHARMA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60" w:type="dxa"/>
        <w:tblCellMar>
          <w:top w:w="0" w:type="dxa"/>
          <w:left w:w="0" w:type="dxa"/>
          <w:bottom w:w="0" w:type="dxa"/>
          <w:right w:w="0" w:type="dxa"/>
        </w:tblCellMar>
      </w:tblPr>
      <w:tr>
        <w:trPr>
          <w:trHeight w:val="214"/>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20-4139823</w:t>
            </w:r>
          </w:p>
        </w:tc>
      </w:tr>
      <w:tr>
        <w:trPr>
          <w:trHeight w:val="149"/>
        </w:trPr>
        <w:tc>
          <w:tcPr>
            <w:tcW w:w="6080" w:type="dxa"/>
            <w:vAlign w:val="bottom"/>
          </w:tcPr>
          <w:p>
            <w:pPr>
              <w:jc w:val="center"/>
              <w:ind w:right="35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w w:val="99"/>
              </w:rPr>
              <w:t>840 Memorial Drive</w:t>
            </w:r>
          </w:p>
        </w:tc>
        <w:tc>
          <w:tcPr>
            <w:tcW w:w="1480" w:type="dxa"/>
            <w:vAlign w:val="bottom"/>
          </w:tcPr>
          <w:p>
            <w:pPr>
              <w:spacing w:after="0"/>
              <w:rPr>
                <w:sz w:val="24"/>
                <w:szCs w:val="24"/>
                <w:color w:val="auto"/>
              </w:rPr>
            </w:pPr>
          </w:p>
        </w:tc>
      </w:tr>
      <w:tr>
        <w:trPr>
          <w:trHeight w:val="227"/>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6080" w:type="dxa"/>
            <w:vAlign w:val="bottom"/>
          </w:tcPr>
          <w:p>
            <w:pPr>
              <w:jc w:val="center"/>
              <w:ind w:right="35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080" w:type="dxa"/>
            <w:vAlign w:val="bottom"/>
          </w:tcPr>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(617) 551-9600</w:t>
            </w:r>
          </w:p>
        </w:tc>
        <w:tc>
          <w:tcPr>
            <w:tcW w:w="1480" w:type="dxa"/>
            <w:vAlign w:val="bottom"/>
          </w:tcPr>
          <w:p>
            <w:pPr>
              <w:spacing w:after="0"/>
              <w:rPr>
                <w:sz w:val="24"/>
                <w:szCs w:val="24"/>
                <w:color w:val="auto"/>
              </w:rPr>
            </w:pPr>
          </w:p>
        </w:tc>
      </w:tr>
      <w:tr>
        <w:trPr>
          <w:trHeight w:val="190"/>
        </w:trPr>
        <w:tc>
          <w:tcPr>
            <w:tcW w:w="6080" w:type="dxa"/>
            <w:vAlign w:val="bottom"/>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200" w:lineRule="exact"/>
        <w:rPr>
          <w:sz w:val="24"/>
          <w:szCs w:val="24"/>
          <w:color w:val="auto"/>
        </w:rPr>
      </w:pP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24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Number of shares of the registrant’s Common Stock, $ 0.0001 par value, outstanding on November 7: 20,125,049</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468"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2014</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Page No.</w:t>
            </w:r>
          </w:p>
        </w:tc>
      </w:tr>
      <w:tr>
        <w:trPr>
          <w:trHeight w:val="264"/>
        </w:trPr>
        <w:tc>
          <w:tcPr>
            <w:tcW w:w="308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700" w:type="dxa"/>
            <w:vAlign w:val="bottom"/>
            <w:gridSpan w:val="8"/>
          </w:tcPr>
          <w:p>
            <w:pPr>
              <w:spacing w:after="0"/>
              <w:rPr>
                <w:sz w:val="22"/>
                <w:szCs w:val="22"/>
                <w:color w:val="auto"/>
              </w:rPr>
            </w:pPr>
          </w:p>
        </w:tc>
        <w:tc>
          <w:tcPr>
            <w:tcW w:w="540" w:type="dxa"/>
            <w:vAlign w:val="bottom"/>
          </w:tcPr>
          <w:p>
            <w:pPr>
              <w:spacing w:after="0"/>
              <w:rPr>
                <w:sz w:val="22"/>
                <w:szCs w:val="22"/>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780" w:type="dxa"/>
            <w:vAlign w:val="bottom"/>
            <w:gridSpan w:val="16"/>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Financial Statements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9780" w:type="dxa"/>
            <w:vAlign w:val="bottom"/>
            <w:gridSpan w:val="16"/>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 as of September 30, 2014 and December 31, 2013 (unaudited)</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86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Operations for the Three and Nine Months Ended September 30, 2014 and 2013</w:t>
              </w:r>
            </w:hyperlink>
          </w:p>
        </w:tc>
        <w:tc>
          <w:tcPr>
            <w:tcW w:w="11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0" w:type="dxa"/>
            <w:vAlign w:val="bottom"/>
            <w:gridSpan w:val="15"/>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w:t>
              </w:r>
            </w:hyperlink>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tcPr>
          <w:p>
            <w:pPr>
              <w:spacing w:after="0"/>
              <w:rPr>
                <w:sz w:val="24"/>
                <w:szCs w:val="24"/>
                <w:color w:val="auto"/>
              </w:rPr>
            </w:pPr>
          </w:p>
        </w:tc>
        <w:tc>
          <w:tcPr>
            <w:tcW w:w="88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Cash Flows for the Nine Months Ended September 30, 2014 and 2013 (unaudited)</w:t>
              </w:r>
            </w:hyperlink>
          </w:p>
        </w:tc>
        <w:tc>
          <w:tcPr>
            <w:tcW w:w="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000" w:type="dxa"/>
            <w:vAlign w:val="bottom"/>
          </w:tcPr>
          <w:p>
            <w:pPr>
              <w:spacing w:after="0"/>
              <w:rPr>
                <w:sz w:val="24"/>
                <w:szCs w:val="24"/>
                <w:color w:val="auto"/>
              </w:rPr>
            </w:pPr>
          </w:p>
        </w:tc>
        <w:tc>
          <w:tcPr>
            <w:tcW w:w="9780" w:type="dxa"/>
            <w:vAlign w:val="bottom"/>
            <w:gridSpan w:val="16"/>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 (unaudited)</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780" w:type="dxa"/>
            <w:vAlign w:val="bottom"/>
            <w:gridSpan w:val="16"/>
          </w:tcPr>
          <w:p>
            <w:pPr>
              <w:spacing w:after="0"/>
              <w:rPr>
                <w:rFonts w:ascii="Times New Roman" w:cs="Times New Roman" w:eastAsia="Times New Roman" w:hAnsi="Times New Roman"/>
                <w:sz w:val="18"/>
                <w:szCs w:val="18"/>
                <w:b w:val="1"/>
                <w:bCs w:val="1"/>
                <w:color w:val="0000EE"/>
              </w:rPr>
            </w:pPr>
            <w:hyperlink w:anchor="page11">
              <w:r>
                <w:rPr>
                  <w:rFonts w:ascii="Times New Roman" w:cs="Times New Roman" w:eastAsia="Times New Roman" w:hAnsi="Times New Roman"/>
                  <w:sz w:val="18"/>
                  <w:szCs w:val="18"/>
                  <w:b w:val="1"/>
                  <w:bCs w:val="1"/>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820" w:type="dxa"/>
            <w:vAlign w:val="bottom"/>
            <w:tcBorders>
              <w:top w:val="single" w:sz="8" w:color="0000EE"/>
            </w:tcBorders>
            <w:gridSpan w:val="12"/>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Quantitative and Qualitative Disclosures About Market Risk</w:t>
              </w:r>
            </w:hyperlink>
          </w:p>
        </w:tc>
        <w:tc>
          <w:tcPr>
            <w:tcW w:w="296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660" w:type="dxa"/>
            <w:vAlign w:val="bottom"/>
            <w:tcBorders>
              <w:top w:val="single" w:sz="8" w:color="0000EE"/>
            </w:tcBorders>
            <w:gridSpan w:val="10"/>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Controls and Procedures</w:t>
              </w:r>
            </w:hyperlink>
          </w:p>
        </w:tc>
        <w:tc>
          <w:tcPr>
            <w:tcW w:w="5120" w:type="dxa"/>
            <w:vAlign w:val="bottom"/>
            <w:gridSpan w:val="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2780" w:type="dxa"/>
            <w:vAlign w:val="bottom"/>
            <w:tcBorders>
              <w:bottom w:val="single" w:sz="8" w:color="0000EE"/>
            </w:tcBorders>
            <w:gridSpan w:val="7"/>
          </w:tcPr>
          <w:p>
            <w:pPr>
              <w:spacing w:after="0"/>
              <w:rPr>
                <w:rFonts w:ascii="Times New Roman" w:cs="Times New Roman" w:eastAsia="Times New Roman" w:hAnsi="Times New Roman"/>
                <w:sz w:val="18"/>
                <w:szCs w:val="18"/>
                <w:b w:val="1"/>
                <w:bCs w:val="1"/>
                <w:color w:val="0000EE"/>
                <w:w w:val="98"/>
              </w:rPr>
            </w:pPr>
            <w:hyperlink w:anchor="page21">
              <w:r>
                <w:rPr>
                  <w:rFonts w:ascii="Times New Roman" w:cs="Times New Roman" w:eastAsia="Times New Roman" w:hAnsi="Times New Roman"/>
                  <w:sz w:val="18"/>
                  <w:szCs w:val="18"/>
                  <w:b w:val="1"/>
                  <w:bCs w:val="1"/>
                  <w:color w:val="0000EE"/>
                  <w:w w:val="98"/>
                </w:rPr>
                <w:t>PART II. OTHER INFORMATION</w:t>
              </w:r>
            </w:hyperlink>
          </w:p>
        </w:tc>
        <w:tc>
          <w:tcPr>
            <w:tcW w:w="8000" w:type="dxa"/>
            <w:vAlign w:val="bottom"/>
            <w:gridSpan w:val="10"/>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780" w:type="dxa"/>
            <w:vAlign w:val="bottom"/>
            <w:gridSpan w:val="16"/>
          </w:tcPr>
          <w:p>
            <w:pPr>
              <w:spacing w:after="0"/>
              <w:rPr>
                <w:rFonts w:ascii="Times New Roman" w:cs="Times New Roman" w:eastAsia="Times New Roman" w:hAnsi="Times New Roman"/>
                <w:sz w:val="18"/>
                <w:szCs w:val="18"/>
                <w:b w:val="1"/>
                <w:bCs w:val="1"/>
                <w:color w:val="0000EE"/>
              </w:rPr>
            </w:pPr>
            <w:hyperlink w:anchor="page21">
              <w:r>
                <w:rPr>
                  <w:rFonts w:ascii="Times New Roman" w:cs="Times New Roman" w:eastAsia="Times New Roman" w:hAnsi="Times New Roman"/>
                  <w:sz w:val="18"/>
                  <w:szCs w:val="18"/>
                  <w:b w:val="1"/>
                  <w:bCs w:val="1"/>
                  <w:color w:val="0000EE"/>
                </w:rPr>
                <w:t>Risk Factors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780" w:type="dxa"/>
            <w:vAlign w:val="bottom"/>
            <w:gridSpan w:val="16"/>
          </w:tcPr>
          <w:p>
            <w:pPr>
              <w:spacing w:after="0"/>
              <w:rPr>
                <w:rFonts w:ascii="Times New Roman" w:cs="Times New Roman" w:eastAsia="Times New Roman" w:hAnsi="Times New Roman"/>
                <w:sz w:val="18"/>
                <w:szCs w:val="18"/>
                <w:b w:val="1"/>
                <w:bCs w:val="1"/>
                <w:color w:val="0000EE"/>
              </w:rPr>
            </w:pPr>
            <w:hyperlink w:anchor="page75">
              <w:r>
                <w:rPr>
                  <w:rFonts w:ascii="Times New Roman" w:cs="Times New Roman" w:eastAsia="Times New Roman" w:hAnsi="Times New Roman"/>
                  <w:sz w:val="18"/>
                  <w:szCs w:val="18"/>
                  <w:b w:val="1"/>
                  <w:bCs w:val="1"/>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04"/>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64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b w:val="1"/>
                <w:bCs w:val="1"/>
                <w:color w:val="0000EE"/>
                <w:w w:val="96"/>
              </w:rPr>
            </w:pPr>
            <w:hyperlink w:anchor="page75">
              <w:r>
                <w:rPr>
                  <w:rFonts w:ascii="Times New Roman" w:cs="Times New Roman" w:eastAsia="Times New Roman" w:hAnsi="Times New Roman"/>
                  <w:sz w:val="18"/>
                  <w:szCs w:val="18"/>
                  <w:b w:val="1"/>
                  <w:bCs w:val="1"/>
                  <w:color w:val="0000EE"/>
                  <w:w w:val="96"/>
                </w:rPr>
                <w:t>Exhibits</w:t>
              </w:r>
            </w:hyperlink>
          </w:p>
        </w:tc>
        <w:tc>
          <w:tcPr>
            <w:tcW w:w="3920" w:type="dxa"/>
            <w:vAlign w:val="bottom"/>
            <w:tcBorders>
              <w:top w:val="single" w:sz="8" w:color="0000EE"/>
            </w:tcBorders>
            <w:gridSpan w:val="7"/>
          </w:tcPr>
          <w:p>
            <w:pPr>
              <w:spacing w:after="0"/>
              <w:rPr>
                <w:sz w:val="24"/>
                <w:szCs w:val="24"/>
                <w:color w:val="auto"/>
              </w:rPr>
            </w:pPr>
          </w:p>
        </w:tc>
        <w:tc>
          <w:tcPr>
            <w:tcW w:w="522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304"/>
        </w:trPr>
        <w:tc>
          <w:tcPr>
            <w:tcW w:w="1000" w:type="dxa"/>
            <w:vAlign w:val="bottom"/>
          </w:tcPr>
          <w:p>
            <w:pPr>
              <w:spacing w:after="0"/>
              <w:rPr>
                <w:sz w:val="24"/>
                <w:szCs w:val="24"/>
                <w:color w:val="auto"/>
              </w:rPr>
            </w:pPr>
          </w:p>
        </w:tc>
        <w:tc>
          <w:tcPr>
            <w:tcW w:w="82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7"/>
              </w:rPr>
            </w:pPr>
            <w:hyperlink w:anchor="page76">
              <w:r>
                <w:rPr>
                  <w:rFonts w:ascii="Times New Roman" w:cs="Times New Roman" w:eastAsia="Times New Roman" w:hAnsi="Times New Roman"/>
                  <w:sz w:val="18"/>
                  <w:szCs w:val="18"/>
                  <w:b w:val="1"/>
                  <w:bCs w:val="1"/>
                  <w:color w:val="0000EE"/>
                  <w:w w:val="97"/>
                </w:rPr>
                <w:t>Signatures</w:t>
              </w:r>
            </w:hyperlink>
          </w:p>
        </w:tc>
        <w:tc>
          <w:tcPr>
            <w:tcW w:w="896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bl>
    <w:p>
      <w:pPr>
        <w:sectPr>
          <w:pgSz w:w="11900" w:h="16838" w:orient="portrait"/>
          <w:cols w:equalWidth="0" w:num="1">
            <w:col w:w="11320"/>
          </w:cols>
          <w:pgMar w:left="240" w:top="455" w:right="3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Item 1.</w:t>
            </w:r>
          </w:p>
        </w:tc>
        <w:tc>
          <w:tcPr>
            <w:tcW w:w="82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0" w:type="dxa"/>
            <w:vAlign w:val="bottom"/>
          </w:tcPr>
          <w:p>
            <w:pPr>
              <w:spacing w:after="0"/>
              <w:rPr>
                <w:sz w:val="7"/>
                <w:szCs w:val="7"/>
                <w:color w:val="auto"/>
              </w:rPr>
            </w:pPr>
          </w:p>
        </w:tc>
        <w:tc>
          <w:tcPr>
            <w:tcW w:w="8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57,786,000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5,488,000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1,912,000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59,698,000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268,000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135,000</w:t>
            </w:r>
          </w:p>
        </w:tc>
        <w:tc>
          <w:tcPr>
            <w:tcW w:w="0" w:type="dxa"/>
            <w:vAlign w:val="bottom"/>
          </w:tcPr>
          <w:p>
            <w:pPr>
              <w:spacing w:after="0"/>
              <w:rPr>
                <w:sz w:val="1"/>
                <w:szCs w:val="1"/>
                <w:color w:val="auto"/>
              </w:rPr>
            </w:pPr>
          </w:p>
        </w:tc>
      </w:tr>
      <w:tr>
        <w:trPr>
          <w:trHeight w:val="22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60,086,000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loan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3,347,000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Convertible promissory notes payable to shareholders</w:t>
            </w:r>
          </w:p>
        </w:tc>
        <w:tc>
          <w:tcPr>
            <w:tcW w:w="100" w:type="dxa"/>
            <w:vAlign w:val="bottom"/>
          </w:tcPr>
          <w:p>
            <w:pPr>
              <w:spacing w:after="0"/>
              <w:rPr>
                <w:sz w:val="18"/>
                <w:szCs w:val="18"/>
                <w:color w:val="auto"/>
              </w:rPr>
            </w:pPr>
          </w:p>
        </w:tc>
        <w:tc>
          <w:tcPr>
            <w:tcW w:w="15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1,461,000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914,000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1,571,000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6,379,000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15,146,000</w:t>
            </w:r>
          </w:p>
        </w:tc>
        <w:tc>
          <w:tcPr>
            <w:tcW w:w="0" w:type="dxa"/>
            <w:vAlign w:val="bottom"/>
          </w:tcPr>
          <w:p>
            <w:pPr>
              <w:spacing w:after="0"/>
              <w:rPr>
                <w:sz w:val="1"/>
                <w:szCs w:val="1"/>
                <w:color w:val="auto"/>
              </w:rPr>
            </w:pPr>
          </w:p>
        </w:tc>
      </w:tr>
      <w:tr>
        <w:trPr>
          <w:trHeight w:val="223"/>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Loan payable — net of current portion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587,000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100" w:type="dxa"/>
            <w:vAlign w:val="bottom"/>
          </w:tcPr>
          <w:p>
            <w:pPr>
              <w:spacing w:after="0"/>
              <w:rPr>
                <w:sz w:val="18"/>
                <w:szCs w:val="18"/>
                <w:color w:val="auto"/>
              </w:rPr>
            </w:pPr>
          </w:p>
        </w:tc>
        <w:tc>
          <w:tcPr>
            <w:tcW w:w="15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Noncurrent accrued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54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1,175,000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4,455,000</w:t>
            </w:r>
          </w:p>
        </w:tc>
        <w:tc>
          <w:tcPr>
            <w:tcW w:w="0" w:type="dxa"/>
            <w:vAlign w:val="bottom"/>
          </w:tcPr>
          <w:p>
            <w:pPr>
              <w:spacing w:after="0"/>
              <w:rPr>
                <w:sz w:val="1"/>
                <w:szCs w:val="1"/>
                <w:color w:val="auto"/>
              </w:rPr>
            </w:pPr>
          </w:p>
        </w:tc>
      </w:tr>
      <w:tr>
        <w:trPr>
          <w:trHeight w:val="230"/>
        </w:trPr>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81,525,000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 issued or outstanding</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2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$0.0001 par value;</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120,000,000 shares authorized, 20,124,764 and 785,531 shares issued and outstanding at September 30,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2014 and December 31, 2013, respectively</w:t>
            </w: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2,000</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166,844,000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5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w w:val="98"/>
              </w:rPr>
              <w:t>(114,314,000)</w:t>
            </w: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(98,439,000)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52,532,000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(94,299,000)</w:t>
            </w:r>
          </w:p>
        </w:tc>
        <w:tc>
          <w:tcPr>
            <w:tcW w:w="0" w:type="dxa"/>
            <w:vAlign w:val="bottom"/>
          </w:tcPr>
          <w:p>
            <w:pPr>
              <w:spacing w:after="0"/>
              <w:rPr>
                <w:sz w:val="1"/>
                <w:szCs w:val="1"/>
                <w:color w:val="auto"/>
              </w:rPr>
            </w:pPr>
          </w:p>
        </w:tc>
      </w:tr>
      <w:tr>
        <w:trPr>
          <w:trHeight w:val="223"/>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60,086,000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80" w:type="dxa"/>
            <w:vAlign w:val="bottom"/>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3"/>
                <w:szCs w:val="13"/>
                <w:color w:val="auto"/>
              </w:rPr>
            </w:pPr>
          </w:p>
        </w:tc>
        <w:tc>
          <w:tcPr>
            <w:tcW w:w="24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7,071,000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5,980,000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4,591,000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13,051,000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12,851,000</w:t>
            </w:r>
          </w:p>
        </w:tc>
        <w:tc>
          <w:tcPr>
            <w:tcW w:w="0" w:type="dxa"/>
            <w:vAlign w:val="bottom"/>
          </w:tcPr>
          <w:p>
            <w:pPr>
              <w:spacing w:after="0"/>
              <w:rPr>
                <w:sz w:val="1"/>
                <w:szCs w:val="1"/>
                <w:color w:val="auto"/>
              </w:rPr>
            </w:pPr>
          </w:p>
        </w:tc>
      </w:tr>
      <w:tr>
        <w:trPr>
          <w:trHeight w:val="33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(920,000)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(2,493,000)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Decrease in value of preferred stock warrant liability</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504,000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Total other expense — net</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(2,904,000)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(812,000)</w:t>
            </w:r>
          </w:p>
        </w:tc>
        <w:tc>
          <w:tcPr>
            <w:tcW w:w="0" w:type="dxa"/>
            <w:vAlign w:val="bottom"/>
          </w:tcPr>
          <w:p>
            <w:pPr>
              <w:spacing w:after="0"/>
              <w:rPr>
                <w:sz w:val="1"/>
                <w:szCs w:val="1"/>
                <w:color w:val="auto"/>
              </w:rPr>
            </w:pPr>
          </w:p>
        </w:tc>
      </w:tr>
      <w:tr>
        <w:trPr>
          <w:trHeight w:val="20"/>
        </w:trPr>
        <w:tc>
          <w:tcPr>
            <w:tcW w:w="52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(5,558,000)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(3,198,000)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(15,875,000)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Basic and diluted</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Basic and diluted</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20,124,574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726,987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12,598,425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651,913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74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74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(15,875,000)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(13,663,000)</w:t>
            </w: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4"/>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628,000</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489,000</w:t>
            </w:r>
          </w:p>
        </w:tc>
      </w:tr>
      <w:tr>
        <w:trPr>
          <w:trHeight w:val="216"/>
        </w:trPr>
        <w:tc>
          <w:tcPr>
            <w:tcW w:w="7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Noncash rent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carrying value of preferred stock warrant liability</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(504,000)</w:t>
            </w:r>
          </w:p>
        </w:tc>
        <w:tc>
          <w:tcPr>
            <w:tcW w:w="10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(244,000)</w:t>
            </w:r>
          </w:p>
        </w:tc>
      </w:tr>
      <w:tr>
        <w:trPr>
          <w:trHeight w:val="90"/>
        </w:trPr>
        <w:tc>
          <w:tcPr>
            <w:tcW w:w="74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16"/>
        </w:trPr>
        <w:tc>
          <w:tcPr>
            <w:tcW w:w="7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163,000</w:t>
            </w:r>
          </w:p>
        </w:tc>
      </w:tr>
      <w:tr>
        <w:trPr>
          <w:trHeight w:val="216"/>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(gain) on disposal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7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2,493,000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329,000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457,000</w:t>
            </w:r>
          </w:p>
        </w:tc>
      </w:tr>
      <w:tr>
        <w:trPr>
          <w:trHeight w:val="216"/>
        </w:trPr>
        <w:tc>
          <w:tcPr>
            <w:tcW w:w="74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(963,000)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26,000</w:t>
            </w:r>
          </w:p>
        </w:tc>
      </w:tr>
      <w:tr>
        <w:trPr>
          <w:trHeight w:val="216"/>
        </w:trPr>
        <w:tc>
          <w:tcPr>
            <w:tcW w:w="74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547,000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240,000</w:t>
            </w:r>
          </w:p>
        </w:tc>
      </w:tr>
      <w:tr>
        <w:trPr>
          <w:trHeight w:val="216"/>
        </w:trPr>
        <w:tc>
          <w:tcPr>
            <w:tcW w:w="7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(204,000)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(812,000)</w:t>
            </w:r>
          </w:p>
        </w:tc>
      </w:tr>
      <w:tr>
        <w:trPr>
          <w:trHeight w:val="27"/>
        </w:trPr>
        <w:tc>
          <w:tcPr>
            <w:tcW w:w="7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(13,453,000)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(13,343,000)</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(116,000)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(7,000)</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(7,000)</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convertible promissory notes,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8,312,000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8,824,000</w:t>
            </w: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Payments on loans payable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(2,486,000)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(2,289,000)</w:t>
            </w: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initial public offering,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59,861,000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65,827,000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6,551,000</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52,298,000</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(6,799,000)</w:t>
            </w:r>
          </w:p>
        </w:tc>
        <w:tc>
          <w:tcPr>
            <w:tcW w:w="100" w:type="dxa"/>
            <w:vAlign w:val="bottom"/>
          </w:tcPr>
          <w:p>
            <w:pPr>
              <w:spacing w:after="0"/>
              <w:rPr>
                <w:sz w:val="19"/>
                <w:szCs w:val="19"/>
                <w:color w:val="auto"/>
              </w:rPr>
            </w:pPr>
          </w:p>
        </w:tc>
      </w:tr>
      <w:tr>
        <w:trPr>
          <w:trHeight w:val="21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5,488,000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16,707,000</w:t>
            </w: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57,786,000</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9,908,000</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Conversion of redeemable convertible preferred stock into common stock</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81,525,000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74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7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Conversion of convertible notes and accrued interest into common stock, net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20,128,000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7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of warrants to additional paid in capital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424,000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 — Interest paid</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326,000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522,000</w:t>
            </w:r>
          </w:p>
        </w:tc>
      </w:tr>
      <w:tr>
        <w:trPr>
          <w:trHeight w:val="20"/>
        </w:trPr>
        <w:tc>
          <w:tcPr>
            <w:tcW w:w="7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31"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OPERATIONS</w:t>
      </w:r>
    </w:p>
    <w:p>
      <w:pPr>
        <w:spacing w:after="0" w:line="117" w:lineRule="exact"/>
        <w:rPr>
          <w:rFonts w:ascii="Times New Roman" w:cs="Times New Roman" w:eastAsia="Times New Roman" w:hAnsi="Times New Roman"/>
          <w:sz w:val="18"/>
          <w:szCs w:val="18"/>
          <w:b w:val="1"/>
          <w:bCs w:val="1"/>
          <w:color w:val="auto"/>
        </w:rPr>
      </w:pPr>
    </w:p>
    <w:p>
      <w:pPr>
        <w:ind w:left="460" w:right="2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Business </w:t>
      </w:r>
      <w:r>
        <w:rPr>
          <w:rFonts w:ascii="Times New Roman" w:cs="Times New Roman" w:eastAsia="Times New Roman" w:hAnsi="Times New Roman"/>
          <w:sz w:val="18"/>
          <w:szCs w:val="18"/>
          <w:color w:val="auto"/>
        </w:rPr>
        <w:t>— Cerulean Pharma Inc. (the “Company”) was incorporated on November 28, 2005 as a Delaware corporation and is located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Cambridge, Massachusetts. The Company was formed to develop novel, nanotechnology-based therapeutics in the areas of oncology and other diseases. During 2013, the Company formed a wholly-owned subsidiary, Cerulean Pharma Australia Pty Ltd, as an Australian-based proprietary limited company. The activity in the subsidiary to date has been insignificant.</w:t>
      </w:r>
    </w:p>
    <w:p>
      <w:pPr>
        <w:spacing w:after="0" w:line="68" w:lineRule="exact"/>
        <w:rPr>
          <w:rFonts w:ascii="Times New Roman" w:cs="Times New Roman" w:eastAsia="Times New Roman" w:hAnsi="Times New Roman"/>
          <w:sz w:val="18"/>
          <w:szCs w:val="18"/>
          <w:b w:val="1"/>
          <w:bCs w:val="1"/>
          <w:color w:val="auto"/>
        </w:rPr>
      </w:pPr>
    </w:p>
    <w:p>
      <w:pPr>
        <w:ind w:left="4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consolidated financial statements include the accounts of the Company and its wholly-owned subsidiary.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intercompany accounts and transactions have been eliminated. The consolidated interim financial statements of the Company included herein have been prepared,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from this report, as is permitted by such rules and regulations. Accordingly, these condensed consolidated financial statements should be read in conjunction with the Company’s audited financial statements as of and for the year ended December 31, 2013 and notes thereto, included in the Company’s prospectus filed with the SEC pursuant to Rule 424(b)(4) on April 14, 2014 (the “Prospectus”).</w:t>
      </w:r>
    </w:p>
    <w:p>
      <w:pPr>
        <w:spacing w:after="0" w:line="295" w:lineRule="exact"/>
        <w:rPr>
          <w:rFonts w:ascii="Times New Roman" w:cs="Times New Roman" w:eastAsia="Times New Roman" w:hAnsi="Times New Roman"/>
          <w:sz w:val="18"/>
          <w:szCs w:val="18"/>
          <w:b w:val="1"/>
          <w:bCs w:val="1"/>
          <w:color w:val="auto"/>
        </w:rPr>
      </w:pPr>
    </w:p>
    <w:p>
      <w:pPr>
        <w:ind w:left="46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consolidated financial statements. In the opinion of the Company’s management, the accompanying unaudited interim consolidated financial statements contain all adjustments that are necessary to present fairly the Company’s financial position as of September 30, 2014 and the results of its operations for the three and nine months ended September 30, 2014 and 2013 and cash flows for the nine months ended September 30, 2014 and 2013. Such adjustments are of a normal and recurring nature. The results for the nine months ended September 30, 2014 are not indicative of the results for the year ending December 31, 2014, or for any future period.</w:t>
      </w:r>
    </w:p>
    <w:p>
      <w:pPr>
        <w:spacing w:after="0" w:line="79" w:lineRule="exact"/>
        <w:rPr>
          <w:rFonts w:ascii="Times New Roman" w:cs="Times New Roman" w:eastAsia="Times New Roman" w:hAnsi="Times New Roman"/>
          <w:sz w:val="18"/>
          <w:szCs w:val="18"/>
          <w:b w:val="1"/>
          <w:bCs w:val="1"/>
          <w:color w:val="auto"/>
        </w:rPr>
      </w:pPr>
    </w:p>
    <w:p>
      <w:pPr>
        <w:ind w:left="4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15, 2014, the Company completed the sale of 8,500,000 shares of its common stock in its initial public offering, or the IPO, at a price to the public of $7.00 per share. On May 7, 2014 the Company completed the sale of an additional 1,069,715 shares of common stock at a price to the public of $7.00 per share under a partial exercise by the underwriters of their option to purchase additional shares of common stock. The sale of the shares to the public resulted in net proceeds to the Company of $59.9 million after deducting underwriting discounts and commissions and offering expenses payable by the Company.</w:t>
      </w:r>
    </w:p>
    <w:p>
      <w:pPr>
        <w:spacing w:after="0" w:line="75" w:lineRule="exact"/>
        <w:rPr>
          <w:rFonts w:ascii="Times New Roman" w:cs="Times New Roman" w:eastAsia="Times New Roman" w:hAnsi="Times New Roman"/>
          <w:sz w:val="18"/>
          <w:szCs w:val="18"/>
          <w:b w:val="1"/>
          <w:bCs w:val="1"/>
          <w:color w:val="auto"/>
        </w:rPr>
      </w:pPr>
    </w:p>
    <w:p>
      <w:pPr>
        <w:ind w:left="46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board of directors and stockholders approved a 1- for-14.5074 reverse stock split of the Company’s common stock effective March 31, 2014. All share and per share amounts in the consolidated financial statements contained herein and notes thereto have been retroactively adjusted, where necessary, to give effect to this reverse stock split. In connection with the closing of the IPO, all of the Company’s outstanding redeemable convertible preferred stock and convertible notes automatically converted into shares of common stock as of April 15, 2014, resulting in the issuance by the Company of an additional 9,728,237 shares of common stock. The significant increase in shares outstanding in April 2014 is expected to impact the year-over-year comparability of the Company’s net loss per share calculations over the next year.</w:t>
      </w:r>
    </w:p>
    <w:p>
      <w:pPr>
        <w:spacing w:after="0" w:line="79" w:lineRule="exact"/>
        <w:rPr>
          <w:rFonts w:ascii="Times New Roman" w:cs="Times New Roman" w:eastAsia="Times New Roman" w:hAnsi="Times New Roman"/>
          <w:sz w:val="18"/>
          <w:szCs w:val="18"/>
          <w:b w:val="1"/>
          <w:bCs w:val="1"/>
          <w:color w:val="auto"/>
        </w:rPr>
      </w:pPr>
    </w:p>
    <w:p>
      <w:pPr>
        <w:ind w:left="4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the completion of the IPO on April 15, 2014, the Company’s outstanding warrants to purchase 1,857,226 shares of the Company’s preferred stock automatically converted into warrants to purchase an aggregate of 128,663 shares of the Company’s common stock and, as a result, the Company reclassified the warrant liability to additional paid-in capital.</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have been no material changes to the significant accounting policies previously disclosed in the Company’s Prospectus.</w:t>
      </w:r>
    </w:p>
    <w:p>
      <w:pPr>
        <w:spacing w:after="0" w:line="2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Pending Adoption of Recent Accounting Pronouncements</w:t>
      </w:r>
    </w:p>
    <w:p>
      <w:pPr>
        <w:spacing w:after="0" w:line="121" w:lineRule="exact"/>
        <w:rPr>
          <w:rFonts w:ascii="Times New Roman" w:cs="Times New Roman" w:eastAsia="Times New Roman" w:hAnsi="Times New Roman"/>
          <w:sz w:val="18"/>
          <w:szCs w:val="18"/>
          <w:b w:val="1"/>
          <w:bCs w:val="1"/>
          <w:color w:val="auto"/>
        </w:rPr>
      </w:pPr>
    </w:p>
    <w:p>
      <w:pPr>
        <w:ind w:left="4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August 2014, the FASB issued Accounting Standards Update (“ASU”) No. 2014-15, Presentation of Financial Statements—Going Concern (Subtopic 205-40):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ASU No. 2014-15 is intended to define management’s responsibility to evaluate whether there is substantial doubt about an organization’s ability to continue as a going concern and to provide related footnote disclosures. Substantial doubt about an entity’s ability to continue as a going concern exists when relevant conditions and events, considered in the aggregate, indicate that it is probable that the entity will be unable to meet its obligations as they become due within one year after the date that the financial statements are issued (or available to be issued). ASU No. 2014-15 provides guidance to an organization’s management, with principles and definitions that are intended to reduce diversity in the timing and content of disclosures that are commonly provided by organizations in the financial statement footnotes. ASU No. 2014-15 is effective for annual reporting periods ending after December 15, 2016, and to annual and interim periods thereafter. Early adoption is permitted. The Company is currently in the process of evaluating the impact of adoption of ASU No. 2014-15 on their consolidated financial statements and related disclosures.</w:t>
      </w:r>
    </w:p>
    <w:p>
      <w:pPr>
        <w:spacing w:after="0" w:line="33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rFonts w:ascii="Times New Roman" w:cs="Times New Roman" w:eastAsia="Times New Roman" w:hAnsi="Times New Roman"/>
          <w:sz w:val="18"/>
          <w:szCs w:val="18"/>
          <w:b w:val="1"/>
          <w:bCs w:val="1"/>
          <w:color w:val="auto"/>
        </w:rPr>
      </w:pPr>
    </w:p>
    <w:p>
      <w:pPr>
        <w:ind w:left="4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During periods in which the Company earns net income, the Company would allocate participating securities a proportional share of net income determined by dividing total weighted average participating securities by the sum of the total weighted average common shares and participating securities (the “two-class method”). The Company’s preferred stock participated in dividends declared by the Company and were therefore considered to be participating securities. Participating securities have the effect of diluting both basic and diluted earnings per share during periods in which the Company earns net income. During periods in which the Company incurs a net loss, the Company allocates no portion of the loss to participating securities because they had no contractual obligation to share in the losses of the Company. The Company computes diluted loss per common share after giving consideration to the dilutive effect of stock options, warrants and shares of unvested restricted stock that are outstanding to the period, except where the inclusion of such nonparticipating securities would be antidilutive.</w:t>
      </w:r>
    </w:p>
    <w:p>
      <w:pPr>
        <w:sectPr>
          <w:pgSz w:w="11900" w:h="16838" w:orient="portrait"/>
          <w:cols w:equalWidth="0" w:num="1">
            <w:col w:w="11420"/>
          </w:cols>
          <w:pgMar w:left="240" w:top="455" w:right="239" w:bottom="266"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266"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right="580"/>
        <w:spacing w:after="0" w:line="282" w:lineRule="auto"/>
        <w:rPr>
          <w:sz w:val="20"/>
          <w:szCs w:val="20"/>
          <w:color w:val="auto"/>
        </w:rPr>
      </w:pPr>
      <w:r>
        <w:rPr>
          <w:rFonts w:ascii="Times New Roman" w:cs="Times New Roman" w:eastAsia="Times New Roman" w:hAnsi="Times New Roman"/>
          <w:sz w:val="18"/>
          <w:szCs w:val="18"/>
          <w:color w:val="auto"/>
        </w:rPr>
        <w:t>The Company has reported a net loss for all periods presented and, therefore, diluted net loss per common share is the same as basic net loss per common share.</w:t>
      </w:r>
    </w:p>
    <w:p>
      <w:pPr>
        <w:spacing w:after="0" w:line="54" w:lineRule="exact"/>
        <w:rPr>
          <w:sz w:val="20"/>
          <w:szCs w:val="20"/>
          <w:color w:val="auto"/>
        </w:rPr>
      </w:pPr>
    </w:p>
    <w:p>
      <w:pPr>
        <w:ind w:left="460" w:right="40"/>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that were outstanding prior to the use of the two-class method have been excluded from the computation of diluted weighted-average shares outstanding, because the inclusion of such securities would have an antidilutive impact due to the losses reported (in common stock equivalent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940" w:type="dxa"/>
            <w:vAlign w:val="bottom"/>
            <w:gridSpan w:val="6"/>
          </w:tcPr>
          <w:p>
            <w:pPr>
              <w:jc w:val="center"/>
              <w:ind w:left="70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5"/>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3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1,798,264</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1,093,395</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redeemable convertible preferred stock</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1,271,679</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6,826,004</w:t>
            </w:r>
          </w:p>
        </w:tc>
        <w:tc>
          <w:tcPr>
            <w:tcW w:w="100" w:type="dxa"/>
            <w:vAlign w:val="bottom"/>
            <w:shd w:val="clear" w:color="auto" w:fill="CCEEFF"/>
          </w:tcPr>
          <w:p>
            <w:pPr>
              <w:spacing w:after="0"/>
              <w:rPr>
                <w:sz w:val="18"/>
                <w:szCs w:val="18"/>
                <w:color w:val="auto"/>
              </w:rPr>
            </w:pPr>
          </w:p>
        </w:tc>
      </w:tr>
      <w:tr>
        <w:trPr>
          <w:trHeight w:val="581"/>
        </w:trPr>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63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300" w:type="dxa"/>
            <w:vAlign w:val="bottom"/>
          </w:tcPr>
          <w:p>
            <w:pPr>
              <w:spacing w:after="0"/>
              <w:rPr>
                <w:sz w:val="24"/>
                <w:szCs w:val="24"/>
                <w:color w:val="auto"/>
              </w:rPr>
            </w:pPr>
          </w:p>
        </w:tc>
        <w:tc>
          <w:tcPr>
            <w:tcW w:w="6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2"/>
                <w:szCs w:val="12"/>
                <w:color w:val="auto"/>
              </w:rPr>
            </w:pPr>
          </w:p>
        </w:tc>
        <w:tc>
          <w:tcPr>
            <w:tcW w:w="98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30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Borders>
              <w:bottom w:val="single" w:sz="8" w:color="CCEEFF"/>
            </w:tcBorders>
          </w:tcPr>
          <w:p>
            <w:pPr>
              <w:spacing w:after="0"/>
              <w:rPr>
                <w:sz w:val="15"/>
                <w:szCs w:val="15"/>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6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339,000</w:t>
            </w:r>
          </w:p>
        </w:tc>
        <w:tc>
          <w:tcPr>
            <w:tcW w:w="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379,000</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462,000</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84,000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433,000</w:t>
            </w: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686,000</w:t>
            </w: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618,000</w:t>
            </w:r>
          </w:p>
        </w:tc>
        <w:tc>
          <w:tcPr>
            <w:tcW w:w="100" w:type="dxa"/>
            <w:vAlign w:val="bottom"/>
            <w:shd w:val="clear" w:color="auto" w:fill="CCEEFF"/>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63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Total accrued expenses</w:t>
            </w:r>
          </w:p>
        </w:tc>
        <w:tc>
          <w:tcPr>
            <w:tcW w:w="10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1,571,000</w:t>
            </w:r>
          </w:p>
        </w:tc>
        <w:tc>
          <w:tcPr>
            <w:tcW w:w="50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2,274,000</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6"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PAYABLE TO SHAREHOLDERS</w:t>
      </w:r>
    </w:p>
    <w:p>
      <w:pPr>
        <w:spacing w:after="0" w:line="12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of 2013, the Company issued convertible promissory notes in the amount of $8,824,000 to existing investors with a stated interest rate of 7%. Outstanding principal and unpaid accrued interest due under the notes were automatically converted into shares of the Company’s common stock upon the closing of the Company’s IPO on April 15, 2014 at a conversion price equal to the IPO price.</w:t>
      </w:r>
    </w:p>
    <w:p>
      <w:pPr>
        <w:spacing w:after="0" w:line="68" w:lineRule="exact"/>
        <w:rPr>
          <w:rFonts w:ascii="Times New Roman" w:cs="Times New Roman" w:eastAsia="Times New Roman" w:hAnsi="Times New Roman"/>
          <w:sz w:val="18"/>
          <w:szCs w:val="18"/>
          <w:b w:val="1"/>
          <w:bCs w:val="1"/>
          <w:color w:val="auto"/>
        </w:rPr>
      </w:pPr>
    </w:p>
    <w:p>
      <w:pPr>
        <w:ind w:left="46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2014, the Company issued convertible promissory notes in the original principal amount of $6,000,000 to existing investors and a convertible promissory note in the original principal amount of $2,500,000 to a new investor. All of the notes had a stated interest rate of 7%. Outstanding principal and unpaid accrued interest due under the notes were automatically converted into shares of the Company’s common stock upon the closing of the IPO on April 15, 2014, at a conversion price equal to 77.5% of the IPO price. The Company recorded a loss on the extinguishment of the notes of $2,493,000 in April 2014, which was equal to the difference between the fair value of the shares into which the notes converted and the carrying amount of the notes upon the closing of the IPO.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PLAN</w:t>
      </w:r>
    </w:p>
    <w:p>
      <w:pPr>
        <w:spacing w:after="0" w:line="121" w:lineRule="exact"/>
        <w:rPr>
          <w:rFonts w:ascii="Times New Roman" w:cs="Times New Roman" w:eastAsia="Times New Roman" w:hAnsi="Times New Roman"/>
          <w:sz w:val="18"/>
          <w:szCs w:val="18"/>
          <w:b w:val="1"/>
          <w:bCs w:val="1"/>
          <w:color w:val="auto"/>
        </w:rPr>
      </w:pPr>
    </w:p>
    <w:p>
      <w:pPr>
        <w:ind w:left="460" w:right="6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stock option activity for employee, director and nonemployee awards under all stock option plans during the nine months ended September 30, 2014 is presented below:</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6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3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0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January 1, 2014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1,062,694</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7,028,000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809,970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6.61</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(41,281)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3.36</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(33,119)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4.85</w:t>
            </w: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September 30, 2014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1,798,264</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5.16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488,000</w:t>
            </w:r>
          </w:p>
        </w:tc>
        <w:tc>
          <w:tcPr>
            <w:tcW w:w="0" w:type="dxa"/>
            <w:vAlign w:val="bottom"/>
          </w:tcPr>
          <w:p>
            <w:pPr>
              <w:spacing w:after="0"/>
              <w:rPr>
                <w:sz w:val="1"/>
                <w:szCs w:val="1"/>
                <w:color w:val="auto"/>
              </w:rPr>
            </w:pPr>
          </w:p>
        </w:tc>
      </w:tr>
      <w:tr>
        <w:trPr>
          <w:trHeight w:val="20"/>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expected to vest — September 30, 2014</w:t>
            </w:r>
          </w:p>
        </w:tc>
        <w:tc>
          <w:tcPr>
            <w:tcW w:w="134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5.71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130,000</w:t>
            </w:r>
          </w:p>
        </w:tc>
        <w:tc>
          <w:tcPr>
            <w:tcW w:w="0" w:type="dxa"/>
            <w:vAlign w:val="bottom"/>
          </w:tcPr>
          <w:p>
            <w:pPr>
              <w:spacing w:after="0" w:line="20" w:lineRule="exact"/>
              <w:rPr>
                <w:sz w:val="1"/>
                <w:szCs w:val="1"/>
                <w:color w:val="auto"/>
              </w:rPr>
            </w:pPr>
          </w:p>
        </w:tc>
      </w:tr>
      <w:tr>
        <w:trPr>
          <w:trHeight w:val="210"/>
        </w:trPr>
        <w:tc>
          <w:tcPr>
            <w:tcW w:w="5780" w:type="dxa"/>
            <w:vAlign w:val="bottom"/>
            <w:gridSpan w:val="2"/>
            <w:vMerge w:val="continue"/>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1,011,585</w:t>
            </w:r>
          </w:p>
        </w:tc>
        <w:tc>
          <w:tcPr>
            <w:tcW w:w="5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 September 30, 2014</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736,024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4.37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weighted-average per share grant date fair value of options granted during the three and nine months ended September 30, 2014 was $2.41 and</w:t>
      </w:r>
    </w:p>
    <w:p>
      <w:pPr>
        <w:spacing w:after="0" w:line="27" w:lineRule="exact"/>
        <w:rPr>
          <w:sz w:val="20"/>
          <w:szCs w:val="20"/>
          <w:color w:val="auto"/>
        </w:rPr>
      </w:pPr>
    </w:p>
    <w:p>
      <w:pPr>
        <w:ind w:left="460" w:right="60"/>
        <w:spacing w:after="0" w:line="261" w:lineRule="auto"/>
        <w:rPr>
          <w:sz w:val="20"/>
          <w:szCs w:val="20"/>
          <w:color w:val="auto"/>
        </w:rPr>
      </w:pPr>
      <w:r>
        <w:rPr>
          <w:rFonts w:ascii="Times New Roman" w:cs="Times New Roman" w:eastAsia="Times New Roman" w:hAnsi="Times New Roman"/>
          <w:sz w:val="18"/>
          <w:szCs w:val="18"/>
          <w:color w:val="auto"/>
        </w:rPr>
        <w:t>$3.71, respectively. The Company did not grant any stock options during the three months ended September 30, 2013. The weighted-average per share grant date fair value of options granted during the nine months ended September 30, 2013 was $2.61.</w:t>
      </w:r>
    </w:p>
    <w:p>
      <w:pPr>
        <w:spacing w:after="0" w:line="72" w:lineRule="exact"/>
        <w:rPr>
          <w:sz w:val="20"/>
          <w:szCs w:val="20"/>
          <w:color w:val="auto"/>
        </w:rPr>
      </w:pPr>
    </w:p>
    <w:p>
      <w:pPr>
        <w:ind w:left="460" w:right="140"/>
        <w:spacing w:after="0" w:line="26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based on assumptions noted in the table below, except for the performance-based option grants. The fair value of the performance-based options were determined by utilizing a Monte Carlo model to simulate a wide range of possible future stock prices for the Company’s common stock.</w:t>
      </w:r>
    </w:p>
    <w:p>
      <w:pPr>
        <w:spacing w:after="0" w:line="68" w:lineRule="exact"/>
        <w:rPr>
          <w:sz w:val="20"/>
          <w:szCs w:val="20"/>
          <w:color w:val="auto"/>
        </w:rPr>
      </w:pPr>
    </w:p>
    <w:p>
      <w:pPr>
        <w:ind w:left="460" w:right="20"/>
        <w:spacing w:after="0" w:line="261" w:lineRule="auto"/>
        <w:rPr>
          <w:sz w:val="20"/>
          <w:szCs w:val="20"/>
          <w:color w:val="auto"/>
        </w:rPr>
      </w:pPr>
      <w:r>
        <w:rPr>
          <w:rFonts w:ascii="Times New Roman" w:cs="Times New Roman" w:eastAsia="Times New Roman" w:hAnsi="Times New Roman"/>
          <w:sz w:val="18"/>
          <w:szCs w:val="18"/>
          <w:color w:val="auto"/>
        </w:rPr>
        <w:t>The Company has recorded stock-based compensation expense related to the issuance of stock option awards to employees of $272,000 and $32,000 for the three months ended September 30, 2014 and 2013, respectively, and $591,000 and $453,000 for the nine months ended September 30, 2014 and 2013, respectively. The assumptions used in the Black-Scholes option-pricing model for stock options granted to employees, and to directors in respect of board services during the three and nine months ended September 30, 2014 and the nine months ended September 30, 2013 are as follows: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8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4160" w:type="dxa"/>
            <w:vAlign w:val="bottom"/>
            <w:tcBorders>
              <w:bottom w:val="single" w:sz="8" w:color="CCEEFF"/>
            </w:tcBorders>
          </w:tcPr>
          <w:p>
            <w:pPr>
              <w:spacing w:after="0"/>
              <w:rPr>
                <w:sz w:val="15"/>
                <w:szCs w:val="15"/>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5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6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 years</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1.86%-2.00%</w:t>
            </w:r>
          </w:p>
        </w:tc>
        <w:tc>
          <w:tcPr>
            <w:tcW w:w="5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1.83%-2.00%</w:t>
            </w:r>
          </w:p>
        </w:tc>
        <w:tc>
          <w:tcPr>
            <w:tcW w:w="6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57%-60%</w:t>
            </w:r>
          </w:p>
        </w:tc>
        <w:tc>
          <w:tcPr>
            <w:tcW w:w="5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57%-60%</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8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 %</w:t>
            </w:r>
          </w:p>
        </w:tc>
        <w:tc>
          <w:tcPr>
            <w:tcW w:w="19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bl>
    <w:p>
      <w:pPr>
        <w:spacing w:after="0" w:line="71" w:lineRule="exact"/>
        <w:rPr>
          <w:sz w:val="20"/>
          <w:szCs w:val="20"/>
          <w:color w:val="auto"/>
        </w:rPr>
      </w:pPr>
    </w:p>
    <w:p>
      <w:pPr>
        <w:ind w:left="460"/>
        <w:spacing w:after="0" w:line="258"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nonemployee awards of $13,000 and $14,000 for the three months ended September 30, 2014 and 2013, respectively, and $37,000 and $36,000 for the nine months ended September 30, 2014 and 2013, respectively. The compensation expense related to the nonemployee awards is included in the total stock-based compensation each year and is subject to re-measurement until the options vest. The Black-Scholes assumptions used to estimate fair value for the three and nine months ended September 30, 2014 and 2013 were as follows: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27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51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2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2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2013</w:t>
            </w: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8 years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 years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2.08%-2.53%</w:t>
            </w: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1.77%-2.15%</w:t>
            </w:r>
          </w:p>
        </w:tc>
        <w:tc>
          <w:tcPr>
            <w:tcW w:w="2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2.05%-2.53%</w:t>
            </w:r>
          </w:p>
        </w:tc>
        <w:tc>
          <w:tcPr>
            <w:tcW w:w="20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 to 2.15%</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56%-62%</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56%-58%</w:t>
            </w: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56%-62%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56-79%</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bl>
    <w:p>
      <w:pPr>
        <w:spacing w:after="0" w:line="71" w:lineRule="exact"/>
        <w:rPr>
          <w:sz w:val="20"/>
          <w:szCs w:val="20"/>
          <w:color w:val="auto"/>
        </w:rPr>
      </w:pPr>
    </w:p>
    <w:p>
      <w:pPr>
        <w:ind w:left="460" w:right="40"/>
        <w:spacing w:after="0" w:line="256" w:lineRule="auto"/>
        <w:rPr>
          <w:sz w:val="20"/>
          <w:szCs w:val="20"/>
          <w:color w:val="auto"/>
        </w:rPr>
      </w:pPr>
      <w:r>
        <w:rPr>
          <w:rFonts w:ascii="Times New Roman" w:cs="Times New Roman" w:eastAsia="Times New Roman" w:hAnsi="Times New Roman"/>
          <w:sz w:val="18"/>
          <w:szCs w:val="18"/>
          <w:color w:val="auto"/>
        </w:rPr>
        <w:t>The Company did not grant any nonemployee stock option grants for the nine months ended September 30, 2014 and 2013, except for a performance award grant in the 2013 period to the Company’s board chairman for non-board related services. During the quarter ended September 30, 2014, the board of directors changed the vesting conditions of this award from performance-based vesting to time-based vesting and reduced the total number of shares subject to the stock option. As a result, the shares subject to this stock option now vest over three years, with the first third vesting on March 26, 2014. The change in vesting condition was accounted for as a modification of this stock option, which had an immaterial impact on the Company’s financial statements.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455" w:right="2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rFonts w:ascii="Times New Roman" w:cs="Times New Roman" w:eastAsia="Times New Roman" w:hAnsi="Times New Roman"/>
          <w:sz w:val="18"/>
          <w:szCs w:val="18"/>
          <w:b w:val="1"/>
          <w:bCs w:val="1"/>
          <w:color w:val="auto"/>
        </w:rPr>
      </w:pPr>
    </w:p>
    <w:p>
      <w:pPr>
        <w:jc w:val="both"/>
        <w:ind w:left="46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financial instruments consist of cash equivalents, accounts payable, accrued expenses, debt obligations, and preferred stock warrants. The carrying amount of accounts payable and accrued expenses are considered a reasonable estimate of their fair value, due to the short-term maturity of these instruments. The carrying amount of debt is also considered to be a reasonable estimate of the fair value based on the short term nature of the debt and because the debt bears interest at the prevailing market rate for instruments with similar characteristics.</w:t>
      </w:r>
    </w:p>
    <w:p>
      <w:pPr>
        <w:spacing w:after="0" w:line="71" w:lineRule="exact"/>
        <w:rPr>
          <w:rFonts w:ascii="Times New Roman" w:cs="Times New Roman" w:eastAsia="Times New Roman" w:hAnsi="Times New Roman"/>
          <w:sz w:val="18"/>
          <w:szCs w:val="18"/>
          <w:b w:val="1"/>
          <w:bCs w:val="1"/>
          <w:color w:val="auto"/>
        </w:rPr>
      </w:pPr>
    </w:p>
    <w:p>
      <w:pPr>
        <w:ind w:left="4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68" w:lineRule="exact"/>
        <w:rPr>
          <w:rFonts w:ascii="Times New Roman" w:cs="Times New Roman" w:eastAsia="Times New Roman" w:hAnsi="Times New Roman"/>
          <w:sz w:val="18"/>
          <w:szCs w:val="18"/>
          <w:b w:val="1"/>
          <w:bCs w:val="1"/>
          <w:color w:val="auto"/>
        </w:rPr>
      </w:pPr>
    </w:p>
    <w:p>
      <w:pPr>
        <w:ind w:left="460" w:right="2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5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that are accessible at the market date for identical unrestricted assets or liabilities.</w:t>
      </w:r>
    </w:p>
    <w:p>
      <w:pPr>
        <w:spacing w:after="0" w:line="117" w:lineRule="exact"/>
        <w:rPr>
          <w:rFonts w:ascii="Times New Roman" w:cs="Times New Roman" w:eastAsia="Times New Roman" w:hAnsi="Times New Roman"/>
          <w:sz w:val="18"/>
          <w:szCs w:val="18"/>
          <w:b w:val="1"/>
          <w:bCs w:val="1"/>
          <w:color w:val="auto"/>
        </w:rPr>
      </w:pPr>
    </w:p>
    <w:p>
      <w:pPr>
        <w:ind w:left="460" w:right="4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for similar assets or liabilities;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markets that are not active; or other inputs for which all significant inputs are observable or can be corroborated by observable market data for substantially the full term of the assets or liabilities.</w:t>
      </w:r>
    </w:p>
    <w:p>
      <w:pPr>
        <w:spacing w:after="0" w:line="65"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119" w:lineRule="exact"/>
        <w:rPr>
          <w:rFonts w:ascii="Times New Roman" w:cs="Times New Roman" w:eastAsia="Times New Roman" w:hAnsi="Times New Roman"/>
          <w:sz w:val="18"/>
          <w:szCs w:val="18"/>
          <w:b w:val="1"/>
          <w:bCs w:val="1"/>
          <w:color w:val="auto"/>
        </w:rPr>
      </w:pPr>
    </w:p>
    <w:p>
      <w:pPr>
        <w:ind w:left="4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the financial assets and liabilities that are measured on a recurring basis at fair value as of September 30, 2014 and December 31, 2013, is as follows: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3"/>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80" w:type="dxa"/>
            <w:vAlign w:val="bottom"/>
          </w:tcPr>
          <w:p>
            <w:pPr>
              <w:spacing w:after="0"/>
              <w:rPr>
                <w:sz w:val="10"/>
                <w:szCs w:val="10"/>
                <w:color w:val="auto"/>
              </w:rPr>
            </w:pPr>
          </w:p>
        </w:tc>
        <w:tc>
          <w:tcPr>
            <w:tcW w:w="1360" w:type="dxa"/>
            <w:vAlign w:val="bottom"/>
            <w:gridSpan w:val="2"/>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8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80" w:type="dxa"/>
            <w:vAlign w:val="bottom"/>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2"/>
                <w:szCs w:val="12"/>
                <w:color w:val="auto"/>
              </w:rPr>
            </w:pPr>
          </w:p>
        </w:tc>
        <w:tc>
          <w:tcPr>
            <w:tcW w:w="13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4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5"/>
                <w:szCs w:val="15"/>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September 30, 2014</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57,688,000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w w:val="98"/>
              </w:rPr>
              <w:t>57,688,000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2013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5,233,000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5,233,000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928,000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928,000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debt obligations are Level 2 measurements in the fair value hierarchy.</w:t>
      </w:r>
    </w:p>
    <w:p>
      <w:pPr>
        <w:spacing w:after="0" w:line="117" w:lineRule="exact"/>
        <w:rPr>
          <w:sz w:val="20"/>
          <w:szCs w:val="20"/>
          <w:color w:val="auto"/>
        </w:rPr>
      </w:pPr>
    </w:p>
    <w:p>
      <w:pPr>
        <w:ind w:left="460" w:right="160"/>
        <w:spacing w:after="0" w:line="255" w:lineRule="auto"/>
        <w:rPr>
          <w:sz w:val="20"/>
          <w:szCs w:val="20"/>
          <w:color w:val="auto"/>
        </w:rPr>
      </w:pPr>
      <w:r>
        <w:rPr>
          <w:rFonts w:ascii="Times New Roman" w:cs="Times New Roman" w:eastAsia="Times New Roman" w:hAnsi="Times New Roman"/>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transfers between levels have occurred during the periods presented.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reconciliation of the Company’s preferred stock warrant liabilities measured at fair value on a recurring basis using unobservable inputs (Level 3)</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is as follows:</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Preferred Stock Warrant</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60" w:type="dxa"/>
            <w:vAlign w:val="bottom"/>
            <w:gridSpan w:val="2"/>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22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22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100" w:type="dxa"/>
            <w:vAlign w:val="bottom"/>
          </w:tcPr>
          <w:p>
            <w:pPr>
              <w:spacing w:after="0"/>
              <w:rPr>
                <w:sz w:val="12"/>
                <w:szCs w:val="12"/>
                <w:color w:val="auto"/>
              </w:rPr>
            </w:pPr>
          </w:p>
        </w:tc>
        <w:tc>
          <w:tcPr>
            <w:tcW w:w="74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2012</w:t>
            </w:r>
          </w:p>
        </w:tc>
        <w:tc>
          <w:tcPr>
            <w:tcW w:w="17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$ 7,000</w:t>
            </w:r>
          </w:p>
        </w:tc>
        <w:tc>
          <w:tcPr>
            <w:tcW w:w="5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$ 500,000</w:t>
            </w:r>
          </w:p>
        </w:tc>
        <w:tc>
          <w:tcPr>
            <w:tcW w:w="4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$ 623,000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1,130,000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Decrease in fair value recorded in other income</w:t>
            </w:r>
          </w:p>
        </w:tc>
        <w:tc>
          <w:tcPr>
            <w:tcW w:w="17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(3,000)</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(140,000)</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(101,000)</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September 30, 2013</w:t>
            </w:r>
          </w:p>
        </w:tc>
        <w:tc>
          <w:tcPr>
            <w:tcW w:w="28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$ 4,000</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9"/>
              </w:rPr>
              <w:t>$ 360,000</w:t>
            </w: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9"/>
              </w:rPr>
              <w:t>$ 522,000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74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7</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Preferred Stock Warrant</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40" w:type="dxa"/>
            <w:vAlign w:val="bottom"/>
          </w:tcPr>
          <w:p>
            <w:pPr>
              <w:spacing w:after="0"/>
              <w:rPr>
                <w:sz w:val="12"/>
                <w:szCs w:val="12"/>
                <w:color w:val="auto"/>
              </w:rPr>
            </w:pPr>
          </w:p>
        </w:tc>
        <w:tc>
          <w:tcPr>
            <w:tcW w:w="1060" w:type="dxa"/>
            <w:vAlign w:val="bottom"/>
            <w:gridSpan w:val="3"/>
          </w:tcPr>
          <w:p>
            <w:pPr>
              <w:jc w:val="right"/>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80" w:type="dxa"/>
            <w:vAlign w:val="bottom"/>
          </w:tcPr>
          <w:p>
            <w:pPr>
              <w:spacing w:after="0"/>
              <w:rPr>
                <w:sz w:val="12"/>
                <w:szCs w:val="12"/>
                <w:color w:val="auto"/>
              </w:rPr>
            </w:pPr>
          </w:p>
        </w:tc>
        <w:tc>
          <w:tcPr>
            <w:tcW w:w="114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00" w:type="dxa"/>
            <w:vAlign w:val="bottom"/>
          </w:tcPr>
          <w:p>
            <w:pPr>
              <w:spacing w:after="0"/>
              <w:rPr>
                <w:sz w:val="12"/>
                <w:szCs w:val="12"/>
                <w:color w:val="auto"/>
              </w:rPr>
            </w:pPr>
          </w:p>
        </w:tc>
        <w:tc>
          <w:tcPr>
            <w:tcW w:w="112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Series D</w:t>
            </w:r>
          </w:p>
        </w:tc>
        <w:tc>
          <w:tcPr>
            <w:tcW w:w="100" w:type="dxa"/>
            <w:vAlign w:val="bottom"/>
          </w:tcPr>
          <w:p>
            <w:pPr>
              <w:spacing w:after="0"/>
              <w:rPr>
                <w:sz w:val="12"/>
                <w:szCs w:val="12"/>
                <w:color w:val="auto"/>
              </w:rPr>
            </w:pPr>
          </w:p>
        </w:tc>
        <w:tc>
          <w:tcPr>
            <w:tcW w:w="66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538,000</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fair value recorded in other income</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(2,000)</w:t>
            </w: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9"/>
              </w:rPr>
              <w:t>(227,000)</w:t>
            </w: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6"/>
              </w:rPr>
              <w:t>(275,000)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(504,000)</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to common stock warrants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5"/>
              </w:rPr>
              <w:t>(2,000)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9"/>
              </w:rPr>
              <w:t>(159,000)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6"/>
              </w:rPr>
              <w:t>(263,000)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(424,000)</w:t>
            </w: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Balance — September 30, 2014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The Company’s warrants were valued using the Black-Scholes option-pricing model. The following assumptions were used in the Black-Scholes option pricing model to determine the fair value of the preferred stock warrant liability:</w:t>
      </w:r>
    </w:p>
    <w:p>
      <w:pPr>
        <w:spacing w:after="0" w:line="17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6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2013</w:t>
            </w: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 years</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2.29%-2.90%</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64%-65%</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r>
    </w:tbl>
    <w:p>
      <w:pPr>
        <w:spacing w:after="0" w:line="71" w:lineRule="exact"/>
        <w:rPr>
          <w:sz w:val="20"/>
          <w:szCs w:val="20"/>
          <w:color w:val="auto"/>
        </w:rPr>
      </w:pPr>
    </w:p>
    <w:p>
      <w:pPr>
        <w:ind w:left="460" w:right="460"/>
        <w:spacing w:after="0" w:line="282" w:lineRule="auto"/>
        <w:rPr>
          <w:sz w:val="20"/>
          <w:szCs w:val="20"/>
          <w:color w:val="auto"/>
        </w:rPr>
      </w:pPr>
      <w:r>
        <w:rPr>
          <w:rFonts w:ascii="Times New Roman" w:cs="Times New Roman" w:eastAsia="Times New Roman" w:hAnsi="Times New Roman"/>
          <w:sz w:val="18"/>
          <w:szCs w:val="18"/>
          <w:color w:val="auto"/>
        </w:rPr>
        <w:t>The preferred stock warrant liability was reclassified to additional paid-in capital at its fair value in connection with the completion of the IPO on April 15, 2014.</w:t>
      </w:r>
    </w:p>
    <w:p>
      <w:pPr>
        <w:spacing w:after="0" w:line="306"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4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did not record a federal or state income tax benefit for the Company’s losses for the three and nine months ended September 30, 2014 and 2013 due to the Company’s conclusion that the valuation allowance is required.</w:t>
      </w:r>
    </w:p>
    <w:p>
      <w:pPr>
        <w:spacing w:after="0" w:line="3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rFonts w:ascii="Times New Roman" w:cs="Times New Roman" w:eastAsia="Times New Roman" w:hAnsi="Times New Roman"/>
          <w:sz w:val="18"/>
          <w:szCs w:val="18"/>
          <w:b w:val="1"/>
          <w:bCs w:val="1"/>
          <w:color w:val="auto"/>
        </w:rPr>
      </w:pP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2014, the Company converted convertible promissory notes held by existing investors to common shares, as described in Note 5.</w:t>
      </w:r>
    </w:p>
    <w:p>
      <w:pPr>
        <w:spacing w:after="0" w:line="225" w:lineRule="exact"/>
        <w:rPr>
          <w:rFonts w:ascii="Times New Roman" w:cs="Times New Roman" w:eastAsia="Times New Roman" w:hAnsi="Times New Roman"/>
          <w:sz w:val="18"/>
          <w:szCs w:val="18"/>
          <w:b w:val="1"/>
          <w:bCs w:val="1"/>
          <w:color w:val="auto"/>
        </w:rPr>
      </w:pPr>
    </w:p>
    <w:p>
      <w:pPr>
        <w:ind w:left="4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2014, the Company converted all outstanding shares of the Company’s preferred stock held by existing investors into 6,826,004 shares of the Company’s common stock.</w:t>
      </w:r>
    </w:p>
    <w:p>
      <w:pPr>
        <w:spacing w:after="0" w:line="161" w:lineRule="exact"/>
        <w:rPr>
          <w:rFonts w:ascii="Times New Roman" w:cs="Times New Roman" w:eastAsia="Times New Roman" w:hAnsi="Times New Roman"/>
          <w:sz w:val="18"/>
          <w:szCs w:val="18"/>
          <w:b w:val="1"/>
          <w:bCs w:val="1"/>
          <w:color w:val="auto"/>
        </w:rPr>
      </w:pPr>
    </w:p>
    <w:p>
      <w:pPr>
        <w:ind w:left="460"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April 2013, the Company entered into a laboratory, equipment sharing, services and license agreement with an entity affiliated with one of the Company’s directors. This agreement was terminated on April 1, 2014. On April 1, 2014, the Company sold used equipment to this entity and recorded proceeds for sale of equipment of $30,000 from such sale.</w:t>
      </w:r>
    </w:p>
    <w:p>
      <w:pPr>
        <w:spacing w:after="0" w:line="320"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rFonts w:ascii="Times New Roman" w:cs="Times New Roman" w:eastAsia="Times New Roman" w:hAnsi="Times New Roman"/>
          <w:sz w:val="18"/>
          <w:szCs w:val="18"/>
          <w:b w:val="1"/>
          <w:bCs w:val="1"/>
          <w:color w:val="auto"/>
        </w:rPr>
      </w:pPr>
    </w:p>
    <w:p>
      <w:pPr>
        <w:ind w:left="460" w:right="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24, 2014, Oliver S. Fetzer, Ph.D., President, Chief Executive Officer and principal executive officer of the Company and a member of the Company’s board of directors, notified the Company of his decision to resign from his positions with the Company effective October 29, 2014 (the “Separation Date”). Dr. Fetzer’s decision to resign did not involve any disagreement with the Company, the Company’s management or the Company’s board of directors. In connection with the resignation, on October 29, 2014, the Company and Dr. Fetzer entered into a Separation, Transition and Release of Claims Agreement which includes a customary mutual release of claims and pursuant to which Dr. Fetzer agreed to provide post-employment assistance to the Company through April 27, 2015 (the “Consulting Period”) and Dr. Fetzer’s stock options will cease vesting as of the Separation Date but will remain exercisable until the end of the Consulting Period.</w:t>
      </w:r>
    </w:p>
    <w:p>
      <w:pPr>
        <w:spacing w:after="0" w:line="81" w:lineRule="exact"/>
        <w:rPr>
          <w:rFonts w:ascii="Times New Roman" w:cs="Times New Roman" w:eastAsia="Times New Roman" w:hAnsi="Times New Roman"/>
          <w:sz w:val="18"/>
          <w:szCs w:val="18"/>
          <w:b w:val="1"/>
          <w:bCs w:val="1"/>
          <w:color w:val="auto"/>
        </w:rPr>
      </w:pPr>
    </w:p>
    <w:p>
      <w:pPr>
        <w:ind w:left="4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Dr. Fetzer’s resignation, Paul A. Friedman, a member of the board of directors, was appointed executive chairman of the Company’s board until a new chief executive officer is hired and will, among other duties, oversee the operations of the Company, including clinical and regulatory functions. In addition, Christopher D.T. Guiffre was appointed as the Company’s chief operating officer. In his role as COO, Mr. Guiffre will serve as the Company’s principal executive officer.</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20" w:firstLine="456"/>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a clinical-stage oncology-focused company applying our proprietary dynamic tumor targeting platform to develop differentiated therapies. Our nanoparticle-drug conjugate product candidates consist of proprietary polymers that are covalently linked to anti-cancer therapeutics, or payloads. We believe these nanoparticle-drug conjugates dynamically target tumors by exploiting the leakiness of new blood vessels in tumors as an entry portal into tumor tissue, followed by active uptake into tumor cells and the sustained release of the anti-cancer payload inside the tumor cells. During the third quarter of 2014, we launched a randomized Phase 2 clinical trial studying CRLX101 in combination with Avastin (bevacizumab) versus standard of care in 3rd and 4th line renal cell carcinoma, or the RCC Trial.</w:t>
      </w:r>
    </w:p>
    <w:p>
      <w:pPr>
        <w:spacing w:after="0" w:line="188"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We have devoted substantially all of our resources to our drug discovery and development efforts, including conducting clinical trials for our product candidates, protecting our intellectual property and the general and administrative support of these operations. To date, we have generated no revenue from product sales. We expect that it will be several years before we commercialize a product candidate, if ever. Through September 30, 2014, we funded our operations primarily through $84.2 million in proceeds from the sale of shares of our convertible preferred stock, net proceeds of $59.9 million from the sale of shares of our common stock to the public, $17.3 million in proceeds from our sale of convertible promissory notes, and $10.0 million in proceeds from borrowings under our loan and security agreement with Lighthouse Capital Partners VI, L.P., or Lighthouse Capital.</w:t>
      </w:r>
    </w:p>
    <w:p>
      <w:pPr>
        <w:spacing w:after="0" w:line="188" w:lineRule="exact"/>
        <w:rPr>
          <w:sz w:val="20"/>
          <w:szCs w:val="20"/>
          <w:color w:val="auto"/>
        </w:rPr>
      </w:pPr>
    </w:p>
    <w:p>
      <w:pPr>
        <w:ind w:right="40" w:firstLine="456"/>
        <w:spacing w:after="0" w:line="266" w:lineRule="auto"/>
        <w:rPr>
          <w:sz w:val="20"/>
          <w:szCs w:val="20"/>
          <w:color w:val="auto"/>
        </w:rPr>
      </w:pPr>
      <w:r>
        <w:rPr>
          <w:rFonts w:ascii="Times New Roman" w:cs="Times New Roman" w:eastAsia="Times New Roman" w:hAnsi="Times New Roman"/>
          <w:sz w:val="18"/>
          <w:szCs w:val="18"/>
          <w:color w:val="auto"/>
        </w:rPr>
        <w:t>We have never been profitable and have incurred significant operating losses since our incorporation. As of September 30, 2014, we had an accumulated deficit of $114.3 million. We incurred net losses of approximately $5.6 million and $3.2 million for the three months ended September 30, 2014 and 2013, respectively, and $15.9 million and $13.7 million and for the nine months ended September 30, 2014 and 2013, respectively.</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and increasing expenses and operating losses for the foreseeable future, as we advance our product candidates through preclinical studies and clinical trials, and as we seek regulatory approval for, and eventually commercialize, our product candidates. Our net losses may fluctuate significantly from quarter to quarter and from year to year. We will need to raise additional capital in the future to support our expenses and operating activities.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60"/>
          </w:cols>
          <w:pgMar w:left="240" w:top="455" w:right="29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for the next several years, if ever. 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our product candidates. If we fail to complete the development of our product candidates in a timely manner or to obtain regulatory approval for our product candidates, our ability to generate future revenue and our results of operations and financial position would be materially adversely affected.</w:t>
      </w:r>
    </w:p>
    <w:p>
      <w:pPr>
        <w:spacing w:after="0" w:line="189" w:lineRule="exact"/>
        <w:rPr>
          <w:sz w:val="20"/>
          <w:szCs w:val="20"/>
          <w:color w:val="auto"/>
        </w:rPr>
      </w:pPr>
    </w:p>
    <w:p>
      <w:pPr>
        <w:ind w:right="280" w:firstLine="456"/>
        <w:spacing w:after="0" w:line="282" w:lineRule="auto"/>
        <w:rPr>
          <w:sz w:val="20"/>
          <w:szCs w:val="20"/>
          <w:color w:val="auto"/>
        </w:rPr>
      </w:pPr>
      <w:r>
        <w:rPr>
          <w:rFonts w:ascii="Times New Roman" w:cs="Times New Roman" w:eastAsia="Times New Roman" w:hAnsi="Times New Roman"/>
          <w:sz w:val="18"/>
          <w:szCs w:val="18"/>
          <w:color w:val="auto"/>
        </w:rPr>
        <w:t>To date, our only revenue has consisted of a government tax credit that we received in 2010 and payments in 2011, 2012, 2013, and 2014 from four material transfer agreements and a research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40" w:firstLine="45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consists of costs incurred in connection with the discovery and development of our nanoparticle-drug conjugate platform and our product candidates. These expenses consist primarily of:</w:t>
      </w:r>
    </w:p>
    <w:p>
      <w:pPr>
        <w:spacing w:after="0" w:line="67"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investigative sites that conduct our clinical trials and consultants that conduct a portion of our preclinical studies;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relating to scientific consultants and advisors;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and manufacturing clinical trial materials;</w:t>
      </w:r>
    </w:p>
    <w:p>
      <w:pPr>
        <w:spacing w:after="0" w:line="130" w:lineRule="exact"/>
        <w:rPr>
          <w:rFonts w:ascii="Times New Roman" w:cs="Times New Roman" w:eastAsia="Times New Roman" w:hAnsi="Times New Roman"/>
          <w:sz w:val="18"/>
          <w:szCs w:val="18"/>
          <w:color w:val="auto"/>
        </w:rPr>
      </w:pPr>
    </w:p>
    <w:p>
      <w:pPr>
        <w:ind w:left="900" w:right="60" w:hanging="446"/>
        <w:spacing w:after="0" w:line="28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of fixed assets and other allocated expenses, including direct and allocated expenses for rent and maintenance of facilities and equipment;</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 supplies, reagents, active pharmaceutical ingredients and other direct and indirect costs in support of our preclinical activities;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related to in-licensed products and technology;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non-clinical activities and regulatory approvals.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Conducting a significant amount of research and development is central to our business model. Product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support multiple clinical trials of CRLX101, initiate and continue clinical testing of CRLX301 and advance our earlier-stage research and development projects.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60"/>
          </w:cols>
          <w:pgMar w:left="240" w:top="455" w:right="29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use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Below is an unaudited summary of our research and development expenses for the three and nine months ended September 30, 2014 and 2013 (in thousands):</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190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900" w:type="dxa"/>
            <w:vAlign w:val="bottom"/>
            <w:gridSpan w:val="6"/>
          </w:tcPr>
          <w:p>
            <w:pPr>
              <w:jc w:val="right"/>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540" w:type="dxa"/>
            <w:vAlign w:val="bottom"/>
            <w:gridSpan w:val="5"/>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5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Pr>
          <w:p>
            <w:pPr>
              <w:spacing w:after="0"/>
              <w:rPr>
                <w:sz w:val="15"/>
                <w:szCs w:val="15"/>
                <w:color w:val="auto"/>
              </w:rPr>
            </w:pPr>
          </w:p>
        </w:tc>
        <w:tc>
          <w:tcPr>
            <w:tcW w:w="5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0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CRLX101</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$ 1,549</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751</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$4,317</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316</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1,343</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Nanoparticle-drug conjugate platform</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325</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825</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194</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586</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70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$ 2,928</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1,586</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7,071</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$ 8,260</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summarizes our research and development programs.</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CRLX101</w:t>
      </w:r>
    </w:p>
    <w:p>
      <w:pPr>
        <w:spacing w:after="0" w:line="1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We have launched the RCC Trial. In addition, we are supporting a Phase 2 investigator-sponsored trial, or IST, of CRLX101 in combination with Avastin in patients with relapsed platinum-resistant ovarian cancer. Assuming positive results from this IST, we expect to initiate, in 2015, a Phase 2 randomized clinical trial of CRLX101 in combination with Avastin in this indication. We are supporting a Phase 1b/2 IST of CRLX101 in combination with chemoradiotherapy, consisting of capecitabine and radiotherapy, in patients with early stage rectal cancer (typically non-metastatic) being treated in a neoadjuvant setting. Assuming positive results from this trial, we expect to commence a randomized, Phase 2 clinical trial of CRLX101 in combination with chemoradiotherapy in this indication in 2015. We refer to this form of treatment as neoadjuvant therapy, and we refer to patients who receive neoadjuvant therapy as patients with neoadjuvant rectal cancer.</w:t>
      </w:r>
    </w:p>
    <w:p>
      <w:pPr>
        <w:spacing w:after="0" w:line="189"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cannot accurately project future research and development expenses for our CRLX101 program because such expenses are dependent on a number of variables, including, among others, the cost and design of any additional clinical trials, the duration of the regulatory process and the results of any clinical trials.</w:t>
      </w:r>
    </w:p>
    <w:p>
      <w:pPr>
        <w:spacing w:after="0" w:line="176"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Under our license agreement with Calando Pharmaceuticals, Inc., or Calando, pursuant to which we obtained rights to CRLX101, or the CRLX101 Agreement, we will be required to make regulatory and commercial milestone payments in an aggregate amount of up to $32.8 million to Calando upon the achievement of specified regulatory and commercial milestones. In addition, under the CRLX101 Agreement, if we, or one of our affiliates, sell CRLX101, we are required to pay tiered royalty payments to Calando ranging from low- to mid-single digits, as a percentage of worldwide net sales, depending on whether there is patent protection for CRLX101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ranges from the low- to mid-double digits depending on the development stage of CRLX101 at the time we first provide or receive draft terms of a license arrangement with the third party that results in a license agreement.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CRLX301</w:t>
      </w:r>
    </w:p>
    <w:p>
      <w:pPr>
        <w:spacing w:after="0" w:line="11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We are currently conducting preclinical studies of CRLX301 and intend to initiate a Phase 1 clinical trial by the end of 2014. We cannot accurately predict future research and development expenses for our CRLX301 program because such costs are dependent on a number of variables, including, among others, the cost and design of clinical trials, the duration of the regulatory process and the results of the planned Phase 1 clinical trial and any future trials.</w:t>
      </w:r>
    </w:p>
    <w:p>
      <w:pPr>
        <w:spacing w:after="0" w:line="176"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Under our license agreement with Calando pursuant to which we obtained rights to Calando’s cyclodextrin system for purposes of conjugating or complexing certain other therapeutic agents to the system, or the Platform Agreement, we will be required to pay a $250,000 clinical development milestone to Calando when we initiate our Phase 1 clinical trial of CRLX301. We intend to initiate the Phase 1 clinical trial and pay this milestone by the end of 2014. We will also be required to make regulatory and commercial</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340"/>
          </w:cols>
          <w:pgMar w:left="240" w:top="455" w:right="31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milestone payments in an aggregate amount of up to $17.8 million to Calando upon the achievement of specified regulatory and commercial milestones. Further, under the Platform Agreement, if we, or one of our affiliates, sell CRLX301, we are required to pay tiered royalty payments to Calando ranging from low- to mid-single digits, as a percentage of worldwide net sales, depending on whether there is patent protection for CRLX301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is in the low double digits.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Nanoparticle-drug conjugates</w:t>
      </w:r>
    </w:p>
    <w:p>
      <w:pPr>
        <w:spacing w:after="0" w:line="119"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We expect that the expenses related to our nanoparticle-drug conjugate will continue to increase as we seek to identify additional targets for preclinical research and add personnel to these projects. We cannot accurately predict future research and development expenses for our nanoparticle-drug conjugate because such costs are dependent on a number of variables, including the success of preclinical studies on any such nanoparticle-drug conjugates.</w:t>
      </w:r>
    </w:p>
    <w:p>
      <w:pPr>
        <w:spacing w:after="0" w:line="176"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successful development of any of our product candidates is highly uncertain. As such, at this time, we cannot reasonably predict with certainty the duration and costs of the current or future clinical trials of any of our product candidates or if, when or to what extent we will generate revenues from any commercialization and sale of any of our product candidates that obtain marketing approval. We may never succeed in achieving regulatory approval for any of our product candidates. The duration, costs and timing of clinical trials and development of our product candidates will depend on a variety of factors, including:</w:t>
      </w:r>
    </w:p>
    <w:p>
      <w:pPr>
        <w:spacing w:after="0" w:line="89"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rate of progress of our ongoing as well as any additional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other research and development activities;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ongoing as well as any additional clinical trials;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30" w:lineRule="exact"/>
        <w:rPr>
          <w:rFonts w:ascii="Times New Roman" w:cs="Times New Roman" w:eastAsia="Times New Roman" w:hAnsi="Times New Roman"/>
          <w:sz w:val="18"/>
          <w:szCs w:val="18"/>
          <w:color w:val="auto"/>
        </w:rPr>
      </w:pPr>
    </w:p>
    <w:p>
      <w:pPr>
        <w:ind w:left="900" w:right="5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and the terms and success of those partnerships, if any, including the timing and amount of payments that we might receive from potential strategic partners;</w:t>
      </w:r>
    </w:p>
    <w:p>
      <w:pPr>
        <w:spacing w:after="0" w:line="67" w:lineRule="exact"/>
        <w:rPr>
          <w:rFonts w:ascii="Times New Roman" w:cs="Times New Roman" w:eastAsia="Times New Roman" w:hAnsi="Times New Roman"/>
          <w:sz w:val="18"/>
          <w:szCs w:val="18"/>
          <w:color w:val="auto"/>
        </w:rPr>
      </w:pPr>
    </w:p>
    <w:p>
      <w:pPr>
        <w:ind w:left="900" w:right="3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market, commercialize and achieve market acceptance for any of our product candidates that we are developing or may develop in the future;</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adverse market developments; and</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and maintaining, enforcing and defending intellectual property-related claims.</w:t>
      </w:r>
    </w:p>
    <w:p>
      <w:pPr>
        <w:spacing w:after="0" w:line="2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Any change in the outcome of any of these variables with respect to the development of a product candidate could mean a significant change in the cost and timing associated with the development of that product candidate. For example, if the U.S. Food and Drug Administration, or the FDA, or a comparable non-U.S. regulatory authority were to require us to conduct clinical trials beyond those that we currently anticipate will be required for the completion of clinical development of a product candidate, or if we experience significant delays in enrollment in any of our clinical trials, including, for example, the RCC Trial, we could be required to expend significant additional financial resources and time on the completion of clinical development.</w:t>
      </w:r>
    </w:p>
    <w:p>
      <w:pPr>
        <w:spacing w:after="0" w:line="184"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when, or to what extent, we will generate revenues from the commercialization and sale of any of our product candidates. We anticipate that we will make determinations as to which additional programs to pursue and how much funding to direct to each program on an ongoing basis in response to the scientific and clinical success of each product candidate, as well as our ongoing assessment of the product candidate’s commercial potential. We will need to raise additional capital in the future in order to complete the development and commercialization of CRLX101 and CRLX301 and to fund the development of our other product candidates.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320" w:firstLine="45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our executive, finance, business development, marketing, legal and human resources functions. Other general and administrative expenses include patent filing, patent prosecution, professional fees for legal, insurance, consulting, information technology, auditing and tax services and facility costs not otherwise included in research and development expenses.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for the following reasons, among others:</w:t>
      </w:r>
    </w:p>
    <w:p>
      <w:pPr>
        <w:spacing w:after="0" w:line="131" w:lineRule="exact"/>
        <w:rPr>
          <w:sz w:val="20"/>
          <w:szCs w:val="20"/>
          <w:color w:val="auto"/>
        </w:rPr>
      </w:pPr>
    </w:p>
    <w:p>
      <w:pPr>
        <w:ind w:left="900" w:right="10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increased general and administrative expenses to support our research and development activities, which we expect to expand as we continue to pursue the development of our product candidates;</w:t>
      </w:r>
    </w:p>
    <w:p>
      <w:pPr>
        <w:spacing w:after="0" w:line="67" w:lineRule="exact"/>
        <w:rPr>
          <w:rFonts w:ascii="Times New Roman" w:cs="Times New Roman" w:eastAsia="Times New Roman" w:hAnsi="Times New Roman"/>
          <w:sz w:val="18"/>
          <w:szCs w:val="18"/>
          <w:color w:val="auto"/>
        </w:rPr>
      </w:pPr>
    </w:p>
    <w:p>
      <w:pPr>
        <w:ind w:left="900" w:right="380" w:hanging="325"/>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general and administrative expenses to continue to increase as a result of increased payroll, expanded infrastructure, higher consulting, legal, accounting and investor relations costs, director compensation and director and officer insurance premiums associated with being a public company; and</w:t>
      </w:r>
    </w:p>
    <w:p>
      <w:pPr>
        <w:spacing w:after="0" w:line="81" w:lineRule="exact"/>
        <w:rPr>
          <w:rFonts w:ascii="Times New Roman" w:cs="Times New Roman" w:eastAsia="Times New Roman" w:hAnsi="Times New Roman"/>
          <w:sz w:val="18"/>
          <w:szCs w:val="18"/>
          <w:color w:val="auto"/>
        </w:rPr>
      </w:pPr>
    </w:p>
    <w:p>
      <w:pPr>
        <w:ind w:left="900" w:right="12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begin to incur expenses related to sales and marketing of our product candidates in anticipation of commercial launch before we receive regulatory approval of a product candidate.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The primary objective of our investment policy is capital preservation.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60" w:firstLine="456"/>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amortization of debt discount and amortization of deferred financing costs associated with our debt facility with Lighthouse Capital and interest expense on our convertible notes.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Loss on extinguishment of debt is associated with the loss recorded on the conversion of the 2014 convertible notes, equal to the difference between the fair value of shares into which the notes converted and the carrying amount of the notes upon the closing of the initial public offering of our common stock, or the IPO, on April 15,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Preferred Stock Warrant Liability</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preferred stock warrant liability is associated with warrants to purchase shares of our preferred stock issued to lenders and investors. The change in fair value consists of the calculated change in value based upon the fair value of the underlying security at the end of each reporting period as calculated using the Black-Scholes option-pricing model. The preferred stock warrants were automatically adjusted on the date of the closing of the IPO, April 15, 2014, to provide for the issuance of shares of common stock upon their exercise. The preferred stock warrant liability has been reclassified to additional paid-in capital as of April 15, 2014.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2014 and 2013 (Unaudited)</w:t>
      </w:r>
    </w:p>
    <w:p>
      <w:pPr>
        <w:spacing w:after="0" w:line="121" w:lineRule="exact"/>
        <w:rPr>
          <w:sz w:val="20"/>
          <w:szCs w:val="20"/>
          <w:color w:val="auto"/>
        </w:rPr>
      </w:pPr>
    </w:p>
    <w:p>
      <w:pPr>
        <w:ind w:right="40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three months ended September 30, 2014 and 2013, together with the changes in those items in dollars and as a percentage (in thousands, except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00" w:type="dxa"/>
            <w:vAlign w:val="bottom"/>
          </w:tcPr>
          <w:p>
            <w:pPr>
              <w:spacing w:after="0"/>
              <w:rPr>
                <w:sz w:val="12"/>
                <w:szCs w:val="12"/>
                <w:color w:val="auto"/>
              </w:rPr>
            </w:pPr>
          </w:p>
        </w:tc>
        <w:tc>
          <w:tcPr>
            <w:tcW w:w="960" w:type="dxa"/>
            <w:vAlign w:val="bottom"/>
            <w:tcBorders>
              <w:top w:val="single" w:sz="8" w:color="auto"/>
            </w:tcBorders>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400" w:type="dxa"/>
            <w:vAlign w:val="bottom"/>
          </w:tcPr>
          <w:p>
            <w:pPr>
              <w:spacing w:after="0"/>
              <w:rPr>
                <w:sz w:val="18"/>
                <w:szCs w:val="18"/>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(5,369)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(2,813)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(2,556)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196</w:t>
            </w: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(5,558)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(3,198)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5"/>
              </w:rPr>
              <w:t>(2,360)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280" w:type="dxa"/>
            <w:vAlign w:val="bottom"/>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040" w:type="dxa"/>
            <w:vAlign w:val="bottom"/>
          </w:tcPr>
          <w:p>
            <w:pPr>
              <w:spacing w:after="0"/>
              <w:rPr>
                <w:sz w:val="11"/>
                <w:szCs w:val="11"/>
                <w:color w:val="auto"/>
              </w:rPr>
            </w:pPr>
          </w:p>
        </w:tc>
        <w:tc>
          <w:tcPr>
            <w:tcW w:w="32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 by program for the three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2014 and 2013, together with the change in spending by program in dollars and as a percentage (in thousands, except percentages):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60" w:type="dxa"/>
            <w:vAlign w:val="bottom"/>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4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CRLX101</w:t>
            </w:r>
          </w:p>
        </w:tc>
        <w:tc>
          <w:tcPr>
            <w:tcW w:w="2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$ 1,549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28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503</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Nanoparticle-drug conjugate platform</w:t>
            </w:r>
          </w:p>
        </w:tc>
        <w:tc>
          <w:tcPr>
            <w:tcW w:w="2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2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$ 2,928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1,342</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September 30, 2014 was $2.9 million compared to $1.6 million for the three months ended September 30, 2013, an increase of $1.3 million, or 85%. The $0.8 million increase in CRLX101 program expense was primarily attributable to ongoing costs associated with our ongoing RCC Trial combined with an increase costs associated with investigator-sponsored trials. Clinical trial expenses increased by $0.8 million reflecting contract research organization, or CRO, fees and investigator fees and costs associated with initiating the RCC Trial including setting up clinical sites and laboratories. Salary and benefits expenses increased $0.3 million to support the CRLX101 program and the clinical trials. The increases were offset in part by a decrease of $0.3 million in chemistry, manufacturing, and controls, or CMC, activities. The $0.5 million increase in the CRLX301 program expense was primarily associated with development efforts including an increase of $0.2 million for CMC development activities and $0.2 million increase for salary and benefits supporting the CRLX301 program. In addition, clinical trial expenses increased $0.1 million primarily associated with preparations for initiation of a Phase 1 clinical trial.</w:t>
      </w:r>
    </w:p>
    <w:p>
      <w:pPr>
        <w:spacing w:after="0" w:line="185" w:lineRule="exact"/>
        <w:rPr>
          <w:sz w:val="20"/>
          <w:szCs w:val="20"/>
          <w:color w:val="auto"/>
        </w:rPr>
      </w:pPr>
    </w:p>
    <w:p>
      <w:pPr>
        <w:ind w:firstLine="456"/>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w:t>
      </w:r>
      <w:r>
        <w:rPr>
          <w:rFonts w:ascii="Times New Roman" w:cs="Times New Roman" w:eastAsia="Times New Roman" w:hAnsi="Times New Roman"/>
          <w:sz w:val="17"/>
          <w:szCs w:val="17"/>
          <w:color w:val="auto"/>
        </w:rPr>
        <w:t>General and administrative expense for the three months ended September 30, 2014 was $2.4 million compared to $1.2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three months ended September 30, 2013, an increase of $1.2 million, or 99%. The increase was mainly due to the incremental costs of being a public company, including increased legal fees, audit fees, cash retainer fees paid to board members, insurance for directors and officers, and recruitment fees.</w:t>
      </w:r>
    </w:p>
    <w:p>
      <w:pPr>
        <w:spacing w:after="0" w:line="153" w:lineRule="exact"/>
        <w:rPr>
          <w:sz w:val="20"/>
          <w:szCs w:val="20"/>
          <w:color w:val="auto"/>
        </w:rPr>
      </w:pPr>
    </w:p>
    <w:p>
      <w:pPr>
        <w:ind w:right="6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expense, net for the three months ended September 30, 2014 was $0.2 million compared to $0.4 million net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for the three months ended September 30, 2013, a decrease of $0.2 million. The decrease in net expense was the result of a reduction in interest expense of $0.2 million due to the conversion of the notes payable in April 2014 into shares of our common stock in connection with the IPO and a reduction of the outstanding principal resulting in a lower interest expense for the three months ended September 30, 2014.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2014 and 2013 (Unaudited)</w:t>
      </w:r>
    </w:p>
    <w:p>
      <w:pPr>
        <w:spacing w:after="0" w:line="121" w:lineRule="exact"/>
        <w:rPr>
          <w:sz w:val="20"/>
          <w:szCs w:val="20"/>
          <w:color w:val="auto"/>
        </w:rPr>
      </w:pPr>
    </w:p>
    <w:p>
      <w:pPr>
        <w:ind w:right="440" w:firstLine="456"/>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nine months ended September 30, 2014 and 2013, together with the changes in those items in dollars and as a percentage (in thousands, except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99"/>
              </w:rPr>
              <w:t>Nine</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Months Ended September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Borders>
              <w:top w:val="single" w:sz="8" w:color="auto"/>
            </w:tcBorders>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80</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7,071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(1,189)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1,389</w:t>
            </w:r>
          </w:p>
        </w:tc>
        <w:tc>
          <w:tcPr>
            <w:tcW w:w="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income/(expense), net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5"/>
              </w:rPr>
              <w:t>(2,092)</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(13,663)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(2,212)</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Not meaningful</w:t>
      </w:r>
    </w:p>
    <w:p>
      <w:pPr>
        <w:spacing w:after="0" w:line="221" w:lineRule="exact"/>
        <w:rPr>
          <w:sz w:val="20"/>
          <w:szCs w:val="20"/>
          <w:color w:val="auto"/>
        </w:rPr>
      </w:pPr>
    </w:p>
    <w:p>
      <w:pPr>
        <w:ind w:right="140" w:firstLine="45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nine months ended September 30, 2014 was $80,000 compared to $0 for the nine months ended September 30, 2013.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revenue in 2014 in connection with two material transfer agreements. Pursuant to the agreements, we received payments in exchange for providing research services utilizing our proprietary technology for research purposes.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 by program for the nine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2014 and 2013, together with the change in spending by program in dollars and as a percentage (in thousands, except percentages):</w:t>
      </w:r>
    </w:p>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8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4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Dollar</w:t>
            </w:r>
          </w:p>
        </w:tc>
        <w:tc>
          <w:tcPr>
            <w:tcW w:w="3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CRLX101</w:t>
            </w:r>
          </w:p>
        </w:tc>
        <w:tc>
          <w:tcPr>
            <w:tcW w:w="2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$ 3,729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2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1,343</w:t>
            </w: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(829)</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Nanoparticle-drug conjugate platform</w:t>
            </w:r>
          </w:p>
        </w:tc>
        <w:tc>
          <w:tcPr>
            <w:tcW w:w="2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825</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(891)</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Overhead</w:t>
            </w:r>
          </w:p>
        </w:tc>
        <w:tc>
          <w:tcPr>
            <w:tcW w:w="2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7,071</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$ 8,260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(1,189)</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Research and development expense for the nine months ended September 30, 2014 was $7.1 million compared to $8.3 million for the nine months ended September 30, 2013, a decrease of $1.2 million, or 14%. The increase of $0.6 million in the CRLX101 program expense was primarily attributable to costs associated with our ongoing RCC Trial. Clinical trial expense increased $1.2 million reflecting CRO and investigator fees and costs associated with initiating the RCC Trial including setting up clinical sites and laboratories. The increase in clinical trial expense was partially offset by a $0.6 million decrease in CMC activities. The decrease in spending on the CRLX301 program for the nine months ended September 30, 2014 compared to the nine months ended September 30, 2013 resulted from our completion of development activities, such as investigational new drug, or IND, enabling studies and process development, early in 2013. Expenses associated with our nanoparticle-drug conjugate platform decreased $0.9 million, mainly as a result of reduced staff in new discovery research as our primary emphasis shifted to the development of our existing product candidates.</w:t>
      </w:r>
    </w:p>
    <w:p>
      <w:pPr>
        <w:spacing w:after="0" w:line="181" w:lineRule="exact"/>
        <w:rPr>
          <w:sz w:val="20"/>
          <w:szCs w:val="20"/>
          <w:color w:val="auto"/>
        </w:rPr>
      </w:pPr>
    </w:p>
    <w:p>
      <w:pPr>
        <w:ind w:right="60" w:firstLine="45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nine months ended September 30, 2014 was $6.0 million compared to $4.6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nine months ended September 30, 2013, an increase of $1.4 million, or 30%. The increase in our general and administrative expenses was primarily driven by an increase of $0.3 million in stock-based compensation, cash compensation and benefits for our general and administrative personnel, as well as increases totaling $1.0 million in external consulting fees, insurance expenses, audit fees, and recruiting expenses, principally related to operating as a public company beginning in April 2014.</w:t>
      </w:r>
    </w:p>
    <w:p>
      <w:pPr>
        <w:spacing w:after="0" w:line="180"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expense, net for the nine months ended September 30, 2014 was $2.9 million compared to $0.8 million net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nine months ended September 30, 2013, an increase of $2.1 million. The increase in net expense resulted from a loss incurred on the conversion of convertible debt to common stock of $2.5 million. The increase was offset by a decrease of $0.3 million due to a decrease in the value of the preferred stock warrant liability and a decrease in interest expense of $0.1 million.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From our incorporation through September 30, 2014, we raised an aggregate of $171.4 million to fund our operations, of which $84.2 million was from the sale of preferred stock, $59.9 million was from the IPO, $17.3 million was from the sale of convertible promissory notes, and $10.0 million was from borrowings under our loan and security agreement with Lighthouse Capital. As of September 30, 2014, we had cash and cash equivalents of approximately $57.8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2011, we entered into a loan and security agreement, or the loan agreement, with Lighthouse Capital. The loan agreement permitted us to borrow up to an aggregate principal amount of $10.0 million. We borrowed $5.0 million in March 2012 and an additional $5.0 million in August 2012. The loan agreement is secured by substantially all of our assets other than our intellectual property. We have also granted Lighthouse Capital a negative pledge with respect to our intellectual property, which, among other things, prohibits us from selling, transferring, assigning, mortgaging, pledging, leasing, granting a security interest in or otherwise encumbering our intellectual property. The loan agreement includes restrictive covenants that may restrict our ability to obtain further debt or equity financing. The aggregate principal amount outstanding under the loan agreement accrues interest at an annual rate of 8.25% and is payable in 36 monthly payments beginning on December 1, 2012, with a one-time final payment of 6% of the original principal amount due on December 1, 2015. As of September 30, 2014, there was $4.2 million in aggregate principal amount outstanding under the loan agreement.</w:t>
      </w:r>
    </w:p>
    <w:p>
      <w:pPr>
        <w:spacing w:after="0" w:line="185"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In 2013, we issued and sold convertible promissory notes, or our 2013 convertible notes, in an aggregate principal amount of $8.8 million to certain of our stockholders. Our 2013 convertible notes accrued interest at an annual rate of 7%. In connection with the completion of our IPO on April 15, 2014, all principal and accrued interest under our 2013 convertible notes converted into an aggregate of 1,319,302 shares of our common stock, at the IPO price of $7.00 per share.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In 2014, we issued and sold convertible promissory notes, or our 2014 convertible notes, in an aggregate principal amount of $8.5 million to certain of our stockholders and one additional purchaser. The 2014 convertible notes accrued interest at an annual rate of 7%. In connection with the completion of our IPO on April 15, 2014, all principal and accrued interest under our 2014 convertible notes converted into an aggregate of 1,582,931 shares of our common stock, at 77.5% of the IPO per share price, or $5.43 per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Future Funding Requirements</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third-party clinical research and development services, contract manufacturing services, laboratory and related supplies, clinical trial costs, legal and other regulatory expenses and general overhead costs.</w:t>
      </w:r>
    </w:p>
    <w:p>
      <w:pPr>
        <w:spacing w:after="0" w:line="16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believe that our cash and cash equivalents as of September 30, 2014 will fund our operating expenses, debt service and capital expenditure requirements into the first quarter of 2016, which we expect will enable us to fund our ongoing RCC Trial, to support the ongoing CRLX101 ISTs and to fund our planned Phase 1 clinical trial of CRLX301. We have based these estimates on assumptions that may prove to be wrong, and we may exhaust our capital resources sooner than we currently expect. If we achieve positive results from our ISTs in relapsed ovarian cancer or neoadjuvant rectal cancer, and decide to initiate randomized Phase 2 clinical trials in either of these indications, we will need to raise additional capital. In addition, the process of testing product candidates in clinical trials is costly, and the timing of progress in clinical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95" w:lineRule="exact"/>
        <w:rPr>
          <w:sz w:val="20"/>
          <w:szCs w:val="20"/>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of CRLX101;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of CRLX301;</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supply of our product candidates and costs thereof;</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future drug candidates;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30"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drug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drug candidates we pursue;</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collaborative agreements and achieve milestones under those agreements;</w:t>
      </w:r>
    </w:p>
    <w:p>
      <w:pPr>
        <w:spacing w:after="0" w:line="13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drug candidates for which we receive marketing approval;</w:t>
      </w:r>
    </w:p>
    <w:p>
      <w:pPr>
        <w:spacing w:after="0" w:line="130" w:lineRule="exact"/>
        <w:rPr>
          <w:rFonts w:ascii="Times New Roman" w:cs="Times New Roman" w:eastAsia="Times New Roman" w:hAnsi="Times New Roman"/>
          <w:sz w:val="18"/>
          <w:szCs w:val="18"/>
          <w:color w:val="auto"/>
        </w:rPr>
      </w:pPr>
    </w:p>
    <w:p>
      <w:pPr>
        <w:ind w:left="900" w:right="520" w:hanging="325"/>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and technologies.</w:t>
      </w:r>
    </w:p>
    <w:p>
      <w:pPr>
        <w:spacing w:after="0" w:line="225" w:lineRule="exact"/>
        <w:rPr>
          <w:sz w:val="20"/>
          <w:szCs w:val="20"/>
          <w:color w:val="auto"/>
        </w:rPr>
      </w:pPr>
    </w:p>
    <w:p>
      <w:pPr>
        <w:ind w:firstLine="456"/>
        <w:spacing w:after="0" w:line="273"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period set forth below (in thousands):</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1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(13,343)</w:t>
            </w:r>
          </w:p>
        </w:tc>
        <w:tc>
          <w:tcPr>
            <w:tcW w:w="1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20" w:type="dxa"/>
            <w:vAlign w:val="bottom"/>
            <w:shd w:val="clear" w:color="auto" w:fill="CCEEFF"/>
          </w:tcPr>
          <w:p>
            <w:pPr>
              <w:spacing w:after="0"/>
              <w:rPr>
                <w:sz w:val="18"/>
                <w:szCs w:val="18"/>
                <w:color w:val="auto"/>
              </w:rPr>
            </w:pPr>
          </w:p>
        </w:tc>
      </w:tr>
      <w:tr>
        <w:trPr>
          <w:trHeight w:val="223"/>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w:t>
            </w:r>
          </w:p>
        </w:tc>
        <w:tc>
          <w:tcPr>
            <w:tcW w:w="120" w:type="dxa"/>
            <w:vAlign w:val="bottom"/>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net use of cash in each period resulted primarily from our net losses adjusted for non-cash charges and changes in components of working capital.</w:t>
      </w:r>
    </w:p>
    <w:p>
      <w:pPr>
        <w:spacing w:after="0" w:line="225"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$13.5 million for the nine months ended September 30, 2014 compared with $13.3 million for the nine months ended September 30, 2013, an increase of $0.2 million. The increase primarily resulted from an increase in operating expenses of $0.2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$76,000 for the nine months ended September 30, 2014 compared to $7,000 for the nine months ended September 30, 2013. The change of $69,000 was the result of purchases of additional research laboratory equipment and employee computers during the nine months ended September 30, 2014 of $116,000 compared to similar purchases of $7,000 in the nine months ended September 30, 2013. The purchases were offset by proceeds from the sale of property and equipment of $40,000 during the nine months ended September 30,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21"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$65.8 million during the nine months ended September 30, 2014 compared with $6.5 million during the nine months ended September 30, 2013. During the nine months ended September 30, 2014, we raised net proceeds of $59.9 million through our IPO and $8.3 million through the sale of convertible promissory notes compared to raising $8.8 million through the sale of convertible promissory notes during the nine months ended September 30, 2013. We repaid indebtedness under the loan agreement with Lighthouse Capital in the amount of $2.5 million during the nine months ended September 30, 2014 compared to repayments of $2.3 million during the nine months ended September 30, 2013. We received $0.1 million of proceeds from the exercise of common stock options for the nine months ended September 30, 2014 compared to $16,000 for the nine months ended September 30, 2013.</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Liabilities</w:t>
      </w:r>
    </w:p>
    <w:p>
      <w:pPr>
        <w:spacing w:after="0" w:line="121" w:lineRule="exact"/>
        <w:rPr>
          <w:sz w:val="20"/>
          <w:szCs w:val="20"/>
          <w:color w:val="auto"/>
        </w:rPr>
      </w:pPr>
    </w:p>
    <w:p>
      <w:pPr>
        <w:ind w:right="20" w:firstLine="456"/>
        <w:spacing w:after="0" w:line="266" w:lineRule="auto"/>
        <w:rPr>
          <w:sz w:val="20"/>
          <w:szCs w:val="20"/>
          <w:color w:val="auto"/>
        </w:rPr>
      </w:pPr>
      <w:r>
        <w:rPr>
          <w:rFonts w:ascii="Times New Roman" w:cs="Times New Roman" w:eastAsia="Times New Roman" w:hAnsi="Times New Roman"/>
          <w:sz w:val="18"/>
          <w:szCs w:val="18"/>
          <w:color w:val="auto"/>
        </w:rPr>
        <w:t>On July 11, 2014, we signed a lease amendment to expand our leased premises at 840 Memorial Drive, Cambridge, MA, by approximately 8,628 rentable square feet. The amendment has a commencement date of July 15, 2014 and the lease expires on February 29, 2016. Total base rent for the additional rented space through the end of the lease term is $514,000.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9" w:lineRule="exact"/>
        <w:rPr>
          <w:sz w:val="20"/>
          <w:szCs w:val="20"/>
          <w:color w:val="auto"/>
        </w:rPr>
      </w:pPr>
    </w:p>
    <w:p>
      <w:pPr>
        <w:ind w:right="280" w:firstLine="456"/>
        <w:spacing w:after="0" w:line="267" w:lineRule="auto"/>
        <w:rPr>
          <w:sz w:val="20"/>
          <w:szCs w:val="20"/>
          <w:color w:val="auto"/>
        </w:rPr>
      </w:pPr>
      <w:r>
        <w:rPr>
          <w:rFonts w:ascii="Times New Roman" w:cs="Times New Roman" w:eastAsia="Times New Roman" w:hAnsi="Times New Roman"/>
          <w:sz w:val="18"/>
          <w:szCs w:val="18"/>
          <w:color w:val="auto"/>
        </w:rPr>
        <w:t xml:space="preserve">In June 2014, the Financial Accounting Standards Board, or the FASB, issued Accounting Standards Update, or “ASU,” No. 2014-10, </w:t>
      </w:r>
      <w:r>
        <w:rPr>
          <w:rFonts w:ascii="Times New Roman" w:cs="Times New Roman" w:eastAsia="Times New Roman" w:hAnsi="Times New Roman"/>
          <w:sz w:val="18"/>
          <w:szCs w:val="18"/>
          <w:i w:val="1"/>
          <w:iCs w:val="1"/>
          <w:color w:val="auto"/>
        </w:rPr>
        <w:t>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Stage Entities: Elimination of Certain Financial Reporting Requirements, Including an Amendment to Variable Interest Entities Guidance in Topic 810, Consolidation</w:t>
      </w:r>
      <w:r>
        <w:rPr>
          <w:rFonts w:ascii="Times New Roman" w:cs="Times New Roman" w:eastAsia="Times New Roman" w:hAnsi="Times New Roman"/>
          <w:sz w:val="18"/>
          <w:szCs w:val="18"/>
          <w:color w:val="auto"/>
        </w:rPr>
        <w:t>. This accounting standard eliminates all incremental financial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455" w:right="25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reporting requirements from U.S. GAAP for development stage entities, thereby improving financial reporting by reducing the cost and complexity associated with providing the information. We will no longer be required to present inception-to-date information. This ASU is effective on a prospective basis for annual and interim reporting periods beginning on or after December 15, 2014, with early adoption permitted. We have elected to early adopt the ASU for our June 30, 2014 financial statements. Our adoption of this standard as of June 30, 2014 did not have a material impact on our condensed consolidated financial statements.</w:t>
      </w:r>
    </w:p>
    <w:p>
      <w:pPr>
        <w:spacing w:after="0" w:line="182"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 xml:space="preserve">In August 2014, the FASB issued ASU No. 2014-15, Presentation of Financial Statements—Going Concern (Subtopic 205-40): </w:t>
      </w:r>
      <w:r>
        <w:rPr>
          <w:rFonts w:ascii="Times New Roman" w:cs="Times New Roman" w:eastAsia="Times New Roman" w:hAnsi="Times New Roman"/>
          <w:sz w:val="18"/>
          <w:szCs w:val="18"/>
          <w:i w:val="1"/>
          <w:iCs w:val="1"/>
          <w:color w:val="auto"/>
        </w:rPr>
        <w:t>Disclosure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Uncertainties about an Entity’s Ability to Continue as a Going Concern</w:t>
      </w:r>
      <w:r>
        <w:rPr>
          <w:rFonts w:ascii="Times New Roman" w:cs="Times New Roman" w:eastAsia="Times New Roman" w:hAnsi="Times New Roman"/>
          <w:sz w:val="18"/>
          <w:szCs w:val="18"/>
          <w:color w:val="auto"/>
        </w:rPr>
        <w:t>. ASU No. 2014-15 is intended to define management’s responsibility to evaluate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whether there is substantial doubt about an organization’s ability to continue as a going concern and to provide related footnote disclosures. Substantial doubt about an entity’s ability to continue as a going concern exists when relevant conditions and events, considered in the aggregate, indicate that it is probable that the entity will be unable to meet its obligations as they become due within one year after the date that the financial statements are issued (or available to be issued). ASU No. 2014-15 provides guidance to an organization’s management, with principles and definitions that are intended to reduce diversity in the timing and content of disclosures that are commonly provided by organizations in the financial statement footnotes. ASU No. 2014-15 is effective for annual reporting periods ending after December 15, 2016, and to annual and interim periods thereafter. Early adoption is permitted. We are currently in the process of evaluating the impact of adoption of ASU No. 2014-15 on our consolidated financial statements and related disclosures.</w:t>
      </w:r>
    </w:p>
    <w:p>
      <w:pPr>
        <w:spacing w:after="0" w:line="33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September 30, 2014, we had cash and cash equivalents of approximately $57.8 million, consisting primarily of investments in United States Treasuries and certificates of deposit. Our primary exposure to market risk is interest rate sensitivity, which is affected by changes in the general level of United States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w:t>
      </w:r>
    </w:p>
    <w:p>
      <w:pPr>
        <w:spacing w:after="0" w:line="32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and principal financial officer, to allow timely decisions regarding required disclosure.</w:t>
      </w:r>
    </w:p>
    <w:p>
      <w:pPr>
        <w:spacing w:after="0" w:line="180" w:lineRule="exact"/>
        <w:rPr>
          <w:sz w:val="20"/>
          <w:szCs w:val="20"/>
          <w:color w:val="auto"/>
        </w:rPr>
      </w:pPr>
    </w:p>
    <w:p>
      <w:pPr>
        <w:ind w:right="20" w:firstLine="456"/>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September 30, 2014.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September 30, 2014, that has materially affected, or is reasonably likely to materially affect, our internal control over financial reporting.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5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Since incorporation, we have incurred significant operating losses. As of September 30, 2014, we had an accumulated deficit of $114.3 million. We do not know whether or when we will become profitable. We have not generated any revenues to date from product sales and have financed our operations primarily through the public offering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95" w:lineRule="exact"/>
        <w:rPr>
          <w:sz w:val="20"/>
          <w:szCs w:val="20"/>
          <w:color w:val="auto"/>
        </w:rPr>
      </w:pPr>
    </w:p>
    <w:p>
      <w:pPr>
        <w:ind w:left="900" w:right="500" w:hanging="446"/>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company-sponsored clinical trials of CRLX101, our most advanced product candidate, including single-arm trials and randomized trials;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ongoing and any new investigator-sponsored clinical trials, or ISTs, of CRLX101;</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our planned Phase 1 clinical trial of CRLX301, our second most advanced product candidate;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preclinical development of additional product candidates utilizing our Dynamic Tumor Targeting Platform;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future, establish a sales, marketing and distribution infrastructure in the United States and scale up external manufacturing capabilities to commercialize any products for which we may obtain regulatory approval;</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quality and scientific personnel; and</w:t>
      </w:r>
    </w:p>
    <w:p>
      <w:pPr>
        <w:spacing w:after="0" w:line="130" w:lineRule="exact"/>
        <w:rPr>
          <w:rFonts w:ascii="Times New Roman" w:cs="Times New Roman" w:eastAsia="Times New Roman" w:hAnsi="Times New Roman"/>
          <w:sz w:val="18"/>
          <w:szCs w:val="18"/>
          <w:color w:val="auto"/>
        </w:rPr>
      </w:pPr>
    </w:p>
    <w:p>
      <w:pPr>
        <w:ind w:left="900" w:right="400" w:hanging="446"/>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 and planned future commercialization efforts.</w:t>
      </w:r>
    </w:p>
    <w:p>
      <w:pPr>
        <w:spacing w:after="0" w:line="162"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obtaining regulatory approval for these product candidates, manufacturing, marketing and selling any products for which we may obtain regulatory approval, satisfying any post-marketing requirements and obtaining reimbursement for our products from private insurance or government payors. We are only in the preliminary stages of most of these activities and have not yet commenced other of these activities. We may never succeed in these activities and, even if we do, may never generate revenues that are significant enough to achieve profitability.</w:t>
      </w:r>
    </w:p>
    <w:p>
      <w:pPr>
        <w:spacing w:after="0" w:line="189"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jc w:val="both"/>
        <w:ind w:right="160" w:firstLine="913"/>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cause our stockholders to lose all or part of their investment.</w:t>
      </w:r>
    </w:p>
    <w:p>
      <w:pPr>
        <w:spacing w:after="0" w:line="180" w:lineRule="exact"/>
        <w:rPr>
          <w:sz w:val="20"/>
          <w:szCs w:val="20"/>
          <w:color w:val="auto"/>
        </w:rPr>
      </w:pPr>
    </w:p>
    <w:p>
      <w:pPr>
        <w:ind w:right="220" w:firstLine="913"/>
        <w:spacing w:after="0" w:line="261" w:lineRule="auto"/>
        <w:rPr>
          <w:sz w:val="20"/>
          <w:szCs w:val="20"/>
          <w:color w:val="auto"/>
        </w:rPr>
      </w:pPr>
      <w:r>
        <w:rPr>
          <w:rFonts w:ascii="Times New Roman" w:cs="Times New Roman" w:eastAsia="Times New Roman" w:hAnsi="Times New Roman"/>
          <w:sz w:val="18"/>
          <w:szCs w:val="18"/>
          <w:color w:val="auto"/>
        </w:rPr>
        <w:t>In addition, although we successfully completed and received the net proceeds from our initial public offering, or IPO, given our planned expenditures for the next several years, including, without limitation, expenditures in connection with our clinical trials of CRLX101, our independent registered public accounting firm may conclude, in connection with the preparation of our financial statements for fiscal year 2014 or any other subsequent period that there is substantial doubt regarding our ability to continue as a going concern.</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59"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developing and securing our technology, raising capital and undertaking preclinical studies and clinical trials of our product candidates. We have not yet demonstrated the ability to successfully complete development of any product candidates, obtain marketing approvals, manufacture a</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455" w:right="2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commercial scale product, or arrange for a third party to do so on our behalf, or conduct sales and marketing activities necessary for successful product commercialization. Consequently, any predictions about our future success or viability may not be as accurate as they could be if we had a longer operating history or a history of successfully developing and commercializing pharmaceutical products.</w:t>
      </w:r>
    </w:p>
    <w:p>
      <w:pPr>
        <w:spacing w:after="0" w:line="176"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Assuming we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7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ind w:right="160" w:firstLine="913"/>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initiate new or expand current clinical trials of CRLX101, continue to support ongoing and any new ISTs of CRLX101, prepare for and initiate a Phase 1 clinical trial of CRLX301 and continue research and development and initiate additional clinical trials of, and seek regulatory approval for, these and other product candidates. In addition, if we obtain regulatory approval for any of our product candidates, we expect to incur significant commercialization expenses related to product manufacturing, marketing, sales and distribution. In particular, the costs that may be required for the manufacture of any product candidate that receives marketing approval may be substantial, and manufacturing our nanoparticle-drug conjugates, or NDCs, for commercial sale will require expensive and specialized facilities, processes and materials. Furthermore, relative to previous years when we operated as a private company, we expect to incur significant additional costs in 2014 and future years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6"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We plan to use our current cash and cash equivalents to fund our ongoing research and development efforts. We will be required to expend significant funds in order to advance development of CRLX101, CRLX301 and our other potential product candidates. Our existing cash and cash equivalents will not be sufficient to fund all of the efforts that we plan to undertake, such as our planned Phase 2 trial of CRLX101 in ovarian cancer and our planned Phase 2 trial of CRLX101 in patients with rectal cancer who are being treated through the administration of therapeutics prior to surgery (we refer to this form of treatment as neoadjuvant therapy and to patients who receive neoadjuvant therapy as patients with neoadjuvant rectal cancer), or to fund completion of clinical development of any of our product candidates. Accordingly, we will be required to obtain further funding through public or private equity offerings, debt financings, collaborations or licensing arrangements or other sources. Adequate and additional funding may not be available to us on acceptable terms or at all. If we elect to obtain any additional debt financing, our ability to do so may be limited by covenants we have made under our loan and security agreement with Lighthouse Capital Partners VI, L.P., 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Lighthouse Capital, and our pledge to Lighthouse Capital of substantially all of our assets, other than our intellectual property, as collateral. We have also granted Lighthouse Capital a negative pledge with respect to our intellectual property, which, among other things, prohibits us from selling, transferring, assigning, mortgaging, pledging, leasing, granting a security interest in or otherwise encumbering our intellectual property. This negative pledge could further limit our ability to obtain additional debt financing. Our failure to raise capital as and when needed would have a negative impact on our financial condition and our ability to pursue our business strategy.</w:t>
      </w:r>
    </w:p>
    <w:p>
      <w:pPr>
        <w:spacing w:after="0" w:line="184"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We believe that our cash and cash equivalents as of September 30, 2014 will enable us to fund our operating expenses, debt service and capital expenditure requirements into the first quarter of 2016. We have based this estimate on assumptions that may prove to be wrong, and we could use our capital resources sooner than we currently expect. Our future capital requirements will depend on many factors, including:</w:t>
      </w:r>
    </w:p>
    <w:p>
      <w:pPr>
        <w:spacing w:after="0" w:line="82" w:lineRule="exact"/>
        <w:rPr>
          <w:sz w:val="20"/>
          <w:szCs w:val="20"/>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the product candidates we pursue;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our product candidates, and conducting preclinical and clinical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30"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any product candidates for which we receive marketing approval;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30" w:lineRule="exact"/>
        <w:rPr>
          <w:rFonts w:ascii="Times New Roman" w:cs="Times New Roman" w:eastAsia="Times New Roman" w:hAnsi="Times New Roman"/>
          <w:sz w:val="18"/>
          <w:szCs w:val="18"/>
          <w:color w:val="auto"/>
        </w:rPr>
      </w:pPr>
    </w:p>
    <w:p>
      <w:pPr>
        <w:ind w:left="900" w:right="540" w:hanging="446"/>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medicines and technology;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913"/>
        <w:spacing w:after="0" w:line="274" w:lineRule="auto"/>
        <w:rPr>
          <w:sz w:val="20"/>
          <w:szCs w:val="20"/>
          <w:color w:val="auto"/>
        </w:rPr>
      </w:pPr>
      <w:r>
        <w:rPr>
          <w:rFonts w:ascii="Times New Roman" w:cs="Times New Roman" w:eastAsia="Times New Roman" w:hAnsi="Times New Roman"/>
          <w:sz w:val="17"/>
          <w:szCs w:val="17"/>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59"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public or private equity offerings, debt financings and/or license and development agreements with collaboration partners. We do not have any committed external source of funds.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existing stockholders.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8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229"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As of September 30, 2014, we had $4.2 million of outstanding borrowings under our loan and security agreement with Lighthouse Capital, which we are required to repay in monthly installments through November 2015. We could in the future incur additional indebtedness beyond our borrowings from Lighthouse Capital.</w:t>
      </w:r>
    </w:p>
    <w:p>
      <w:pPr>
        <w:spacing w:after="0" w:line="176"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Our outstanding indebtedness combined with our other financial obligations and contractual commitments, including any additional indebtedness beyond our borrowings from Lighthouse Capital, could have significant adverse consequences, including:</w:t>
      </w:r>
    </w:p>
    <w:p>
      <w:pPr>
        <w:spacing w:after="0" w:line="67" w:lineRule="exact"/>
        <w:rPr>
          <w:sz w:val="20"/>
          <w:szCs w:val="20"/>
          <w:color w:val="auto"/>
        </w:rPr>
      </w:pPr>
    </w:p>
    <w:p>
      <w:pPr>
        <w:ind w:left="900" w:right="420" w:hanging="446"/>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compete;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better debt servicing options.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455" w:right="2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existing cash and cash equivalents. Nevertheless, we may not have sufficient funds, and may be unable to arrange for additional financing, to pay the amounts due under our existing debt. Failure to make payments or comply with other covenants under our existing debt instruments could result in an event of default and acceleration of amounts due. If an event of default occurs and Lighthouse Capital accelerates the amounts due, we may not be able to make accelerated payments, and Lighthouse Capital could seek to enforce security interests in the collateral securing such indebtedness, which includes substantially all of our assets other than our intellectual property.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Dynamic Tumor Targeting Platform is unproven, and we do not know whether we will be able to develop any products of commercial value.</w:t>
      </w:r>
    </w:p>
    <w:p>
      <w:pPr>
        <w:spacing w:after="0" w:line="159"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We are focused on applying our proprietary Dynamic Tumor Targeting Platform to develop drugs that address serious unmet medical needs. We believe that our Dynamic Tumor Targeting Platform has the potential to create drugs that may have significant utility in several cancer indications, particularly in combination with other cancer drugs and with radiotherapy. While the results of preclinical studies and early-stage clinical trials have suggested that certain of our product candidates may have such utility, we have not yet succeeded and may not succeed in demonstrating efficacy and safety for any of our product candidates in later stage clinical trials or in obtaining marketing approval thereafter. For example, we have not yet advanced a compound beyond Phase 2 clinical development. Moreover, the only compound for which we have completed a Phase 2 clinical trial, CRLX101 for the potential treatment of patients with advanced non-small cell lung cancer, or NSCLC, who had progressed through one or two prior regimens of chemotherapy, failed to meet its primary endpoint of improvement in overall survival.</w:t>
      </w:r>
    </w:p>
    <w:p>
      <w:pPr>
        <w:spacing w:after="0" w:line="185"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In addition, we have never had a product candidate receive approval or clearance from the FDA or a non-U.S. regulatory authority. While the FDA has approved nanoparticles such as Doxil</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(doxorubicin hydrochloride liposome injection) and Abraxane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(nab-paclitaxel),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product candidates, if any, than we expect.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55"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particularly dependent on the success of our product candidate, CRLX101, and our ability to develop, obtain marketing approval for and successfully commercialize CRLX101. If we are unable to develop, obtain marketing approval for or successfully commercialize CRLX101, either alone or through a collaboration, or experience significant delays in doing so, our business could be materially harmed.</w:t>
      </w:r>
    </w:p>
    <w:p>
      <w:pPr>
        <w:spacing w:after="0" w:line="175"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We currently have no products approved for sale and have invested a significant portion of our efforts and financial resources in the development of CRLX101 for the treatment of patients with inadequately treated forms of cancer. Our prospects are substantially dependent on our ability to develop, obtain marketing approval for and successfully commercialize CRLX101. The success of CRLX101 will depend, among other things, on our ability to successfully complete clinical trials of CRLX101. The clinical trial process is uncertain, and failure of one or more clinical trials can occur at any stage of testing. For example, in 2011, we initiated an open-label, randomized Phase 2 clinical trial of CRLX101 as monotherapy in patients with advanced NSCLC who had progressed through one or two prior regimens of chemotherapy. This Phase 2 clinical trial failed to meet its primary endpoint of improvement in overall survival of the CRLX101-treated group as compared to the control arm of the study, which was best supportive care.</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 addition to the successful completion of clinical trials, the success of CRLX101 will also depend on several other factors, including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112" w:lineRule="exact"/>
        <w:rPr>
          <w:sz w:val="20"/>
          <w:szCs w:val="20"/>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the FDA or other applicable regulatory authorities;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for CRLX101, if any;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supply arrangements with third party raw materials suppliers and manufacturers;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 party manufacturers to obtain finished drug products that are appropriately packaged for sale;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protection and regulatory exclusivity, both in the United States and internationally;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rights in our intellectual property portfolio;</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of commercial sales if and when approved;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CRLX101 following any marketing approval;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if and when approved, by patients, the medical community and third party payors;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pricing sufficient to realize a meaningful return on our investment;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therapies.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60"/>
          </w:cols>
          <w:pgMar w:left="240" w:top="455" w:right="2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82" w:lineRule="auto"/>
        <w:rPr>
          <w:sz w:val="20"/>
          <w:szCs w:val="20"/>
          <w:color w:val="auto"/>
        </w:rPr>
      </w:pPr>
      <w:r>
        <w:rPr>
          <w:rFonts w:ascii="Times New Roman" w:cs="Times New Roman" w:eastAsia="Times New Roman" w:hAnsi="Times New Roman"/>
          <w:sz w:val="18"/>
          <w:szCs w:val="18"/>
          <w:color w:val="auto"/>
        </w:rPr>
        <w:t>If we are unable to develop, receive marketing approval for, or successfully commercialize CRLX101, or experience delays as a result of any of these factors or otherwise, our business could be materially harmed.</w:t>
      </w:r>
    </w:p>
    <w:p>
      <w:pPr>
        <w:spacing w:after="0" w:line="158"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59" w:lineRule="exact"/>
        <w:rPr>
          <w:sz w:val="20"/>
          <w:szCs w:val="20"/>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CRLX101 or any of our other product candidates if we are unable to locate and enroll a sufficient number of eligible patients to participate in clinical trials. Patient enrollment is a significant factor in the timing of clinical trials, and is affected by many factors, including:</w:t>
      </w:r>
    </w:p>
    <w:p>
      <w:pPr>
        <w:spacing w:after="0" w:line="82" w:lineRule="exact"/>
        <w:rPr>
          <w:sz w:val="20"/>
          <w:szCs w:val="20"/>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or serious adverse events that occur in the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sites;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trial;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engagement with, or enthusiasm about, the trial;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of initiating or expanding trials with sites outside of the United States;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trials; and</w:t>
      </w:r>
    </w:p>
    <w:p>
      <w:pPr>
        <w:spacing w:after="0" w:line="130" w:lineRule="exact"/>
        <w:rPr>
          <w:rFonts w:ascii="Times New Roman" w:cs="Times New Roman" w:eastAsia="Times New Roman" w:hAnsi="Times New Roman"/>
          <w:sz w:val="18"/>
          <w:szCs w:val="18"/>
          <w:color w:val="auto"/>
        </w:rPr>
      </w:pPr>
    </w:p>
    <w:p>
      <w:pPr>
        <w:ind w:left="900" w:right="420" w:hanging="446"/>
        <w:spacing w:after="0" w:line="282"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162" w:lineRule="exact"/>
        <w:rPr>
          <w:sz w:val="20"/>
          <w:szCs w:val="20"/>
          <w:color w:val="auto"/>
        </w:rPr>
      </w:pPr>
    </w:p>
    <w:p>
      <w:pPr>
        <w:jc w:val="both"/>
        <w:ind w:right="180" w:firstLine="913"/>
        <w:spacing w:after="0" w:line="266" w:lineRule="auto"/>
        <w:rPr>
          <w:sz w:val="20"/>
          <w:szCs w:val="20"/>
          <w:color w:val="auto"/>
        </w:rPr>
      </w:pPr>
      <w:r>
        <w:rPr>
          <w:rFonts w:ascii="Times New Roman" w:cs="Times New Roman" w:eastAsia="Times New Roman" w:hAnsi="Times New Roman"/>
          <w:sz w:val="18"/>
          <w:szCs w:val="18"/>
          <w:color w:val="auto"/>
        </w:rPr>
        <w:t>For example, with respect to our company-sponsored trial of CRLX101 in combination with Avastin (bevacizumab) in patients with 3</w:t>
      </w:r>
      <w:r>
        <w:rPr>
          <w:rFonts w:ascii="Times New Roman" w:cs="Times New Roman" w:eastAsia="Times New Roman" w:hAnsi="Times New Roman"/>
          <w:sz w:val="15"/>
          <w:szCs w:val="15"/>
          <w:color w:val="auto"/>
        </w:rPr>
        <w:t>rd</w:t>
      </w:r>
      <w:r>
        <w:rPr>
          <w:rFonts w:ascii="Times New Roman" w:cs="Times New Roman" w:eastAsia="Times New Roman" w:hAnsi="Times New Roman"/>
          <w:sz w:val="18"/>
          <w:szCs w:val="18"/>
          <w:color w:val="auto"/>
        </w:rPr>
        <w:t xml:space="preserve"> and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line relapsed renal cell carcinoma, or the RCC Trial, which we initiated in August 2014, site accrual has not met our plan to date, so we intend to expand to additional sites with the goal of completing enrollment according to plan; however, we may not be able to achieve this goal.</w:t>
      </w:r>
    </w:p>
    <w:p>
      <w:pPr>
        <w:spacing w:after="0" w:line="176" w:lineRule="exact"/>
        <w:rPr>
          <w:sz w:val="20"/>
          <w:szCs w:val="20"/>
          <w:color w:val="auto"/>
        </w:rPr>
      </w:pPr>
    </w:p>
    <w:p>
      <w:pPr>
        <w:ind w:right="120" w:firstLine="913"/>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product candidates. Any of the foregoing could cause the value of our company to decline and limit our ability to obtain additional financing, if needed.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45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currently focusing the clinical development of CRLX101 on combinations with Avastin in relapsed renal cell carcinoma and relapsed ovarian cancer and with capecitabine and radiotherapy in neoadjuvant rectal cancer and may focus on additional combinations in the future. If the FDA revokes its approval of, or if safety, efficacy, manufacturing or supply issues arise with, Avastin, capecitabine, or any other therapeutic that we use in combination with CRLX101 in the future, we may be unable to market CRLX101 or may experience significant regulatory delays or supply shortages, and our business could be materially harmed. In addition, Genentech Inc. received a Priority Review Designation by the FDA in July 2014 for its supplemental Biologics License Application, or a sBLA, for the use of Avastin plus chemotherapy for the treatment of women with recurrent platinum-resistant ovarian cancer. The FDA’s decision with regard to Genentech’s sBLA could materially affect our strategy for the development of CRLX101 in relapsed ovarian cancer.</w:t>
      </w:r>
    </w:p>
    <w:p>
      <w:pPr>
        <w:spacing w:after="0" w:line="189"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There are ongoing ISTs evaluating CRLX101 (1) in combination with Avastin in patients with relapsed renal cell carcinoma, (2) in combination with Avastin in patients with relapsed ovarian cancer and (3) in combination with capecitabine and radiotherapy in patients with neoadjuvant rectal cancer. We have also commenced the RCC Trial, which is a company-sponsored trial, and we expect to commence company-sponsored trials of CRLX101 in combination with Avastin in patients with relapsed ovarian cancer and in combination with capecitabine and radiotherapy in patients with neoadjuvant rectal cancer. Avastin is currently approved to treat various cancers, and the combination of capecitabine and radiotherapy is currently the standard of care in neoadjuvant rectal cancer in the United States. However, we did not develop or obtain regulatory approval for, and we do not manufacture or sell, Avastin or capecitabine. We may also seek to develop our product candidates in combination with other therapeutics in the future.</w:t>
      </w:r>
    </w:p>
    <w:p>
      <w:pPr>
        <w:spacing w:after="0" w:line="18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If the FDA revokes its approval of either Avastin or capecitabine, we will not be able to market CRLX101 in combination with such revoked therapeutic. If safety or efficacy issues arise with Avastin or capecitabine or any other therapeutics that we seek to combine with our product candidates in the future, we may experience significant regulatory delays, and the FDA may require us to redesign or terminate the applicable clinical trials. Moreover, if Avastin or capecitabine were to receive regulatory approval in combination with a different therapeutic in any indication for which we are pursuing approval, such approval could impact the feasibility and design of any subsequent clinical trials that we may seek to conduct evaluating CRLX101 in combination with Avastin or capecitabine, as applicable. If capecitabine and radiotherapy is replaced as the standard of care for treatment of neoadjuvant rectal cancer, the results, if any, of the ongoing IST or our planned company-sponsored clinical trial in neoadjuvant rectal cancer may be less meaningful, and the FDA may require us to conduct additional clinical trials of CRLX101 prior to any regulatory approval in this indication. In addition, if manufacturing, cost or other issues result in a supply shortage of Avastin, capecitabine or any other combination therapeutics, we may not be able to complete clinical development of CRLX101 on our current timeline or at all.</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Even if CRLX101 were to receive regulatory approval and be commercialized for use in combination with Avastin or capecitabine or another therapeutic, we would continue to be subject to the risk that the FDA could revoke its approval of Avastin or capecitabine, that safety, efficacy, manufacturing, cost or supply issues could arise with one of these therapeutic agents, or that capecitabine and radiotherapy may be replaced as the standard of care in patients with neoadjuvant rectal cancer. This could result in CRLX101 being removed from the market or being less successful commercially.</w:t>
      </w:r>
    </w:p>
    <w:p>
      <w:pPr>
        <w:spacing w:after="0" w:line="180"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Genentech announced earlier this year that the FDA had accepted its sBLA and granted the sBLA Priority Review for Avastin plus chemotherapy for the treatment of women with recurrent platinum-resistant ovarian cancer. Genentech’s application is based on data from its Phase 3 AURELIA trial and has an FDA action date of November 19, 2014. The FDA’s decision regarding the sBLA could materially affect our strategy with respect to the development of CRLX101 for the treatment of relapsed ovarian cancer. If Genentech’s sBLA is approved, we may determine that the threshold for regulatory approval is too high and, for this reason, we might abandon our efforts to develop CRLX101 in relapsed ovarian cancer.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hypothesis regarding the role of HIF in cancer cells proves incorrect, it may adversely affect our ability to commercialize and market CRLX101.</w:t>
      </w:r>
    </w:p>
    <w:p>
      <w:pPr>
        <w:spacing w:after="0" w:line="229"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We believe that the anti-cancer activity shown by CRLX101 in preclinical tumor models is due in part to its inhibition of HIF, and we have prioritized the clinical development of CRLX101, among other criteria, on HIF-driven tumor types. While HIF-1a has become a target of increasing interest in cancer research and recent research suggests that HIF-1 a is a master regulator for many cancer cell survival pathways, the science underlying HIF-1 a is based on recent discoveries and not fully understood. Moreover, the exact role of HIF-2 a is less well described and understood. If our hypothesis with respect to the role of HIF in cancer cells proves incorrect, CRLX101 may not have the same level of therapeutic benefit as it might otherwise have, and in that case we may be unable to receive marketing approval for, or successfully commercialize, CRLX101, and our business could be materially harmed.</w:t>
      </w:r>
    </w:p>
    <w:p>
      <w:pPr>
        <w:spacing w:after="0" w:line="18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One of our product candidates is in clinical development, all of our other product candidates are in preclinical development, and the risk of failure of all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clinical development of our product candidates is susceptible to the risk of failure inherent at any stage of drug development, including failure to demonstrate efficacy in a clinical trial or across a broad population of</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455" w:right="2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patients, the occurrence of severe or medically or commercially unacceptable adverse events, failure to comply with protocols or applicable regulatory requirements and determination by the FDA or any comparable non-U.S.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189"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interim results of a clinical trial do not necessarily predict final results. For example, although a Phase 1/2a clinical trial of CRLX101 supported advancement of CRLX101 as monotherapy into Phase 2 clinical trials for patients with advanced non-small cell lung cancer who had progressed through one or two prior regimens of chemotherapy, CRLX101 failed to meet its primary endpoint of improvement in overall survival of patients in this indication. Many companies in the pharmaceutical and biotechnology industries have suffered significant setbacks in late-stage clinical trials after achieving positive results in earlier development, and we cannot be certain that we will not face additional setbacks. Moreover, there are currently multiple open-label ISTs of CRLX101 ongoing, including: a Phase 1b/2 open-label IST of CRLX101 in combination with Avastin in patients with relapsed renal cell carcinoma; a two-part Phase 2 open-label IST in patients with relapsed ovarian cancer, consisting of a single-arm trial of CRLX101 as monotherapy and a single-arm combination trial of CRLX101 and Avastin; and a Phase 1b/2 open-label IST of CRLX101 in combination with chemoradiotherapy in patients with neoadjuvant rectal cancer. Interim investigator-reported data from subsets of the total patient populations in certain of these ISTs have been reported. These ISTs are still in progress and final results are not yet available. The preliminary results reported from the ISTs have in some cases been observed in only a small number of patients and may not be achieved by other patients on these or other clinical trials. There can be no assurance that company-sponsored trials will confirm the data seen in the ISTs.</w:t>
      </w:r>
    </w:p>
    <w:p>
      <w:pPr>
        <w:spacing w:after="0" w:line="18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approval of a product, and flaws in the design of a clinical trial may not become apparent until the clinical trial is well advanced or completed. We have limited experience in designing clinical trials and may be unable to design and execute a clinical trial to support marketing approval. For example, we believe that sphincter preservation is a clinically meaningful endpoint for the treatment of neoadjuvant rectal cancer, but there can be no assurance that the FDA will agree.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 candidates warrant marketing approval, the FDA or comparable non-U.S. regulatory authorities may disagree and may not grant marketing approval of our product candidates.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455" w:right="2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of a number of possible unforeseen events in connection with clinical trials of our product candidates, potential marketing approval or commercialization of our product candidates could be delayed or prevented.</w:t>
      </w:r>
    </w:p>
    <w:p>
      <w:pPr>
        <w:spacing w:after="0" w:line="159" w:lineRule="exact"/>
        <w:rPr>
          <w:sz w:val="20"/>
          <w:szCs w:val="20"/>
          <w:color w:val="auto"/>
        </w:rPr>
      </w:pPr>
    </w:p>
    <w:p>
      <w:pPr>
        <w:ind w:right="320" w:firstLine="913"/>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marketing approval of our product candidates, including:</w:t>
      </w:r>
    </w:p>
    <w:p>
      <w:pPr>
        <w:spacing w:after="0" w:line="67" w:lineRule="exact"/>
        <w:rPr>
          <w:sz w:val="20"/>
          <w:szCs w:val="20"/>
          <w:color w:val="auto"/>
        </w:rPr>
      </w:pPr>
    </w:p>
    <w:p>
      <w:pPr>
        <w:ind w:left="900" w:right="180" w:hanging="446"/>
        <w:spacing w:after="0" w:line="313"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our product candidates may produce unfavorable or inconclusive results, such as with our Phase 2 clinical trial of CRLX101 as monotherapy for patients with advanced non-small cell lung cancer who had progressed through one or two prior regimens of chemotherapy;</w:t>
      </w:r>
    </w:p>
    <w:p>
      <w:pPr>
        <w:spacing w:after="0" w:line="43" w:lineRule="exact"/>
        <w:rPr>
          <w:rFonts w:ascii="Times New Roman" w:cs="Times New Roman" w:eastAsia="Times New Roman" w:hAnsi="Times New Roman"/>
          <w:sz w:val="17"/>
          <w:szCs w:val="17"/>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may require us, to conduct additional clinical trials or abandon product development programs;</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patient enrollment in these clinical trials may be slower than we anticipate or participants may drop out of these clinical trials at a higher rate than we anticipate;</w:t>
      </w:r>
    </w:p>
    <w:p>
      <w:pPr>
        <w:spacing w:after="0" w:line="67"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 party contractors, including those manufacturing our product candidates or components or ingredients thereof or conducting clinical trials on our behalf, may fail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67" w:lineRule="exact"/>
        <w:rPr>
          <w:rFonts w:ascii="Times New Roman" w:cs="Times New Roman" w:eastAsia="Times New Roman" w:hAnsi="Times New Roman"/>
          <w:sz w:val="18"/>
          <w:szCs w:val="18"/>
          <w:color w:val="auto"/>
        </w:rPr>
      </w:pPr>
    </w:p>
    <w:p>
      <w:pPr>
        <w:ind w:left="900" w:right="340" w:hanging="446"/>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67" w:lineRule="exact"/>
        <w:rPr>
          <w:rFonts w:ascii="Times New Roman" w:cs="Times New Roman" w:eastAsia="Times New Roman" w:hAnsi="Times New Roman"/>
          <w:sz w:val="18"/>
          <w:szCs w:val="18"/>
          <w:color w:val="auto"/>
        </w:rPr>
      </w:pPr>
    </w:p>
    <w:p>
      <w:pPr>
        <w:ind w:left="900" w:right="280" w:hanging="446"/>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who enroll in a clinical trial, or the investigators enrolling such patients, may misrepresent the patients’ eligibility to participate in the trial or may otherwise not comply with the clinical trial protocol, resulting in the need to drop the patients from the clinical trial, increase the needed enrollment size for the clinical trial or extend the clinical trial’s duration;</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given trial we may find it necessary to open more clinical trial sites than originally planned;</w:t>
      </w:r>
    </w:p>
    <w:p>
      <w:pPr>
        <w:spacing w:after="0" w:line="130" w:lineRule="exact"/>
        <w:rPr>
          <w:rFonts w:ascii="Times New Roman" w:cs="Times New Roman" w:eastAsia="Times New Roman" w:hAnsi="Times New Roman"/>
          <w:sz w:val="18"/>
          <w:szCs w:val="18"/>
          <w:color w:val="auto"/>
        </w:rPr>
      </w:pPr>
    </w:p>
    <w:p>
      <w:pPr>
        <w:jc w:val="both"/>
        <w:ind w:left="900" w:right="320" w:hanging="446"/>
        <w:spacing w:after="0" w:line="313" w:lineRule="auto"/>
        <w:tabs>
          <w:tab w:leader="none" w:pos="9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to suspend or terminate clinical trials of our product candidates for various reasons, including a finding that the participants are being exposed to unacceptable health risks, unexpected or serious adverse events or other unexpected characteristics of a product candidate;</w:t>
      </w:r>
    </w:p>
    <w:p>
      <w:pPr>
        <w:spacing w:after="0" w:line="43" w:lineRule="exact"/>
        <w:rPr>
          <w:rFonts w:ascii="Times New Roman" w:cs="Times New Roman" w:eastAsia="Times New Roman" w:hAnsi="Times New Roman"/>
          <w:sz w:val="17"/>
          <w:szCs w:val="17"/>
          <w:color w:val="auto"/>
        </w:rPr>
      </w:pPr>
    </w:p>
    <w:p>
      <w:pPr>
        <w:ind w:left="900" w:right="80" w:hanging="446"/>
        <w:spacing w:after="0" w:line="258"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unexpected or serious adverse events or other unexpected characteristics of the product candidate or other therapeutic agents used in our clinical trials or findings of undesirable effects caused by a chemically or mechanistically similar drug or drug candidate;</w:t>
      </w:r>
    </w:p>
    <w:p>
      <w:pPr>
        <w:spacing w:after="0" w:line="89"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non-U.S. regulatory authorities may disagree with our clinical trial design or our interpretation of data from preclinical studies and clinical trials;</w:t>
      </w:r>
    </w:p>
    <w:p>
      <w:pPr>
        <w:spacing w:after="0" w:line="67" w:lineRule="exact"/>
        <w:rPr>
          <w:rFonts w:ascii="Times New Roman" w:cs="Times New Roman" w:eastAsia="Times New Roman" w:hAnsi="Times New Roman"/>
          <w:sz w:val="18"/>
          <w:szCs w:val="18"/>
          <w:color w:val="auto"/>
        </w:rPr>
      </w:pPr>
    </w:p>
    <w:p>
      <w:pPr>
        <w:ind w:left="900" w:right="48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67" w:lineRule="exact"/>
        <w:rPr>
          <w:rFonts w:ascii="Times New Roman" w:cs="Times New Roman" w:eastAsia="Times New Roman" w:hAnsi="Times New Roman"/>
          <w:sz w:val="18"/>
          <w:szCs w:val="18"/>
          <w:color w:val="auto"/>
        </w:rPr>
      </w:pPr>
    </w:p>
    <w:p>
      <w:pPr>
        <w:ind w:left="900" w:right="22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or manufactured product candidates or other materials necessary to conduct clinical trials of our product candidates may be insufficient, inadequate or not available at an acceptable cost, or we may experience interruptions in supply; and</w:t>
      </w:r>
    </w:p>
    <w:p>
      <w:pPr>
        <w:spacing w:after="0" w:line="67"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162"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clinical trial delays may ultimately lead to the denial of marketing approval of any of our product candidates.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455" w:right="29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intend to conduct additional clinical trials for certain of our product candidates at sites outside the United States, and the FDA may not accept data from trials conducted in such locations.</w:t>
      </w:r>
    </w:p>
    <w:p>
      <w:pPr>
        <w:spacing w:after="0" w:line="159" w:lineRule="exact"/>
        <w:rPr>
          <w:sz w:val="20"/>
          <w:szCs w:val="20"/>
          <w:color w:val="auto"/>
        </w:rPr>
      </w:pPr>
    </w:p>
    <w:p>
      <w:pPr>
        <w:ind w:right="200" w:firstLine="913"/>
        <w:spacing w:after="0" w:line="261" w:lineRule="auto"/>
        <w:rPr>
          <w:sz w:val="20"/>
          <w:szCs w:val="20"/>
          <w:color w:val="auto"/>
        </w:rPr>
      </w:pPr>
      <w:r>
        <w:rPr>
          <w:rFonts w:ascii="Times New Roman" w:cs="Times New Roman" w:eastAsia="Times New Roman" w:hAnsi="Times New Roman"/>
          <w:sz w:val="18"/>
          <w:szCs w:val="18"/>
          <w:color w:val="auto"/>
        </w:rPr>
        <w:t>We have conducted, and intend to conduct, one or more of our clinical trials outside the United States. Opening trial sites outside of the United States may involve additional regulatory, administrative and financial burdens, including compliance with foreign and local requirements relating to regulatory submission and clinical trial practices. We also intend to conduct the Phase 1 portion of a Phase 1/2a clinical trial of CRLX301 in patients with advanced solid tumor malignancies in Australia commencing in late 2014.</w:t>
      </w:r>
    </w:p>
    <w:p>
      <w:pPr>
        <w:spacing w:after="0" w:line="180"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ethical principles. The trial population must also adequately represent the U.S. population, and the data must be applicable to the U.S. population and U.S. medical practice in ways that the FDA deems clinically meaningful. Generally, the patient population for any clinical trials conducted outside of the United States must be representative of the population for whom we intend to seek approval in the United States. In addition, while these clinical trials are subject to the applicable local laws, FDA acceptance of the data will be dependent upon its determination that the trials also complied with all applicable U.S. laws and regulations. Since we currently do not have an active IND in the United States for CRLX301, unless we are able to obtain an active IND, we would be unable to conduct clinical trials in the United States. There can be no assurance that the FDA will accept data from trials conducted outside of the United States and no assurance that we will be successful in obtaining an IND for CRLX301. If the FDA does not accept the data from our Phase 1/2a clinical trial of CRLX301 in Australia or any future trial that we conduct outside the United States, it would likely result in the need for additional trials, which would be costly and time-consuming and delay or permanently halt our development of CRLX301 or any other product candidates.</w:t>
      </w:r>
    </w:p>
    <w:p>
      <w:pPr>
        <w:spacing w:after="0" w:line="193" w:lineRule="exact"/>
        <w:rPr>
          <w:sz w:val="20"/>
          <w:szCs w:val="20"/>
          <w:color w:val="auto"/>
        </w:rPr>
      </w:pPr>
    </w:p>
    <w:p>
      <w:pPr>
        <w:ind w:right="880" w:firstLine="913"/>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impact on us. Risks inherent in conducting international clinical trials include:</w:t>
      </w:r>
    </w:p>
    <w:p>
      <w:pPr>
        <w:spacing w:after="0" w:line="67" w:lineRule="exact"/>
        <w:rPr>
          <w:sz w:val="20"/>
          <w:szCs w:val="20"/>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burdens of conducting clinical trials under multiple foreign regulatory schema;</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customs, shipment and storage requirements;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455" w:right="2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75"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 may never receive such approvals. We must complete extensive preclinical development and clinical trials to demonstrate the safety and efficacy of our product candidates in humans before we will be able to obtain these approvals.</w:t>
      </w:r>
    </w:p>
    <w:p>
      <w:pPr>
        <w:spacing w:after="0" w:line="180"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of our product candidates.</w:t>
      </w:r>
    </w:p>
    <w:p>
      <w:pPr>
        <w:spacing w:after="0" w:line="176"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clinical trials or other testing of our product candidates beyond the trials and testing that we contemplate, (2) we are unable to successfully complete clinical trials of our product candidates or other testing, (3) the results of these trials or tests are unfavorable, uncertain or are only modestly favorable, or (4) there are unacceptable safety concerns associated with our product candidates, we, in addition to incurring additional costs, may:</w:t>
      </w:r>
    </w:p>
    <w:p>
      <w:pPr>
        <w:spacing w:after="0" w:line="89" w:lineRule="exact"/>
        <w:rPr>
          <w:sz w:val="20"/>
          <w:szCs w:val="20"/>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we intended or desired;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significant safety warnings, including boxed warnings;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or other requirements;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remove the product from the market after obtaining marketing approval.</w:t>
      </w:r>
    </w:p>
    <w:p>
      <w:pPr>
        <w:spacing w:after="0" w:line="2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request Priority Review by the FDA for one or more of our product candidates in the future. The FDA may not grant Priority Review for any of our product candidates. Moreover, even if the FDA designated one of our product candidates such products for Priority Review, that designation may not lead to a faster regulatory review or approval process and, in any event, would not assure FDA approval.</w:t>
      </w:r>
    </w:p>
    <w:p>
      <w:pPr>
        <w:spacing w:after="0" w:line="175"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We may be eligible for Priority Review Designation for our product candidates, if the FDA determines such product candidates offer major advances in treatment or provide a treatment where no adequate therapy exists. A Priority Review Designation means that the goal for the FDA to review an application is eight months, rather than the standard review period of twelve months. We may request Priority Review for CRLX101 if and when we submit an NDA for CRLX101. Our current clinical development timeline assumes CRLX101 will receive Priority Review. The FDA has broad discretion with respect to whether or not to grant Priority Review status to a product candidate, so even if we believe a particular product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455" w:right="27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candidate is eligible for such designation or status, the FDA may decide not to grant it. Thus, while the FDA has granted Priority Review to other oncology products, CRLX101 may not receive similar designation. Moreover, even if CRLX101 or one of our other product candidates is designated for Priority Review, such a designation does not necessarily mean a faster regulatory review process or necessarily confer any advantage with respect to approval compared to conventional FDA procedures. Receiving Priority Review from the FDA does not guarantee approval within the eight-month review/approval cycle or thereafter.</w:t>
      </w:r>
    </w:p>
    <w:p>
      <w:pPr>
        <w:spacing w:after="0" w:line="18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may in some instances be able to secure approval from the FDA or comparable non-U.S. regulatory authorities to use accelerated development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75"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We anticipate that we may seek an Accelerated Approval development pathway for certain of our product candidates and indications. For example, with respect to our development of CRLX101 for the treatment of neoadjuvant rectal cancer, if we receive positive results from the ongoing IST, we currently plan to commence a Phase 2 randomized clinical trial in 2015. Assuming positive pathologic complete response data from this Phase 2 trial, we would expect to commence a Phase 3 trial and file an NDA for Accelerated Approval based on a surrogate endpoint in this Phase 3 trial. Pathologic complete response, or pCR, would be considered a surrogate endpoint under this approach.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contingent on the sponsor’s agreement to conduct, in a diligent manner, additional post-approval confirmatory studies to verify and describe the drug’s clinical profile or risks and benefits for Traditional Approval. If such post-approval studies fail to confirm the drug’s clinical profile or risks and benefits, the FDA may withdraw its approval of the drug.</w:t>
      </w:r>
    </w:p>
    <w:p>
      <w:pPr>
        <w:spacing w:after="0" w:line="195" w:lineRule="exact"/>
        <w:rPr>
          <w:sz w:val="20"/>
          <w:szCs w:val="20"/>
          <w:color w:val="auto"/>
        </w:rPr>
      </w:pPr>
    </w:p>
    <w:p>
      <w:pPr>
        <w:ind w:right="220" w:firstLine="913"/>
        <w:spacing w:after="0" w:line="266" w:lineRule="auto"/>
        <w:rPr>
          <w:sz w:val="20"/>
          <w:szCs w:val="20"/>
          <w:color w:val="auto"/>
        </w:rPr>
      </w:pPr>
      <w:r>
        <w:rPr>
          <w:rFonts w:ascii="Times New Roman" w:cs="Times New Roman" w:eastAsia="Times New Roman" w:hAnsi="Times New Roman"/>
          <w:sz w:val="18"/>
          <w:szCs w:val="18"/>
          <w:color w:val="auto"/>
        </w:rPr>
        <w:t>If we choose to pursue Accelerated Approval, we will seek feedback from the FDA and will otherwise evaluate our ability to seek and receive such Accelerated Approval. There can be no assurance that the FDA will agree that pCR is an appropriate surrogate endpoint or appropriate intermediate clinical endpoint for Accelerated Approval of CRLX101 for</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455" w:right="27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neoadjuvant rectal cancer.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non-U.S. authorities could also require us to conduct further studies prior to considering our application or granting approval of any type. Even if we were granted approval to pursue an Accelerated Approval pathway, we might not be able to fulfill the FDA’s requirements with respect to chemistry, manufacturing and controls, or CMC, in a timely manner, which would cause delays, or approval might not be granted because our CMC submission is deemed incomplete by the FDA.</w:t>
      </w:r>
    </w:p>
    <w:p>
      <w:pPr>
        <w:spacing w:after="0" w:line="189"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A failure to obtain Accelerated Approval or any other form of expedited development, review or approval for CRLX101 for neoadjuvant rectal cancer or any of our other product candidates would result in a longer time period to commercialization of such product candidate, could increase the cost of development of such product candidate and could harm our competitive position in the marketplace.</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of CRLX101 or any of our product candidates may be identified during clinical development. Further, other unexpected properties of our product candidates may be identified during manufacture or development. Such adverse events or unexpected properties could delay or prevent the continued development and/or marketing approval of any such product candidate.</w:t>
      </w:r>
    </w:p>
    <w:p>
      <w:pPr>
        <w:spacing w:after="0" w:line="175"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Serious adverse events caused by, or other unexpected properties of, our product candidates could cause us, an institutional review board or regulatory authorities to interrupt, delay or halt clinical trials of one or more of our product candidates and could result in a more restrictive label or the delay or denial of marketing approval by the FDA or comparable non-U.S. regulatory authorities. If any of our product candidates is associated with serious adverse events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If we learn that the manufacture of our product candidates generates unexpected impurities or product degradants, these properties could contribute to serious adverse events and our overall development cost and timelines as we address those properties. Many compounds that initially showed promise in clinical or earlier stage testing have later been found to cause serious or unexpected adverse events and negatively affect overall development costs and timelines, which may even prevent further development of the compound.</w:t>
      </w:r>
    </w:p>
    <w:p>
      <w:pPr>
        <w:spacing w:after="0" w:line="189" w:lineRule="exact"/>
        <w:rPr>
          <w:sz w:val="20"/>
          <w:szCs w:val="20"/>
          <w:color w:val="auto"/>
        </w:rPr>
      </w:pPr>
    </w:p>
    <w:p>
      <w:pPr>
        <w:ind w:right="540" w:firstLine="913"/>
        <w:spacing w:after="0" w:line="282" w:lineRule="auto"/>
        <w:rPr>
          <w:sz w:val="20"/>
          <w:szCs w:val="20"/>
          <w:color w:val="auto"/>
        </w:rPr>
      </w:pPr>
      <w:r>
        <w:rPr>
          <w:rFonts w:ascii="Times New Roman" w:cs="Times New Roman" w:eastAsia="Times New Roman" w:hAnsi="Times New Roman"/>
          <w:sz w:val="18"/>
          <w:szCs w:val="18"/>
          <w:color w:val="auto"/>
        </w:rPr>
        <w:t>Both camptothecin, the anti-cancer payload of CRLX101, and docetaxel, the anti-cancer payload of CRLX301, have been associated with toxicities. These toxicities led to discontinuation of the clinical development in the case of camptothecin and have led to dose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455" w:right="2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adjustments, treatment discontinuation and extensive supportive care in the case of docetaxel. While we believe that our Dynamic Tumor Targeting Platform has the potential to improve the unfavorable adverse event profiles of both camptothecin and docetaxel, if this hypothesis is wrong and we experience unexpected or more severe toxicities in our ongoing clinical trials or in clinical trials we conduct in the future, whether due to the inclusion of camptothecin or docetaxel or another therapeutic as the anti-cancer payload in our NDCs or otherwise, we may not receive approval to market, or achieve the commercial success we anticipate with respect to, any of our product candidates, which could prevent us from ever generating revenues or achieving profitability. In addition, our Dynamic Tumor Targeting Platform may have other limitations with respect to targeting tumors and limiting exposure of normal tissue to our NDCs’ anti-cancer payload. For example, liver tissue has pore sizes that are generally larger than other normal tissue, and therefore, our NDCs may preferentially concentrate in the liver.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product candidates.</w:t>
      </w:r>
    </w:p>
    <w:p>
      <w:pPr>
        <w:spacing w:after="0" w:line="229" w:lineRule="exact"/>
        <w:rPr>
          <w:sz w:val="20"/>
          <w:szCs w:val="20"/>
          <w:color w:val="auto"/>
        </w:rPr>
      </w:pPr>
    </w:p>
    <w:p>
      <w:pPr>
        <w:jc w:val="both"/>
        <w:ind w:right="40" w:firstLine="913"/>
        <w:spacing w:after="0" w:line="261" w:lineRule="auto"/>
        <w:rPr>
          <w:sz w:val="20"/>
          <w:szCs w:val="20"/>
          <w:color w:val="auto"/>
        </w:rPr>
      </w:pPr>
      <w:r>
        <w:rPr>
          <w:rFonts w:ascii="Times New Roman" w:cs="Times New Roman" w:eastAsia="Times New Roman" w:hAnsi="Times New Roman"/>
          <w:sz w:val="18"/>
          <w:szCs w:val="18"/>
          <w:color w:val="auto"/>
        </w:rPr>
        <w:t>The development of new NDCs based on our Dynamic Tumor Targeting Platform is a key area of research for us. The drug discovery that we are conducting using our Dynamic Tumor Targeting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spacing w:after="0" w:line="86" w:lineRule="exact"/>
        <w:rPr>
          <w:sz w:val="20"/>
          <w:szCs w:val="20"/>
          <w:color w:val="auto"/>
        </w:rPr>
      </w:pPr>
    </w:p>
    <w:p>
      <w:pPr>
        <w:ind w:left="900" w:hanging="446"/>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designed NDCs may not demonstrate satisfactory efficacy or other benefits, either alone or in combination with other therapeutics; or</w:t>
      </w:r>
    </w:p>
    <w:p>
      <w:pPr>
        <w:spacing w:after="0" w:line="130" w:lineRule="exact"/>
        <w:rPr>
          <w:rFonts w:ascii="Times New Roman" w:cs="Times New Roman" w:eastAsia="Times New Roman" w:hAnsi="Times New Roman"/>
          <w:sz w:val="18"/>
          <w:szCs w:val="18"/>
          <w:color w:val="auto"/>
        </w:rPr>
      </w:pPr>
    </w:p>
    <w:p>
      <w:pPr>
        <w:ind w:left="900" w:right="80" w:hanging="446"/>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toxicities or other characteristics that indicate that they are unlikely to be products that will receive marketing approval and achieve market acceptance.</w:t>
      </w:r>
    </w:p>
    <w:p>
      <w:pPr>
        <w:spacing w:after="0" w:line="162"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Our research programs to identify new product candidates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w:t>
      </w:r>
    </w:p>
    <w:p>
      <w:pPr>
        <w:spacing w:after="0" w:line="176"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one of our product candidates receives marketing approval, it may fail to achieve the degree of market acceptance by physicians, patients, third party payors and others in the medical community necessary for commercial success and the market opportunity for the product candidate may be smaller than we estimate.</w:t>
      </w:r>
    </w:p>
    <w:p>
      <w:pPr>
        <w:spacing w:after="0" w:line="175" w:lineRule="exact"/>
        <w:rPr>
          <w:sz w:val="20"/>
          <w:szCs w:val="20"/>
          <w:color w:val="auto"/>
        </w:rPr>
      </w:pPr>
    </w:p>
    <w:p>
      <w:pPr>
        <w:ind w:right="300" w:firstLine="913"/>
        <w:spacing w:after="0" w:line="282" w:lineRule="auto"/>
        <w:rPr>
          <w:sz w:val="20"/>
          <w:szCs w:val="20"/>
          <w:color w:val="auto"/>
        </w:rPr>
      </w:pPr>
      <w:r>
        <w:rPr>
          <w:rFonts w:ascii="Times New Roman" w:cs="Times New Roman" w:eastAsia="Times New Roman" w:hAnsi="Times New Roman"/>
          <w:sz w:val="18"/>
          <w:szCs w:val="18"/>
          <w:color w:val="auto"/>
        </w:rPr>
        <w:t>We have never commercialized a product. Even if CRLX101 or any of our other product candidates is approved by the appropriate regulatory authorities for marketing and sale, it may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45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80"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 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CRLX101 or any of our other product candidates, if approved for commercial sale, will depend on a number of factors, including:</w:t>
      </w:r>
    </w:p>
    <w:p>
      <w:pPr>
        <w:spacing w:after="0" w:line="86" w:lineRule="exact"/>
        <w:rPr>
          <w:sz w:val="20"/>
          <w:szCs w:val="20"/>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advantages of the product compared to alternative treatments;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first-line therapy or as a second- or third-line therapy;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 product for sale at competitive prices;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pricing sufficient to realize a meaningful return on our investment;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convenience and ease of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sales, marketing and distribution support;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products for the same indications;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the product;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approved products as well as competitive products and other therapies;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amount of reimbursement from government payors, managed care plans and other third party payors;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455"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58"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precisely. Our estimates of the potential market opportunities are predicated on many assumptions, including industry knowledge and publications, third 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8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59"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side effects that were not previously identified, any of the following adverse events could occur:</w:t>
      </w:r>
    </w:p>
    <w:p>
      <w:pPr>
        <w:spacing w:after="0" w:line="86" w:lineRule="exact"/>
        <w:rPr>
          <w:sz w:val="20"/>
          <w:szCs w:val="20"/>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drug or change the way the drug is administered;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for, the particular drug;</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drug may become less competitive;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center"/>
        <w:ind w:left="520" w:right="640"/>
        <w:spacing w:after="0" w:line="454" w:lineRule="auto"/>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 38</w:t>
      </w:r>
    </w:p>
    <w:p>
      <w:pPr>
        <w:sectPr>
          <w:pgSz w:w="11900" w:h="16838" w:orient="portrait"/>
          <w:cols w:equalWidth="0" w:num="1">
            <w:col w:w="11360"/>
          </w:cols>
          <w:pgMar w:left="240" w:top="455" w:right="29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develop, if and when those product candidates are approved.</w:t>
      </w:r>
    </w:p>
    <w:p>
      <w:pPr>
        <w:spacing w:after="0" w:line="159"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our lead product candidates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of our product candidates.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91" w:lineRule="exact"/>
        <w:rPr>
          <w:sz w:val="20"/>
          <w:szCs w:val="20"/>
          <w:color w:val="auto"/>
        </w:rPr>
      </w:pPr>
    </w:p>
    <w:p>
      <w:pPr>
        <w:ind w:right="180" w:firstLine="913"/>
        <w:spacing w:after="0" w:line="256" w:lineRule="auto"/>
        <w:rPr>
          <w:sz w:val="20"/>
          <w:szCs w:val="20"/>
          <w:color w:val="auto"/>
        </w:rPr>
      </w:pPr>
      <w:r>
        <w:rPr>
          <w:rFonts w:ascii="Times New Roman" w:cs="Times New Roman" w:eastAsia="Times New Roman" w:hAnsi="Times New Roman"/>
          <w:sz w:val="18"/>
          <w:szCs w:val="18"/>
          <w:color w:val="auto"/>
        </w:rPr>
        <w:t>We expect to seek one or more strategic partners for commercialization of our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88" w:lineRule="exact"/>
        <w:rPr>
          <w:sz w:val="20"/>
          <w:szCs w:val="20"/>
          <w:color w:val="auto"/>
        </w:rPr>
      </w:pPr>
    </w:p>
    <w:p>
      <w:pPr>
        <w:ind w:right="500" w:firstLine="913"/>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either on our own or in collaboration with third parties, we will not be successful in commercializing any of our product candidates that receive marketing approval.</w:t>
      </w:r>
    </w:p>
    <w:p>
      <w:pPr>
        <w:spacing w:after="0" w:line="158"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59" w:lineRule="exact"/>
        <w:rPr>
          <w:sz w:val="20"/>
          <w:szCs w:val="20"/>
          <w:color w:val="auto"/>
        </w:rPr>
      </w:pPr>
    </w:p>
    <w:p>
      <w:pPr>
        <w:ind w:right="120" w:firstLine="913"/>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CRLX101, CRLX301 and any other of our product candidates that we may seek to develop or commercialize in the future.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45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treatment of cancer. Our competitors may succeed in developing, acquiring or licensing technologies and drug products that are more effective, have fewer or more tolerable adverse events or are less costly than any product candidates that we are currently developing or that we may develop, which could render our product candidates obsolete and noncompetitive.</w:t>
      </w:r>
    </w:p>
    <w:p>
      <w:pPr>
        <w:spacing w:after="0" w:line="176"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Several companies are marketing and developing oncology products. Companies with marketed nanoparticle oncology products include Celgene Corporation (Abraxane indicated for breast cancer, NSCLC and pancreatic cancer) and Spectrum Pharmaceuticals (Marqibo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(vincristine sulfate liposome injection) indicated for relapsed Philadelphia chromosome-negative acute lymphoblastic leukemia). Companies with nanoparticle oncology product candidates in clinical development include BIND Therapeutics, Inc. (BIND 014 for NSCLC and metastatic castration-resistant prostate cancer), Celator Pharmaceuticals, Inc. (CPX-351 for acute myeloid leukemia), Celsion Corporation (ThermoDox</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(lyso-thermosensitive liposomal doxorubicin) for solid tumors), Cytimmune Sciences, Inc. (CYT-6091 for oncology and autoimmune diseases) and Supratek Pharma Inc. (SP1049C for solid tumors). In addition, at least two companies have clinical-stage oncology product candidates that are irinotecan reformulations: Merrimack Pharmaceuticals’ liposomal irinotecan (MM-398 for pancreatic and colorectal cancer) and Nektar Therapeutics’ etirinotecan pegol (NKTR102 for breast cancer).</w:t>
      </w:r>
    </w:p>
    <w:p>
      <w:pPr>
        <w:spacing w:after="0" w:line="185"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products before we are able to obtain approval for ours, which could result in our competitors establishing a strong market position before we are able to enter the market.</w:t>
      </w:r>
    </w:p>
    <w:p>
      <w:pPr>
        <w:spacing w:after="0" w:line="180" w:lineRule="exact"/>
        <w:rPr>
          <w:sz w:val="20"/>
          <w:szCs w:val="20"/>
          <w:color w:val="auto"/>
        </w:rPr>
      </w:pPr>
    </w:p>
    <w:p>
      <w:pPr>
        <w:ind w:right="200" w:firstLine="913"/>
        <w:spacing w:after="0" w:line="256"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non-U.S.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75"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455" w:right="2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88" w:lineRule="exact"/>
        <w:rPr>
          <w:sz w:val="20"/>
          <w:szCs w:val="20"/>
          <w:color w:val="auto"/>
        </w:rPr>
      </w:pPr>
    </w:p>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While we believe that CRLX101 and certain of our other NDCs would be treated as new chemical entities by the FDA and, therefore, if approved, should be afforded five years of data exclusivity, the FDA may disagree with that conclusion and may approve generic products after a period that is less than five years. Manufacturers may seek to launch these generic products following the expiration of the applicable marketing exclusivity period, even if we still have patent protection for our product.</w:t>
      </w:r>
    </w:p>
    <w:p>
      <w:pPr>
        <w:spacing w:after="0" w:line="185" w:lineRule="exact"/>
        <w:rPr>
          <w:sz w:val="20"/>
          <w:szCs w:val="20"/>
          <w:color w:val="auto"/>
        </w:rPr>
      </w:pPr>
    </w:p>
    <w:p>
      <w:pPr>
        <w:ind w:right="660" w:firstLine="913"/>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CRLX301 is, and any additional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75"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Although we have intellectual property rights, including composition of matter patents, covering our product candidates, if approved, we expect that our product candidates will compete in the same indications against other nanoparticles and delivery platforms incorporating the same generic therapeutics. In particular, if any of our product candidates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455"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5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at limited levels, we may not be able to successfully commercialize our product candidates. Even if coverage is provided, the approved reimbursement amount may not be high enough to allow us to establish and maintain pricing sufficient to realize a meaningful return on our investment.</w:t>
      </w:r>
    </w:p>
    <w:p>
      <w:pPr>
        <w:spacing w:after="0" w:line="184"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89"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Our ability to commercialize CRLX101 or any other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 Government authorities and third 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340"/>
          </w:cols>
          <w:pgMar w:left="240" w:top="455" w:right="31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 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4"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59" w:lineRule="exact"/>
        <w:rPr>
          <w:sz w:val="20"/>
          <w:szCs w:val="20"/>
          <w:color w:val="auto"/>
        </w:rPr>
      </w:pPr>
    </w:p>
    <w:p>
      <w:pPr>
        <w:ind w:right="120" w:firstLine="913"/>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clinical testing of our product candidates despite obtaining appropriate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95" w:lineRule="exact"/>
        <w:rPr>
          <w:sz w:val="20"/>
          <w:szCs w:val="20"/>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resulting litigation;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00"/>
          </w:cols>
          <w:pgMar w:left="240" w:top="455" w:right="2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Although we maintain general liability insurance of $2.0 million in the aggregate, umbrella insurance in the amount of $3.0 million in the aggregate and clinical trial liability insurance of $7.5 million in the aggregate, this insurance may not fully cover potential liabilities that we may incur. The cost of any product liability litigation or other proceeding, even if resolved in our favor, could be substantial. We will need to increase our insurance coverage if and when we begin selling any product candidate that receives marketing approval. In addition, insurance coverage is becoming increasingly expensive.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ISTs of some of our product candidates. Any failure by a third party to meet its obligations with respect to the clinical development of our drug candidates may delay or impair our ability to obtain regulatory approval for our product candidates.</w:t>
      </w:r>
    </w:p>
    <w:p>
      <w:pPr>
        <w:spacing w:after="0" w:line="159" w:lineRule="exact"/>
        <w:rPr>
          <w:sz w:val="20"/>
          <w:szCs w:val="20"/>
          <w:color w:val="auto"/>
        </w:rPr>
      </w:pPr>
    </w:p>
    <w:p>
      <w:pPr>
        <w:jc w:val="both"/>
        <w:ind w:right="20" w:firstLine="913"/>
        <w:spacing w:after="0" w:line="266" w:lineRule="auto"/>
        <w:rPr>
          <w:sz w:val="20"/>
          <w:szCs w:val="20"/>
          <w:color w:val="auto"/>
        </w:rPr>
      </w:pPr>
      <w:r>
        <w:rPr>
          <w:rFonts w:ascii="Times New Roman" w:cs="Times New Roman" w:eastAsia="Times New Roman" w:hAnsi="Times New Roman"/>
          <w:sz w:val="18"/>
          <w:szCs w:val="18"/>
          <w:color w:val="auto"/>
        </w:rPr>
        <w:t>We rely on academic institutions to conduct and sponsor clinical trials relating to some of our product candidates. We do not control the design or administration of ISTs, and our reliance on third parties to conduct the ISTs could, depending on the actions of such third parties, jeopardize the validity of the clinical data generated and adversely affect our ability to obtain marketing approval from the FDA or other applicable regulatory authorities.</w:t>
      </w:r>
    </w:p>
    <w:p>
      <w:pPr>
        <w:spacing w:after="0" w:line="176"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Such arrangements provide us with certain information rights with respect to the ISTs, including access to and the ability to use and reference the data, including for our own regulatory filings, resulting from the investigator-sponsored trials. However, we do not control patient enrollment on, or the timing and reporting of the data from, ISTs, nor do we own the data from the ISTs. Moreover, if we are unable to confirm or replicate the results from the ISTs or if negative results are obtained, we would likely be further delayed or prevented from advancing further clinical development of our drug candidates. Further, if investigators or institutions breach their obligations with respect to the clinical development of our drug candidates, or if the data proves to be inadequate, then our ability to design and conduct any future clinical trials ourselves may be adversely affected.</w:t>
      </w:r>
    </w:p>
    <w:p>
      <w:pPr>
        <w:spacing w:after="0" w:line="188"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our planned trials and/or may not accept such additional data as adequate to initiate our planned trials. Moreover, there will be no independent review of the results of the ISTs. Therefore, the investigators may interpret the results of the ISTs more favorably than an independent review would.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455"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Moreover, ISTs of our product candidates may continue even after we commence company-sponsored trials in the same or different indications. To the extent the results of these ISTs are inconsistent with, or different from, the results of our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80"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159"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We currently rely on third party clinical research organizations, or CROs, to conduct our clinical trials. We expect to continue to rely on third parties, such as CROs, clinical data management organizations, medical institutions and clinical investigators, to conduct our clinical trials. Our agreements with these third parties generally allow the third party to terminate the agreement at any time. If we are required to enter into alternative arrangements because of any such termination the introduction of our product candidates to market could be delayed.</w:t>
      </w:r>
    </w:p>
    <w:p>
      <w:pPr>
        <w:spacing w:after="0" w:line="180"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design our clinical trials and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5"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0" w:lineRule="exact"/>
        <w:rPr>
          <w:sz w:val="20"/>
          <w:szCs w:val="20"/>
          <w:color w:val="auto"/>
        </w:rPr>
      </w:pPr>
    </w:p>
    <w:p>
      <w:pPr>
        <w:ind w:right="60" w:firstLine="913"/>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455"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with third parties for the development and commercialization of our product candidates. If we fail to enter into such collaborations, or such collaborations are not successful, we may not be able to capitalize on the market potential of our product candidates.</w:t>
      </w:r>
    </w:p>
    <w:p>
      <w:pPr>
        <w:spacing w:after="0" w:line="159"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development and commercialization of our product candidates. Our likely collaborators for any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to successfully perform the functions assigned to them in these arrangements.</w:t>
      </w:r>
    </w:p>
    <w:p>
      <w:pPr>
        <w:spacing w:after="0" w:line="1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31" w:lineRule="exact"/>
        <w:rPr>
          <w:sz w:val="20"/>
          <w:szCs w:val="20"/>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30" w:lineRule="exact"/>
        <w:rPr>
          <w:rFonts w:ascii="Times New Roman" w:cs="Times New Roman" w:eastAsia="Times New Roman" w:hAnsi="Times New Roman"/>
          <w:sz w:val="18"/>
          <w:szCs w:val="18"/>
          <w:color w:val="auto"/>
        </w:rPr>
      </w:pPr>
    </w:p>
    <w:p>
      <w:pPr>
        <w:ind w:left="900" w:hanging="446"/>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81" w:lineRule="exact"/>
        <w:rPr>
          <w:rFonts w:ascii="Times New Roman" w:cs="Times New Roman" w:eastAsia="Times New Roman" w:hAnsi="Times New Roman"/>
          <w:sz w:val="18"/>
          <w:szCs w:val="18"/>
          <w:color w:val="auto"/>
        </w:rPr>
      </w:pPr>
    </w:p>
    <w:p>
      <w:pPr>
        <w:ind w:left="900" w:right="76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7"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81" w:lineRule="exact"/>
        <w:rPr>
          <w:rFonts w:ascii="Times New Roman" w:cs="Times New Roman" w:eastAsia="Times New Roman" w:hAnsi="Times New Roman"/>
          <w:sz w:val="18"/>
          <w:szCs w:val="18"/>
          <w:color w:val="auto"/>
        </w:rPr>
      </w:pPr>
    </w:p>
    <w:p>
      <w:pPr>
        <w:ind w:left="900" w:right="84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67" w:lineRule="exact"/>
        <w:rPr>
          <w:rFonts w:ascii="Times New Roman" w:cs="Times New Roman" w:eastAsia="Times New Roman" w:hAnsi="Times New Roman"/>
          <w:sz w:val="18"/>
          <w:szCs w:val="18"/>
          <w:color w:val="auto"/>
        </w:rPr>
      </w:pPr>
    </w:p>
    <w:p>
      <w:pPr>
        <w:ind w:left="900" w:right="38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900" w:right="18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67" w:lineRule="exact"/>
        <w:rPr>
          <w:rFonts w:ascii="Times New Roman" w:cs="Times New Roman" w:eastAsia="Times New Roman" w:hAnsi="Times New Roman"/>
          <w:sz w:val="18"/>
          <w:szCs w:val="18"/>
          <w:color w:val="auto"/>
        </w:rPr>
      </w:pPr>
    </w:p>
    <w:p>
      <w:pPr>
        <w:ind w:left="900" w:right="1300" w:hanging="446"/>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455"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300" w:firstLine="913"/>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we may have to alter our development and commercialization plans.</w:t>
      </w:r>
    </w:p>
    <w:p>
      <w:pPr>
        <w:spacing w:after="0" w:line="229" w:lineRule="exact"/>
        <w:rPr>
          <w:sz w:val="20"/>
          <w:szCs w:val="20"/>
          <w:color w:val="auto"/>
        </w:rPr>
      </w:pPr>
    </w:p>
    <w:p>
      <w:pPr>
        <w:ind w:right="240" w:firstLine="913"/>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76" w:lineRule="exact"/>
        <w:rPr>
          <w:sz w:val="20"/>
          <w:szCs w:val="20"/>
          <w:color w:val="auto"/>
        </w:rPr>
      </w:pPr>
    </w:p>
    <w:p>
      <w:pPr>
        <w:ind w:right="100" w:firstLine="913"/>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3"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455" w:right="2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75" w:lineRule="exact"/>
        <w:rPr>
          <w:sz w:val="20"/>
          <w:szCs w:val="20"/>
          <w:color w:val="auto"/>
        </w:rPr>
      </w:pPr>
    </w:p>
    <w:p>
      <w:pPr>
        <w:ind w:right="100" w:firstLine="913"/>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quantities of CRLX101 or CRLX301 and have limited personnel with manufacturing experience. We currently rely on and expect to continue to rely on third party contract manufacturers to manufacture supplies of our product candidates for preclinical and clinical testing, as well as for commercial manufacture if any of our product candidates receive marketing approval.</w:t>
      </w:r>
    </w:p>
    <w:p>
      <w:pPr>
        <w:spacing w:after="0" w:line="180"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CRLX101 and CRLX301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also referred to as sterile manufacture. In 2013, we experienced a batch contamination issue with the manufacture of a batch of CRLX301 drug substance, and the process of obtaining a new batch required several months to complete. Any additional performance failures on the part of our existing or future manufacturers could delay clinical development or marketing approval of our product candidates or result in our inability to generate sufficient supplies to meet commercial demands. Although we currently have backup suppliers for several stages of the manufacturing process, we rely on one supplier for each stage of this process. If our current contract manufacturers cannot perform as agreed, or become unavailable to us for any reason, we may be required to replace such manufacturers. Our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while we believe that our existing supplier of drug substance or an alternative supplier would be capable of continuing to produce drug substance in commercial quantities, we will need to identify a third-party manufacturer capable of providing commercial quantities of drug product. If we are unable to arrange for such a third-party manufacturing source, or fail to do so on commercially reasonable terms, we may not be able to successfully produce and market CRLX101 or any other product candidate or may be delayed in doing so.</w:t>
      </w:r>
    </w:p>
    <w:p>
      <w:pPr>
        <w:spacing w:after="0" w:line="1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Even if we are able to establish such arrangements with third party manufacturers, reliance on third party manufacturers entails additional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w:t>
      </w:r>
    </w:p>
    <w:p>
      <w:pPr>
        <w:spacing w:after="0" w:line="112" w:lineRule="exact"/>
        <w:rPr>
          <w:sz w:val="20"/>
          <w:szCs w:val="20"/>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manufacturers to consistently produce intermediates, drug substance or drug product which meet required quality specifications;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455"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Third party manufacturers may not be able to comply with current good manufacturing practices, or cGMP, regulations or similar regulatory requirements outside the United States.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4"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CRLX101, CRLX301 and any other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76"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In addition, we generally rely on our manufacturers to purchase from third-party suppliers the materials necessary to produce our product candidates for our clinical studies. There are a small number of suppliers for certain capital equipment and raw materials that are used in the manufacture of our drugs. Such suppliers may not sell these raw materials to our manufacturers at the times we need them or on commercially reasonable terms. We do not have any control over the process or timing of the acquisition of these raw materials by our manufacturers. Moreover, we currently do not have any agreements for the commercial production of these raw materials. Any significant delay in the supply of a product candidate or the raw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89"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75"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abroad related to our novel technologies and product candidates.</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00"/>
          </w:cols>
          <w:pgMar w:left="240" w:top="455" w:right="3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4"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6"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189"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455" w:right="2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litigation could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0"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6"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Competitors may infringe our owned or licensed patents or other intellectual property. To counter infringement or unauthorized use, we may be required to file or participate in infringement claims,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455" w:right="2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CRLX101 and certain aspects of our platform technology are protected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of our approved products will be harmed.</w:t>
      </w:r>
    </w:p>
    <w:p>
      <w:pPr>
        <w:spacing w:after="0" w:line="175"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We are a party to several license agreements and certain aspects of our business depend on patents and/or patent applications owned by other companies or institutions. In particular, we hold exclusive licenses from Calando Pharmaceuticals, Inc., or Calando, and California Institute of Technology, or Caltech and have been assigned certain patents from Calando for CRLX101, CRLX301 and cyclodextrine polymer-based, or CDP-based, product candidates. We also hold an exclusive license from the State University of New York, or SUNY, related to taxane-containing NDCs, such as CRLX301. In addition, we hold an exclusive license from the Massachusetts Institute of Technology, or MIT, for polymeric NDC-based, or PNP-based, product candidates. We are likely to enter into additional license agreements as part of the development of our business in the future. If we are unable to maintain these patent rights for any reason, our ability to develop and commercialize our product candidates could be materially harmed.</w:t>
      </w:r>
    </w:p>
    <w:p>
      <w:pPr>
        <w:spacing w:after="0" w:line="189"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w:t>
      </w:r>
    </w:p>
    <w:p>
      <w:pPr>
        <w:spacing w:after="0" w:line="176"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w:t>
      </w:r>
    </w:p>
    <w:p>
      <w:pPr>
        <w:spacing w:after="0" w:line="188" w:lineRule="exact"/>
        <w:rPr>
          <w:sz w:val="20"/>
          <w:szCs w:val="20"/>
          <w:color w:val="auto"/>
        </w:rPr>
      </w:pPr>
    </w:p>
    <w:p>
      <w:pPr>
        <w:ind w:right="100" w:firstLine="913"/>
        <w:spacing w:after="0" w:line="253" w:lineRule="auto"/>
        <w:rPr>
          <w:sz w:val="20"/>
          <w:szCs w:val="20"/>
          <w:color w:val="auto"/>
        </w:rPr>
      </w:pPr>
      <w:r>
        <w:rPr>
          <w:rFonts w:ascii="Times New Roman" w:cs="Times New Roman" w:eastAsia="Times New Roman" w:hAnsi="Times New Roman"/>
          <w:sz w:val="18"/>
          <w:szCs w:val="18"/>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would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CRLX101 and our CDP platform,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455"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agreements with third parties, we could lose rights that are important to our business.</w:t>
      </w:r>
    </w:p>
    <w:p>
      <w:pPr>
        <w:spacing w:after="0" w:line="229"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We are party to five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5"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1"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Some of the intellectual property rights we have licensed may have been generated through the use of United States government funding and may therefore be subject to certain federal regulations. For example, some of the intellectual property rights licensed to us under the MIT agreement, and which are relevant to our PNP-based NDCs, may have been generated using United States government funds. In addition, some of the intellectual property rights licensed to us under the SUNY agreement and which are relevant to taxane containing NDCs such as CRLX301 may have been generated using United States government funds. As a result, the United States government may have certain rights to intellectual property embodied in our current or future PNP-based products or in CRLX301 pursuant to the Bayh-Dole Act of 1980.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455"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85" w:lineRule="exact"/>
        <w:rPr>
          <w:sz w:val="20"/>
          <w:szCs w:val="20"/>
          <w:color w:val="auto"/>
        </w:rPr>
      </w:pPr>
    </w:p>
    <w:p>
      <w:pPr>
        <w:ind w:right="60" w:firstLine="913"/>
        <w:spacing w:after="0" w:line="282" w:lineRule="auto"/>
        <w:rPr>
          <w:sz w:val="20"/>
          <w:szCs w:val="20"/>
          <w:color w:val="auto"/>
        </w:rPr>
      </w:pPr>
      <w:r>
        <w:rPr>
          <w:rFonts w:ascii="Times New Roman" w:cs="Times New Roman" w:eastAsia="Times New Roman" w:hAnsi="Times New Roman"/>
          <w:sz w:val="18"/>
          <w:szCs w:val="18"/>
          <w:color w:val="auto"/>
        </w:rPr>
        <w:t>We currently do not plan to apply for additional United States government funding, but if we do, and we discover compounds or drug candidates as a result of such funding, intellectual property rights to such discoveries may be subject to the applicable provisions of the Bayh-Dole Act.</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be threatened with, future adversarial proceedings or 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84"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00"/>
          </w:cols>
          <w:pgMar w:left="240" w:top="455" w:right="2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9" w:lineRule="exact"/>
        <w:rPr>
          <w:sz w:val="20"/>
          <w:szCs w:val="20"/>
          <w:color w:val="auto"/>
        </w:rPr>
      </w:pPr>
    </w:p>
    <w:p>
      <w:pPr>
        <w:ind w:right="120" w:firstLine="913"/>
        <w:spacing w:after="0" w:line="26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80" w:lineRule="exact"/>
        <w:rPr>
          <w:sz w:val="20"/>
          <w:szCs w:val="20"/>
          <w:color w:val="auto"/>
        </w:rPr>
      </w:pPr>
    </w:p>
    <w:p>
      <w:pPr>
        <w:ind w:right="200" w:firstLine="913"/>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80" w:lineRule="exact"/>
        <w:rPr>
          <w:sz w:val="20"/>
          <w:szCs w:val="20"/>
          <w:color w:val="auto"/>
        </w:rPr>
      </w:pPr>
    </w:p>
    <w:p>
      <w:pPr>
        <w:ind w:right="160" w:firstLine="913"/>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80" w:firstLine="913"/>
        <w:spacing w:after="0" w:line="282"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455" w:right="2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117"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1" w:lineRule="exact"/>
        <w:rPr>
          <w:sz w:val="20"/>
          <w:szCs w:val="20"/>
          <w:color w:val="auto"/>
        </w:rPr>
      </w:pPr>
    </w:p>
    <w:p>
      <w:pPr>
        <w:ind w:right="40" w:firstLine="913"/>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the product candidate. Our product candidates are in the early stages of development and are subject to the risks of failure inherent in drug development. We have not received approval to market any of our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455" w:right="2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5"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 For example, if the regulatory landscape in the United States, Europe or Asia shifts unexpectedly, it may adversely affect the feasibility of study arms, standards of care or statistical assumptions currently reflected in our clinical development plans for CRLX101, potentially delaying the development of CRLX101 in a particular indication and increasing the time required to obtain marketing approval for CRLX101.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ind w:right="100" w:firstLine="913"/>
        <w:spacing w:after="0" w:line="254"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455" w:right="2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and ongoing regulation of our products may limit how we manufacture and market our products, which could materially impair our ability to generate revenue.</w:t>
      </w:r>
    </w:p>
    <w:p>
      <w:pPr>
        <w:spacing w:after="0" w:line="159" w:lineRule="exact"/>
        <w:rPr>
          <w:sz w:val="20"/>
          <w:szCs w:val="20"/>
          <w:color w:val="auto"/>
        </w:rPr>
      </w:pPr>
    </w:p>
    <w:p>
      <w:pPr>
        <w:ind w:right="120" w:firstLine="913"/>
        <w:spacing w:after="0" w:line="258"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We must therefore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4"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80" w:lineRule="exact"/>
        <w:rPr>
          <w:sz w:val="20"/>
          <w:szCs w:val="20"/>
          <w:color w:val="auto"/>
        </w:rPr>
      </w:pPr>
    </w:p>
    <w:p>
      <w:pPr>
        <w:jc w:val="both"/>
        <w:ind w:right="540" w:firstLine="913"/>
        <w:spacing w:after="0" w:line="266" w:lineRule="auto"/>
        <w:rPr>
          <w:sz w:val="20"/>
          <w:szCs w:val="20"/>
          <w:color w:val="auto"/>
        </w:rPr>
      </w:pPr>
      <w:r>
        <w:rPr>
          <w:rFonts w:ascii="Times New Roman" w:cs="Times New Roman" w:eastAsia="Times New Roman" w:hAnsi="Times New Roman"/>
          <w:sz w:val="18"/>
          <w:szCs w:val="18"/>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w:t>
      </w:r>
    </w:p>
    <w:p>
      <w:pPr>
        <w:spacing w:after="0" w:line="176" w:lineRule="exact"/>
        <w:rPr>
          <w:sz w:val="20"/>
          <w:szCs w:val="20"/>
          <w:color w:val="auto"/>
        </w:rPr>
      </w:pPr>
    </w:p>
    <w:p>
      <w:pPr>
        <w:ind w:right="140" w:firstLine="913"/>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75" w:lineRule="exact"/>
        <w:rPr>
          <w:sz w:val="20"/>
          <w:szCs w:val="20"/>
          <w:color w:val="auto"/>
        </w:rPr>
      </w:pPr>
    </w:p>
    <w:p>
      <w:pPr>
        <w:ind w:right="120" w:firstLine="913"/>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455"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62"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the product. The FDA and other agencies, including the Department of Justice, closely regulate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do not market our products for their approved indications, we may be subject to enforcement action for off-label marketing. Violations of the FDA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89" w:lineRule="exact"/>
        <w:rPr>
          <w:sz w:val="20"/>
          <w:szCs w:val="20"/>
          <w:color w:val="auto"/>
        </w:rPr>
      </w:pPr>
    </w:p>
    <w:p>
      <w:pPr>
        <w:ind w:right="660" w:firstLine="913"/>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67" w:lineRule="exact"/>
        <w:rPr>
          <w:sz w:val="20"/>
          <w:szCs w:val="20"/>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any potential collaborators;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420" w:firstLine="913"/>
        <w:spacing w:after="0" w:line="282"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regarding safety monitoring or pharmacovigilance, and with requirements related to the development of</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380"/>
          </w:cols>
          <w:pgMar w:left="240" w:top="455" w:right="2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58"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 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ind w:right="400" w:firstLine="913"/>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 party payors will play a primary role in the recommendation and prescription of any product candidates for which we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89" w:lineRule="exact"/>
        <w:rPr>
          <w:sz w:val="20"/>
          <w:szCs w:val="20"/>
          <w:color w:val="auto"/>
        </w:rPr>
      </w:pPr>
    </w:p>
    <w:p>
      <w:pPr>
        <w:ind w:left="900" w:hanging="446"/>
        <w:spacing w:after="0" w:line="261"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85" w:lineRule="exact"/>
        <w:rPr>
          <w:rFonts w:ascii="Times New Roman" w:cs="Times New Roman" w:eastAsia="Times New Roman" w:hAnsi="Times New Roman"/>
          <w:sz w:val="18"/>
          <w:szCs w:val="18"/>
          <w:color w:val="auto"/>
        </w:rPr>
      </w:pPr>
    </w:p>
    <w:p>
      <w:pPr>
        <w:ind w:left="900" w:right="80" w:hanging="446"/>
        <w:spacing w:after="0" w:line="261"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imposes criminal and civil penalties, including civil whistleblower or qui tam actions, against individuals or entities for,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85"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85" w:lineRule="exact"/>
        <w:rPr>
          <w:rFonts w:ascii="Times New Roman" w:cs="Times New Roman" w:eastAsia="Times New Roman" w:hAnsi="Times New Roman"/>
          <w:sz w:val="18"/>
          <w:szCs w:val="18"/>
          <w:color w:val="auto"/>
        </w:rPr>
      </w:pPr>
    </w:p>
    <w:p>
      <w:pPr>
        <w:ind w:left="900" w:right="20" w:hanging="446"/>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1" w:lineRule="exact"/>
        <w:rPr>
          <w:rFonts w:ascii="Times New Roman" w:cs="Times New Roman" w:eastAsia="Times New Roman" w:hAnsi="Times New Roman"/>
          <w:sz w:val="18"/>
          <w:szCs w:val="18"/>
          <w:color w:val="auto"/>
        </w:rPr>
      </w:pPr>
    </w:p>
    <w:p>
      <w:pPr>
        <w:ind w:left="900" w:right="700" w:hanging="446"/>
        <w:spacing w:after="0" w:line="282"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00"/>
          </w:cols>
          <w:pgMar w:left="240" w:top="455" w:right="2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600" w:hanging="446"/>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requires applicable manufacturers of covered drugs to report payments and other transfers of value to physicians and teaching hospitals;</w:t>
      </w:r>
    </w:p>
    <w:p>
      <w:pPr>
        <w:spacing w:after="0" w:line="67" w:lineRule="exact"/>
        <w:rPr>
          <w:rFonts w:ascii="Times New Roman" w:cs="Times New Roman" w:eastAsia="Times New Roman" w:hAnsi="Times New Roman"/>
          <w:sz w:val="18"/>
          <w:szCs w:val="18"/>
          <w:color w:val="auto"/>
        </w:rPr>
      </w:pPr>
    </w:p>
    <w:p>
      <w:pPr>
        <w:ind w:left="900" w:hanging="446"/>
        <w:spacing w:after="0" w:line="261"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Affordability Reconciliation Act, or collectively the PPACA,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85" w:lineRule="exact"/>
        <w:rPr>
          <w:rFonts w:ascii="Times New Roman" w:cs="Times New Roman" w:eastAsia="Times New Roman" w:hAnsi="Times New Roman"/>
          <w:sz w:val="18"/>
          <w:szCs w:val="18"/>
          <w:color w:val="auto"/>
        </w:rPr>
      </w:pPr>
    </w:p>
    <w:p>
      <w:pPr>
        <w:ind w:left="900" w:right="20" w:hanging="446"/>
        <w:spacing w:after="0" w:line="258"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184" w:lineRule="exact"/>
        <w:rPr>
          <w:sz w:val="20"/>
          <w:szCs w:val="20"/>
          <w:color w:val="auto"/>
        </w:rPr>
      </w:pPr>
    </w:p>
    <w:p>
      <w:pPr>
        <w:ind w:right="100" w:firstLine="913"/>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non-U.S.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right="420" w:firstLine="913"/>
        <w:spacing w:after="0" w:line="282" w:lineRule="auto"/>
        <w:rPr>
          <w:sz w:val="20"/>
          <w:szCs w:val="20"/>
          <w:color w:val="auto"/>
        </w:rPr>
      </w:pPr>
      <w:r>
        <w:rPr>
          <w:rFonts w:ascii="Times New Roman" w:cs="Times New Roman" w:eastAsia="Times New Roman" w:hAnsi="Times New Roman"/>
          <w:sz w:val="18"/>
          <w:szCs w:val="18"/>
          <w:color w:val="auto"/>
        </w:rPr>
        <w:t>In the United States and some non-U.S. jurisdictions, there have been a number of legislative and regulatory changes and proposed changes regarding the healthcare system that could prevent or delay marketing approval of our product candidates, restrict or regulate post-approval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455" w:right="2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if approved, to be cost-effective compared to other available therapies, they may not cover our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our products, if approved.</w:t>
      </w:r>
    </w:p>
    <w:p>
      <w:pPr>
        <w:spacing w:after="0" w:line="185"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As a result, the marketability of our products,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84" w:lineRule="exact"/>
        <w:rPr>
          <w:sz w:val="20"/>
          <w:szCs w:val="20"/>
          <w:color w:val="auto"/>
        </w:rPr>
      </w:pPr>
    </w:p>
    <w:p>
      <w:pPr>
        <w:ind w:right="100" w:firstLine="913"/>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89" w:lineRule="exact"/>
        <w:rPr>
          <w:sz w:val="20"/>
          <w:szCs w:val="20"/>
          <w:color w:val="auto"/>
        </w:rPr>
      </w:pPr>
    </w:p>
    <w:p>
      <w:pPr>
        <w:ind w:right="140" w:firstLine="913"/>
        <w:spacing w:after="0" w:line="266" w:lineRule="auto"/>
        <w:rPr>
          <w:sz w:val="20"/>
          <w:szCs w:val="20"/>
          <w:color w:val="auto"/>
        </w:rPr>
      </w:pPr>
      <w:r>
        <w:rPr>
          <w:rFonts w:ascii="Times New Roman" w:cs="Times New Roman" w:eastAsia="Times New Roman" w:hAnsi="Times New Roman"/>
          <w:sz w:val="18"/>
          <w:szCs w:val="18"/>
          <w:color w:val="auto"/>
        </w:rPr>
        <w:t>More recently, in March 2010, President Obama signed into law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Among the provisions of the PPACA of importance to our potential product candidates are the following:</w:t>
      </w:r>
    </w:p>
    <w:p>
      <w:pPr>
        <w:spacing w:after="0" w:line="131" w:lineRule="exact"/>
        <w:rPr>
          <w:sz w:val="20"/>
          <w:szCs w:val="20"/>
          <w:color w:val="auto"/>
        </w:rPr>
      </w:pPr>
    </w:p>
    <w:p>
      <w:pPr>
        <w:jc w:val="center"/>
        <w:ind w:left="5620" w:right="1140" w:hanging="5166"/>
        <w:spacing w:after="0" w:line="454" w:lineRule="auto"/>
        <w:tabs>
          <w:tab w:leader="none" w:pos="89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62</w:t>
      </w:r>
    </w:p>
    <w:p>
      <w:pPr>
        <w:sectPr>
          <w:pgSz w:w="11900" w:h="16838" w:orient="portrait"/>
          <w:cols w:equalWidth="0" w:num="1">
            <w:col w:w="11380"/>
          </w:cols>
          <w:pgMar w:left="240" w:top="455" w:right="27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130"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67" w:lineRule="exact"/>
        <w:rPr>
          <w:rFonts w:ascii="Times New Roman" w:cs="Times New Roman" w:eastAsia="Times New Roman" w:hAnsi="Times New Roman"/>
          <w:sz w:val="18"/>
          <w:szCs w:val="18"/>
          <w:color w:val="auto"/>
        </w:rPr>
      </w:pPr>
    </w:p>
    <w:p>
      <w:pPr>
        <w:ind w:left="900" w:right="12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requirements to report financial arrangements with physicians and teaching hospitals;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130" w:lineRule="exact"/>
        <w:rPr>
          <w:rFonts w:ascii="Times New Roman" w:cs="Times New Roman" w:eastAsia="Times New Roman" w:hAnsi="Times New Roman"/>
          <w:sz w:val="18"/>
          <w:szCs w:val="18"/>
          <w:color w:val="auto"/>
        </w:rPr>
      </w:pPr>
    </w:p>
    <w:p>
      <w:pPr>
        <w:ind w:left="900" w:right="160" w:hanging="446"/>
        <w:spacing w:after="0" w:line="282" w:lineRule="auto"/>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62"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84"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0"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00"/>
          </w:cols>
          <w:pgMar w:left="240" w:top="455" w:right="3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from the sales of our products, if any.</w:t>
      </w:r>
    </w:p>
    <w:p>
      <w:pPr>
        <w:spacing w:after="0" w:line="22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59" w:lineRule="exact"/>
        <w:rPr>
          <w:sz w:val="20"/>
          <w:szCs w:val="20"/>
          <w:color w:val="auto"/>
        </w:rPr>
      </w:pPr>
    </w:p>
    <w:p>
      <w:pPr>
        <w:ind w:right="160" w:firstLine="913"/>
        <w:spacing w:after="0" w:line="254"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non-U.S. regulatory authorities, provide accurate information to the FDA or 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60" w:firstLine="913"/>
        <w:spacing w:after="0" w:line="258"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455" w:right="2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2"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right="20" w:firstLine="913"/>
        <w:spacing w:after="0" w:line="266" w:lineRule="auto"/>
        <w:rPr>
          <w:sz w:val="20"/>
          <w:szCs w:val="20"/>
          <w:color w:val="auto"/>
        </w:rPr>
      </w:pPr>
      <w:r>
        <w:rPr>
          <w:rFonts w:ascii="Times New Roman" w:cs="Times New Roman" w:eastAsia="Times New Roman" w:hAnsi="Times New Roman"/>
          <w:sz w:val="18"/>
          <w:szCs w:val="18"/>
          <w:color w:val="auto"/>
        </w:rPr>
        <w:t>We are highly dependent on the scientific, business development and clinical expertise of our management, scientific and clinical teams. The loss of this expertise could impede the achievement of our goals. Any of our employees may terminate their employment with us at any time. We do not maintain “key person” insurance for any of our executives or other employees.</w:t>
      </w:r>
    </w:p>
    <w:p>
      <w:pPr>
        <w:spacing w:after="0" w:line="176" w:lineRule="exact"/>
        <w:rPr>
          <w:sz w:val="20"/>
          <w:szCs w:val="20"/>
          <w:color w:val="auto"/>
        </w:rPr>
      </w:pPr>
    </w:p>
    <w:p>
      <w:pPr>
        <w:ind w:right="40" w:firstLine="913"/>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finance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including finance personnel,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455" w:right="2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operating under a transitional management team following the resignation of our former president, chief executive officer and director, Dr. Oliver F. Fetzer.</w:t>
      </w:r>
    </w:p>
    <w:p>
      <w:pPr>
        <w:spacing w:after="0" w:line="159" w:lineRule="exact"/>
        <w:rPr>
          <w:sz w:val="20"/>
          <w:szCs w:val="20"/>
          <w:color w:val="auto"/>
        </w:rPr>
      </w:pPr>
    </w:p>
    <w:p>
      <w:pPr>
        <w:ind w:right="300" w:firstLine="913"/>
        <w:spacing w:after="0" w:line="261" w:lineRule="auto"/>
        <w:rPr>
          <w:sz w:val="20"/>
          <w:szCs w:val="20"/>
          <w:color w:val="auto"/>
        </w:rPr>
      </w:pPr>
      <w:r>
        <w:rPr>
          <w:rFonts w:ascii="Times New Roman" w:cs="Times New Roman" w:eastAsia="Times New Roman" w:hAnsi="Times New Roman"/>
          <w:sz w:val="18"/>
          <w:szCs w:val="18"/>
          <w:color w:val="auto"/>
        </w:rPr>
        <w:t>As previously announced, Dr. Oliver Fetzer, our former president, chief executive officer and a director, resigned from his positions effective October 29, 2014. We cannot provide any assurance that Dr. Fetzer’s departure will not result in a disruption that adversely impacts our business and employee morale. In addition, we anticipate that we will experience a transitional period before our new chief executive officer is hired and then fully integrated into his or her new roles.</w:t>
      </w:r>
    </w:p>
    <w:p>
      <w:pPr>
        <w:spacing w:after="0" w:line="180" w:lineRule="exact"/>
        <w:rPr>
          <w:sz w:val="20"/>
          <w:szCs w:val="20"/>
          <w:color w:val="auto"/>
        </w:rPr>
      </w:pPr>
    </w:p>
    <w:p>
      <w:pPr>
        <w:jc w:val="both"/>
        <w:ind w:right="100" w:firstLine="913"/>
        <w:spacing w:after="0" w:line="261" w:lineRule="auto"/>
        <w:rPr>
          <w:sz w:val="20"/>
          <w:szCs w:val="20"/>
          <w:color w:val="auto"/>
        </w:rPr>
      </w:pPr>
      <w:r>
        <w:rPr>
          <w:rFonts w:ascii="Times New Roman" w:cs="Times New Roman" w:eastAsia="Times New Roman" w:hAnsi="Times New Roman"/>
          <w:sz w:val="18"/>
          <w:szCs w:val="18"/>
          <w:color w:val="auto"/>
        </w:rPr>
        <w:t>In connection with Dr. Fetzer’s resignation, Paul A. Friedman, M.D., a member of our board of directors, was appointed executive chairman of our board until a new chief executive officer is hired and will, among other duties, oversee our operations, including our clinical and regulatory functions. In addition, Christopher D.T. Guiffre was appointed as our Chief Operating Officer. In his new role as COO, Mr. Guiffre will serve as the Company’s principal executive officer.</w:t>
      </w:r>
    </w:p>
    <w:p>
      <w:pPr>
        <w:spacing w:after="0" w:line="180" w:lineRule="exact"/>
        <w:rPr>
          <w:sz w:val="20"/>
          <w:szCs w:val="20"/>
          <w:color w:val="auto"/>
        </w:rPr>
      </w:pPr>
    </w:p>
    <w:p>
      <w:pPr>
        <w:ind w:right="120" w:firstLine="913"/>
        <w:spacing w:after="0" w:line="276" w:lineRule="auto"/>
        <w:rPr>
          <w:sz w:val="20"/>
          <w:szCs w:val="20"/>
          <w:color w:val="auto"/>
        </w:rPr>
      </w:pPr>
      <w:r>
        <w:rPr>
          <w:rFonts w:ascii="Times New Roman" w:cs="Times New Roman" w:eastAsia="Times New Roman" w:hAnsi="Times New Roman"/>
          <w:sz w:val="17"/>
          <w:szCs w:val="17"/>
          <w:color w:val="auto"/>
        </w:rPr>
        <w:t>We cannot predict how long it will take to find a new chief executive officer and it is possible that we will operate with a transitional leadership team for an extended period. If we are not able to appoint a new president and chief executive officer in a timely manner, or if either Dr. Friedman or</w:t>
      </w:r>
    </w:p>
    <w:p>
      <w:pPr>
        <w:spacing w:after="0" w:line="1" w:lineRule="exact"/>
        <w:rPr>
          <w:sz w:val="20"/>
          <w:szCs w:val="20"/>
          <w:color w:val="auto"/>
        </w:rPr>
      </w:pPr>
    </w:p>
    <w:p>
      <w:pPr>
        <w:jc w:val="both"/>
        <w:ind w:right="560"/>
        <w:spacing w:after="0" w:line="255" w:lineRule="auto"/>
        <w:rPr>
          <w:sz w:val="20"/>
          <w:szCs w:val="20"/>
          <w:color w:val="auto"/>
        </w:rPr>
      </w:pPr>
      <w:r>
        <w:rPr>
          <w:rFonts w:ascii="Times New Roman" w:cs="Times New Roman" w:eastAsia="Times New Roman" w:hAnsi="Times New Roman"/>
          <w:sz w:val="18"/>
          <w:szCs w:val="18"/>
          <w:color w:val="auto"/>
        </w:rPr>
        <w:t>Mr. Guiffre ceases to fulfill his respective new role during the transitional period, our business, financial condition, and results of operations could be materially and adversely affected. Moreover, we cannot provide any assurance that this transitional period will not result in a disruption that adversely impacts our business and employee morale.</w:t>
      </w:r>
    </w:p>
    <w:p>
      <w:pPr>
        <w:spacing w:after="0" w:line="18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right="80" w:firstLine="913"/>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in the future be volatile and fluctuate substantially.</w:t>
      </w:r>
    </w:p>
    <w:p>
      <w:pPr>
        <w:spacing w:after="0" w:line="121" w:lineRule="exact"/>
        <w:rPr>
          <w:sz w:val="20"/>
          <w:szCs w:val="20"/>
          <w:color w:val="auto"/>
        </w:rPr>
      </w:pPr>
    </w:p>
    <w:p>
      <w:pPr>
        <w:ind w:right="220" w:firstLine="913"/>
        <w:spacing w:after="0" w:line="266" w:lineRule="auto"/>
        <w:rPr>
          <w:sz w:val="20"/>
          <w:szCs w:val="20"/>
          <w:color w:val="auto"/>
        </w:rPr>
      </w:pPr>
      <w:r>
        <w:rPr>
          <w:rFonts w:ascii="Times New Roman" w:cs="Times New Roman" w:eastAsia="Times New Roman" w:hAnsi="Times New Roman"/>
          <w:sz w:val="18"/>
          <w:szCs w:val="18"/>
          <w:color w:val="auto"/>
        </w:rPr>
        <w:t>Our stock price has been and may in the future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82" w:lineRule="exact"/>
        <w:rPr>
          <w:sz w:val="20"/>
          <w:szCs w:val="20"/>
          <w:color w:val="auto"/>
        </w:rPr>
      </w:pPr>
    </w:p>
    <w:p>
      <w:pPr>
        <w:ind w:left="900" w:right="300" w:hanging="446"/>
        <w:spacing w:after="0" w:line="266" w:lineRule="auto"/>
        <w:tabs>
          <w:tab w:leader="none" w:pos="9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results from and any delays in our clinical trials, including the ongoing and any new ISTs of CRLX101, our ongoing and planned Phase 2 and Phase 3 clinical trials of CRLX101 or our planned Phase 1 clinical trial of CRLX301, as well as results of regulatory reviews relating to the approval of our product candidates;</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80"/>
          </w:cols>
          <w:pgMar w:left="240" w:top="455" w:right="27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or termination of any collaboration or licensing arrangement;</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and capital commitments;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900" w:right="44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product candidates or new uses for existing products introduced or announced by our competitors, and the timing of these introductions or announcements;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product candidates of our competitors;</w:t>
      </w:r>
    </w:p>
    <w:p>
      <w:pPr>
        <w:spacing w:after="0" w:line="130" w:lineRule="exact"/>
        <w:rPr>
          <w:rFonts w:ascii="Times New Roman" w:cs="Times New Roman" w:eastAsia="Times New Roman" w:hAnsi="Times New Roman"/>
          <w:sz w:val="18"/>
          <w:szCs w:val="18"/>
          <w:color w:val="auto"/>
        </w:rPr>
      </w:pPr>
    </w:p>
    <w:p>
      <w:pPr>
        <w:ind w:left="900" w:hanging="446"/>
        <w:spacing w:after="0" w:line="282" w:lineRule="auto"/>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the biotechnology and biopharmaceutical industries;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 as well as the overall trading volume of our common stock; and</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jc w:val="both"/>
        <w:ind w:right="220" w:firstLine="913"/>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w:t>
      </w:r>
    </w:p>
    <w:p>
      <w:pPr>
        <w:spacing w:after="0" w:line="1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60"/>
          </w:cols>
          <w:pgMar w:left="240" w:top="455" w:right="49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7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159" w:lineRule="exact"/>
        <w:rPr>
          <w:sz w:val="20"/>
          <w:szCs w:val="20"/>
          <w:color w:val="auto"/>
        </w:rPr>
      </w:pPr>
    </w:p>
    <w:p>
      <w:pPr>
        <w:ind w:right="160" w:firstLine="913"/>
        <w:spacing w:after="0" w:line="258" w:lineRule="auto"/>
        <w:rPr>
          <w:sz w:val="20"/>
          <w:szCs w:val="20"/>
          <w:color w:val="auto"/>
        </w:rPr>
      </w:pPr>
      <w:r>
        <w:rPr>
          <w:rFonts w:ascii="Times New Roman" w:cs="Times New Roman" w:eastAsia="Times New Roman" w:hAnsi="Times New Roman"/>
          <w:sz w:val="18"/>
          <w:szCs w:val="18"/>
          <w:color w:val="auto"/>
        </w:rPr>
        <w:t>We believe that as of November 13, 2014, our executive officers, directors and principal stockholders, together with their respective affiliates, beneficially own approximately 68% of our common stock. Accordingly, if these stockholders were to choose to act together, they would be able to exert a significant degree of influence over our management and affairs and over matters requiring stockholder approval, including the election of our board of directors and approval of significant corporate transactions. For example, these persons, if they choose to act together, would substantially influence the election of directors and approval of any merger, consolidation or sale of all or substantially all of our assets.</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This concentration of ownership may:</w:t>
      </w:r>
    </w:p>
    <w:p>
      <w:pPr>
        <w:spacing w:after="0" w:line="131" w:lineRule="exact"/>
        <w:rPr>
          <w:sz w:val="20"/>
          <w:szCs w:val="20"/>
          <w:color w:val="auto"/>
        </w:rPr>
      </w:pPr>
    </w:p>
    <w:p>
      <w:pPr>
        <w:ind w:left="1460" w:hanging="547"/>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defer or prevent a change in control;</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 our management or board of directors; or</w:t>
      </w:r>
    </w:p>
    <w:p>
      <w:pPr>
        <w:spacing w:after="0" w:line="130" w:lineRule="exact"/>
        <w:rPr>
          <w:rFonts w:ascii="Times New Roman" w:cs="Times New Roman" w:eastAsia="Times New Roman" w:hAnsi="Times New Roman"/>
          <w:sz w:val="18"/>
          <w:szCs w:val="18"/>
          <w:color w:val="auto"/>
        </w:rPr>
      </w:pPr>
    </w:p>
    <w:p>
      <w:pPr>
        <w:ind w:left="1460" w:hanging="547"/>
        <w:spacing w:after="0"/>
        <w:tabs>
          <w:tab w:leader="none" w:pos="1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impede a merger, consolidation, takeover or other business combination involving us that other stockholders may desire.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times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public market at any point, which could cause the market price of our common stock to drop significantly, even if our business is doing well.</w:t>
      </w:r>
    </w:p>
    <w:p>
      <w:pPr>
        <w:spacing w:after="0" w:line="159" w:lineRule="exact"/>
        <w:rPr>
          <w:sz w:val="20"/>
          <w:szCs w:val="20"/>
          <w:color w:val="auto"/>
        </w:rPr>
      </w:pPr>
    </w:p>
    <w:p>
      <w:pPr>
        <w:ind w:right="220" w:firstLine="913"/>
        <w:spacing w:after="0" w:line="282"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may occur at any time. These sales, or the perception in the market that holders of a large number of shares intend to sell shares, could reduce the market price of our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320"/>
          </w:cols>
          <w:pgMar w:left="240" w:top="455"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All lock-up agreements entered into in connection with our initial public offering expired on October 7, 2014. Our outstanding shares of common stock may be freely sold in the public market at any time to the extent permitted by Rules 144 and 701 under the Securities Act of 1933, as amended, which we refer to as the Securities Act, or to the extent such shares have already been registered under the Securities Act and are held by non-affiliates of ours.</w:t>
      </w:r>
    </w:p>
    <w:p>
      <w:pPr>
        <w:spacing w:after="0" w:line="176"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In addition, as of October 31, 2014, there were 1,939,479 shares subject to outstanding options under our equity compensation. We have registered all of these shares under the Securities Act on a registration statement on Form S-8. These shares will be able to be freely sold in the public market upon exercise, as permitted by any applicable vesting requirements, except to the extent they are held by our affiliates, in which case such shares will become eligible for sale in the public market as permitted by Rule 144 under the Securities Act. Furthermore, as of October 31, 2014, there were 128,663 shares subject to outstanding warrants to purchase common stock. These shares will become eligible for sale in the public market, to the extent such warrants are exercised, as permitted by Rule 144 under the Securities Act. Moreover, holders of approximately 7.6 million shares of our outstanding common stock have rights, subject to conditions, to require us to file registration statements covering their shares or to include their shares in registration statements that we may file for ourselves or other stockholders. Once we register these shares, they can be freely sold in the public market.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reserves and may not use them effectively.</w:t>
      </w:r>
    </w:p>
    <w:p>
      <w:pPr>
        <w:spacing w:after="0" w:line="229" w:lineRule="exact"/>
        <w:rPr>
          <w:sz w:val="20"/>
          <w:szCs w:val="20"/>
          <w:color w:val="auto"/>
        </w:rPr>
      </w:pPr>
    </w:p>
    <w:p>
      <w:pPr>
        <w:ind w:right="240" w:firstLine="913"/>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jc w:val="both"/>
        <w:ind w:right="260" w:firstLine="913"/>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through 2019.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82" w:lineRule="exact"/>
        <w:rPr>
          <w:sz w:val="20"/>
          <w:szCs w:val="20"/>
          <w:color w:val="auto"/>
        </w:rPr>
      </w:pPr>
    </w:p>
    <w:p>
      <w:pPr>
        <w:ind w:left="900" w:right="20" w:hanging="446"/>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455" w:right="2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720" w:hanging="446"/>
        <w:spacing w:after="0" w:line="26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1"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130" w:lineRule="exact"/>
        <w:rPr>
          <w:rFonts w:ascii="Times New Roman" w:cs="Times New Roman" w:eastAsia="Times New Roman" w:hAnsi="Times New Roman"/>
          <w:sz w:val="18"/>
          <w:szCs w:val="18"/>
          <w:color w:val="auto"/>
        </w:rPr>
      </w:pPr>
    </w:p>
    <w:p>
      <w:pPr>
        <w:ind w:left="900" w:right="320" w:hanging="446"/>
        <w:spacing w:after="0" w:line="282"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ind w:right="200" w:firstLine="913"/>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100" w:firstLine="913"/>
        <w:spacing w:after="0" w:line="261" w:lineRule="auto"/>
        <w:rPr>
          <w:sz w:val="20"/>
          <w:szCs w:val="20"/>
          <w:color w:val="auto"/>
        </w:rPr>
      </w:pPr>
      <w:r>
        <w:rPr>
          <w:rFonts w:ascii="Times New Roman" w:cs="Times New Roman" w:eastAsia="Times New Roman" w:hAnsi="Times New Roman"/>
          <w:sz w:val="18"/>
          <w:szCs w:val="18"/>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176"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right="40" w:firstLine="913"/>
        <w:spacing w:after="0" w:line="272" w:lineRule="auto"/>
        <w:rPr>
          <w:sz w:val="20"/>
          <w:szCs w:val="20"/>
          <w:color w:val="auto"/>
        </w:rPr>
      </w:pPr>
      <w:r>
        <w:rPr>
          <w:rFonts w:ascii="Times New Roman" w:cs="Times New Roman" w:eastAsia="Times New Roman" w:hAnsi="Times New Roman"/>
          <w:sz w:val="17"/>
          <w:szCs w:val="17"/>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 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72"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455" w:right="2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70"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and, accordingly, stockholders must rely on capital appreciation, if any, for any return on their investment.</w:t>
      </w:r>
    </w:p>
    <w:p>
      <w:pPr>
        <w:spacing w:after="0" w:line="159"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growth and development of our business. Furthermore, the terms of our loan and security agreement with Lighthouse Capital prohibit us from paying any dividends without the prior written consent of Lighthouse Capital, and any future debt agreements may also preclude us from paying dividends. Accordingly, capital appreciation, if any, of our common stock will be the sole source of gain for our stockholders for the foreseeable future.</w:t>
      </w:r>
    </w:p>
    <w:p>
      <w:pPr>
        <w:spacing w:after="0" w:line="17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our bylaws or Delaware law may discourage, delay or prevent a merger, acquisition or other change in control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our current management by making it more difficult for stockholders to replace members of our board of directors. Among other things, these provisions:</w:t>
      </w:r>
    </w:p>
    <w:p>
      <w:pPr>
        <w:spacing w:after="0" w:line="93" w:lineRule="exact"/>
        <w:rPr>
          <w:sz w:val="20"/>
          <w:szCs w:val="20"/>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455" w:right="2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900" w:right="480" w:hanging="446"/>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or for proposing matters that can be acted on at stockholder meetings;</w:t>
      </w:r>
    </w:p>
    <w:p>
      <w:pPr>
        <w:spacing w:after="0" w:line="67"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stockholder actions must be effected at a duly called stockholder meeting and prohibit actions by our stockholders by written consent;</w:t>
      </w:r>
    </w:p>
    <w:p>
      <w:pPr>
        <w:spacing w:after="0" w:line="142" w:lineRule="exact"/>
        <w:rPr>
          <w:rFonts w:ascii="Times New Roman" w:cs="Times New Roman" w:eastAsia="Times New Roman" w:hAnsi="Times New Roman"/>
          <w:sz w:val="17"/>
          <w:szCs w:val="17"/>
          <w:color w:val="auto"/>
        </w:rPr>
      </w:pPr>
    </w:p>
    <w:p>
      <w:pPr>
        <w:ind w:left="900" w:hanging="446"/>
        <w:spacing w:after="0"/>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30" w:lineRule="exact"/>
        <w:rPr>
          <w:rFonts w:ascii="Times New Roman" w:cs="Times New Roman" w:eastAsia="Times New Roman" w:hAnsi="Times New Roman"/>
          <w:sz w:val="18"/>
          <w:szCs w:val="18"/>
          <w:color w:val="auto"/>
        </w:rPr>
      </w:pPr>
    </w:p>
    <w:p>
      <w:pPr>
        <w:ind w:left="900" w:right="340" w:hanging="446"/>
        <w:spacing w:after="0" w:line="313" w:lineRule="auto"/>
        <w:tabs>
          <w:tab w:leader="none" w:pos="9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43" w:lineRule="exact"/>
        <w:rPr>
          <w:rFonts w:ascii="Times New Roman" w:cs="Times New Roman" w:eastAsia="Times New Roman" w:hAnsi="Times New Roman"/>
          <w:sz w:val="17"/>
          <w:szCs w:val="17"/>
          <w:color w:val="auto"/>
        </w:rPr>
      </w:pPr>
    </w:p>
    <w:p>
      <w:pPr>
        <w:ind w:left="900" w:right="500" w:hanging="446"/>
        <w:spacing w:after="0" w:line="282"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162" w:lineRule="exact"/>
        <w:rPr>
          <w:sz w:val="20"/>
          <w:szCs w:val="20"/>
          <w:color w:val="auto"/>
        </w:rPr>
      </w:pPr>
    </w:p>
    <w:p>
      <w:pPr>
        <w:ind w:right="200" w:firstLine="913"/>
        <w:spacing w:after="0" w:line="258" w:lineRule="auto"/>
        <w:rPr>
          <w:sz w:val="20"/>
          <w:szCs w:val="20"/>
          <w:color w:val="auto"/>
        </w:rPr>
      </w:pPr>
      <w:r>
        <w:rPr>
          <w:rFonts w:ascii="Times New Roman" w:cs="Times New Roman" w:eastAsia="Times New Roman" w:hAnsi="Times New Roman"/>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8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stock could decline. In addition, if one or more of these analysts cease coverage of our company or fail to regularly publish reports on us, we could lose visibility in the financial markets, which in turn could cause our stock price or trading volume to decline.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455" w:right="2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During the period from July 1, 2014 to August 13, 2014, we granted options to purchase an aggregate of 20,100 shares of common stock, at a weighted-average exercise price of $4.98 per share, to employees pursuant to our 2014 Stock Incentive Plan. We filed a registration statement on Form S-8 under the Securities Act to register all of the shares of our common stock subject to outstanding options and options and other awards issuable pursuant to our equity compensation plans.</w:t>
      </w:r>
    </w:p>
    <w:p>
      <w:pPr>
        <w:spacing w:after="0" w:line="180"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The stock options described above were issued in reliance on the exemption provided by Section 4(a)(2) of the Securities Act and the common stock issuable upon the exercise of such options described above were issued pursuant to written compensatory plans or arrangements with our employees, directors and consultants, in reliance on the exemption provided by Rule 701 promulgated under the Securities Act. All recipients either received adequate information about us or had access, through employment or other relationships, to such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April 15, 2014, we completed our IPO, in which we issued and sold 8,500,000 shares of our common stock at a public offering price of $7.00 per share, for aggregate gross proceeds of $59.5 million. All of the shares issued and sold in the IPO were registered under the Securities Act pursuant to a Registration Statement on Form S-1 (File No. 333-194442), which was declared effective by the SEC on April 10, 2014. Leerink Partners LLC acted as book-running manager of the offering and as representatives of the underwriters. Canaccord Genuity Inc., JMP Securities LLC and Wedbush Securities Inc. acted as co-managers for the offering. The offering commenced on April 10, 2014 and did not terminate until the sale of all of the shares offered.</w:t>
      </w:r>
    </w:p>
    <w:p>
      <w:pPr>
        <w:spacing w:after="0" w:line="184"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On May 2, 2014, the underwriters exercised in part their option to purchase additional shares pursuant to the underwriting agreement relating to our IPO. On May 7, 2014, we closed the underwriters’ over-allotment option and sold 1,069,715 shares to the public as a price of $7.00 per share, for aggregate gross proceeds of $7.5 million.</w:t>
      </w:r>
    </w:p>
    <w:p>
      <w:pPr>
        <w:spacing w:after="0" w:line="176"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The net offering proceeds to us, after deducting underwriting discounts of $3.9 million and offering expenses payable by us totaling $3.2 million, were approximately $59.9 million. None of the net proceeds were paid directly or indirectly to directors or officers of ours or their associates or to persons owning 10 percent or more of our common stock or to any affiliates of ours, other than payments in the ordinary course of business to officers for salaries and to non-employee directors as compensation for board or board committee service. We have invested the net proceeds from the offering in a variety of capital preservation investments, including short-term, investment grade, interest bearing instruments and U.S. government securities. There has been no material change in our planned use of the net proceeds from our IPO as described in our final prospectus filed with the SEC pursuant to Rule 424(b)(4) on April 14, 2014. As of September 30, 2014 we have used approximately $2.0 million of the net proceeds from our IPO for research and development of our programs, working capital and other general corporate purposes.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exhibits listed in the Exhibit Index to this Quarterly Report on Form 10-Q are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455" w:right="2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80"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752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CERULEAN PHARMA INC.</w:t>
            </w:r>
          </w:p>
        </w:tc>
      </w:tr>
      <w:tr>
        <w:trPr>
          <w:trHeight w:val="432"/>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2014</w:t>
            </w:r>
          </w:p>
        </w:tc>
        <w:tc>
          <w:tcPr>
            <w:tcW w:w="23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jc w:val="center"/>
              <w:ind w:right="28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Christopher D.T. Guiffre</w:t>
            </w:r>
          </w:p>
        </w:tc>
      </w:tr>
      <w:tr>
        <w:trPr>
          <w:trHeight w:val="131"/>
        </w:trPr>
        <w:tc>
          <w:tcPr>
            <w:tcW w:w="390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51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Christopher D.T. Guiffre, J.D.</w:t>
            </w:r>
          </w:p>
        </w:tc>
      </w:tr>
      <w:tr>
        <w:trPr>
          <w:trHeight w:val="149"/>
        </w:trPr>
        <w:tc>
          <w:tcPr>
            <w:tcW w:w="39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5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Chief Operating Officer</w:t>
            </w:r>
          </w:p>
        </w:tc>
      </w:tr>
      <w:tr>
        <w:trPr>
          <w:trHeight w:val="190"/>
        </w:trPr>
        <w:tc>
          <w:tcPr>
            <w:tcW w:w="39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415"/>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2014</w:t>
            </w:r>
          </w:p>
        </w:tc>
        <w:tc>
          <w:tcPr>
            <w:tcW w:w="23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jc w:val="center"/>
              <w:ind w:right="26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5"/>
                <w:szCs w:val="15"/>
                <w:color w:val="auto"/>
              </w:rPr>
              <w:t>S</w:t>
            </w:r>
            <w:r>
              <w:rPr>
                <w:rFonts w:ascii="Times New Roman" w:cs="Times New Roman" w:eastAsia="Times New Roman" w:hAnsi="Times New Roman"/>
                <w:sz w:val="18"/>
                <w:szCs w:val="18"/>
                <w:color w:val="auto"/>
              </w:rPr>
              <w:t>/  Karen L. Roberts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0</wp:posOffset>
            </wp:positionV>
            <wp:extent cx="32588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Karen L. Roberts</w:t>
      </w:r>
    </w:p>
    <w:p>
      <w:pPr>
        <w:jc w:val="center"/>
        <w:ind w:left="6280"/>
        <w:spacing w:after="0" w:line="229" w:lineRule="auto"/>
        <w:rPr>
          <w:sz w:val="20"/>
          <w:szCs w:val="20"/>
          <w:color w:val="auto"/>
        </w:rPr>
      </w:pPr>
      <w:r>
        <w:rPr>
          <w:rFonts w:ascii="Times New Roman" w:cs="Times New Roman" w:eastAsia="Times New Roman" w:hAnsi="Times New Roman"/>
          <w:sz w:val="14"/>
          <w:szCs w:val="14"/>
          <w:b w:val="1"/>
          <w:bCs w:val="1"/>
          <w:color w:val="auto"/>
        </w:rPr>
        <w:t>Senior Vice President, Finance and Administration</w:t>
      </w:r>
    </w:p>
    <w:p>
      <w:pPr>
        <w:spacing w:after="0" w:line="1"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455" w:right="2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29"/>
        </w:trPr>
        <w:tc>
          <w:tcPr>
            <w:tcW w:w="12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87"/>
        </w:trPr>
        <w:tc>
          <w:tcPr>
            <w:tcW w:w="120" w:type="dxa"/>
            <w:vAlign w:val="bottom"/>
          </w:tcPr>
          <w:p>
            <w:pPr>
              <w:spacing w:after="0"/>
              <w:rPr>
                <w:sz w:val="16"/>
                <w:szCs w:val="16"/>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360" w:type="dxa"/>
            <w:vAlign w:val="bottom"/>
            <w:gridSpan w:val="3"/>
          </w:tcPr>
          <w:p>
            <w:pPr>
              <w:ind w:left="26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0"/>
        </w:trPr>
        <w:tc>
          <w:tcPr>
            <w:tcW w:w="1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91"/>
        </w:trPr>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Restated Certificate of Incorporation</w:t>
            </w:r>
          </w:p>
        </w:tc>
      </w:tr>
      <w:tr>
        <w:trPr>
          <w:trHeight w:val="324"/>
        </w:trPr>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Amended and Restated By-Laws</w:t>
            </w:r>
          </w:p>
        </w:tc>
      </w:tr>
      <w:tr>
        <w:trPr>
          <w:trHeight w:val="306"/>
        </w:trPr>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Second Lease Amendment to the Commercial Lease Agreement between Cerulean</w:t>
            </w:r>
          </w:p>
        </w:tc>
      </w:t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Pharma Inc. and Rivertech Associate II, LLC, dated July 11, 2014.</w:t>
            </w:r>
          </w:p>
        </w:tc>
      </w:tr>
      <w:tr>
        <w:trPr>
          <w:trHeight w:val="306"/>
        </w:trPr>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Employment Agreement dated July 21, 2014 by and between the Registrant and</w:t>
            </w:r>
          </w:p>
        </w:tc>
      </w:t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Christopher D. T. Guiffre</w:t>
            </w:r>
          </w:p>
        </w:tc>
      </w:tr>
      <w:tr>
        <w:trPr>
          <w:trHeight w:val="319"/>
        </w:trPr>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Employment Agreement dated July 21, 2014 by and between the Registrant and</w:t>
            </w:r>
          </w:p>
        </w:tc>
      </w:t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Edward Garmey</w:t>
            </w:r>
          </w:p>
        </w:tc>
      </w:tr>
      <w:tr>
        <w:trPr>
          <w:trHeight w:val="319"/>
        </w:trPr>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Amendment to the Stock Option Agreement and Termination of Contingent</w:t>
            </w:r>
          </w:p>
        </w:tc>
      </w:tr>
      <w:tr>
        <w:trPr>
          <w:trHeight w:val="216"/>
        </w:trPr>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Consideration Award dated September 16, 2014, by and between the Registrant and</w:t>
            </w:r>
          </w:p>
        </w:tc>
      </w:t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Alan Crane</w:t>
            </w:r>
          </w:p>
        </w:tc>
      </w:tr>
      <w:tr>
        <w:trPr>
          <w:trHeight w:val="319"/>
        </w:trPr>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Amendment No. 03 to the Loan and Security Agreement between the Registrant and</w:t>
            </w:r>
          </w:p>
        </w:tc>
      </w:t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Lighthouse Capital Partners VI, L.P, dated September 19, 2014</w:t>
            </w:r>
          </w:p>
        </w:tc>
      </w:tr>
      <w:tr>
        <w:trPr>
          <w:trHeight w:val="319"/>
        </w:trPr>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Rule 13a 14(a)/15d 14(a) of the</w:t>
            </w:r>
          </w:p>
        </w:tc>
      </w:t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06"/>
        </w:trPr>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13a-14(a)/15d-14(a) of the</w:t>
            </w:r>
          </w:p>
        </w:tc>
      </w:t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06"/>
        </w:trPr>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§1350, as adopted</w:t>
            </w:r>
          </w:p>
        </w:tc>
      </w:t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306"/>
        </w:trPr>
        <w:tc>
          <w:tcPr>
            <w:tcW w:w="6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§1350, as adopted</w:t>
            </w:r>
          </w:p>
        </w:tc>
      </w:tr>
      <w:tr>
        <w:trPr>
          <w:trHeight w:val="234"/>
        </w:trPr>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w:t>
            </w:r>
          </w:p>
        </w:tc>
      </w:tr>
      <w:tr>
        <w:trPr>
          <w:trHeight w:val="324"/>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24"/>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324"/>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324"/>
        </w:trPr>
        <w:tc>
          <w:tcPr>
            <w:tcW w:w="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6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Submitted electronically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60" w:type="dxa"/>
            <w:vAlign w:val="bottom"/>
          </w:tcPr>
          <w:p>
            <w:pPr>
              <w:spacing w:after="0"/>
              <w:rPr>
                <w:sz w:val="16"/>
                <w:szCs w:val="16"/>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31"/>
        </w:trPr>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2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28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40" w:type="dxa"/>
            <w:vAlign w:val="bottom"/>
            <w:vMerge w:val="continue"/>
          </w:tcPr>
          <w:p>
            <w:pPr>
              <w:spacing w:after="0"/>
              <w:rPr>
                <w:sz w:val="16"/>
                <w:szCs w:val="16"/>
                <w:color w:val="auto"/>
              </w:rPr>
            </w:pPr>
          </w:p>
        </w:tc>
        <w:tc>
          <w:tcPr>
            <w:tcW w:w="1120" w:type="dxa"/>
            <w:vAlign w:val="bottom"/>
            <w:gridSpan w:val="4"/>
            <w:vMerge w:val="continue"/>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80" w:type="dxa"/>
            <w:vAlign w:val="bottom"/>
          </w:tcPr>
          <w:p>
            <w:pPr>
              <w:spacing w:after="0"/>
              <w:rPr>
                <w:sz w:val="24"/>
                <w:szCs w:val="24"/>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001-36395</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April 16, 2014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001-36395</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April 16, 2014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001-36395</w:t>
            </w:r>
          </w:p>
        </w:tc>
        <w:tc>
          <w:tcPr>
            <w:tcW w:w="160" w:type="dxa"/>
            <w:vAlign w:val="bottom"/>
          </w:tcPr>
          <w:p>
            <w:pPr>
              <w:spacing w:after="0"/>
              <w:rPr>
                <w:sz w:val="24"/>
                <w:szCs w:val="24"/>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8"/>
              </w:rPr>
              <w:t>July 17, 2014</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37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200" w:lineRule="exact"/>
        <w:rPr>
          <w:sz w:val="20"/>
          <w:szCs w:val="20"/>
          <w:color w:val="auto"/>
        </w:rPr>
      </w:pPr>
    </w:p>
    <w:p>
      <w:pPr>
        <w:spacing w:after="0" w:line="38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37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35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1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1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1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1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1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pacing w:after="0" w:line="14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X</w:t>
      </w:r>
    </w:p>
    <w:p>
      <w:pPr>
        <w:sectPr>
          <w:pgSz w:w="11900" w:h="16838" w:orient="portrait"/>
          <w:cols w:equalWidth="0" w:num="2">
            <w:col w:w="7200" w:space="160"/>
            <w:col w:w="4060"/>
          </w:cols>
          <w:pgMar w:left="240" w:top="455" w:right="2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THIS EMPLOYMENT AGREEMENT (the “Agreement”), made this 21 day of July, 2014, is entered into by Cerulean Pharma Inc., a Delaware corporation with its principal place of business at 840 Memorial Drive,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Cambridge, MA 02139 (the “Company”), and Christopher D.T. Guiffre (the “Employee”).</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Company desires to continue to employ the Employee and the Employee desires to continue to be employed by the Company. In consideration of the mutual covenants and promises contained herein, and other good and valuable consideration, the receipt and sufficiency of which are acknowledged by the parties hereto, the parties agree as follows:</w:t>
      </w:r>
    </w:p>
    <w:p>
      <w:pPr>
        <w:spacing w:after="0" w:line="176" w:lineRule="exact"/>
        <w:rPr>
          <w:sz w:val="20"/>
          <w:szCs w:val="20"/>
          <w:color w:val="auto"/>
        </w:rPr>
      </w:pPr>
    </w:p>
    <w:p>
      <w:pPr>
        <w:jc w:val="both"/>
        <w:ind w:right="220" w:firstLine="464"/>
        <w:spacing w:after="0" w:line="266" w:lineRule="auto"/>
        <w:tabs>
          <w:tab w:leader="none" w:pos="6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Company hereby agrees to continue to employ the Employee and the Employee hereby accepts continued employment with the Company, upon the terms set forth in this Agreement. There shall be no definite term of employment, and the Employee’s employment shall be at-will such that both the Company and the Employee remain free to end the employment relationship for any reason, at any time, with or without notice.</w:t>
      </w:r>
    </w:p>
    <w:p>
      <w:pPr>
        <w:spacing w:after="0" w:line="176" w:lineRule="exact"/>
        <w:rPr>
          <w:rFonts w:ascii="Times New Roman" w:cs="Times New Roman" w:eastAsia="Times New Roman" w:hAnsi="Times New Roman"/>
          <w:sz w:val="18"/>
          <w:szCs w:val="18"/>
          <w:color w:val="auto"/>
        </w:rPr>
      </w:pPr>
    </w:p>
    <w:p>
      <w:pPr>
        <w:ind w:right="440" w:firstLine="464"/>
        <w:spacing w:after="0" w:line="282" w:lineRule="auto"/>
        <w:tabs>
          <w:tab w:leader="none" w:pos="6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and Capacity</w:t>
      </w:r>
      <w:r>
        <w:rPr>
          <w:rFonts w:ascii="Times New Roman" w:cs="Times New Roman" w:eastAsia="Times New Roman" w:hAnsi="Times New Roman"/>
          <w:sz w:val="18"/>
          <w:szCs w:val="18"/>
          <w:color w:val="auto"/>
        </w:rPr>
        <w:t>. The Employee shall serve as Senior Vice President and Chief Business Officer of the Company and shall report to the Chief Executive Officer of the Company. The Employee shall be based at the Company’s headquarters in Cambridge, Massachusetts.</w:t>
      </w:r>
    </w:p>
    <w:p>
      <w:pPr>
        <w:spacing w:after="0" w:line="162"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Employee agrees to undertake the duties and responsibilities inherent in such position and such other duties and responsibilities as the Chief Executive Officer or the Board of Directors of the Company (the “Board”) shall from time to time reasonably assign to him. The Employee agrees to devote his entire business time, attention and energies to the business and interests of the Company. The Employee agrees to abide by the rules, regulations, instructions, personnel practices and policies of the Company and any changes therein that may be adopted from time to time by the Company.</w:t>
      </w:r>
    </w:p>
    <w:p>
      <w:pPr>
        <w:sectPr>
          <w:pgSz w:w="11900" w:h="16838" w:orient="portrait"/>
          <w:cols w:equalWidth="0" w:num="1">
            <w:col w:w="11420"/>
          </w:cols>
          <w:pgMar w:left="240" w:top="117" w:right="239" w:bottom="1440" w:gutter="0" w:footer="0" w:header="0"/>
        </w:sectPr>
      </w:pPr>
    </w:p>
    <w:bookmarkStart w:id="78" w:name="page79"/>
    <w:bookmarkEnd w:id="78"/>
    <w:p>
      <w:pPr>
        <w:ind w:left="640" w:hanging="176"/>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and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the Employee, in accordance with the Company’s regular payroll practices, a base salary at the annualized rate of $310,000, subject to adjustment thereafter by the Board.</w:t>
      </w:r>
    </w:p>
    <w:p>
      <w:pPr>
        <w:spacing w:after="0" w:line="162"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In addition to a base salary, the Employee will be eligible to receive a performance-based annual bonus for each fiscal year in which he is employed by the Company in the capacity of Senior Vice President and Chief Business Officer. This bonus shall be based upon reasonably attainable annual quantitative and qualitative performance objectives established by the Board. The Employee’s annual bonus level target shall be set at forty percent (40%) of the Employee’s base salary for the currently applicable fiscal year and shall be subject to adjustment thereafter by the Board. The Board will determine, in its sole discretion, based upon its review of the achievement of the performance objectives for a given fiscal year and its consideration of the recommendation of the Compensation Committee, whether (and in what amount) a bonus award is payable to the Employee.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be eligible to receive a bonus award, the Employee must be an active employee on the date any such bonuses are distributed.</w:t>
      </w:r>
    </w:p>
    <w:p>
      <w:pPr>
        <w:spacing w:after="0" w:line="225" w:lineRule="exact"/>
        <w:rPr>
          <w:sz w:val="20"/>
          <w:szCs w:val="20"/>
          <w:color w:val="auto"/>
        </w:rPr>
      </w:pPr>
    </w:p>
    <w:p>
      <w:pPr>
        <w:jc w:val="both"/>
        <w:ind w:firstLine="913"/>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Employee shall be entitled to participate in all benefit plans and programs that the Company establishes and makes available to its employees to the extent that the Employee is eligible under (and subject to the provisions of) the plan documents governing those programs. The Employee shall be entitled to twenty-five (25) days paid vacation per year plus personal days and paid holidays generally offered by the Company to its employees, each to be administered in accordance with Company policy.</w:t>
      </w:r>
    </w:p>
    <w:p>
      <w:pPr>
        <w:sectPr>
          <w:pgSz w:w="11900" w:h="16838" w:orient="portrait"/>
          <w:cols w:equalWidth="0" w:num="1">
            <w:col w:w="11260"/>
          </w:cols>
          <w:pgMar w:left="240" w:top="270" w:right="399" w:bottom="1440" w:gutter="0" w:footer="0" w:header="0"/>
        </w:sectPr>
      </w:pPr>
    </w:p>
    <w:bookmarkStart w:id="79" w:name="page80"/>
    <w:bookmarkEnd w:id="79"/>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The Company shall reimburse the Employee for all reasonable travel, entertainment and other expenses incurred or paid by the Employee in connection with, or related to, the performance of his duties, responsibilities or services under this Agreement in accordance with the Company’s expense reimbursement policies as set forth in the Company’s employee handbook, a copy of which has been provided to the Employee. The reimbursement of expenses hereunder shall be subject to the terms and conditions set forth in Section 18(e) of this Agreement.</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salary, bonus and other compensation or benefits payable to the Employee shall be subject to applicable withholdings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7" w:lineRule="exact"/>
        <w:rPr>
          <w:sz w:val="20"/>
          <w:szCs w:val="20"/>
          <w:color w:val="auto"/>
        </w:rPr>
      </w:pPr>
    </w:p>
    <w:p>
      <w:pPr>
        <w:ind w:left="640" w:hanging="17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Upon Resignation By The Employee Without Good Reason or Termination By The Company For Cause.</w:t>
      </w:r>
    </w:p>
    <w:p>
      <w:pPr>
        <w:spacing w:after="0" w:line="225"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Payment upon Voluntary Resignation or Termination for Cause</w:t>
      </w:r>
      <w:r>
        <w:rPr>
          <w:rFonts w:ascii="Times New Roman" w:cs="Times New Roman" w:eastAsia="Times New Roman" w:hAnsi="Times New Roman"/>
          <w:sz w:val="18"/>
          <w:szCs w:val="18"/>
          <w:color w:val="auto"/>
        </w:rPr>
        <w:t>. If the Employee voluntarily resigns his employment other than for Good Reason (as defined in Section 4.2), or if the Company terminates the Employee for Cause (as defined in Section 4.3), the Company shall pay the Employee all accrued and unpaid base salary through the Employee’s date of termination and any vacation that is accrued but unused as of such date. The Employee shall not be eligible for any severance or separation payments (including, but not limited to, those described in Sections 5 and 7 of this Agreement) or any continuation of benefits (other than those provided for under the Federal Consolidated Omnibus Budget Reconciliation Act (“COBRA”)), or any other compensation pursuant to this Agreement or otherwise. The Employee also shall have such rights, if any, with respect to outstanding equity awards as may be provided under the agreement applicable to each.</w:t>
      </w:r>
    </w:p>
    <w:p>
      <w:pPr>
        <w:sectPr>
          <w:pgSz w:w="11900" w:h="16838" w:orient="portrait"/>
          <w:cols w:equalWidth="0" w:num="1">
            <w:col w:w="11400"/>
          </w:cols>
          <w:pgMar w:left="240" w:top="270" w:right="259" w:bottom="1440" w:gutter="0" w:footer="0" w:header="0"/>
        </w:sectPr>
      </w:pPr>
    </w:p>
    <w:bookmarkStart w:id="80" w:name="page81"/>
    <w:bookmarkEnd w:id="80"/>
    <w:p>
      <w:pPr>
        <w:ind w:right="320" w:firstLine="913"/>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Times New Roman" w:cs="Times New Roman" w:eastAsia="Times New Roman" w:hAnsi="Times New Roman"/>
          <w:sz w:val="17"/>
          <w:szCs w:val="17"/>
          <w:u w:val="single" w:color="auto"/>
          <w:color w:val="auto"/>
        </w:rPr>
        <w:t>Definition of “Good Reason”</w:t>
      </w:r>
      <w:r>
        <w:rPr>
          <w:rFonts w:ascii="Times New Roman" w:cs="Times New Roman" w:eastAsia="Times New Roman" w:hAnsi="Times New Roman"/>
          <w:sz w:val="17"/>
          <w:szCs w:val="17"/>
          <w:color w:val="auto"/>
        </w:rPr>
        <w:t xml:space="preserve">. For purposes of this Agreement, “Good Reason” means the occurrence, without the Employee’s written consent, of any of the events or circumstances set forth in clauses (a) through (c)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 event described in clauses (a) through</w:t>
      </w:r>
    </w:p>
    <w:p>
      <w:pPr>
        <w:spacing w:after="0" w:line="1" w:lineRule="exact"/>
        <w:rPr>
          <w:sz w:val="20"/>
          <w:szCs w:val="20"/>
          <w:color w:val="auto"/>
        </w:rPr>
      </w:pPr>
    </w:p>
    <w:p>
      <w:pPr>
        <w:ind w:firstLine="8"/>
        <w:spacing w:after="0" w:line="255" w:lineRule="auto"/>
        <w:tabs>
          <w:tab w:leader="none" w:pos="24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not constitute Good Reason unless it is communicated in writing, within 90 days of the first occurrence of an event giving rise to the claim, by the Employee to the Board or its successor and unless it is not corrected by the Company or its successor within thirty (30) days of the Company’s receipt of such written notice:</w:t>
      </w:r>
    </w:p>
    <w:p>
      <w:pPr>
        <w:spacing w:after="0" w:line="186" w:lineRule="exact"/>
        <w:rPr>
          <w:rFonts w:ascii="Times New Roman" w:cs="Times New Roman" w:eastAsia="Times New Roman" w:hAnsi="Times New Roman"/>
          <w:sz w:val="18"/>
          <w:szCs w:val="18"/>
          <w:color w:val="auto"/>
        </w:rPr>
      </w:pPr>
    </w:p>
    <w:p>
      <w:pPr>
        <w:ind w:left="1740" w:hanging="248"/>
        <w:spacing w:after="0"/>
        <w:tabs>
          <w:tab w:leader="none" w:pos="17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diminution of the Employee’s duties, authority or responsibilities;</w:t>
      </w:r>
    </w:p>
    <w:p>
      <w:pPr>
        <w:spacing w:after="0" w:line="225" w:lineRule="exact"/>
        <w:rPr>
          <w:rFonts w:ascii="Times New Roman" w:cs="Times New Roman" w:eastAsia="Times New Roman" w:hAnsi="Times New Roman"/>
          <w:sz w:val="18"/>
          <w:szCs w:val="18"/>
          <w:color w:val="auto"/>
        </w:rPr>
      </w:pPr>
    </w:p>
    <w:p>
      <w:pPr>
        <w:ind w:left="1740" w:hanging="248"/>
        <w:spacing w:after="0"/>
        <w:tabs>
          <w:tab w:leader="none" w:pos="17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Employee’s base salary; or</w:t>
      </w:r>
    </w:p>
    <w:p>
      <w:pPr>
        <w:spacing w:after="0" w:line="225" w:lineRule="exact"/>
        <w:rPr>
          <w:rFonts w:ascii="Times New Roman" w:cs="Times New Roman" w:eastAsia="Times New Roman" w:hAnsi="Times New Roman"/>
          <w:sz w:val="18"/>
          <w:szCs w:val="18"/>
          <w:color w:val="auto"/>
        </w:rPr>
      </w:pPr>
    </w:p>
    <w:p>
      <w:pPr>
        <w:ind w:right="40" w:firstLine="1492"/>
        <w:spacing w:after="0" w:line="266" w:lineRule="auto"/>
        <w:tabs>
          <w:tab w:leader="none" w:pos="172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by the Company in the location at which the Employee performs his principal duties for the Company to a new location that is both (i) outside a radius of 50 miles from the Employee’s principal residence and (ii) more than 30 miles from the location at which the Employee performed his principal duties for the Company.</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If the Company fails to timely correct an event of Good Reason, the termination of Executive’s employment shall become effective 60 days after such notice is received by the Company.</w:t>
      </w:r>
    </w:p>
    <w:p>
      <w:pPr>
        <w:spacing w:after="0" w:line="162"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Definition of “Cause</w:t>
      </w:r>
      <w:r>
        <w:rPr>
          <w:rFonts w:ascii="Times New Roman" w:cs="Times New Roman" w:eastAsia="Times New Roman" w:hAnsi="Times New Roman"/>
          <w:sz w:val="18"/>
          <w:szCs w:val="18"/>
          <w:color w:val="auto"/>
        </w:rPr>
        <w:t>”. For purposes of this Agreement, “Cause” is defined as: (i) a good faith finding by the Board (excluding the Employee, if applicable) of (a) the Employee’s failure to (1) perform reasonably assigned lawful duties or (2) comply with a</w:t>
      </w:r>
    </w:p>
    <w:p>
      <w:pPr>
        <w:sectPr>
          <w:pgSz w:w="11900" w:h="16838" w:orient="portrait"/>
          <w:cols w:equalWidth="0" w:num="1">
            <w:col w:w="11380"/>
          </w:cols>
          <w:pgMar w:left="240" w:top="270" w:right="2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lawful instruction of the Board so long as, in the case of (2), the instruction is consistent with the scope and responsibilities of the Employee’s position, or</w:t>
      </w:r>
    </w:p>
    <w:p>
      <w:pPr>
        <w:spacing w:after="0" w:line="27" w:lineRule="exact"/>
        <w:rPr>
          <w:sz w:val="20"/>
          <w:szCs w:val="20"/>
          <w:color w:val="auto"/>
        </w:rPr>
      </w:pPr>
    </w:p>
    <w:p>
      <w:pPr>
        <w:ind w:right="140" w:firstLine="8"/>
        <w:spacing w:after="0" w:line="254"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dishonesty, willful misconduct or gross negligence, or (c) the Employee’s substantial and material failure or refusal to perform according to, or to comply with, the policies, procedures or practices established by the Company or the Board and, in the case of (a) or (c), the Employee has had ten (10) days written notice to cure his failure to so perform or comply; or (ii) the Employee’s indictment, or the entering of a guilty plea or plea of “no contest” with respect to a felony or any crime involving moral turpitude.</w:t>
      </w:r>
    </w:p>
    <w:p>
      <w:pPr>
        <w:spacing w:after="0" w:line="185" w:lineRule="exact"/>
        <w:rPr>
          <w:rFonts w:ascii="Times New Roman" w:cs="Times New Roman" w:eastAsia="Times New Roman" w:hAnsi="Times New Roman"/>
          <w:sz w:val="18"/>
          <w:szCs w:val="18"/>
          <w:color w:val="auto"/>
        </w:rPr>
      </w:pPr>
    </w:p>
    <w:p>
      <w:pPr>
        <w:ind w:firstLine="464"/>
        <w:spacing w:after="0" w:line="256" w:lineRule="auto"/>
        <w:tabs>
          <w:tab w:leader="none" w:pos="63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Resignation for Good Reason</w:t>
      </w:r>
      <w:r>
        <w:rPr>
          <w:rFonts w:ascii="Times New Roman" w:cs="Times New Roman" w:eastAsia="Times New Roman" w:hAnsi="Times New Roman"/>
          <w:sz w:val="18"/>
          <w:szCs w:val="18"/>
          <w:color w:val="auto"/>
        </w:rPr>
        <w:t>. If the Employee’s employment with the Company is terminated by the Company without Cause (as defined in Section 4.3), or by the Employee’s voluntary resignation for Good Reason (as defined in Section 4.2), other than in connection with a Change in Control (as defined in Section 7.2(a)), then the Employee shall be paid all accrued and unpaid base salary and any accrued but unused vacation through the date of termination. In addition, subject to the Employee’s execution and non-revocation of a binding severance and mutual release agreement in a form satisfactory to the Company (hereinafter, a “Severance Agreement”) and subject to the terms and conditions of Section 18 of this Agreement, the Employee shall be eligible to receive the following separation benefits:</w:t>
      </w:r>
    </w:p>
    <w:p>
      <w:pPr>
        <w:spacing w:after="0" w:line="188"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t>5.1 (a) an amount equal to the product of (i) one twelfth (1/12) of the Employee’s then-current annualized base salary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Employee’s employment is terminated by the Employee’s voluntary resignation for Good Reason as a result of the Company’s material reduction of the Employee’s base salary, then the Employee’s then-current annualized base salary shall refer to his base salary as in effect immediately before such</w:t>
      </w:r>
    </w:p>
    <w:p>
      <w:pPr>
        <w:sectPr>
          <w:pgSz w:w="11900" w:h="16838" w:orient="portrait"/>
          <w:cols w:equalWidth="0" w:num="1">
            <w:col w:w="11420"/>
          </w:cols>
          <w:pgMar w:left="240" w:top="270"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reduction took effect) and (ii) six (6), less any amounts required to be withheld under applicable law, which amount shall be payable in six</w:t>
      </w:r>
    </w:p>
    <w:p>
      <w:pPr>
        <w:spacing w:after="0" w:line="27" w:lineRule="exact"/>
        <w:rPr>
          <w:sz w:val="20"/>
          <w:szCs w:val="20"/>
          <w:color w:val="auto"/>
        </w:rPr>
      </w:pPr>
    </w:p>
    <w:p>
      <w:pPr>
        <w:ind w:firstLine="8"/>
        <w:spacing w:after="0" w:line="251"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equal monthly installments, in accordance with the Company’s payroll practices in effect from time to time beginning on the Payment Commencement Date (as defined below); and (b) the amount of any bonus for the prior year that was approved but not yet paid to the Employee at the time of the Employee’s termination of employment, less any amounts required to be withheld under applicable law, which amount shall be paid in a manner and timing consistent with the payments to other similarly situated employees and consistent with the requirements of Section 409A of the Internal Revenue Code of 1986, as amended (the “Code”) but in no event later than March 15 of the year following the year of performance; provided, in both cases, that the Severance Agreement has been executed and any applicable revocation period with respect thereto has expired within sixty (60) days following the Employee’s date of termination (such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the “Payment Commencement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Employee’s date of termination occurs in the calendar year following the year of termination, then the Payment Commencement Date shall be no earlier than January 1 of the year following the year of termination; and</w:t>
      </w:r>
    </w:p>
    <w:p>
      <w:pPr>
        <w:spacing w:after="0" w:line="194"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 xml:space="preserve">5.2 upon the Employee’s termination from employment pursuant to this Section 5, the Company shall make contributions to the cost of COBRA (Consolidated Omnibus Budget Reconciliation Act) coverage on behalf of the Employee and any applicable dependents for a period of six (6) months after the Employee’s termination if the Employee elects COBRA coverage, and only for so long as such coverage continues in force;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Employee commences new employment and is eligible for a new group health plan, the Company’s contributions toward COBRA coverage shall end when the new employment begins.</w:t>
      </w:r>
    </w:p>
    <w:p>
      <w:pPr>
        <w:sectPr>
          <w:pgSz w:w="11900" w:h="16838" w:orient="portrait"/>
          <w:cols w:equalWidth="0" w:num="1">
            <w:col w:w="11400"/>
          </w:cols>
          <w:pgMar w:left="240" w:top="270" w:right="259" w:bottom="1440" w:gutter="0" w:footer="0" w:header="0"/>
        </w:sectPr>
      </w:pPr>
    </w:p>
    <w:bookmarkStart w:id="83" w:name="page84"/>
    <w:bookmarkEnd w:id="83"/>
    <w:p>
      <w:pPr>
        <w:ind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cost of COBRA shall be determined on the same basis as the Company’s contribution to Company-provided health and dental insurance coverage in effect immediately before termination of the Employee’s employment for an active employee with the same coverage elections. At the end of the six</w:t>
      </w: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the Employee may continue such COBRA, if applicable, and shall be responsible for all premiums thereafter.</w:t>
      </w:r>
    </w:p>
    <w:p>
      <w:pPr>
        <w:spacing w:after="0" w:line="20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Death or Disability.</w:t>
      </w:r>
    </w:p>
    <w:p>
      <w:pPr>
        <w:spacing w:after="0" w:line="225" w:lineRule="exact"/>
        <w:rPr>
          <w:sz w:val="20"/>
          <w:szCs w:val="20"/>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6.1 If the Employee’s employment with the Company is terminated by reason of the Employee’s death or Disability (as defined below), then the Employee (or his estate, if applicable) shall be paid, within thirty (30) days of the date of the Employee’s death or determination of Disability, all accrued and unpaid base salary and any accrued but unused vacation through the date of termination.</w:t>
      </w:r>
    </w:p>
    <w:p>
      <w:pPr>
        <w:spacing w:after="0" w:line="176"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6.2 For purposes of this Agreement, “Disability” shall mean the Employee’s absence from the full-time performance of the Employee’s duties with the Company for 180 consecutive calendar days as a result of incapacity due to mental or physical illness which is determined to be total and permanent by a physician selected by the Company or its insurers and acceptable to the Employee or the Employee’s legal representative.</w:t>
      </w:r>
    </w:p>
    <w:p>
      <w:pPr>
        <w:sectPr>
          <w:pgSz w:w="11900" w:h="16838" w:orient="portrait"/>
          <w:cols w:equalWidth="0" w:num="1">
            <w:col w:w="11360"/>
          </w:cols>
          <w:pgMar w:left="240" w:top="270" w:right="299" w:bottom="1440" w:gutter="0" w:footer="0" w:header="0"/>
        </w:sectPr>
      </w:pPr>
    </w:p>
    <w:bookmarkStart w:id="84" w:name="page85"/>
    <w:bookmarkEnd w:id="84"/>
    <w:p>
      <w:pPr>
        <w:ind w:left="640" w:hanging="17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Termination Following 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Benefits to Employee Upon a Change of Control Termination</w:t>
      </w:r>
      <w:r>
        <w:rPr>
          <w:rFonts w:ascii="Times New Roman" w:cs="Times New Roman" w:eastAsia="Times New Roman" w:hAnsi="Times New Roman"/>
          <w:sz w:val="18"/>
          <w:szCs w:val="18"/>
          <w:color w:val="auto"/>
        </w:rPr>
        <w:t>. In the event of a Change of Control Termination (as defined in Section 7.2(c) below), the Employee shall be entitled to all accrued and unpaid base salary and any accrued but unused vacation through the date of termination. In addition, subject to the Employee’s execution and non-revocation of a binding Severance Agreement and subject to the terms and conditions of Section 18 of this Agreement, the Employee shall be eligible to receive the following separation benefits:</w:t>
      </w:r>
    </w:p>
    <w:p>
      <w:pPr>
        <w:spacing w:after="0" w:line="180" w:lineRule="exact"/>
        <w:rPr>
          <w:sz w:val="20"/>
          <w:szCs w:val="20"/>
          <w:color w:val="auto"/>
        </w:rPr>
      </w:pPr>
    </w:p>
    <w:p>
      <w:pPr>
        <w:ind w:firstLine="1492"/>
        <w:spacing w:after="0" w:line="255" w:lineRule="auto"/>
        <w:tabs>
          <w:tab w:leader="none" w:pos="17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(i) one twelfth (1/12) of the Employee’s then-current annualized base salary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Employee’s employment is terminated by the Employee’s voluntary resignation for Good Reason as a result of the Company’s material reduction of the Employee’s base salary, then the Employee’s then-current annualized base salary shall refer to his base salary as in effect immediately before such material reduction took effect) and (ii) the Severance Period (as defined in Section 7.2(d) below), less any amounts required to be withheld under applicable law, which amount shall be payable, in full and in a lump-sum cash payment on the Payment Commencement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Employee’s date of termination occurs prior to the closing of the Change of Control, then the severance payable hereunder shall be paid in the manner set forth in Section 5.1(a); and</w:t>
      </w:r>
    </w:p>
    <w:p>
      <w:pPr>
        <w:spacing w:after="0" w:line="189" w:lineRule="exact"/>
        <w:rPr>
          <w:rFonts w:ascii="Times New Roman" w:cs="Times New Roman" w:eastAsia="Times New Roman" w:hAnsi="Times New Roman"/>
          <w:sz w:val="18"/>
          <w:szCs w:val="18"/>
          <w:color w:val="auto"/>
        </w:rPr>
      </w:pPr>
    </w:p>
    <w:p>
      <w:pPr>
        <w:ind w:right="60" w:firstLine="1492"/>
        <w:spacing w:after="0" w:line="261" w:lineRule="auto"/>
        <w:tabs>
          <w:tab w:leader="none" w:pos="17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(i) the Employee’s target performance-based annual bonus pursuant to Section 3.2 for the year in which the Employee’s date of termination occurs and (ii) a fraction, the numerator of which is the number equal to the Severance Period and the denominator of which is twelve (12), less any amounts required to be withheld under applicable law, which amount shall be payable, in full and in a lump-sum cash payment on the Payment Commencement Date;</w:t>
      </w:r>
    </w:p>
    <w:p>
      <w:pPr>
        <w:spacing w:after="0" w:line="180" w:lineRule="exact"/>
        <w:rPr>
          <w:rFonts w:ascii="Times New Roman" w:cs="Times New Roman" w:eastAsia="Times New Roman" w:hAnsi="Times New Roman"/>
          <w:sz w:val="18"/>
          <w:szCs w:val="18"/>
          <w:color w:val="auto"/>
        </w:rPr>
      </w:pPr>
    </w:p>
    <w:p>
      <w:pPr>
        <w:ind w:right="340" w:firstLine="1492"/>
        <w:spacing w:after="0" w:line="282" w:lineRule="auto"/>
        <w:tabs>
          <w:tab w:leader="none" w:pos="17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the cost of COBRA coverage as provided in section 5.2 hereof, provided that in the event of a Change of Control Termination, such contributions shall last for the duration of the Severance Period; and</w:t>
      </w:r>
    </w:p>
    <w:p>
      <w:pPr>
        <w:spacing w:after="0" w:line="161" w:lineRule="exact"/>
        <w:rPr>
          <w:rFonts w:ascii="Times New Roman" w:cs="Times New Roman" w:eastAsia="Times New Roman" w:hAnsi="Times New Roman"/>
          <w:sz w:val="18"/>
          <w:szCs w:val="18"/>
          <w:color w:val="auto"/>
        </w:rPr>
      </w:pPr>
    </w:p>
    <w:p>
      <w:pPr>
        <w:jc w:val="both"/>
        <w:ind w:right="200" w:firstLine="1492"/>
        <w:spacing w:after="0" w:line="266" w:lineRule="auto"/>
        <w:tabs>
          <w:tab w:leader="none" w:pos="173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and immediate vesting of any equity awards subject to time-based vesting that are outstanding at the time of the termination of the Employee’s employment. Any of the Employee’s outstanding awards at the time of the termination will remain exercisable following termination to the extent set forth in the applicable award agreements.</w:t>
      </w:r>
    </w:p>
    <w:p>
      <w:pPr>
        <w:sectPr>
          <w:pgSz w:w="11900" w:h="16838" w:orient="portrait"/>
          <w:cols w:equalWidth="0" w:num="1">
            <w:col w:w="11400"/>
          </w:cols>
          <w:pgMar w:left="240" w:top="270" w:right="2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Key Definitions</w:t>
      </w:r>
      <w:r>
        <w:rPr>
          <w:rFonts w:ascii="Times New Roman" w:cs="Times New Roman" w:eastAsia="Times New Roman" w:hAnsi="Times New Roman"/>
          <w:sz w:val="18"/>
          <w:szCs w:val="18"/>
          <w:color w:val="auto"/>
        </w:rPr>
        <w:t>. As used herein, the following terms shall have the following respective meanings:</w:t>
      </w:r>
    </w:p>
    <w:p>
      <w:pPr>
        <w:spacing w:after="0" w:line="225" w:lineRule="exact"/>
        <w:rPr>
          <w:sz w:val="20"/>
          <w:szCs w:val="20"/>
          <w:color w:val="auto"/>
        </w:rPr>
      </w:pPr>
    </w:p>
    <w:p>
      <w:pPr>
        <w:ind w:left="-920" w:right="140" w:firstLine="1492"/>
        <w:spacing w:after="0" w:line="266" w:lineRule="auto"/>
        <w:tabs>
          <w:tab w:leader="none" w:pos="8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 event or occurrence set forth in any one or more of subsections (i) through (iii) below (including an event or occurrence that constitutes a Change in Control under one of such subsections but is specifically exempted from another such subsection), provided that such event constitutes a “change in control event” within the meaning of Treasury Regulation Section 1.409A-3(i)(5)(i):</w:t>
      </w:r>
    </w:p>
    <w:p>
      <w:pPr>
        <w:spacing w:after="0" w:line="176" w:lineRule="exact"/>
        <w:rPr>
          <w:rFonts w:ascii="Times New Roman" w:cs="Times New Roman" w:eastAsia="Times New Roman" w:hAnsi="Times New Roman"/>
          <w:sz w:val="18"/>
          <w:szCs w:val="18"/>
          <w:color w:val="auto"/>
        </w:rPr>
      </w:pPr>
    </w:p>
    <w:p>
      <w:pPr>
        <w:ind w:left="-920" w:firstLine="1948"/>
        <w:spacing w:after="0" w:line="258" w:lineRule="auto"/>
        <w:tabs>
          <w:tab w:leader="none" w:pos="123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more than 50%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or</w:t>
      </w:r>
    </w:p>
    <w:p>
      <w:pPr>
        <w:spacing w:after="0" w:line="183" w:lineRule="exact"/>
        <w:rPr>
          <w:rFonts w:ascii="Times New Roman" w:cs="Times New Roman" w:eastAsia="Times New Roman" w:hAnsi="Times New Roman"/>
          <w:sz w:val="18"/>
          <w:szCs w:val="18"/>
          <w:color w:val="auto"/>
        </w:rPr>
      </w:pPr>
    </w:p>
    <w:p>
      <w:pPr>
        <w:ind w:left="-920" w:right="160" w:firstLine="1948"/>
        <w:spacing w:after="0" w:line="261" w:lineRule="auto"/>
        <w:tabs>
          <w:tab w:leader="none" w:pos="128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reorganization, recapitalization or share exchange involving the Company or a sale or other disposition of all or substantially all of the assets of the Company in one or a series of transactions (a “Business Combination”), unless, immediately following such Business Combination, all or substantially all of the individuals and entities who were the beneficial owners of the Outstanding Company Common Stock and Outstanding Company Voting</w:t>
      </w:r>
    </w:p>
    <w:p>
      <w:pPr>
        <w:sectPr>
          <w:pgSz w:w="11900" w:h="16838" w:orient="portrait"/>
          <w:cols w:equalWidth="0" w:num="1">
            <w:col w:w="10480"/>
          </w:cols>
          <w:pgMar w:left="1160" w:top="270" w:right="259" w:bottom="1440" w:gutter="0" w:footer="0" w:header="0"/>
        </w:sectPr>
      </w:pPr>
    </w:p>
    <w:bookmarkStart w:id="86" w:name="page87"/>
    <w:bookmarkEnd w:id="8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or</w:t>
      </w:r>
    </w:p>
    <w:p>
      <w:pPr>
        <w:spacing w:after="0" w:line="18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(iii) approval by the stockholders of the Company of a complete or substantially complete liquidation or dissolution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right="40" w:firstLine="1492"/>
        <w:spacing w:after="0" w:line="255" w:lineRule="auto"/>
        <w:tabs>
          <w:tab w:leader="none" w:pos="173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Date</w:t>
      </w:r>
      <w:r>
        <w:rPr>
          <w:rFonts w:ascii="Times New Roman" w:cs="Times New Roman" w:eastAsia="Times New Roman" w:hAnsi="Times New Roman"/>
          <w:sz w:val="18"/>
          <w:szCs w:val="18"/>
          <w:color w:val="auto"/>
        </w:rPr>
        <w:t>” means the first date during the period of time the Employee is employed pursuant to this Agreement on which a Change in Control occurs. Anything in this Agreement to the contrary notwithstanding, if (a) a Change in Control occurs, (b) the Employee’s employment with the Company is terminated prior to the date on which the Change in Control occurs, and (c) it is reasonably demonstrated by the Employee that such termination of employment (i) was at the request of a third party who has taken steps reasonably calculated to effect a Change in Control or</w:t>
      </w:r>
    </w:p>
    <w:p>
      <w:pPr>
        <w:spacing w:after="0" w:line="2" w:lineRule="exact"/>
        <w:rPr>
          <w:rFonts w:ascii="Times New Roman" w:cs="Times New Roman" w:eastAsia="Times New Roman" w:hAnsi="Times New Roman"/>
          <w:sz w:val="18"/>
          <w:szCs w:val="18"/>
          <w:color w:val="auto"/>
        </w:rPr>
      </w:pPr>
    </w:p>
    <w:p>
      <w:pPr>
        <w:ind w:right="120" w:firstLine="8"/>
        <w:spacing w:after="0" w:line="261" w:lineRule="auto"/>
        <w:tabs>
          <w:tab w:leader="none" w:pos="2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arose in connection with or in anticipation of a Change in Control, then for all purposes of this Agreement the “Change in Control Date” shall mean the date immediately prior to the date of such termination of employment.</w:t>
      </w:r>
    </w:p>
    <w:p>
      <w:pPr>
        <w:sectPr>
          <w:pgSz w:w="11900" w:h="16838" w:orient="portrait"/>
          <w:cols w:equalWidth="0" w:num="1">
            <w:col w:w="11360"/>
          </w:cols>
          <w:pgMar w:left="240" w:top="270" w:right="299" w:bottom="1440" w:gutter="0" w:footer="0" w:header="0"/>
        </w:sectPr>
      </w:pPr>
    </w:p>
    <w:bookmarkStart w:id="87" w:name="page88"/>
    <w:bookmarkEnd w:id="87"/>
    <w:p>
      <w:pPr>
        <w:ind w:left="-464" w:right="320" w:firstLine="1492"/>
        <w:spacing w:after="0" w:line="282" w:lineRule="auto"/>
        <w:tabs>
          <w:tab w:leader="none" w:pos="126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Control Termination</w:t>
      </w:r>
      <w:r>
        <w:rPr>
          <w:rFonts w:ascii="Times New Roman" w:cs="Times New Roman" w:eastAsia="Times New Roman" w:hAnsi="Times New Roman"/>
          <w:sz w:val="18"/>
          <w:szCs w:val="18"/>
          <w:color w:val="auto"/>
        </w:rPr>
        <w:t xml:space="preserve"> occurs where the Employee is terminated without Cause (as defined in Section 4.3) or resigns for Good Reason (as defined in Section 4.2), in either case within twelve (12) months following the Change in Control Date.</w:t>
      </w:r>
    </w:p>
    <w:p>
      <w:pPr>
        <w:spacing w:after="0" w:line="161" w:lineRule="exact"/>
        <w:rPr>
          <w:rFonts w:ascii="Times New Roman" w:cs="Times New Roman" w:eastAsia="Times New Roman" w:hAnsi="Times New Roman"/>
          <w:sz w:val="18"/>
          <w:szCs w:val="18"/>
          <w:color w:val="auto"/>
        </w:rPr>
      </w:pPr>
    </w:p>
    <w:p>
      <w:pPr>
        <w:ind w:left="-464" w:right="20" w:firstLine="1492"/>
        <w:spacing w:after="0" w:line="282" w:lineRule="auto"/>
        <w:tabs>
          <w:tab w:leader="none" w:pos="127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means six (6) months plus one (1) additional month for each year of service by the Employee with the Company, up to a maximum of nine (9) months.</w:t>
      </w:r>
    </w:p>
    <w:p>
      <w:pPr>
        <w:spacing w:after="0" w:line="161" w:lineRule="exact"/>
        <w:rPr>
          <w:rFonts w:ascii="Times New Roman" w:cs="Times New Roman" w:eastAsia="Times New Roman" w:hAnsi="Times New Roman"/>
          <w:sz w:val="18"/>
          <w:szCs w:val="18"/>
          <w:color w:val="auto"/>
        </w:rPr>
      </w:pPr>
    </w:p>
    <w:p>
      <w:pPr>
        <w:ind w:left="-464" w:right="160" w:firstLine="464"/>
        <w:spacing w:after="0" w:line="282" w:lineRule="auto"/>
        <w:tabs>
          <w:tab w:leader="none" w:pos="17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Employee shall not be required to mitigate the amount of any payment or benefits provided for in Sections 5 or 7 by seeking other employment or otherwise except with regard to medical and dental coverage if new employment is obtained.</w:t>
      </w:r>
    </w:p>
    <w:p>
      <w:pPr>
        <w:spacing w:after="0" w:line="161" w:lineRule="exact"/>
        <w:rPr>
          <w:rFonts w:ascii="Times New Roman" w:cs="Times New Roman" w:eastAsia="Times New Roman" w:hAnsi="Times New Roman"/>
          <w:sz w:val="18"/>
          <w:szCs w:val="18"/>
          <w:color w:val="auto"/>
        </w:rPr>
      </w:pPr>
    </w:p>
    <w:p>
      <w:pPr>
        <w:ind w:left="176" w:hanging="176"/>
        <w:spacing w:after="0"/>
        <w:tabs>
          <w:tab w:leader="none" w:pos="17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Sections 5 and 7 shall survive the termination of this Agreement for any reason.</w:t>
      </w:r>
    </w:p>
    <w:p>
      <w:pPr>
        <w:spacing w:after="0" w:line="225" w:lineRule="exact"/>
        <w:rPr>
          <w:rFonts w:ascii="Times New Roman" w:cs="Times New Roman" w:eastAsia="Times New Roman" w:hAnsi="Times New Roman"/>
          <w:sz w:val="18"/>
          <w:szCs w:val="18"/>
          <w:color w:val="auto"/>
        </w:rPr>
      </w:pPr>
    </w:p>
    <w:p>
      <w:pPr>
        <w:ind w:left="-464" w:right="280" w:firstLine="464"/>
        <w:spacing w:after="0" w:line="282" w:lineRule="auto"/>
        <w:tabs>
          <w:tab w:leader="none" w:pos="26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 and Non-Disclosure Agreement</w:t>
      </w:r>
      <w:r>
        <w:rPr>
          <w:rFonts w:ascii="Times New Roman" w:cs="Times New Roman" w:eastAsia="Times New Roman" w:hAnsi="Times New Roman"/>
          <w:sz w:val="18"/>
          <w:szCs w:val="18"/>
          <w:color w:val="auto"/>
        </w:rPr>
        <w:t>. The Employee and the Company acknowledge (a) that they have entered into an Invention and Non-Disclosure Agreement and (b) the continuing effectiveness of such Invention and Non-Disclosure Agreement.</w:t>
      </w:r>
    </w:p>
    <w:p>
      <w:pPr>
        <w:spacing w:after="0" w:line="161" w:lineRule="exact"/>
        <w:rPr>
          <w:rFonts w:ascii="Times New Roman" w:cs="Times New Roman" w:eastAsia="Times New Roman" w:hAnsi="Times New Roman"/>
          <w:sz w:val="18"/>
          <w:szCs w:val="18"/>
          <w:color w:val="auto"/>
        </w:rPr>
      </w:pPr>
    </w:p>
    <w:p>
      <w:pPr>
        <w:ind w:left="-464" w:firstLine="464"/>
        <w:spacing w:after="0" w:line="258"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delivered under this Agreement shall be deemed duly delivered three (3) business days after it is sent by registered or certified mail, return receipt requested, postage prepaid, or one (1) business day after it is sent for next-business day delivery signature required via a reputable nationwide overnight courier service, to the Company’s address set forth in the introductory paragraph hereto or to the home address of the Employee then on file with the Company, as applicable. Either party may change the address to which notices are to be delivered by giving notice of such change to the other party in the manner set forth in this Section 11.</w:t>
      </w:r>
    </w:p>
    <w:p>
      <w:pPr>
        <w:sectPr>
          <w:pgSz w:w="11900" w:h="16838" w:orient="portrait"/>
          <w:cols w:equalWidth="0" w:num="1">
            <w:col w:w="10896"/>
          </w:cols>
          <w:pgMar w:left="704" w:top="270" w:right="299" w:bottom="1440" w:gutter="0" w:footer="0" w:header="0"/>
        </w:sectPr>
      </w:pPr>
    </w:p>
    <w:bookmarkStart w:id="88" w:name="page89"/>
    <w:bookmarkEnd w:id="88"/>
    <w:p>
      <w:pPr>
        <w:ind w:left="-464" w:right="80" w:firstLine="464"/>
        <w:spacing w:after="0" w:line="282" w:lineRule="auto"/>
        <w:tabs>
          <w:tab w:leader="none" w:pos="26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Pronouns</w:t>
      </w:r>
      <w:r>
        <w:rPr>
          <w:rFonts w:ascii="Times New Roman" w:cs="Times New Roman" w:eastAsia="Times New Roman" w:hAnsi="Times New Roman"/>
          <w:sz w:val="18"/>
          <w:szCs w:val="18"/>
          <w:color w:val="auto"/>
        </w:rPr>
        <w:t>. Whenever the context may require, any pronouns used in this Agreement shall include the corresponding masculine, feminine or neuter forms, and the singular forms of nouns and pronouns shall include the plural, and vice versa.</w:t>
      </w:r>
    </w:p>
    <w:p>
      <w:pPr>
        <w:spacing w:after="0" w:line="161" w:lineRule="exact"/>
        <w:rPr>
          <w:rFonts w:ascii="Times New Roman" w:cs="Times New Roman" w:eastAsia="Times New Roman" w:hAnsi="Times New Roman"/>
          <w:sz w:val="18"/>
          <w:szCs w:val="18"/>
          <w:color w:val="auto"/>
        </w:rPr>
      </w:pPr>
    </w:p>
    <w:p>
      <w:pPr>
        <w:ind w:left="-464" w:right="120" w:firstLine="464"/>
        <w:spacing w:after="0" w:line="282" w:lineRule="auto"/>
        <w:tabs>
          <w:tab w:leader="none" w:pos="26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all exhibits hereto constitute the entire agreement between the parties and supersedes all prior agreements and understandings, whether written or oral, relating to the subject matter of this Agreement.</w:t>
      </w:r>
    </w:p>
    <w:p>
      <w:pPr>
        <w:spacing w:after="0" w:line="161" w:lineRule="exact"/>
        <w:rPr>
          <w:rFonts w:ascii="Times New Roman" w:cs="Times New Roman" w:eastAsia="Times New Roman" w:hAnsi="Times New Roman"/>
          <w:sz w:val="18"/>
          <w:szCs w:val="18"/>
          <w:color w:val="auto"/>
        </w:rPr>
      </w:pPr>
    </w:p>
    <w:p>
      <w:pPr>
        <w:ind w:left="276" w:hanging="276"/>
        <w:spacing w:after="0"/>
        <w:tabs>
          <w:tab w:leader="none" w:pos="27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executed by both the Company and the Employee.</w:t>
      </w:r>
    </w:p>
    <w:p>
      <w:pPr>
        <w:spacing w:after="0" w:line="225" w:lineRule="exact"/>
        <w:rPr>
          <w:rFonts w:ascii="Times New Roman" w:cs="Times New Roman" w:eastAsia="Times New Roman" w:hAnsi="Times New Roman"/>
          <w:sz w:val="18"/>
          <w:szCs w:val="18"/>
          <w:color w:val="auto"/>
        </w:rPr>
      </w:pPr>
    </w:p>
    <w:p>
      <w:pPr>
        <w:ind w:left="-464" w:firstLine="464"/>
        <w:spacing w:after="0" w:line="258" w:lineRule="auto"/>
        <w:tabs>
          <w:tab w:leader="none" w:pos="26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Employee each consents to the jurisdiction of such a court. The Company and the Employee each hereby irrevocably waive any right to a trial by jury in any action, suit or other legal proceeding arising under or relating to any provision of this Agreement.</w:t>
      </w:r>
    </w:p>
    <w:p>
      <w:pPr>
        <w:spacing w:after="0" w:line="183" w:lineRule="exact"/>
        <w:rPr>
          <w:rFonts w:ascii="Times New Roman" w:cs="Times New Roman" w:eastAsia="Times New Roman" w:hAnsi="Times New Roman"/>
          <w:sz w:val="18"/>
          <w:szCs w:val="18"/>
          <w:color w:val="auto"/>
        </w:rPr>
      </w:pPr>
    </w:p>
    <w:p>
      <w:pPr>
        <w:jc w:val="both"/>
        <w:ind w:left="-464" w:right="20" w:firstLine="464"/>
        <w:spacing w:after="0" w:line="266" w:lineRule="auto"/>
        <w:tabs>
          <w:tab w:leader="none" w:pos="26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both parties and their respective successors and assigns, including any corporation with which or into which the Company may be merged or which may succeed to its assets 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obligations of the Employee are personal and shall not be assigned by him.</w:t>
      </w:r>
    </w:p>
    <w:p>
      <w:pPr>
        <w:sectPr>
          <w:pgSz w:w="11900" w:h="16838" w:orient="portrait"/>
          <w:cols w:equalWidth="0" w:num="1">
            <w:col w:w="10876"/>
          </w:cols>
          <w:pgMar w:left="704" w:top="270" w:right="319" w:bottom="1440" w:gutter="0" w:footer="0" w:header="0"/>
        </w:sectPr>
      </w:pPr>
    </w:p>
    <w:bookmarkStart w:id="89" w:name="page90"/>
    <w:bookmarkEnd w:id="89"/>
    <w:p>
      <w:pPr>
        <w:ind w:right="80" w:firstLine="464"/>
        <w:spacing w:after="0" w:line="266" w:lineRule="auto"/>
        <w:tabs>
          <w:tab w:leader="none" w:pos="7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w:t>
      </w:r>
      <w:r>
        <w:rPr>
          <w:rFonts w:ascii="Times New Roman" w:cs="Times New Roman" w:eastAsia="Times New Roman" w:hAnsi="Times New Roman"/>
          <w:sz w:val="18"/>
          <w:szCs w:val="18"/>
          <w:color w:val="auto"/>
        </w:rPr>
        <w:t>. The Employee states and represents that he has had an opportunity to fully discuss and review the terms of this Agreement with an attorney. The Employee further states and represents that he has carefully read this Agreement, understands the contents herein, freely and voluntarily assents to all of the terms and conditions hereof, and signs his name of his own free act.</w:t>
      </w:r>
    </w:p>
    <w:p>
      <w:pPr>
        <w:spacing w:after="0" w:line="176" w:lineRule="exact"/>
        <w:rPr>
          <w:rFonts w:ascii="Times New Roman" w:cs="Times New Roman" w:eastAsia="Times New Roman" w:hAnsi="Times New Roman"/>
          <w:sz w:val="18"/>
          <w:szCs w:val="18"/>
          <w:color w:val="auto"/>
        </w:rPr>
      </w:pPr>
    </w:p>
    <w:p>
      <w:pPr>
        <w:ind w:right="120" w:firstLine="464"/>
        <w:spacing w:after="0" w:line="261" w:lineRule="auto"/>
        <w:tabs>
          <w:tab w:leader="none" w:pos="72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Subject to Section 409A.</w:t>
      </w:r>
      <w:r>
        <w:rPr>
          <w:rFonts w:ascii="Times New Roman" w:cs="Times New Roman" w:eastAsia="Times New Roman" w:hAnsi="Times New Roman"/>
          <w:sz w:val="18"/>
          <w:szCs w:val="18"/>
          <w:color w:val="auto"/>
        </w:rPr>
        <w:t xml:space="preserve"> Subject to the provisions in this Section 18, any severance payments or benefits under this Agreement shall begin only upon the date of the Employee’s “separation from service” (determined as set forth below) which occurs on or after the date of termination of the Employee’s employment. The following rules shall apply with respect to distribution of the payments and benefits, if any, to be provided to the Employee under this Agreement:</w:t>
      </w:r>
    </w:p>
    <w:p>
      <w:pPr>
        <w:spacing w:after="0" w:line="180" w:lineRule="exact"/>
        <w:rPr>
          <w:rFonts w:ascii="Times New Roman" w:cs="Times New Roman" w:eastAsia="Times New Roman" w:hAnsi="Times New Roman"/>
          <w:sz w:val="18"/>
          <w:szCs w:val="18"/>
          <w:color w:val="auto"/>
        </w:rPr>
      </w:pPr>
    </w:p>
    <w:p>
      <w:pPr>
        <w:ind w:right="60" w:firstLine="1492"/>
        <w:spacing w:after="0" w:line="257" w:lineRule="auto"/>
        <w:tabs>
          <w:tab w:leader="none" w:pos="172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each installment of the severance payments and benefits provided under this Agreement shall be treated as a separate “payment” for purposes of Section 409A of the Code and the guidance issued thereunder (“Section 409A”). Neither the Company nor the Employee shall have the right to accelerate or defer the delivery of any such payments or benefits except to the extent specifically permitted or required by</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w:t>
      </w:r>
    </w:p>
    <w:p>
      <w:pPr>
        <w:spacing w:after="0" w:line="206" w:lineRule="exact"/>
        <w:rPr>
          <w:rFonts w:ascii="Times New Roman" w:cs="Times New Roman" w:eastAsia="Times New Roman" w:hAnsi="Times New Roman"/>
          <w:sz w:val="18"/>
          <w:szCs w:val="18"/>
          <w:color w:val="auto"/>
        </w:rPr>
      </w:pPr>
    </w:p>
    <w:p>
      <w:pPr>
        <w:jc w:val="both"/>
        <w:ind w:firstLine="1492"/>
        <w:spacing w:after="0" w:line="313" w:lineRule="auto"/>
        <w:tabs>
          <w:tab w:leader="none" w:pos="1738"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the date of the Employee’s “separation from service” from the Company, the Employee is not a “specified employee” (within the meaning of Section 409A), then each installment of the severance payments and benefits shall be made on the dates and terms set forth in this Agreement.</w:t>
      </w:r>
    </w:p>
    <w:p>
      <w:pPr>
        <w:sectPr>
          <w:pgSz w:w="11900" w:h="16838" w:orient="portrait"/>
          <w:cols w:equalWidth="0" w:num="1">
            <w:col w:w="11380"/>
          </w:cols>
          <w:pgMar w:left="240" w:top="270" w:right="279" w:bottom="1440" w:gutter="0" w:footer="0" w:header="0"/>
        </w:sectPr>
      </w:pPr>
    </w:p>
    <w:bookmarkStart w:id="90" w:name="page91"/>
    <w:bookmarkEnd w:id="90"/>
    <w:p>
      <w:pPr>
        <w:ind w:left="-1200" w:right="60" w:firstLine="1492"/>
        <w:spacing w:after="0" w:line="282" w:lineRule="auto"/>
        <w:tabs>
          <w:tab w:leader="none" w:pos="5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as of the date of the Employee’s “separation from service” from the Company, the Employee is a “specified employee” (within the meaning of Section 409A), then:</w:t>
      </w:r>
    </w:p>
    <w:p>
      <w:pPr>
        <w:spacing w:after="0" w:line="161" w:lineRule="exact"/>
        <w:rPr>
          <w:rFonts w:ascii="Times New Roman" w:cs="Times New Roman" w:eastAsia="Times New Roman" w:hAnsi="Times New Roman"/>
          <w:sz w:val="18"/>
          <w:szCs w:val="18"/>
          <w:color w:val="auto"/>
        </w:rPr>
      </w:pPr>
    </w:p>
    <w:p>
      <w:pPr>
        <w:ind w:left="-1200" w:right="20" w:firstLine="1948"/>
        <w:spacing w:after="0" w:line="261" w:lineRule="auto"/>
        <w:tabs>
          <w:tab w:leader="none" w:pos="95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 1.409A-1(b)(4) to the maximum extent permissible under Section 409A and shall be paid in the manner (and at the times) set forth in this agreement; and</w:t>
      </w:r>
    </w:p>
    <w:p>
      <w:pPr>
        <w:spacing w:after="0" w:line="180" w:lineRule="exact"/>
        <w:rPr>
          <w:rFonts w:ascii="Times New Roman" w:cs="Times New Roman" w:eastAsia="Times New Roman" w:hAnsi="Times New Roman"/>
          <w:sz w:val="18"/>
          <w:szCs w:val="18"/>
          <w:color w:val="auto"/>
        </w:rPr>
      </w:pPr>
    </w:p>
    <w:p>
      <w:pPr>
        <w:ind w:left="-1200" w:firstLine="1948"/>
        <w:spacing w:after="0" w:line="254" w:lineRule="auto"/>
        <w:tabs>
          <w:tab w:leader="none" w:pos="1005"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installment of the severance payments and benefits due under this Agreement that is not described in paragraph c(i) above and that would, absent this subsection, be paid within the six-month period following the Employee’s “separation from service” from the Company shall not be paid until the date that is six months and one day after such separation from service (or, if earlier, the Employee’s death), with any such installments that are required to be delayed being accumulated during the six-month period and paid in a lump sum on the date that is six months and one day following the Employee’s separation from service and any subsequent installments, if any, being paid in accordance with the dates and terms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preceding provisions of this sentence shall not apply to any installment of severance payments and benefits if and to the maximum extent that that such installment is deemed to be paid under a separation pay plan that does not provide for a deferral of compensation by reason of the application of Treasury Regulation § 1.409A-1(b)(9)(iii) (relating to separation pay upon an involuntary separation from service). Any installments that qualify for the exception under Treasury Regulation § 1.409A-1(b)(9)(iii) must be paid no later than the last day of the Employee’s second taxable year following the taxable year in which the separation from service occurs.</w:t>
      </w:r>
    </w:p>
    <w:p>
      <w:pPr>
        <w:sectPr>
          <w:pgSz w:w="11900" w:h="16838" w:orient="portrait"/>
          <w:cols w:equalWidth="0" w:num="1">
            <w:col w:w="10200"/>
          </w:cols>
          <w:pgMar w:left="1440" w:top="270" w:right="259" w:bottom="1440" w:gutter="0" w:footer="0" w:header="0"/>
        </w:sectPr>
      </w:pPr>
    </w:p>
    <w:bookmarkStart w:id="91" w:name="page92"/>
    <w:bookmarkEnd w:id="91"/>
    <w:p>
      <w:pPr>
        <w:ind w:firstLine="1492"/>
        <w:spacing w:after="0" w:line="282" w:lineRule="auto"/>
        <w:tabs>
          <w:tab w:leader="none" w:pos="173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determination of whether and when the Employee’s separation from service from the Company has occurred shall be made and in a manner consistent with, and based on the presumptions set forth in, Treasury Regulation § 1.409A-1(h).</w:t>
      </w:r>
    </w:p>
    <w:p>
      <w:pPr>
        <w:spacing w:after="0" w:line="161" w:lineRule="exact"/>
        <w:rPr>
          <w:rFonts w:ascii="Times New Roman" w:cs="Times New Roman" w:eastAsia="Times New Roman" w:hAnsi="Times New Roman"/>
          <w:sz w:val="18"/>
          <w:szCs w:val="18"/>
          <w:color w:val="auto"/>
        </w:rPr>
      </w:pPr>
    </w:p>
    <w:p>
      <w:pPr>
        <w:ind w:right="140" w:firstLine="1492"/>
        <w:spacing w:after="0" w:line="256" w:lineRule="auto"/>
        <w:tabs>
          <w:tab w:leader="none" w:pos="172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Employee’s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7" w:lineRule="exact"/>
        <w:rPr>
          <w:rFonts w:ascii="Times New Roman" w:cs="Times New Roman" w:eastAsia="Times New Roman" w:hAnsi="Times New Roman"/>
          <w:sz w:val="18"/>
          <w:szCs w:val="18"/>
          <w:color w:val="auto"/>
        </w:rPr>
      </w:pPr>
    </w:p>
    <w:p>
      <w:pPr>
        <w:ind w:right="320" w:firstLine="1492"/>
        <w:spacing w:after="0" w:line="282" w:lineRule="auto"/>
        <w:tabs>
          <w:tab w:leader="none" w:pos="170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have no liability to the Employee or to any other person if the payments and benefits provided hereunder that are intended to be exempt from or compliant with Section 409A are not so exempt or compliant.</w:t>
      </w:r>
    </w:p>
    <w:p>
      <w:pPr>
        <w:spacing w:after="0" w:line="161" w:lineRule="exact"/>
        <w:rPr>
          <w:rFonts w:ascii="Times New Roman" w:cs="Times New Roman" w:eastAsia="Times New Roman" w:hAnsi="Times New Roman"/>
          <w:sz w:val="18"/>
          <w:szCs w:val="18"/>
          <w:color w:val="auto"/>
        </w:rPr>
      </w:pPr>
    </w:p>
    <w:p>
      <w:pPr>
        <w:ind w:left="740" w:hanging="276"/>
        <w:spacing w:after="0"/>
        <w:tabs>
          <w:tab w:leader="none" w:pos="7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913"/>
        <w:spacing w:after="0" w:line="266" w:lineRule="auto"/>
        <w:rPr>
          <w:sz w:val="20"/>
          <w:szCs w:val="20"/>
          <w:color w:val="auto"/>
        </w:rPr>
      </w:pPr>
      <w:r>
        <w:rPr>
          <w:rFonts w:ascii="Times New Roman" w:cs="Times New Roman" w:eastAsia="Times New Roman" w:hAnsi="Times New Roman"/>
          <w:sz w:val="18"/>
          <w:szCs w:val="18"/>
          <w:color w:val="auto"/>
        </w:rPr>
        <w:t>19.1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ectPr>
          <w:pgSz w:w="11900" w:h="16838" w:orient="portrait"/>
          <w:cols w:equalWidth="0" w:num="1">
            <w:col w:w="11420"/>
          </w:cols>
          <w:pgMar w:left="240" w:top="270" w:right="239" w:bottom="1440" w:gutter="0" w:footer="0" w:header="0"/>
        </w:sectPr>
      </w:pPr>
    </w:p>
    <w:bookmarkStart w:id="92" w:name="page93"/>
    <w:bookmarkEnd w:id="92"/>
    <w:p>
      <w:pPr>
        <w:ind w:right="260"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19.2 The captions of the sections of this Agreement are for convenience of reference only and in no way define, limit or affect the scope or substance of any section of this Agreement.</w:t>
      </w:r>
    </w:p>
    <w:p>
      <w:pPr>
        <w:spacing w:after="0" w:line="162"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19.3 In case any provision of this Agreement shall be invalid, illegal or otherwise unenforceable, the validity, legality and enforceability of the remaining provisions shall in no way be affected or impaired thereby.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set forth above.</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CERULEAN PHARMA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Oliver S. Fetzer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 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 T. Guiffre</w:t>
      </w:r>
    </w:p>
    <w:p>
      <w:pPr>
        <w:sectPr>
          <w:pgSz w:w="11900" w:h="16838" w:orient="portrait"/>
          <w:cols w:equalWidth="0" w:num="1">
            <w:col w:w="11180"/>
          </w:cols>
          <w:pgMar w:left="240" w:top="270" w:right="47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9" w:lineRule="exact"/>
        <w:rPr>
          <w:sz w:val="20"/>
          <w:szCs w:val="20"/>
          <w:color w:val="auto"/>
        </w:rPr>
      </w:pPr>
    </w:p>
    <w:p>
      <w:pPr>
        <w:jc w:val="both"/>
        <w:ind w:right="580" w:firstLine="456"/>
        <w:spacing w:after="0" w:line="266" w:lineRule="auto"/>
        <w:rPr>
          <w:sz w:val="20"/>
          <w:szCs w:val="20"/>
          <w:color w:val="auto"/>
        </w:rPr>
      </w:pPr>
      <w:r>
        <w:rPr>
          <w:rFonts w:ascii="Times New Roman" w:cs="Times New Roman" w:eastAsia="Times New Roman" w:hAnsi="Times New Roman"/>
          <w:sz w:val="18"/>
          <w:szCs w:val="18"/>
          <w:color w:val="auto"/>
        </w:rPr>
        <w:t>THIS EMPLOYMENT AGREEMENT (the “Agreement”), made this 21 day of July, 2014, is entered into by Cerulean Pharma Inc., a Delaware corporation with its principal place of business at 840 Memorial Drive,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Cambridge, MA 02139 (the “Company”), and Edward Garmey (the “Employee”).</w:t>
      </w:r>
    </w:p>
    <w:p>
      <w:pPr>
        <w:spacing w:after="0" w:line="176"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The Company desires to continue to employ the Employee and the Employee desires to continue to be employed by the Company. In consideration of the mutual covenants and promises contained herein, and other good and valuable consideration, the receipt and sufficiency of which are acknowledged by the parties hereto, the parties agree as follows:</w:t>
      </w:r>
    </w:p>
    <w:p>
      <w:pPr>
        <w:spacing w:after="0" w:line="176" w:lineRule="exact"/>
        <w:rPr>
          <w:sz w:val="20"/>
          <w:szCs w:val="20"/>
          <w:color w:val="auto"/>
        </w:rPr>
      </w:pPr>
    </w:p>
    <w:p>
      <w:pPr>
        <w:jc w:val="both"/>
        <w:ind w:right="220" w:firstLine="464"/>
        <w:spacing w:after="0" w:line="266" w:lineRule="auto"/>
        <w:tabs>
          <w:tab w:leader="none" w:pos="6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Company hereby agrees to continue to employ the Employee and the Employee hereby accepts continued employment with the Company, upon the terms set forth in this Agreement. There shall be no definite term of employment, and the Employee’s employment shall be at-will such that both the Company and the Employee remain free to end the employment relationship for any reason, at any time, with or without notice.</w:t>
      </w:r>
    </w:p>
    <w:p>
      <w:pPr>
        <w:spacing w:after="0" w:line="176" w:lineRule="exact"/>
        <w:rPr>
          <w:rFonts w:ascii="Times New Roman" w:cs="Times New Roman" w:eastAsia="Times New Roman" w:hAnsi="Times New Roman"/>
          <w:sz w:val="18"/>
          <w:szCs w:val="18"/>
          <w:color w:val="auto"/>
        </w:rPr>
      </w:pPr>
    </w:p>
    <w:p>
      <w:pPr>
        <w:ind w:right="480" w:firstLine="464"/>
        <w:spacing w:after="0" w:line="282" w:lineRule="auto"/>
        <w:tabs>
          <w:tab w:leader="none" w:pos="6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and Capacity</w:t>
      </w:r>
      <w:r>
        <w:rPr>
          <w:rFonts w:ascii="Times New Roman" w:cs="Times New Roman" w:eastAsia="Times New Roman" w:hAnsi="Times New Roman"/>
          <w:sz w:val="18"/>
          <w:szCs w:val="18"/>
          <w:color w:val="auto"/>
        </w:rPr>
        <w:t>. The Employee shall serve as Chief Medical Officer and Senior Vice President of the Company and shall report to the Chief Executive Officer of the Company. The Employee shall be based at the Company’s headquarters in Cambridge, Massachusetts.</w:t>
      </w:r>
    </w:p>
    <w:p>
      <w:pPr>
        <w:spacing w:after="0" w:line="162" w:lineRule="exact"/>
        <w:rPr>
          <w:sz w:val="20"/>
          <w:szCs w:val="20"/>
          <w:color w:val="auto"/>
        </w:rPr>
      </w:pPr>
    </w:p>
    <w:p>
      <w:pPr>
        <w:ind w:right="160" w:firstLine="456"/>
        <w:spacing w:after="0" w:line="261" w:lineRule="auto"/>
        <w:rPr>
          <w:sz w:val="20"/>
          <w:szCs w:val="20"/>
          <w:color w:val="auto"/>
        </w:rPr>
      </w:pPr>
      <w:r>
        <w:rPr>
          <w:rFonts w:ascii="Times New Roman" w:cs="Times New Roman" w:eastAsia="Times New Roman" w:hAnsi="Times New Roman"/>
          <w:sz w:val="18"/>
          <w:szCs w:val="18"/>
          <w:color w:val="auto"/>
        </w:rPr>
        <w:t>The Employee agrees to undertake the duties and responsibilities inherent in such position and such other duties and responsibilities as the Chief Executive Officer or the Board of Directors of the Company (the “Board”) shall from time to time reasonably assign to him. The Employee agrees to devote his entire business time, attention and energies to the business and interests of the Company. The Employee agrees to abide by the rules, regulations, instructions, personnel practices and policies of the Company and any changes therein that may be adopted from time to time by the Company.</w:t>
      </w:r>
    </w:p>
    <w:p>
      <w:pPr>
        <w:sectPr>
          <w:pgSz w:w="11900" w:h="16838" w:orient="portrait"/>
          <w:cols w:equalWidth="0" w:num="1">
            <w:col w:w="11420"/>
          </w:cols>
          <w:pgMar w:left="240" w:top="117" w:right="239" w:bottom="1440" w:gutter="0" w:footer="0" w:header="0"/>
        </w:sectPr>
      </w:pPr>
    </w:p>
    <w:bookmarkStart w:id="94" w:name="page95"/>
    <w:bookmarkEnd w:id="94"/>
    <w:p>
      <w:pPr>
        <w:ind w:left="640" w:hanging="17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and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the Employee, in accordance with the Company’s regular payroll practices, a base salary at the annualized rate of $309,000, subject to adjustment thereafter by the Board.</w:t>
      </w:r>
    </w:p>
    <w:p>
      <w:pPr>
        <w:spacing w:after="0" w:line="162"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In addition to a base salary, the Employee will be eligible to receive a performance-based annual bonus for each fiscal year in which he is employed by the Company in the capacity of Chief Medical Officer and Senior Vice President. This bonus shall be based upon reasonably attainable annual quantitative and qualitative performance objectives established by the Board. The Employee’s annual bonus level target shall be set at forty percent (40%) of the Employee’s base salary for the currently applicable fiscal year and shall be subject to adjustment thereafter by the Board. The Board will determine, in its sole discretion, based upon its review of the achievement of the performance objectives for a given fiscal year and its consideration of the recommendation of the Compensation Committee, whether (and in what amount) a bonus award is payable to the Employee.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be eligible to receive a bonus award, the Employee must be an active employee on the date any such bonuses are distributed.</w:t>
      </w:r>
    </w:p>
    <w:p>
      <w:pPr>
        <w:spacing w:after="0" w:line="225"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The Employee shall be entitled to participate in all benefit plans and programs that the Company establishes and makes available to its employees to the extent that the Employee is eligible under (and subject to the provisions of) the plan documents governing those programs. The Employee shall be entitled to twenty (20) days paid vacation per year plus personal days and paid holidays generally offered by the Company to its employees, each to be administered in accordance with Company policy.</w:t>
      </w:r>
    </w:p>
    <w:p>
      <w:pPr>
        <w:sectPr>
          <w:pgSz w:w="11900" w:h="16838" w:orient="portrait"/>
          <w:cols w:equalWidth="0" w:num="1">
            <w:col w:w="11260"/>
          </w:cols>
          <w:pgMar w:left="240" w:top="270" w:right="399" w:bottom="1440" w:gutter="0" w:footer="0" w:header="0"/>
        </w:sectPr>
      </w:pPr>
    </w:p>
    <w:bookmarkStart w:id="95" w:name="page96"/>
    <w:bookmarkEnd w:id="95"/>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Reimbursement of Expenses</w:t>
      </w:r>
      <w:r>
        <w:rPr>
          <w:rFonts w:ascii="Times New Roman" w:cs="Times New Roman" w:eastAsia="Times New Roman" w:hAnsi="Times New Roman"/>
          <w:sz w:val="18"/>
          <w:szCs w:val="18"/>
          <w:color w:val="auto"/>
        </w:rPr>
        <w:t>. The Company shall reimburse the Employee for all reasonable travel, entertainment and other expenses incurred or paid by the Employee in connection with, or related to, the performance of his duties, responsibilities or services under this Agreement in accordance with the Company’s expense reimbursement policies as set forth in the Company’s employee handbook, a copy of which has been provided to the Employee. The reimbursement of expenses hereunder shall be subject to the terms and conditions set forth in Section 18(e) of this Agreement.</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salary, bonus and other compensation or benefits payable to the Employee shall be subject to applicable withholdings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7" w:lineRule="exact"/>
        <w:rPr>
          <w:sz w:val="20"/>
          <w:szCs w:val="20"/>
          <w:color w:val="auto"/>
        </w:rPr>
      </w:pPr>
    </w:p>
    <w:p>
      <w:pPr>
        <w:ind w:left="640" w:hanging="176"/>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Upon Resignation By The Employee Without Good Reason or Termination By The Company For Cause.</w:t>
      </w:r>
    </w:p>
    <w:p>
      <w:pPr>
        <w:spacing w:after="0" w:line="225"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Payment upon Voluntary Resignation or Termination for Cause</w:t>
      </w:r>
      <w:r>
        <w:rPr>
          <w:rFonts w:ascii="Times New Roman" w:cs="Times New Roman" w:eastAsia="Times New Roman" w:hAnsi="Times New Roman"/>
          <w:sz w:val="18"/>
          <w:szCs w:val="18"/>
          <w:color w:val="auto"/>
        </w:rPr>
        <w:t>. If the Employee voluntarily resigns his employment other than for Good Reason (as defined in Section 4.2), or if the Company terminates the Employee for Cause (as defined in Section 4.3), the Company shall pay the Employee all accrued and unpaid base salary through the Employee’s date of termination and any vacation that is accrued but unused as of such date. The Employee shall not be eligible for any severance or separation payments (including, but not limited to, those described in Sections 5 and 7 of this Agreement) or any continuation of benefits (other than those provided for under the Federal Consolidated Omnibus Budget Reconciliation Act (“COBRA”)), or any other compensation pursuant to this Agreement or otherwise. The Employee also shall have such rights, if any, with respect to outstanding equity awards as may be provided under the agreement applicable to each.</w:t>
      </w:r>
    </w:p>
    <w:p>
      <w:pPr>
        <w:sectPr>
          <w:pgSz w:w="11900" w:h="16838" w:orient="portrait"/>
          <w:cols w:equalWidth="0" w:num="1">
            <w:col w:w="11400"/>
          </w:cols>
          <w:pgMar w:left="240" w:top="270" w:right="259" w:bottom="1440" w:gutter="0" w:footer="0" w:header="0"/>
        </w:sectPr>
      </w:pPr>
    </w:p>
    <w:bookmarkStart w:id="96" w:name="page97"/>
    <w:bookmarkEnd w:id="96"/>
    <w:p>
      <w:pPr>
        <w:ind w:right="320" w:firstLine="913"/>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4.2 </w:t>
      </w:r>
      <w:r>
        <w:rPr>
          <w:rFonts w:ascii="Times New Roman" w:cs="Times New Roman" w:eastAsia="Times New Roman" w:hAnsi="Times New Roman"/>
          <w:sz w:val="17"/>
          <w:szCs w:val="17"/>
          <w:u w:val="single" w:color="auto"/>
          <w:color w:val="auto"/>
        </w:rPr>
        <w:t>Definition of “Good Reason”</w:t>
      </w:r>
      <w:r>
        <w:rPr>
          <w:rFonts w:ascii="Times New Roman" w:cs="Times New Roman" w:eastAsia="Times New Roman" w:hAnsi="Times New Roman"/>
          <w:sz w:val="17"/>
          <w:szCs w:val="17"/>
          <w:color w:val="auto"/>
        </w:rPr>
        <w:t xml:space="preserve">. For purposes of this Agreement, “Good Reason” means the occurrence, without the Employee’s written consent, of any of the events or circumstances set forth in clauses (a) through (c)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 event described in clauses (a) through</w:t>
      </w:r>
    </w:p>
    <w:p>
      <w:pPr>
        <w:spacing w:after="0" w:line="1" w:lineRule="exact"/>
        <w:rPr>
          <w:sz w:val="20"/>
          <w:szCs w:val="20"/>
          <w:color w:val="auto"/>
        </w:rPr>
      </w:pPr>
    </w:p>
    <w:p>
      <w:pPr>
        <w:ind w:firstLine="8"/>
        <w:spacing w:after="0" w:line="255" w:lineRule="auto"/>
        <w:tabs>
          <w:tab w:leader="none" w:pos="24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 shall not constitute Good Reason unless it is communicated in writing, within 90 days of the first occurrence of an event giving rise to the claim, by the Employee to the Board or its successor and unless it is not corrected by the Company or its successor within thirty (30) days of the Company’s receipt of such written notice:</w:t>
      </w:r>
    </w:p>
    <w:p>
      <w:pPr>
        <w:spacing w:after="0" w:line="186" w:lineRule="exact"/>
        <w:rPr>
          <w:rFonts w:ascii="Times New Roman" w:cs="Times New Roman" w:eastAsia="Times New Roman" w:hAnsi="Times New Roman"/>
          <w:sz w:val="18"/>
          <w:szCs w:val="18"/>
          <w:color w:val="auto"/>
        </w:rPr>
      </w:pPr>
    </w:p>
    <w:p>
      <w:pPr>
        <w:ind w:left="1740" w:hanging="248"/>
        <w:spacing w:after="0"/>
        <w:tabs>
          <w:tab w:leader="none" w:pos="17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diminution of the Employee’s duties, authority or responsibilities;</w:t>
      </w:r>
    </w:p>
    <w:p>
      <w:pPr>
        <w:spacing w:after="0" w:line="225" w:lineRule="exact"/>
        <w:rPr>
          <w:rFonts w:ascii="Times New Roman" w:cs="Times New Roman" w:eastAsia="Times New Roman" w:hAnsi="Times New Roman"/>
          <w:sz w:val="18"/>
          <w:szCs w:val="18"/>
          <w:color w:val="auto"/>
        </w:rPr>
      </w:pPr>
    </w:p>
    <w:p>
      <w:pPr>
        <w:ind w:left="1740" w:hanging="248"/>
        <w:spacing w:after="0"/>
        <w:tabs>
          <w:tab w:leader="none" w:pos="17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Employee’s base salary; or</w:t>
      </w:r>
    </w:p>
    <w:p>
      <w:pPr>
        <w:spacing w:after="0" w:line="225" w:lineRule="exact"/>
        <w:rPr>
          <w:rFonts w:ascii="Times New Roman" w:cs="Times New Roman" w:eastAsia="Times New Roman" w:hAnsi="Times New Roman"/>
          <w:sz w:val="18"/>
          <w:szCs w:val="18"/>
          <w:color w:val="auto"/>
        </w:rPr>
      </w:pPr>
    </w:p>
    <w:p>
      <w:pPr>
        <w:ind w:right="40" w:firstLine="1492"/>
        <w:spacing w:after="0" w:line="266" w:lineRule="auto"/>
        <w:tabs>
          <w:tab w:leader="none" w:pos="172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by the Company in the location at which the Employee performs his principal duties for the Company to a new location that is both (i) outside a radius of 50 miles from the Employee’s principal residence and (ii) more than 30 miles from the location at which the Employee performed his principal duties for the Company.</w:t>
      </w:r>
    </w:p>
    <w:p>
      <w:pPr>
        <w:spacing w:after="0" w:line="176" w:lineRule="exact"/>
        <w:rPr>
          <w:sz w:val="20"/>
          <w:szCs w:val="20"/>
          <w:color w:val="auto"/>
        </w:rPr>
      </w:pPr>
    </w:p>
    <w:p>
      <w:pPr>
        <w:ind w:right="120" w:firstLine="456"/>
        <w:spacing w:after="0" w:line="282" w:lineRule="auto"/>
        <w:rPr>
          <w:sz w:val="20"/>
          <w:szCs w:val="20"/>
          <w:color w:val="auto"/>
        </w:rPr>
      </w:pPr>
      <w:r>
        <w:rPr>
          <w:rFonts w:ascii="Times New Roman" w:cs="Times New Roman" w:eastAsia="Times New Roman" w:hAnsi="Times New Roman"/>
          <w:sz w:val="18"/>
          <w:szCs w:val="18"/>
          <w:color w:val="auto"/>
        </w:rPr>
        <w:t>If the Company fails to timely correct an event of Good Reason, the termination of Executive’s employment shall become effective 60 days after such notice is received by the Company.</w:t>
      </w:r>
    </w:p>
    <w:p>
      <w:pPr>
        <w:spacing w:after="0" w:line="162"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Definition of “Cause</w:t>
      </w:r>
      <w:r>
        <w:rPr>
          <w:rFonts w:ascii="Times New Roman" w:cs="Times New Roman" w:eastAsia="Times New Roman" w:hAnsi="Times New Roman"/>
          <w:sz w:val="18"/>
          <w:szCs w:val="18"/>
          <w:color w:val="auto"/>
        </w:rPr>
        <w:t>”. For purposes of this Agreement, “Cause” is defined as: (i) a good faith finding by the Board (excluding the Employee, if applicable) of (a) the Employee’s failure to (1) perform reasonably assigned lawful duties or (2) comply with a</w:t>
      </w:r>
    </w:p>
    <w:p>
      <w:pPr>
        <w:sectPr>
          <w:pgSz w:w="11900" w:h="16838" w:orient="portrait"/>
          <w:cols w:equalWidth="0" w:num="1">
            <w:col w:w="11380"/>
          </w:cols>
          <w:pgMar w:left="240" w:top="270" w:right="2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lawful instruction of the Board so long as, in the case of (2), the instruction is consistent with the scope and responsibilities of the Employee’s position, or</w:t>
      </w:r>
    </w:p>
    <w:p>
      <w:pPr>
        <w:spacing w:after="0" w:line="27" w:lineRule="exact"/>
        <w:rPr>
          <w:sz w:val="20"/>
          <w:szCs w:val="20"/>
          <w:color w:val="auto"/>
        </w:rPr>
      </w:pPr>
    </w:p>
    <w:p>
      <w:pPr>
        <w:ind w:right="140" w:firstLine="8"/>
        <w:spacing w:after="0" w:line="254"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Employee’s dishonesty, willful misconduct or gross negligence, or (c) the Employee’s substantial and material failure or refusal to perform according to, or to comply with, the policies, procedures or practices established by the Company or the Board and, in the case of (a) or (c), the Employee has had ten (10) days written notice to cure his failure to so perform or comply; or (ii) the Employee’s indictment, or the entering of a guilty plea or plea of “no contest” with respect to a felony or any crime involving moral turpitude.</w:t>
      </w:r>
    </w:p>
    <w:p>
      <w:pPr>
        <w:spacing w:after="0" w:line="185" w:lineRule="exact"/>
        <w:rPr>
          <w:rFonts w:ascii="Times New Roman" w:cs="Times New Roman" w:eastAsia="Times New Roman" w:hAnsi="Times New Roman"/>
          <w:sz w:val="18"/>
          <w:szCs w:val="18"/>
          <w:color w:val="auto"/>
        </w:rPr>
      </w:pPr>
    </w:p>
    <w:p>
      <w:pPr>
        <w:ind w:firstLine="464"/>
        <w:spacing w:after="0" w:line="256" w:lineRule="auto"/>
        <w:tabs>
          <w:tab w:leader="none" w:pos="63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Without Cause; Resignation for Good Reason</w:t>
      </w:r>
      <w:r>
        <w:rPr>
          <w:rFonts w:ascii="Times New Roman" w:cs="Times New Roman" w:eastAsia="Times New Roman" w:hAnsi="Times New Roman"/>
          <w:sz w:val="18"/>
          <w:szCs w:val="18"/>
          <w:color w:val="auto"/>
        </w:rPr>
        <w:t>. If the Employee’s employment with the Company is terminated by the Company without Cause (as defined in Section 4.3), or by the Employee’s voluntary resignation for Good Reason (as defined in Section 4.2), other than in connection with a Change in Control (as defined in Section 7.2(a)), then the Employee shall be paid all accrued and unpaid base salary and any accrued but unused vacation through the date of termination. In addition, subject to the Employee’s execution and non-revocation of a binding severance and mutual release agreement in a form satisfactory to the Company (hereinafter, a “Severance Agreement”) and subject to the terms and conditions of Section 18 of this Agreement, the Employee shall be eligible to receive the following separation benefits:</w:t>
      </w:r>
    </w:p>
    <w:p>
      <w:pPr>
        <w:spacing w:after="0" w:line="188"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5.1(a) an amount equal to the product of (i) one twelfth (1/12) of the Employee’s then-current annualized base salary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Employee’s employment is terminated by the Employee’s voluntary resignation for Good Reason as a result of the Company’s material reduction of the Employee’s base salary, then the Employee’s then-current annualized base salary shall refer to his base salary as in effect immediately before such</w:t>
      </w:r>
    </w:p>
    <w:p>
      <w:pPr>
        <w:sectPr>
          <w:pgSz w:w="11900" w:h="16838" w:orient="portrait"/>
          <w:cols w:equalWidth="0" w:num="1">
            <w:col w:w="11420"/>
          </w:cols>
          <w:pgMar w:left="240" w:top="270" w:right="2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reduction took effect) and (ii) six (6), less any amounts required to be withheld under applicable law, which amount shall be payable in six</w:t>
      </w:r>
    </w:p>
    <w:p>
      <w:pPr>
        <w:spacing w:after="0" w:line="27" w:lineRule="exact"/>
        <w:rPr>
          <w:sz w:val="20"/>
          <w:szCs w:val="20"/>
          <w:color w:val="auto"/>
        </w:rPr>
      </w:pPr>
    </w:p>
    <w:p>
      <w:pPr>
        <w:ind w:firstLine="8"/>
        <w:spacing w:after="0" w:line="251" w:lineRule="auto"/>
        <w:tabs>
          <w:tab w:leader="none" w:pos="2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equal monthly installments, in accordance with the Company’s payroll practices in effect from time to time beginning on the Payment Commencement Date (as defined below); and (b) the amount of any bonus for the prior year that was approved but not yet paid to the Employee at the time of the Employee’s termination of employment, less any amounts required to be withheld under applicable law, which amount shall be paid in a manner and timing consistent with the payments to other similarly situated employees and consistent with the requirements of Section 409A of the Internal Revenue Code of 1986, as amended (the “Code”) but in no event later than March 15 of the year following the year of performance; provided, in both cases, that the Severance Agreement has been executed and any applicable revocation period with respect thereto has expired within sixty (60) days following the Employee’s date of termination (such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the “Payment Commencement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Employee’s date of termination occurs in the calendar year following the year of termination, then the Payment Commencement Date shall be no earlier than January 1 of the year following the year of termination; and</w:t>
      </w:r>
    </w:p>
    <w:p>
      <w:pPr>
        <w:spacing w:after="0" w:line="194" w:lineRule="exact"/>
        <w:rPr>
          <w:sz w:val="20"/>
          <w:szCs w:val="20"/>
          <w:color w:val="auto"/>
        </w:rPr>
      </w:pPr>
    </w:p>
    <w:p>
      <w:pPr>
        <w:ind w:right="40" w:firstLine="913"/>
        <w:spacing w:after="0" w:line="258" w:lineRule="auto"/>
        <w:rPr>
          <w:sz w:val="20"/>
          <w:szCs w:val="20"/>
          <w:color w:val="auto"/>
        </w:rPr>
      </w:pPr>
      <w:r>
        <w:rPr>
          <w:rFonts w:ascii="Times New Roman" w:cs="Times New Roman" w:eastAsia="Times New Roman" w:hAnsi="Times New Roman"/>
          <w:sz w:val="18"/>
          <w:szCs w:val="18"/>
          <w:color w:val="auto"/>
        </w:rPr>
        <w:t xml:space="preserve">5.2 upon the Employee’s termination from employment pursuant to this Section 5, the Company shall make contributions to the cost of COBRA (Consolidated Omnibus Budget Reconciliation Act) coverage on behalf of the Employee and any applicable dependents for a period of six (6) months after the Employee’s termination if the Employee elects COBRA coverage, and only for so long as such coverage continues in force;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Employee commences new employment and is eligible for a new group health plan, the Company’s contributions toward COBRA coverage shall end when the new employment begins.</w:t>
      </w:r>
    </w:p>
    <w:p>
      <w:pPr>
        <w:sectPr>
          <w:pgSz w:w="11900" w:h="16838" w:orient="portrait"/>
          <w:cols w:equalWidth="0" w:num="1">
            <w:col w:w="11400"/>
          </w:cols>
          <w:pgMar w:left="240" w:top="270" w:right="259" w:bottom="1440" w:gutter="0" w:footer="0" w:header="0"/>
        </w:sectPr>
      </w:pPr>
    </w:p>
    <w:bookmarkStart w:id="99" w:name="page100"/>
    <w:bookmarkEnd w:id="99"/>
    <w:p>
      <w:pPr>
        <w:ind w:right="3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cost of COBRA shall be determined on the same basis as the Company’s contribution to Company-provided health and dental insurance coverage in effect immediately before termination of the Employee’s employment for an active employee with the same coverage elections. At the end of the six</w:t>
      </w:r>
    </w:p>
    <w:p>
      <w:pPr>
        <w:ind w:left="260" w:hanging="252"/>
        <w:spacing w:after="0"/>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the Employee may continue such COBRA, if applicable, and shall be responsible for all premiums thereafter.</w:t>
      </w:r>
    </w:p>
    <w:p>
      <w:pPr>
        <w:spacing w:after="0" w:line="206"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Reason of Death or Disability.</w:t>
      </w:r>
    </w:p>
    <w:p>
      <w:pPr>
        <w:spacing w:after="0" w:line="225" w:lineRule="exact"/>
        <w:rPr>
          <w:sz w:val="20"/>
          <w:szCs w:val="20"/>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6.1 If the Employee’s employment with the Company is terminated by reason of the Employee’s death or Disability (as defined below), then the Employee (or his estate, if applicable) shall be paid, within thirty (30) days of the date of the Employee’s death or determination of Disability, all accrued and unpaid base salary and any accrued but unused vacation through the date of termination.</w:t>
      </w:r>
    </w:p>
    <w:p>
      <w:pPr>
        <w:spacing w:after="0" w:line="176"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6.2 For purposes of this Agreement, “Disability” shall mean the Employee’s absence from the full-time performance of the Employee’s duties with the Company for 180 consecutive calendar days as a result of incapacity due to mental or physical illness which is determined to be total and permanent by a physician selected by the Company or its insurers and acceptable to the Employee or the Employee’s legal representative.</w:t>
      </w:r>
    </w:p>
    <w:p>
      <w:pPr>
        <w:sectPr>
          <w:pgSz w:w="11900" w:h="16838" w:orient="portrait"/>
          <w:cols w:equalWidth="0" w:num="1">
            <w:col w:w="11360"/>
          </w:cols>
          <w:pgMar w:left="240" w:top="270" w:right="299" w:bottom="1440" w:gutter="0" w:footer="0" w:header="0"/>
        </w:sectPr>
      </w:pPr>
    </w:p>
    <w:bookmarkStart w:id="100" w:name="page101"/>
    <w:bookmarkEnd w:id="100"/>
    <w:p>
      <w:pPr>
        <w:ind w:left="640" w:hanging="176"/>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Following 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Benefits to Employee Upon a Change of Control Termination</w:t>
      </w:r>
      <w:r>
        <w:rPr>
          <w:rFonts w:ascii="Times New Roman" w:cs="Times New Roman" w:eastAsia="Times New Roman" w:hAnsi="Times New Roman"/>
          <w:sz w:val="18"/>
          <w:szCs w:val="18"/>
          <w:color w:val="auto"/>
        </w:rPr>
        <w:t>. In the event of a Change of Control Termination (as defined in Section 7.2(c) below), the Employee shall be entitled to all accrued and unpaid base salary and any accrued but unused vacation through the date of termination. In addition, subject to the Employee’s execution and non-revocation of a binding Severance Agreement and subject to the terms and conditions of Section 18 of this Agreement, the Employee shall be eligible to receive the following separation benefits:</w:t>
      </w:r>
    </w:p>
    <w:p>
      <w:pPr>
        <w:spacing w:after="0" w:line="180" w:lineRule="exact"/>
        <w:rPr>
          <w:sz w:val="20"/>
          <w:szCs w:val="20"/>
          <w:color w:val="auto"/>
        </w:rPr>
      </w:pPr>
    </w:p>
    <w:p>
      <w:pPr>
        <w:ind w:firstLine="1492"/>
        <w:spacing w:after="0" w:line="255" w:lineRule="auto"/>
        <w:tabs>
          <w:tab w:leader="none" w:pos="17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(i) one twelfth (1/12) of the Employee’s then-current annualized base salary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Employee’s employment is terminated by the Employee’s voluntary resignation for Good Reason as a result of the Company’s material reduction of the Employee’s base salary, then the Employee’s then-current annualized base salary shall refer to his base salary as in effect immediately before such material reduction took effect) and (ii) the Severance Period (as defined in Section 7.2(d) below), less any amounts required to be withheld under applicable law, which amount shall be payable, in full and in a lump-sum cash payment on the Payment Commencement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Employee’s date of termination occurs prior to the closing of the Change of Control, then the severance payable hereunder shall be paid in the manner set forth in Section 5.1(a); and</w:t>
      </w:r>
    </w:p>
    <w:p>
      <w:pPr>
        <w:spacing w:after="0" w:line="189" w:lineRule="exact"/>
        <w:rPr>
          <w:rFonts w:ascii="Times New Roman" w:cs="Times New Roman" w:eastAsia="Times New Roman" w:hAnsi="Times New Roman"/>
          <w:sz w:val="18"/>
          <w:szCs w:val="18"/>
          <w:color w:val="auto"/>
        </w:rPr>
      </w:pPr>
    </w:p>
    <w:p>
      <w:pPr>
        <w:ind w:right="60" w:firstLine="1492"/>
        <w:spacing w:after="0" w:line="261" w:lineRule="auto"/>
        <w:tabs>
          <w:tab w:leader="none" w:pos="17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product of (i) the Employee’s target performance-based annual bonus pursuant to Section 3.2 for the year in which the Employee’s date of termination occurs and (ii) a fraction, the numerator of which is the number equal to the Severance Period and the denominator of which is twelve (12), less any amounts required to be withheld under applicable law, which amount shall be payable, in full and in a lump-sum cash payment on the Payment Commencement Date;</w:t>
      </w:r>
    </w:p>
    <w:p>
      <w:pPr>
        <w:spacing w:after="0" w:line="180" w:lineRule="exact"/>
        <w:rPr>
          <w:rFonts w:ascii="Times New Roman" w:cs="Times New Roman" w:eastAsia="Times New Roman" w:hAnsi="Times New Roman"/>
          <w:sz w:val="18"/>
          <w:szCs w:val="18"/>
          <w:color w:val="auto"/>
        </w:rPr>
      </w:pPr>
    </w:p>
    <w:p>
      <w:pPr>
        <w:ind w:right="340" w:firstLine="1492"/>
        <w:spacing w:after="0" w:line="282" w:lineRule="auto"/>
        <w:tabs>
          <w:tab w:leader="none" w:pos="172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the cost of COBRA coverage as provided in section 5.2 hereof, provided that in the event of a Change of Control Termination, such contributions shall last for the duration of the Severance Period; and</w:t>
      </w:r>
    </w:p>
    <w:p>
      <w:pPr>
        <w:spacing w:after="0" w:line="161" w:lineRule="exact"/>
        <w:rPr>
          <w:rFonts w:ascii="Times New Roman" w:cs="Times New Roman" w:eastAsia="Times New Roman" w:hAnsi="Times New Roman"/>
          <w:sz w:val="18"/>
          <w:szCs w:val="18"/>
          <w:color w:val="auto"/>
        </w:rPr>
      </w:pPr>
    </w:p>
    <w:p>
      <w:pPr>
        <w:jc w:val="both"/>
        <w:ind w:right="200" w:firstLine="1492"/>
        <w:spacing w:after="0" w:line="266" w:lineRule="auto"/>
        <w:tabs>
          <w:tab w:leader="none" w:pos="173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and immediate vesting of any equity awards subject to time-based vesting that are outstanding at the time of the termination of the Employee’s employment. Any of the Employee’s outstanding awards at the time of the termination will remain exercisable following termination to the extent set forth in the applicable award agreements.</w:t>
      </w:r>
    </w:p>
    <w:p>
      <w:pPr>
        <w:sectPr>
          <w:pgSz w:w="11900" w:h="16838" w:orient="portrait"/>
          <w:cols w:equalWidth="0" w:num="1">
            <w:col w:w="11400"/>
          </w:cols>
          <w:pgMar w:left="240" w:top="270" w:right="2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Key Definitions</w:t>
      </w:r>
      <w:r>
        <w:rPr>
          <w:rFonts w:ascii="Times New Roman" w:cs="Times New Roman" w:eastAsia="Times New Roman" w:hAnsi="Times New Roman"/>
          <w:sz w:val="18"/>
          <w:szCs w:val="18"/>
          <w:color w:val="auto"/>
        </w:rPr>
        <w:t>. As used herein, the following terms shall have the following respective meanings:</w:t>
      </w:r>
    </w:p>
    <w:p>
      <w:pPr>
        <w:spacing w:after="0" w:line="225" w:lineRule="exact"/>
        <w:rPr>
          <w:sz w:val="20"/>
          <w:szCs w:val="20"/>
          <w:color w:val="auto"/>
        </w:rPr>
      </w:pPr>
    </w:p>
    <w:p>
      <w:pPr>
        <w:ind w:left="-920" w:right="140" w:firstLine="1492"/>
        <w:spacing w:after="0" w:line="266" w:lineRule="auto"/>
        <w:tabs>
          <w:tab w:leader="none" w:pos="80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an event or occurrence set forth in any one or more of subsections (i) through (iii) below (including an event or occurrence that constitutes a Change in Control under one of such subsections but is specifically exempted from another such subsection), provided that such event constitutes a “change in control event” within the meaning of Treasury Regulation Section 1.409A-3(i)(5)(i):</w:t>
      </w:r>
    </w:p>
    <w:p>
      <w:pPr>
        <w:spacing w:after="0" w:line="176" w:lineRule="exact"/>
        <w:rPr>
          <w:rFonts w:ascii="Times New Roman" w:cs="Times New Roman" w:eastAsia="Times New Roman" w:hAnsi="Times New Roman"/>
          <w:sz w:val="18"/>
          <w:szCs w:val="18"/>
          <w:color w:val="auto"/>
        </w:rPr>
      </w:pPr>
    </w:p>
    <w:p>
      <w:pPr>
        <w:ind w:left="-920" w:firstLine="1948"/>
        <w:spacing w:after="0" w:line="258" w:lineRule="auto"/>
        <w:tabs>
          <w:tab w:leader="none" w:pos="123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more than 50% of either (x) the then-outstanding shares of common stock of the Company (the “Outstanding Company Common Stock”) or (y) the combined voting power of the then-outstanding securities of the Company entitled to vote generally in the election of directors (the “Outstanding Company Voting Securities”); or</w:t>
      </w:r>
    </w:p>
    <w:p>
      <w:pPr>
        <w:spacing w:after="0" w:line="183" w:lineRule="exact"/>
        <w:rPr>
          <w:rFonts w:ascii="Times New Roman" w:cs="Times New Roman" w:eastAsia="Times New Roman" w:hAnsi="Times New Roman"/>
          <w:sz w:val="18"/>
          <w:szCs w:val="18"/>
          <w:color w:val="auto"/>
        </w:rPr>
      </w:pPr>
    </w:p>
    <w:p>
      <w:pPr>
        <w:ind w:left="-920" w:right="160" w:firstLine="1948"/>
        <w:spacing w:after="0" w:line="261" w:lineRule="auto"/>
        <w:tabs>
          <w:tab w:leader="none" w:pos="128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reorganization, recapitalization or share exchange involving the Company or a sale or other disposition of all or substantially all of the assets of the Company in one or a series of transactions (a “Business Combination”), unless, immediately following such Business Combination, all or substantially all of the individuals and entities who were the beneficial owners of the Outstanding Company Common Stock and Outstanding Company Voting</w:t>
      </w:r>
    </w:p>
    <w:p>
      <w:pPr>
        <w:sectPr>
          <w:pgSz w:w="11900" w:h="16838" w:orient="portrait"/>
          <w:cols w:equalWidth="0" w:num="1">
            <w:col w:w="10480"/>
          </w:cols>
          <w:pgMar w:left="1160" w:top="270" w:right="259" w:bottom="1440" w:gutter="0" w:footer="0" w:header="0"/>
        </w:sectPr>
      </w:pPr>
    </w:p>
    <w:bookmarkStart w:id="102" w:name="page103"/>
    <w:bookmarkEnd w:id="10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“Acquiring Corporation”) in substantially the same proportions as their ownership, immediately prior to such Business Combination, of the Outstanding Company Common Stock and Outstanding Company Voting Securities, respectively; or</w:t>
      </w:r>
    </w:p>
    <w:p>
      <w:pPr>
        <w:spacing w:after="0" w:line="18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(iii) approval by the stockholders of the Company of a complete or substantially complete liquidation or dissolution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right="40" w:firstLine="1492"/>
        <w:spacing w:after="0" w:line="255" w:lineRule="auto"/>
        <w:tabs>
          <w:tab w:leader="none" w:pos="173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 Date</w:t>
      </w:r>
      <w:r>
        <w:rPr>
          <w:rFonts w:ascii="Times New Roman" w:cs="Times New Roman" w:eastAsia="Times New Roman" w:hAnsi="Times New Roman"/>
          <w:sz w:val="18"/>
          <w:szCs w:val="18"/>
          <w:color w:val="auto"/>
        </w:rPr>
        <w:t>” means the first date during the period of time the Employee is employed pursuant to this Agreement on which a Change in Control occurs. Anything in this Agreement to the contrary notwithstanding, if (a) a Change in Control occurs, (b) the Employee’s employment with the Company is terminated prior to the date on which the Change in Control occurs, and (c) it is reasonably demonstrated by the Employee that such termination of employment (i) was at the request of a third party who has taken steps reasonably calculated to effect a Change in Control or</w:t>
      </w:r>
    </w:p>
    <w:p>
      <w:pPr>
        <w:spacing w:after="0" w:line="2" w:lineRule="exact"/>
        <w:rPr>
          <w:rFonts w:ascii="Times New Roman" w:cs="Times New Roman" w:eastAsia="Times New Roman" w:hAnsi="Times New Roman"/>
          <w:sz w:val="18"/>
          <w:szCs w:val="18"/>
          <w:color w:val="auto"/>
        </w:rPr>
      </w:pPr>
    </w:p>
    <w:p>
      <w:pPr>
        <w:ind w:right="120" w:firstLine="8"/>
        <w:spacing w:after="0" w:line="261" w:lineRule="auto"/>
        <w:tabs>
          <w:tab w:leader="none" w:pos="2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arose in connection with or in anticipation of a Change in Control, then for all purposes of this Agreement the “Change in Control Date” shall mean the date immediately prior to the date of such termination of employment.</w:t>
      </w:r>
    </w:p>
    <w:p>
      <w:pPr>
        <w:sectPr>
          <w:pgSz w:w="11900" w:h="16838" w:orient="portrait"/>
          <w:cols w:equalWidth="0" w:num="1">
            <w:col w:w="11360"/>
          </w:cols>
          <w:pgMar w:left="240" w:top="270" w:right="299" w:bottom="1440" w:gutter="0" w:footer="0" w:header="0"/>
        </w:sectPr>
      </w:pPr>
    </w:p>
    <w:bookmarkStart w:id="103" w:name="page104"/>
    <w:bookmarkEnd w:id="103"/>
    <w:p>
      <w:pPr>
        <w:ind w:left="-464" w:right="320" w:firstLine="1492"/>
        <w:spacing w:after="0" w:line="282" w:lineRule="auto"/>
        <w:tabs>
          <w:tab w:leader="none" w:pos="126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of Control Termination</w:t>
      </w:r>
      <w:r>
        <w:rPr>
          <w:rFonts w:ascii="Times New Roman" w:cs="Times New Roman" w:eastAsia="Times New Roman" w:hAnsi="Times New Roman"/>
          <w:sz w:val="18"/>
          <w:szCs w:val="18"/>
          <w:color w:val="auto"/>
        </w:rPr>
        <w:t xml:space="preserve"> occurs where the Employee is terminated without Cause (as defined in Section 4.3) or resigns for Good Reason (as defined in Section 4.2), in either case within twelve (12) months following the Change in Control Date.</w:t>
      </w:r>
    </w:p>
    <w:p>
      <w:pPr>
        <w:spacing w:after="0" w:line="161" w:lineRule="exact"/>
        <w:rPr>
          <w:rFonts w:ascii="Times New Roman" w:cs="Times New Roman" w:eastAsia="Times New Roman" w:hAnsi="Times New Roman"/>
          <w:sz w:val="18"/>
          <w:szCs w:val="18"/>
          <w:color w:val="auto"/>
        </w:rPr>
      </w:pPr>
    </w:p>
    <w:p>
      <w:pPr>
        <w:ind w:left="-464" w:right="20" w:firstLine="1492"/>
        <w:spacing w:after="0" w:line="282" w:lineRule="auto"/>
        <w:tabs>
          <w:tab w:leader="none" w:pos="127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Severance Period</w:t>
      </w:r>
      <w:r>
        <w:rPr>
          <w:rFonts w:ascii="Times New Roman" w:cs="Times New Roman" w:eastAsia="Times New Roman" w:hAnsi="Times New Roman"/>
          <w:sz w:val="18"/>
          <w:szCs w:val="18"/>
          <w:color w:val="auto"/>
        </w:rPr>
        <w:t>” means six (6) months plus one (1) additional month for each year of service by the Employee with the Company, up to a maximum of nine (9) months.</w:t>
      </w:r>
    </w:p>
    <w:p>
      <w:pPr>
        <w:spacing w:after="0" w:line="161" w:lineRule="exact"/>
        <w:rPr>
          <w:rFonts w:ascii="Times New Roman" w:cs="Times New Roman" w:eastAsia="Times New Roman" w:hAnsi="Times New Roman"/>
          <w:sz w:val="18"/>
          <w:szCs w:val="18"/>
          <w:color w:val="auto"/>
        </w:rPr>
      </w:pPr>
    </w:p>
    <w:p>
      <w:pPr>
        <w:ind w:left="-464" w:right="160" w:firstLine="464"/>
        <w:spacing w:after="0" w:line="282" w:lineRule="auto"/>
        <w:tabs>
          <w:tab w:leader="none" w:pos="17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The Employee shall not be required to mitigate the amount of any payment or benefits provided for in Sections 5 or 7 by seeking other employment or otherwise except with regard to medical and dental coverage if new employment is obtained.</w:t>
      </w:r>
    </w:p>
    <w:p>
      <w:pPr>
        <w:spacing w:after="0" w:line="161" w:lineRule="exact"/>
        <w:rPr>
          <w:rFonts w:ascii="Times New Roman" w:cs="Times New Roman" w:eastAsia="Times New Roman" w:hAnsi="Times New Roman"/>
          <w:sz w:val="18"/>
          <w:szCs w:val="18"/>
          <w:color w:val="auto"/>
        </w:rPr>
      </w:pPr>
    </w:p>
    <w:p>
      <w:pPr>
        <w:ind w:left="176" w:hanging="176"/>
        <w:spacing w:after="0"/>
        <w:tabs>
          <w:tab w:leader="none" w:pos="1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Sections 5 and 7 shall survive the termination of this Agreement for any reason.</w:t>
      </w:r>
    </w:p>
    <w:p>
      <w:pPr>
        <w:spacing w:after="0" w:line="225" w:lineRule="exact"/>
        <w:rPr>
          <w:rFonts w:ascii="Times New Roman" w:cs="Times New Roman" w:eastAsia="Times New Roman" w:hAnsi="Times New Roman"/>
          <w:sz w:val="18"/>
          <w:szCs w:val="18"/>
          <w:color w:val="auto"/>
        </w:rPr>
      </w:pPr>
    </w:p>
    <w:p>
      <w:pPr>
        <w:ind w:left="-464" w:right="280" w:firstLine="464"/>
        <w:spacing w:after="0" w:line="282" w:lineRule="auto"/>
        <w:tabs>
          <w:tab w:leader="none" w:pos="26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 and Non-Disclosure Agreement</w:t>
      </w:r>
      <w:r>
        <w:rPr>
          <w:rFonts w:ascii="Times New Roman" w:cs="Times New Roman" w:eastAsia="Times New Roman" w:hAnsi="Times New Roman"/>
          <w:sz w:val="18"/>
          <w:szCs w:val="18"/>
          <w:color w:val="auto"/>
        </w:rPr>
        <w:t>. The Employee and the Company acknowledge (a) that they have entered into an Invention and Non-Disclosure Agreement and (b) the continuing effectiveness of such Invention and Non-Disclosure Agreement.</w:t>
      </w:r>
    </w:p>
    <w:p>
      <w:pPr>
        <w:spacing w:after="0" w:line="161" w:lineRule="exact"/>
        <w:rPr>
          <w:rFonts w:ascii="Times New Roman" w:cs="Times New Roman" w:eastAsia="Times New Roman" w:hAnsi="Times New Roman"/>
          <w:sz w:val="18"/>
          <w:szCs w:val="18"/>
          <w:color w:val="auto"/>
        </w:rPr>
      </w:pPr>
    </w:p>
    <w:p>
      <w:pPr>
        <w:ind w:left="-464" w:firstLine="464"/>
        <w:spacing w:after="0" w:line="258" w:lineRule="auto"/>
        <w:tabs>
          <w:tab w:leader="none" w:pos="2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delivered under this Agreement shall be deemed duly delivered three (3) business days after it is sent by registered or certified mail, return receipt requested, postage prepaid, or one (1) business day after it is sent for next-business day delivery signature required via a reputable nationwide overnight courier service, to the Company’s address set forth in the introductory paragraph hereto or to the home address of the Employee then on file with the Company, as applicable. Either party may change the address to which notices are to be delivered by giving notice of such change to the other party in the manner set forth in this Section 11.</w:t>
      </w:r>
    </w:p>
    <w:p>
      <w:pPr>
        <w:sectPr>
          <w:pgSz w:w="11900" w:h="16838" w:orient="portrait"/>
          <w:cols w:equalWidth="0" w:num="1">
            <w:col w:w="10896"/>
          </w:cols>
          <w:pgMar w:left="704" w:top="270" w:right="299" w:bottom="1440" w:gutter="0" w:footer="0" w:header="0"/>
        </w:sectPr>
      </w:pPr>
    </w:p>
    <w:bookmarkStart w:id="104" w:name="page105"/>
    <w:bookmarkEnd w:id="104"/>
    <w:p>
      <w:pPr>
        <w:ind w:left="-464" w:right="80" w:firstLine="464"/>
        <w:spacing w:after="0" w:line="282" w:lineRule="auto"/>
        <w:tabs>
          <w:tab w:leader="none" w:pos="2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Pronouns</w:t>
      </w:r>
      <w:r>
        <w:rPr>
          <w:rFonts w:ascii="Times New Roman" w:cs="Times New Roman" w:eastAsia="Times New Roman" w:hAnsi="Times New Roman"/>
          <w:sz w:val="18"/>
          <w:szCs w:val="18"/>
          <w:color w:val="auto"/>
        </w:rPr>
        <w:t>. Whenever the context may require, any pronouns used in this Agreement shall include the corresponding masculine, feminine or neuter forms, and the singular forms of nouns and pronouns shall include the plural, and vice versa.</w:t>
      </w:r>
    </w:p>
    <w:p>
      <w:pPr>
        <w:spacing w:after="0" w:line="161" w:lineRule="exact"/>
        <w:rPr>
          <w:rFonts w:ascii="Times New Roman" w:cs="Times New Roman" w:eastAsia="Times New Roman" w:hAnsi="Times New Roman"/>
          <w:sz w:val="18"/>
          <w:szCs w:val="18"/>
          <w:color w:val="auto"/>
        </w:rPr>
      </w:pPr>
    </w:p>
    <w:p>
      <w:pPr>
        <w:ind w:left="-464" w:right="120" w:firstLine="464"/>
        <w:spacing w:after="0" w:line="282" w:lineRule="auto"/>
        <w:tabs>
          <w:tab w:leader="none" w:pos="2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all exhibits hereto constitute the entire agreement between the parties and supersedes all prior agreements and understandings, whether written or oral, relating to the subject matter of this Agreement.</w:t>
      </w:r>
    </w:p>
    <w:p>
      <w:pPr>
        <w:spacing w:after="0" w:line="161" w:lineRule="exact"/>
        <w:rPr>
          <w:rFonts w:ascii="Times New Roman" w:cs="Times New Roman" w:eastAsia="Times New Roman" w:hAnsi="Times New Roman"/>
          <w:sz w:val="18"/>
          <w:szCs w:val="18"/>
          <w:color w:val="auto"/>
        </w:rPr>
      </w:pPr>
    </w:p>
    <w:p>
      <w:pPr>
        <w:ind w:left="276" w:hanging="276"/>
        <w:spacing w:after="0"/>
        <w:tabs>
          <w:tab w:leader="none" w:pos="27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executed by both the Company and the Employee.</w:t>
      </w:r>
    </w:p>
    <w:p>
      <w:pPr>
        <w:spacing w:after="0" w:line="225" w:lineRule="exact"/>
        <w:rPr>
          <w:rFonts w:ascii="Times New Roman" w:cs="Times New Roman" w:eastAsia="Times New Roman" w:hAnsi="Times New Roman"/>
          <w:sz w:val="18"/>
          <w:szCs w:val="18"/>
          <w:color w:val="auto"/>
        </w:rPr>
      </w:pPr>
    </w:p>
    <w:p>
      <w:pPr>
        <w:ind w:left="-464" w:firstLine="464"/>
        <w:spacing w:after="0" w:line="258" w:lineRule="auto"/>
        <w:tabs>
          <w:tab w:leader="none" w:pos="2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Commonwealth of Massachusetts (without reference to the conflict of laws provisions thereof). Any action, suit or other legal proceeding arising under or relating to any provision of this Agreement shall be commenced only in a court of the Commonwealth of Massachusetts (or, if appropriate, a federal court located within the Commonwealth of Massachusetts), and the Company and the Employee each consents to the jurisdiction of such a court. The Company and the Employee each hereby irrevocably waive any right to a trial by jury in any action, suit or other legal proceeding arising under or relating to any provision of this Agreement.</w:t>
      </w:r>
    </w:p>
    <w:p>
      <w:pPr>
        <w:spacing w:after="0" w:line="183" w:lineRule="exact"/>
        <w:rPr>
          <w:rFonts w:ascii="Times New Roman" w:cs="Times New Roman" w:eastAsia="Times New Roman" w:hAnsi="Times New Roman"/>
          <w:sz w:val="18"/>
          <w:szCs w:val="18"/>
          <w:color w:val="auto"/>
        </w:rPr>
      </w:pPr>
    </w:p>
    <w:p>
      <w:pPr>
        <w:jc w:val="both"/>
        <w:ind w:left="-464" w:right="20" w:firstLine="464"/>
        <w:spacing w:after="0" w:line="266" w:lineRule="auto"/>
        <w:tabs>
          <w:tab w:leader="none" w:pos="2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both parties and their respective successors and assigns, including any corporation with which or into which the Company may be merged or which may succeed to its assets or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obligations of the Employee are personal and shall not be assigned by him.</w:t>
      </w:r>
    </w:p>
    <w:p>
      <w:pPr>
        <w:sectPr>
          <w:pgSz w:w="11900" w:h="16838" w:orient="portrait"/>
          <w:cols w:equalWidth="0" w:num="1">
            <w:col w:w="10876"/>
          </w:cols>
          <w:pgMar w:left="704" w:top="270" w:right="319" w:bottom="1440" w:gutter="0" w:footer="0" w:header="0"/>
        </w:sectPr>
      </w:pPr>
    </w:p>
    <w:bookmarkStart w:id="105" w:name="page106"/>
    <w:bookmarkEnd w:id="105"/>
    <w:p>
      <w:pPr>
        <w:ind w:right="80" w:firstLine="464"/>
        <w:spacing w:after="0" w:line="266" w:lineRule="auto"/>
        <w:tabs>
          <w:tab w:leader="none" w:pos="7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Acknowledgment</w:t>
      </w:r>
      <w:r>
        <w:rPr>
          <w:rFonts w:ascii="Times New Roman" w:cs="Times New Roman" w:eastAsia="Times New Roman" w:hAnsi="Times New Roman"/>
          <w:sz w:val="18"/>
          <w:szCs w:val="18"/>
          <w:color w:val="auto"/>
        </w:rPr>
        <w:t>. The Employee states and represents that he has had an opportunity to fully discuss and review the terms of this Agreement with an attorney. The Employee further states and represents that he has carefully read this Agreement, understands the contents herein, freely and voluntarily assents to all of the terms and conditions hereof, and signs his name of his own free act.</w:t>
      </w:r>
    </w:p>
    <w:p>
      <w:pPr>
        <w:spacing w:after="0" w:line="176" w:lineRule="exact"/>
        <w:rPr>
          <w:rFonts w:ascii="Times New Roman" w:cs="Times New Roman" w:eastAsia="Times New Roman" w:hAnsi="Times New Roman"/>
          <w:sz w:val="18"/>
          <w:szCs w:val="18"/>
          <w:color w:val="auto"/>
        </w:rPr>
      </w:pPr>
    </w:p>
    <w:p>
      <w:pPr>
        <w:ind w:right="120" w:firstLine="464"/>
        <w:spacing w:after="0" w:line="261" w:lineRule="auto"/>
        <w:tabs>
          <w:tab w:leader="none" w:pos="7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Subject to Section 409A.</w:t>
      </w:r>
      <w:r>
        <w:rPr>
          <w:rFonts w:ascii="Times New Roman" w:cs="Times New Roman" w:eastAsia="Times New Roman" w:hAnsi="Times New Roman"/>
          <w:sz w:val="18"/>
          <w:szCs w:val="18"/>
          <w:color w:val="auto"/>
        </w:rPr>
        <w:t xml:space="preserve"> Subject to the provisions in this Section 18, any severance payments or benefits under this Agreement shall begin only upon the date of the Employee’s “separation from service” (determined as set forth below) which occurs on or after the date of termination of the Employee’s employment. The following rules shall apply with respect to distribution of the payments and benefits, if any, to be provided to the Employee under this Agreement:</w:t>
      </w:r>
    </w:p>
    <w:p>
      <w:pPr>
        <w:spacing w:after="0" w:line="180" w:lineRule="exact"/>
        <w:rPr>
          <w:rFonts w:ascii="Times New Roman" w:cs="Times New Roman" w:eastAsia="Times New Roman" w:hAnsi="Times New Roman"/>
          <w:sz w:val="18"/>
          <w:szCs w:val="18"/>
          <w:color w:val="auto"/>
        </w:rPr>
      </w:pPr>
    </w:p>
    <w:p>
      <w:pPr>
        <w:ind w:right="60" w:firstLine="1492"/>
        <w:spacing w:after="0" w:line="257" w:lineRule="auto"/>
        <w:tabs>
          <w:tab w:leader="none" w:pos="172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intended that each installment of the severance payments and benefits provided under this Agreement shall be treated as a separate “payment” for purposes of Section 409A of the Code and the guidance issued thereunder (“Section 409A”). Neither the Company nor the Employee shall have the right to accelerate or defer the delivery of any such payments or benefits except to the extent specifically permitted or required by</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w:t>
      </w:r>
    </w:p>
    <w:p>
      <w:pPr>
        <w:spacing w:after="0" w:line="206" w:lineRule="exact"/>
        <w:rPr>
          <w:rFonts w:ascii="Times New Roman" w:cs="Times New Roman" w:eastAsia="Times New Roman" w:hAnsi="Times New Roman"/>
          <w:sz w:val="18"/>
          <w:szCs w:val="18"/>
          <w:color w:val="auto"/>
        </w:rPr>
      </w:pPr>
    </w:p>
    <w:p>
      <w:pPr>
        <w:jc w:val="both"/>
        <w:ind w:firstLine="1492"/>
        <w:spacing w:after="0" w:line="313" w:lineRule="auto"/>
        <w:tabs>
          <w:tab w:leader="none" w:pos="1738"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the date of the Employee’s “separation from service” from the Company, the Employee is not a “specified employee” (within the meaning of Section 409A), then each installment of the severance payments and benefits shall be made on the dates and terms set forth in this Agreement.</w:t>
      </w:r>
    </w:p>
    <w:p>
      <w:pPr>
        <w:sectPr>
          <w:pgSz w:w="11900" w:h="16838" w:orient="portrait"/>
          <w:cols w:equalWidth="0" w:num="1">
            <w:col w:w="11380"/>
          </w:cols>
          <w:pgMar w:left="240" w:top="270" w:right="279" w:bottom="1440" w:gutter="0" w:footer="0" w:header="0"/>
        </w:sectPr>
      </w:pPr>
    </w:p>
    <w:bookmarkStart w:id="106" w:name="page107"/>
    <w:bookmarkEnd w:id="106"/>
    <w:p>
      <w:pPr>
        <w:ind w:left="-1200" w:right="60" w:firstLine="1492"/>
        <w:spacing w:after="0" w:line="282" w:lineRule="auto"/>
        <w:tabs>
          <w:tab w:leader="none" w:pos="5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as of the date of the Employee’s “separation from service” from the Company, the Employee is a “specified employee” (within the meaning of Section 409A), then:</w:t>
      </w:r>
    </w:p>
    <w:p>
      <w:pPr>
        <w:spacing w:after="0" w:line="161" w:lineRule="exact"/>
        <w:rPr>
          <w:rFonts w:ascii="Times New Roman" w:cs="Times New Roman" w:eastAsia="Times New Roman" w:hAnsi="Times New Roman"/>
          <w:sz w:val="18"/>
          <w:szCs w:val="18"/>
          <w:color w:val="auto"/>
        </w:rPr>
      </w:pPr>
    </w:p>
    <w:p>
      <w:pPr>
        <w:ind w:left="-1200" w:right="20" w:firstLine="1948"/>
        <w:spacing w:after="0" w:line="261" w:lineRule="auto"/>
        <w:tabs>
          <w:tab w:leader="none" w:pos="95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installment of the severance payments and benefits due under this Agreement that, in accordance with the dates and terms set forth herein, will in all circumstances, regardless of when the separation from service occurs, be paid within the short-term deferral period (as defined under Section 409A) shall be treated as a short-term deferral within the meaning of Treasury Regulation § 1.409A-1(b)(4) to the maximum extent permissible under Section 409A and shall be paid in the manner (and at the times) set forth in this agreement; and</w:t>
      </w:r>
    </w:p>
    <w:p>
      <w:pPr>
        <w:spacing w:after="0" w:line="180" w:lineRule="exact"/>
        <w:rPr>
          <w:rFonts w:ascii="Times New Roman" w:cs="Times New Roman" w:eastAsia="Times New Roman" w:hAnsi="Times New Roman"/>
          <w:sz w:val="18"/>
          <w:szCs w:val="18"/>
          <w:color w:val="auto"/>
        </w:rPr>
      </w:pPr>
    </w:p>
    <w:p>
      <w:pPr>
        <w:ind w:left="-1200" w:firstLine="1948"/>
        <w:spacing w:after="0" w:line="254" w:lineRule="auto"/>
        <w:tabs>
          <w:tab w:leader="none" w:pos="100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installment of the severance payments and benefits due under this Agreement that is not described in paragraph c(i) above and that would, absent this subsection, be paid within the six-month period following the Employee’s “separation from service” from the Company shall not be paid until the date that is six months and one day after such separation from service (or, if earlier, the Employee’s death), with any such installments that are required to be delayed being accumulated during the six-month period and paid in a lump sum on the date that is six months and one day following the Employee’s separation from service and any subsequent installments, if any, being paid in accordance with the dates and terms set forth 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preceding provisions of this sentence shall not apply to any installment of severance payments and benefits if and to the maximum extent that that such installment is deemed to be paid under a separation pay plan that does not provide for a deferral of compensation by reason of the application of Treasury Regulation § 1.409A-1(b)(9)(iii) (relating to separation pay upon an involuntary separation from service). Any installments that qualify for the exception under Treasury Regulation § 1.409A-1(b)(9)(iii) must be paid no later than the last day of the Employee’s second taxable year following the taxable year in which the separation from service occurs.</w:t>
      </w:r>
    </w:p>
    <w:p>
      <w:pPr>
        <w:sectPr>
          <w:pgSz w:w="11900" w:h="16838" w:orient="portrait"/>
          <w:cols w:equalWidth="0" w:num="1">
            <w:col w:w="10200"/>
          </w:cols>
          <w:pgMar w:left="1440" w:top="270" w:right="259" w:bottom="1440" w:gutter="0" w:footer="0" w:header="0"/>
        </w:sectPr>
      </w:pPr>
    </w:p>
    <w:bookmarkStart w:id="107" w:name="page108"/>
    <w:bookmarkEnd w:id="107"/>
    <w:p>
      <w:pPr>
        <w:ind w:firstLine="1492"/>
        <w:spacing w:after="0" w:line="282" w:lineRule="auto"/>
        <w:tabs>
          <w:tab w:leader="none" w:pos="17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determination of whether and when the Employee’s separation from service from the Company has occurred shall be made and in a manner consistent with, and based on the presumptions set forth in, Treasury Regulation § 1.409A-1(h).</w:t>
      </w:r>
    </w:p>
    <w:p>
      <w:pPr>
        <w:spacing w:after="0" w:line="161" w:lineRule="exact"/>
        <w:rPr>
          <w:rFonts w:ascii="Times New Roman" w:cs="Times New Roman" w:eastAsia="Times New Roman" w:hAnsi="Times New Roman"/>
          <w:sz w:val="18"/>
          <w:szCs w:val="18"/>
          <w:color w:val="auto"/>
        </w:rPr>
      </w:pPr>
    </w:p>
    <w:p>
      <w:pPr>
        <w:ind w:right="140" w:firstLine="1492"/>
        <w:spacing w:after="0" w:line="256" w:lineRule="auto"/>
        <w:tabs>
          <w:tab w:leader="none" w:pos="172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reimbursements and in-kind benefits provided under this Agreement shall be made or provided in accordance with the requirements of Section 409A to the extent that such reimbursements or in-kind benefits are subject to Section 409A, including, where applicable, the requirements that (i) any reimbursement is for expenses incurred during the Employee’s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set off or liquidation or exchange for any other benefit.</w:t>
      </w:r>
    </w:p>
    <w:p>
      <w:pPr>
        <w:spacing w:after="0" w:line="187" w:lineRule="exact"/>
        <w:rPr>
          <w:rFonts w:ascii="Times New Roman" w:cs="Times New Roman" w:eastAsia="Times New Roman" w:hAnsi="Times New Roman"/>
          <w:sz w:val="18"/>
          <w:szCs w:val="18"/>
          <w:color w:val="auto"/>
        </w:rPr>
      </w:pPr>
    </w:p>
    <w:p>
      <w:pPr>
        <w:ind w:right="320" w:firstLine="1492"/>
        <w:spacing w:after="0" w:line="282" w:lineRule="auto"/>
        <w:tabs>
          <w:tab w:leader="none" w:pos="170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Company shall have no liability to the Employee or to any other person if the payments and benefits provided hereunder that are intended to be exempt from or compliant with Section 409A are not so exempt or compliant.</w:t>
      </w:r>
    </w:p>
    <w:p>
      <w:pPr>
        <w:spacing w:after="0" w:line="162" w:lineRule="exact"/>
        <w:rPr>
          <w:sz w:val="20"/>
          <w:szCs w:val="20"/>
          <w:color w:val="auto"/>
        </w:rPr>
      </w:pPr>
    </w:p>
    <w:p>
      <w:pPr>
        <w:ind w:left="740" w:hanging="276"/>
        <w:spacing w:after="0"/>
        <w:tabs>
          <w:tab w:leader="none" w:pos="7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40" w:firstLine="913"/>
        <w:spacing w:after="0" w:line="266" w:lineRule="auto"/>
        <w:rPr>
          <w:sz w:val="20"/>
          <w:szCs w:val="20"/>
          <w:color w:val="auto"/>
        </w:rPr>
      </w:pPr>
      <w:r>
        <w:rPr>
          <w:rFonts w:ascii="Times New Roman" w:cs="Times New Roman" w:eastAsia="Times New Roman" w:hAnsi="Times New Roman"/>
          <w:sz w:val="18"/>
          <w:szCs w:val="18"/>
          <w:color w:val="auto"/>
        </w:rPr>
        <w:t>19.1 No delay or omission by the Company in exercising any right under this Agreement shall operate as a waiver of that or any other right. A waiver or consent given by the Company on any one occasion shall be effective only in that instance and shall not be construed as a bar to or waiver of any right on any other occasion.</w:t>
      </w:r>
    </w:p>
    <w:p>
      <w:pPr>
        <w:sectPr>
          <w:pgSz w:w="11900" w:h="16838" w:orient="portrait"/>
          <w:cols w:equalWidth="0" w:num="1">
            <w:col w:w="11420"/>
          </w:cols>
          <w:pgMar w:left="240" w:top="270" w:right="239" w:bottom="1440" w:gutter="0" w:footer="0" w:header="0"/>
        </w:sectPr>
      </w:pPr>
    </w:p>
    <w:bookmarkStart w:id="108" w:name="page109"/>
    <w:bookmarkEnd w:id="108"/>
    <w:p>
      <w:pPr>
        <w:ind w:right="260"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19.2 The captions of the sections of this Agreement are for convenience of reference only and in no way define, limit or affect the scope or substance of any section of this Agreement.</w:t>
      </w:r>
    </w:p>
    <w:p>
      <w:pPr>
        <w:spacing w:after="0" w:line="162" w:lineRule="exact"/>
        <w:rPr>
          <w:sz w:val="20"/>
          <w:szCs w:val="20"/>
          <w:color w:val="auto"/>
        </w:rPr>
      </w:pPr>
    </w:p>
    <w:p>
      <w:pPr>
        <w:ind w:firstLine="913"/>
        <w:spacing w:after="0" w:line="282" w:lineRule="auto"/>
        <w:rPr>
          <w:sz w:val="20"/>
          <w:szCs w:val="20"/>
          <w:color w:val="auto"/>
        </w:rPr>
      </w:pPr>
      <w:r>
        <w:rPr>
          <w:rFonts w:ascii="Times New Roman" w:cs="Times New Roman" w:eastAsia="Times New Roman" w:hAnsi="Times New Roman"/>
          <w:sz w:val="18"/>
          <w:szCs w:val="18"/>
          <w:color w:val="auto"/>
        </w:rPr>
        <w:t>19.3 In case any provision of this Agreement shall be invalid, illegal or otherwise unenforceable, the validity, legality and enforceability of the remaining provisions shall in no way be affected or impaired thereby.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day and year set forth above.</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CERULEAN PHARMA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Times New Roman" w:cs="Times New Roman" w:eastAsia="Times New Roman" w:hAnsi="Times New Roman"/>
          <w:sz w:val="18"/>
          <w:szCs w:val="18"/>
          <w:color w:val="auto"/>
        </w:rPr>
        <w:t>By:</w:t>
        <w:tab/>
        <w:t>/s/ Oliver S. Fetzer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17145</wp:posOffset>
            </wp:positionV>
            <wp:extent cx="25730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EMPLOYEE</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Edward Garmey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Edward Garmey, M.D.</w:t>
      </w:r>
    </w:p>
    <w:p>
      <w:pPr>
        <w:sectPr>
          <w:pgSz w:w="11900" w:h="16838" w:orient="portrait"/>
          <w:cols w:equalWidth="0" w:num="1">
            <w:col w:w="11180"/>
          </w:cols>
          <w:pgMar w:left="240" w:top="270" w:right="479" w:bottom="1440" w:gutter="0" w:footer="0" w:header="0"/>
        </w:sectPr>
      </w:pPr>
    </w:p>
    <w:bookmarkStart w:id="109" w:name="page110"/>
    <w:bookmarkEnd w:id="109"/>
    <w:p>
      <w:pPr>
        <w:ind w:left="10480"/>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STOCK OPTION AGREEMENT AND TERMINATION OF CONTINGENT CONSIDERATION AWARD</w:t>
      </w:r>
    </w:p>
    <w:p>
      <w:pPr>
        <w:spacing w:after="0" w:line="225" w:lineRule="exact"/>
        <w:rPr>
          <w:sz w:val="20"/>
          <w:szCs w:val="20"/>
          <w:color w:val="auto"/>
        </w:rPr>
      </w:pPr>
    </w:p>
    <w:p>
      <w:pPr>
        <w:jc w:val="both"/>
        <w:ind w:right="240" w:firstLine="456"/>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THIS AMENDMENT TO STOCK OPTION AGREEMENT AND TERMINATION OF CONTINGENT CONSIDERATION AWARD </w:t>
      </w:r>
      <w:r>
        <w:rPr>
          <w:rFonts w:ascii="Times New Roman" w:cs="Times New Roman" w:eastAsia="Times New Roman" w:hAnsi="Times New Roman"/>
          <w:sz w:val="18"/>
          <w:szCs w:val="18"/>
          <w:color w:val="auto"/>
        </w:rPr>
        <w:t>(this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September 16, 2014, is entered into by and between Cerulean Pharma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Alan Crane (the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WHEREAS, the parties hereto entered into a Nonstatutory Stock Option Agreement (the “</w:t>
      </w: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evidencing the grant by the Company to the Participant on February 7, 2013 of an option to purchase 35,765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$0.0001 par value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an exercise price of $3.92 per Share (in the case of both the number of Shares and exercise price, after giving effect to Company’s reverse stock split that was effected on March 31, 2014), with performance-based vesting;</w:t>
      </w:r>
    </w:p>
    <w:p>
      <w:pPr>
        <w:spacing w:after="0" w:line="180" w:lineRule="exact"/>
        <w:rPr>
          <w:sz w:val="20"/>
          <w:szCs w:val="20"/>
          <w:color w:val="auto"/>
        </w:rPr>
      </w:pPr>
    </w:p>
    <w:p>
      <w:pPr>
        <w:ind w:right="180" w:firstLine="456"/>
        <w:spacing w:after="0" w:line="313" w:lineRule="auto"/>
        <w:rPr>
          <w:sz w:val="20"/>
          <w:szCs w:val="20"/>
          <w:color w:val="auto"/>
        </w:rPr>
      </w:pPr>
      <w:r>
        <w:rPr>
          <w:rFonts w:ascii="Times New Roman" w:cs="Times New Roman" w:eastAsia="Times New Roman" w:hAnsi="Times New Roman"/>
          <w:sz w:val="17"/>
          <w:szCs w:val="17"/>
          <w:color w:val="auto"/>
        </w:rPr>
        <w:t>WHEREAS, the parties hereto entered into a Contingent Consideration Award agreement dated as of February 7, 2013 (the “</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providing, among other things, for cash payments by the Company to the Participant under certain circumstances as described in the Award Agreement; and</w:t>
      </w:r>
    </w:p>
    <w:p>
      <w:pPr>
        <w:spacing w:after="0" w:line="138"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WHEREAS, the Company and the Participant desire to (i) amend the Option Agreement (a) to provide for time-based vesting on all Shares and (b) to reduce the number of Shares subject to the Agreement and (ii) to terminate the Award Agreement.</w:t>
      </w:r>
    </w:p>
    <w:p>
      <w:pPr>
        <w:spacing w:after="0" w:line="162"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the parties hereto agree as follows:</w:t>
      </w:r>
    </w:p>
    <w:p>
      <w:pPr>
        <w:spacing w:after="0" w:line="162" w:lineRule="exact"/>
        <w:rPr>
          <w:sz w:val="20"/>
          <w:szCs w:val="20"/>
          <w:color w:val="auto"/>
        </w:rPr>
      </w:pPr>
    </w:p>
    <w:p>
      <w:pPr>
        <w:ind w:right="740" w:firstLine="464"/>
        <w:spacing w:after="0" w:line="282" w:lineRule="auto"/>
        <w:tabs>
          <w:tab w:leader="none" w:pos="6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in this Amendment without definition shall have the respective meanings ascribed thereto in the Option Agreement.</w:t>
      </w:r>
    </w:p>
    <w:p>
      <w:pPr>
        <w:spacing w:after="0" w:line="161" w:lineRule="exact"/>
        <w:rPr>
          <w:rFonts w:ascii="Times New Roman" w:cs="Times New Roman" w:eastAsia="Times New Roman" w:hAnsi="Times New Roman"/>
          <w:sz w:val="18"/>
          <w:szCs w:val="18"/>
          <w:color w:val="auto"/>
        </w:rPr>
      </w:pPr>
    </w:p>
    <w:p>
      <w:pPr>
        <w:ind w:left="640" w:hanging="176"/>
        <w:spacing w:after="0"/>
        <w:tabs>
          <w:tab w:leader="none" w:pos="6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64"/>
        <w:spacing w:after="0" w:line="282" w:lineRule="auto"/>
        <w:tabs>
          <w:tab w:leader="none" w:pos="70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The first sentence of the first paragraph of Section 1 of the Option Agreement is hereby deleted in its entirety and replaced with the following:</w:t>
      </w:r>
    </w:p>
    <w:p>
      <w:pPr>
        <w:spacing w:after="0" w:line="54" w:lineRule="exact"/>
        <w:rPr>
          <w:sz w:val="20"/>
          <w:szCs w:val="20"/>
          <w:color w:val="auto"/>
        </w:rPr>
      </w:pPr>
    </w:p>
    <w:p>
      <w:pPr>
        <w:ind w:left="460" w:firstLine="438"/>
        <w:spacing w:after="0" w:line="261" w:lineRule="auto"/>
        <w:rPr>
          <w:sz w:val="20"/>
          <w:szCs w:val="20"/>
          <w:color w:val="auto"/>
        </w:rPr>
      </w:pPr>
      <w:r>
        <w:rPr>
          <w:rFonts w:ascii="Times New Roman" w:cs="Times New Roman" w:eastAsia="Times New Roman" w:hAnsi="Times New Roman"/>
          <w:sz w:val="18"/>
          <w:szCs w:val="18"/>
          <w:color w:val="auto"/>
        </w:rPr>
        <w:t>“This agreement evidences the grant by Cerulean Pharma Inc., a Delaware corporation (the “Company” or “Cerulean”), on February 7, 2013 (the “Grant Date”) to Alan Crane, a director of the Company (the “Participant”), of an option to purchase, in whole or in part, on the terms provided herein and in the Company’s 2007 Stock Incentive Plan, as amended (the “Plan”), a total 16,000 shares (the “Shares”) of common stock, $0.0001 par value per share, of the Company (“Common Stock”) at $3.92 per Share.”</w:t>
      </w:r>
    </w:p>
    <w:p>
      <w:pPr>
        <w:sectPr>
          <w:pgSz w:w="11900" w:h="16838" w:orient="portrait"/>
          <w:cols w:equalWidth="0" w:num="1">
            <w:col w:w="11420"/>
          </w:cols>
          <w:pgMar w:left="240" w:top="117"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Section 2 of the Option Agreement is hereby deleted in its entirety and replaced with the following:</w:t>
      </w:r>
    </w:p>
    <w:p>
      <w:pPr>
        <w:spacing w:after="0" w:line="117" w:lineRule="exact"/>
        <w:rPr>
          <w:sz w:val="20"/>
          <w:szCs w:val="20"/>
          <w:color w:val="auto"/>
        </w:rPr>
      </w:pPr>
    </w:p>
    <w:p>
      <w:pPr>
        <w:ind w:right="140" w:firstLine="438"/>
        <w:spacing w:after="0" w:line="258" w:lineRule="auto"/>
        <w:rPr>
          <w:sz w:val="20"/>
          <w:szCs w:val="20"/>
          <w:color w:val="auto"/>
        </w:rPr>
      </w:pPr>
      <w:r>
        <w:rPr>
          <w:rFonts w:ascii="Times New Roman" w:cs="Times New Roman" w:eastAsia="Times New Roman" w:hAnsi="Times New Roman"/>
          <w:sz w:val="18"/>
          <w:szCs w:val="18"/>
          <w:color w:val="auto"/>
        </w:rPr>
        <w:t>“(a) This option will become exercisable (“vest”) as to one-third of the number of Shares on the date of the Company’s annual meeting of stockholders to be held in 2014. This option will vest as to an additional one-third of the original number of Shares on the date of the Company’s annual meeting of stockholders to be held in 2015 and as to the final one-third of the original number of Shares on the date of the Company’s annual meeting of stockholders to be held in 2016. Notwithstanding the foregoing, upon the consummation of a Change of Control Event, the then-remaining unvested portion of the option shall immediately vest and become fully exercisable.</w:t>
      </w:r>
    </w:p>
    <w:p>
      <w:pPr>
        <w:spacing w:after="0" w:line="76" w:lineRule="exact"/>
        <w:rPr>
          <w:sz w:val="20"/>
          <w:szCs w:val="20"/>
          <w:color w:val="auto"/>
        </w:rPr>
      </w:pPr>
    </w:p>
    <w:p>
      <w:pPr>
        <w:ind w:firstLine="443"/>
        <w:spacing w:after="0" w:line="252" w:lineRule="auto"/>
        <w:tabs>
          <w:tab w:leader="none" w:pos="68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Change of Control Event</w:t>
      </w:r>
      <w:r>
        <w:rPr>
          <w:rFonts w:ascii="Times New Roman" w:cs="Times New Roman" w:eastAsia="Times New Roman" w:hAnsi="Times New Roman"/>
          <w:sz w:val="18"/>
          <w:szCs w:val="18"/>
          <w:color w:val="auto"/>
        </w:rPr>
        <w:t>” shall mean (i) the acquisition of beneficial ownership (as defined in Rule 13d-3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directly or indirectly by any “person” (as such term is used in Sections 13(d) and 14(d) of the Exchange Act), of securities of the Company representing a majority or more of the combined voting power of the Company’s then outstanding securities, other than an acquisition of securities for investment purposes pursuant to a bona fide financing of the Company; (ii) a merger or consolidation of the Company with any other corporation in which the holders of the voting securities of the Company prior to the merger or consolidation do not own more than 50% of the total voting securities of the surviving corporation; (iii) the sale or disposition by the Company of all or substantially all of the Company’s assets other than a sale or disposition of assets to an entity whose equity interests are held, directly or indirectly, entirely by the same persons and in the same proportions as the equity interests of the Company; or (iv) a change in the composition of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that results, during any one year period, in the Continuing Directors no longer constituting a majority of the Board (or, if applicable, the board of directors of a successor corporation to the Company), where the term “</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at any date a member of the Board (x) who was a member of the Board on the Grant Date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after the Grant Date occurred as a result of an actual or threatened election contest with respect to the election or removal of directors or other actual or threatened solicitation of proxies or consents, by or on behalf of a person other than the Board.</w:t>
      </w:r>
    </w:p>
    <w:p>
      <w:pPr>
        <w:spacing w:after="0" w:line="88" w:lineRule="exact"/>
        <w:rPr>
          <w:rFonts w:ascii="Times New Roman" w:cs="Times New Roman" w:eastAsia="Times New Roman" w:hAnsi="Times New Roman"/>
          <w:sz w:val="18"/>
          <w:szCs w:val="18"/>
          <w:color w:val="auto"/>
        </w:rPr>
      </w:pPr>
    </w:p>
    <w:p>
      <w:pPr>
        <w:ind w:right="220" w:firstLine="443"/>
        <w:spacing w:after="0" w:line="266" w:lineRule="auto"/>
        <w:tabs>
          <w:tab w:leader="none" w:pos="68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spacing w:after="0" w:line="176" w:lineRule="exact"/>
        <w:rPr>
          <w:rFonts w:ascii="Times New Roman" w:cs="Times New Roman" w:eastAsia="Times New Roman" w:hAnsi="Times New Roman"/>
          <w:sz w:val="18"/>
          <w:szCs w:val="18"/>
          <w:color w:val="auto"/>
        </w:rPr>
      </w:pPr>
    </w:p>
    <w:p>
      <w:pPr>
        <w:ind w:left="-460" w:right="340" w:firstLine="464"/>
        <w:spacing w:after="0" w:line="282" w:lineRule="auto"/>
        <w:tabs>
          <w:tab w:leader="none" w:pos="17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Award Agreement</w:t>
      </w:r>
      <w:r>
        <w:rPr>
          <w:rFonts w:ascii="Times New Roman" w:cs="Times New Roman" w:eastAsia="Times New Roman" w:hAnsi="Times New Roman"/>
          <w:sz w:val="18"/>
          <w:szCs w:val="18"/>
          <w:color w:val="auto"/>
        </w:rPr>
        <w:t>. Pursuant to Section 4 of the Award Agreement, the Award Agreement is hereby terminated, effective as of the date hereof.</w:t>
      </w:r>
    </w:p>
    <w:p>
      <w:pPr>
        <w:spacing w:after="0" w:line="161" w:lineRule="exact"/>
        <w:rPr>
          <w:rFonts w:ascii="Times New Roman" w:cs="Times New Roman" w:eastAsia="Times New Roman" w:hAnsi="Times New Roman"/>
          <w:sz w:val="18"/>
          <w:szCs w:val="18"/>
          <w:color w:val="auto"/>
        </w:rPr>
      </w:pPr>
    </w:p>
    <w:p>
      <w:pPr>
        <w:ind w:left="-460" w:right="40" w:firstLine="464"/>
        <w:spacing w:after="0" w:line="282" w:lineRule="auto"/>
        <w:tabs>
          <w:tab w:leader="none" w:pos="17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Except as specifically provided herein, the Option Agreement remains in full force and effect and is not modified or amended hereby. This Amendment may</w:t>
      </w:r>
    </w:p>
    <w:p>
      <w:pPr>
        <w:sectPr>
          <w:pgSz w:w="11900" w:h="16838" w:orient="portrait"/>
          <w:cols w:equalWidth="0" w:num="1">
            <w:col w:w="10960"/>
          </w:cols>
          <w:pgMar w:left="700" w:top="270" w:right="239" w:bottom="1440" w:gutter="0" w:footer="0" w:header="0"/>
        </w:sectPr>
      </w:pPr>
    </w:p>
    <w:bookmarkStart w:id="111" w:name="page112"/>
    <w:bookmarkEnd w:id="11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executed (manually or electronically) in counterparts, each of which shall be deemed an original and all of which together shall constitute one and the same instrument. The headings contained in this Amendment are for reference purposes only and shall not affect in any way the meaning or interpretation of this Amendment. This Amendment shall be governed by, and construed in accordance with, the internal laws of the State of Delaware. From and after the date of this Amendment, all references in the Option Agreement to “this agreement” or “this Agreement” or similar terms shall be deemed to be references to the Option Agreement as amended hereby.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1420"/>
          </w:cols>
          <w:pgMar w:left="240" w:top="270" w:right="239" w:bottom="1440" w:gutter="0" w:footer="0" w:header="0"/>
        </w:sectPr>
      </w:pPr>
    </w:p>
    <w:bookmarkStart w:id="112" w:name="page113"/>
    <w:bookmarkEnd w:id="112"/>
    <w:p>
      <w:pPr>
        <w:ind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duly executed by their respective authorized officers as of the day and year first above written.</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CERULEAN PHARMA INC.</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Oliver S. Fetzer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17145</wp:posOffset>
            </wp:positionV>
            <wp:extent cx="26841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Oliver S. Fetzer</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PARTICIPANT</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Alan Crane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Alan Crane</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[SIGNATURE PAGE TO AMENDMENT TO STOCK OPTION AGREEMENT AND TERMINATION OF CONTINGENT CONSIDERATION AWARD]</w:t>
      </w:r>
    </w:p>
    <w:p>
      <w:pPr>
        <w:sectPr>
          <w:pgSz w:w="11900" w:h="16838" w:orient="portrait"/>
          <w:cols w:equalWidth="0" w:num="1">
            <w:col w:w="11360"/>
          </w:cols>
          <w:pgMar w:left="240" w:top="270" w:right="29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03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September 19, 2014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that certain Loan and Security Agreement No. 2161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dated as of December 6, 2011, as amended from time to time,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by and between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5"/>
          <w:szCs w:val="15"/>
          <w:b w:val="1"/>
          <w:bCs w:val="1"/>
          <w:color w:val="auto"/>
        </w:rPr>
        <w:t>IGHTHOUSE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APITAL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ARTNERS</w:t>
      </w:r>
      <w:r>
        <w:rPr>
          <w:rFonts w:ascii="Times New Roman" w:cs="Times New Roman" w:eastAsia="Times New Roman" w:hAnsi="Times New Roman"/>
          <w:sz w:val="18"/>
          <w:szCs w:val="18"/>
          <w:b w:val="1"/>
          <w:bCs w:val="1"/>
          <w:color w:val="auto"/>
        </w:rPr>
        <w:t xml:space="preserve"> VI, L.P.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ERULEAN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HARMA</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Borrower and Lender have previously entered into the Agreement; and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Lender and Borrower agree to modify the Agreement in light of Borrowers recent initial public offering.</w:t>
      </w:r>
    </w:p>
    <w:p>
      <w:pPr>
        <w:spacing w:after="0" w:line="225" w:lineRule="exact"/>
        <w:rPr>
          <w:sz w:val="20"/>
          <w:szCs w:val="20"/>
          <w:color w:val="auto"/>
        </w:rPr>
      </w:pPr>
    </w:p>
    <w:p>
      <w:pPr>
        <w:jc w:val="both"/>
        <w:ind w:right="180" w:firstLine="45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covenants herein contained, the parties hereby agree to modify the Agreement and to perform such other covenants and conditions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capitalized terms not otherwise defined herein shall have the meanings given to such terms in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limiting or amending any other provisions of the Agreement, Lender and Borrower agree to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 Section 1.1 </w:t>
      </w:r>
      <w:r>
        <w:rPr>
          <w:rFonts w:ascii="Times New Roman" w:cs="Times New Roman" w:eastAsia="Times New Roman" w:hAnsi="Times New Roman"/>
          <w:sz w:val="18"/>
          <w:szCs w:val="18"/>
          <w:color w:val="auto"/>
        </w:rPr>
        <w:t>of the Agreement, the following definitions shall be deleted in their entirety and replaced with the following:</w:t>
      </w:r>
    </w:p>
    <w:p>
      <w:pPr>
        <w:spacing w:after="0" w:line="227"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Loan Documents</w:t>
      </w:r>
      <w:r>
        <w:rPr>
          <w:rFonts w:ascii="Times New Roman" w:cs="Times New Roman" w:eastAsia="Times New Roman" w:hAnsi="Times New Roman"/>
          <w:sz w:val="18"/>
          <w:szCs w:val="18"/>
          <w:color w:val="auto"/>
        </w:rPr>
        <w:t>” means, collectively, the Agreement, this Amendment 01, Amendment 02, Amendment 03, the Warrant, the Notes, the Share Pledge, and all other documents, instruments and agreements entered into between Borrower and Lender in connection with the Loan, all as amended or extended from time to time.</w:t>
      </w:r>
    </w:p>
    <w:p>
      <w:pPr>
        <w:spacing w:after="0" w:line="17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Liens</w:t>
      </w:r>
      <w:r>
        <w:rPr>
          <w:rFonts w:ascii="Times New Roman" w:cs="Times New Roman" w:eastAsia="Times New Roman" w:hAnsi="Times New Roman"/>
          <w:sz w:val="18"/>
          <w:szCs w:val="18"/>
          <w:color w:val="auto"/>
        </w:rPr>
        <w:t>” means: (i) Liens in favor of Lender; (ii) Liens disclosed in the Disclosure Schedule, including Liens of Silicon Valley Bank (“</w:t>
      </w:r>
      <w:r>
        <w:rPr>
          <w:rFonts w:ascii="Times New Roman" w:cs="Times New Roman" w:eastAsia="Times New Roman" w:hAnsi="Times New Roman"/>
          <w:sz w:val="18"/>
          <w:szCs w:val="18"/>
          <w:i w:val="1"/>
          <w:iCs w:val="1"/>
          <w:color w:val="auto"/>
        </w:rPr>
        <w:t>SVB</w:t>
      </w:r>
      <w:r>
        <w:rPr>
          <w:rFonts w:ascii="Times New Roman" w:cs="Times New Roman" w:eastAsia="Times New Roman" w:hAnsi="Times New Roman"/>
          <w:sz w:val="18"/>
          <w:szCs w:val="18"/>
          <w:color w:val="auto"/>
        </w:rPr>
        <w:t>”) on specific assets of Borrower financed pursuant to the terms of an equipment loan facility with SVB and all substitutions for, additions, attachments, accessories, accessions and improvements to and replacements, products, proceeds and insurance proceeds of any or all of the foregoing; (iii) Liens for taxes, fees, assessments or other governmental charges or levies not delinquent or being contested in good faith by appropriate proceedings, that do not jeopardize Lender’s interest in any Collateral; (iv) Liens to secure payment of worker’s compensation, employment insurance, old age pensions or other social security obligations of Borrower on which Borrower is current and are in the ordinary course of its business; provided none of the same diminish or impair Lender’s rights and remedies respecting the Collateral; (v) Liens upon or in any equipment (and including any accessions, attachments, replacements, improvements or proceeds thereto) acquired or held by such entity to secure the purchase price of such equipment or Indebtedness incurred solely for the purposes of financing such equipment or Capital Lease obligations in an aggregate amount at any time outstanding not to exceed $1,000,000; (vi) licenses or sublicenses of intellectual property granted in the ordinary course of business; (vii) banker’s Liens, rights of setoff and similar Liens incurred on deposit and securities accounts of such entities for fees due on such accounts made in the ordinary course of business; (viii) carriers’, warehousemen’s, mechanics’, materialmen’s, repairmen’s or other like Liens arising in the ordinary course of business which are not delinquent or remain payable without penalty or which are being contested in good faith and by appropriate proceedings; (ix) Liens in favor of customs and revenue authorities which secure payment of customs duties in connection with the importation of goods; (x) Liens on (I) Borrower’s account no. 3300994390 with SVB securing reimbursement obligations in connection with a letter of credit issued in favor of Rivertech Associates II LLC, and (II) any other deposit accounts securing Borrower’s reimbursement obligations with respect to letters of credit for the benefit of landlords in the ordinary course of business, in the aggregate amount for both (I) and (II) at any time not to exceed $700,000.00; and (xi) judgment Liens not constituting an Event of Default.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Client\Cerulean Pharma Inc. – Amendment No. 03 to LSA</w:t>
      </w:r>
    </w:p>
    <w:p>
      <w:pPr>
        <w:sectPr>
          <w:pgSz w:w="11900" w:h="16838" w:orient="portrait"/>
          <w:cols w:equalWidth="0" w:num="1">
            <w:col w:w="11420"/>
          </w:cols>
          <w:pgMar w:left="240" w:top="117" w:right="239" w:bottom="1440" w:gutter="0" w:footer="0" w:header="0"/>
        </w:sectPr>
      </w:pPr>
    </w:p>
    <w:bookmarkStart w:id="114" w:name="page115"/>
    <w:bookmarkEnd w:id="114"/>
    <w:p>
      <w:pPr>
        <w:ind w:left="240" w:hanging="232"/>
        <w:spacing w:after="0"/>
        <w:tabs>
          <w:tab w:leader="none" w:pos="2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 </w:t>
      </w:r>
      <w:r>
        <w:rPr>
          <w:rFonts w:ascii="Times New Roman" w:cs="Times New Roman" w:eastAsia="Times New Roman" w:hAnsi="Times New Roman"/>
          <w:sz w:val="18"/>
          <w:szCs w:val="18"/>
          <w:color w:val="auto"/>
        </w:rPr>
        <w:t>of the Agreement, the following definitions shall be added: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Amendment 03</w:t>
      </w:r>
      <w:r>
        <w:rPr>
          <w:rFonts w:ascii="Times New Roman" w:cs="Times New Roman" w:eastAsia="Times New Roman" w:hAnsi="Times New Roman"/>
          <w:sz w:val="18"/>
          <w:szCs w:val="18"/>
          <w:color w:val="auto"/>
        </w:rPr>
        <w:t>” means this Amendment No. 03 to Loan and Security Agreement by and between Lender and Borrower dated September 19, 2014.</w:t>
      </w:r>
    </w:p>
    <w:p>
      <w:pPr>
        <w:spacing w:after="0" w:line="223" w:lineRule="exact"/>
        <w:rPr>
          <w:sz w:val="20"/>
          <w:szCs w:val="20"/>
          <w:color w:val="auto"/>
        </w:rPr>
      </w:pPr>
    </w:p>
    <w:p>
      <w:pPr>
        <w:ind w:right="600" w:firstLine="8"/>
        <w:spacing w:after="0" w:line="286" w:lineRule="auto"/>
        <w:tabs>
          <w:tab w:leader="none" w:pos="30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color w:val="auto"/>
        </w:rPr>
        <w:t>of the Agreement, the Disclosure Schedule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replace and supersede all prior Disclosure Schedules.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on the Disclosure Schedule is true, correct and complete as of the date of this Amendment.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IV. Section 5.7 </w:t>
      </w:r>
      <w:r>
        <w:rPr>
          <w:rFonts w:ascii="Times New Roman" w:cs="Times New Roman" w:eastAsia="Times New Roman" w:hAnsi="Times New Roman"/>
          <w:sz w:val="18"/>
          <w:szCs w:val="18"/>
          <w:color w:val="auto"/>
        </w:rPr>
        <w:t>of the Agreement shall be deleted and replaced with the following:</w:t>
      </w:r>
    </w:p>
    <w:p>
      <w:pPr>
        <w:spacing w:after="0" w:line="22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5.7 Financial Statements. </w:t>
      </w:r>
      <w:r>
        <w:rPr>
          <w:rFonts w:ascii="Times New Roman" w:cs="Times New Roman" w:eastAsia="Times New Roman" w:hAnsi="Times New Roman"/>
          <w:sz w:val="18"/>
          <w:szCs w:val="18"/>
          <w:color w:val="auto"/>
        </w:rPr>
        <w:t>All financial statements delivered by Borrower to Lender under this Agreement fairly represent in all material respects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condition of the Borrower as of the dates, and for the periods, indicated therein, subject in the case of the unaudited financial statement to normal year-end audit adjustments. All written statements respecting Collateral delivered by Borrower to Lender in connection with this Agreement are true, complete and correct in all material respects for the periods indicated.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 Section 5.9 </w:t>
      </w:r>
      <w:r>
        <w:rPr>
          <w:rFonts w:ascii="Times New Roman" w:cs="Times New Roman" w:eastAsia="Times New Roman" w:hAnsi="Times New Roman"/>
          <w:sz w:val="18"/>
          <w:szCs w:val="18"/>
          <w:color w:val="auto"/>
        </w:rPr>
        <w:t>of the Agreement shall be deleted and replaced with the following:</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5.9 Taxes</w:t>
      </w:r>
      <w:r>
        <w:rPr>
          <w:rFonts w:ascii="Times New Roman" w:cs="Times New Roman" w:eastAsia="Times New Roman" w:hAnsi="Times New Roman"/>
          <w:sz w:val="18"/>
          <w:szCs w:val="18"/>
          <w:color w:val="auto"/>
        </w:rPr>
        <w:t>. Borrower has filed all required tax returns (or extensions thereof) when due, and has paid all taxes it owes when due, other than where the failure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would not reasonably be expected to have a Material Adverse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 Section 6.2 </w:t>
      </w:r>
      <w:r>
        <w:rPr>
          <w:rFonts w:ascii="Times New Roman" w:cs="Times New Roman" w:eastAsia="Times New Roman" w:hAnsi="Times New Roman"/>
          <w:sz w:val="18"/>
          <w:szCs w:val="18"/>
          <w:color w:val="auto"/>
        </w:rPr>
        <w:t>of the Agreement shall be deleted and replaced with the following:</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6.2 Financial Statements, Reports, Certificates. </w:t>
      </w:r>
      <w:r>
        <w:rPr>
          <w:rFonts w:ascii="Times New Roman" w:cs="Times New Roman" w:eastAsia="Times New Roman" w:hAnsi="Times New Roman"/>
          <w:sz w:val="18"/>
          <w:szCs w:val="18"/>
          <w:color w:val="auto"/>
        </w:rPr>
        <w:t>Borrower shall deliver to Lender: (i) as soon as prepared, and no later than 45 days after the end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a balance sheet, income statement and cash flow statement covering Borrower’s operations during such period; (ii) as soon as prepared, but no later than 90 days after the end of the fiscal year or such other time period as approved by Borrower’s Board of Directors, audited financial statements prepared in accordance with GAAP, together with an opinion that such financial statements fairly present Borrower’s financial condition by an independent public accounting firm reasonably acceptable to Lender; (iii) promptly upon notice thereof, a report of any legal or administrative action pending or, to Borrower’s knowledge, threatened in writing against Borrower which is likely to result in liability to Borrower in excess of $200,000; and (iv) at the times required under</w:t>
      </w:r>
    </w:p>
    <w:p>
      <w:pPr>
        <w:spacing w:after="0" w:line="4" w:lineRule="exact"/>
        <w:rPr>
          <w:sz w:val="20"/>
          <w:szCs w:val="20"/>
          <w:color w:val="auto"/>
        </w:rPr>
      </w:pPr>
    </w:p>
    <w:p>
      <w:pPr>
        <w:ind w:right="40" w:firstLine="8"/>
        <w:spacing w:after="0" w:line="255" w:lineRule="auto"/>
        <w:tabs>
          <w:tab w:leader="none" w:pos="2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above, such other financial information as Lender may reasonably request from time to time. Financial statements delivered pursuant to subsections (i) and (ii) above shall be accompanied by a certificate signed by a Responsible Officer (each an “</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b w:val="1"/>
          <w:bCs w:val="1"/>
          <w:i w:val="1"/>
          <w:iCs w:val="1"/>
          <w:color w:val="auto"/>
        </w:rPr>
        <w:t>Exhibit F.</w:t>
      </w:r>
      <w:r>
        <w:rPr>
          <w:rFonts w:ascii="Times New Roman" w:cs="Times New Roman" w:eastAsia="Times New Roman" w:hAnsi="Times New Roman"/>
          <w:sz w:val="18"/>
          <w:szCs w:val="18"/>
          <w:color w:val="auto"/>
        </w:rPr>
        <w:t xml:space="preserve"> All financial statements or reports under this section are deemed delivered to Lender when filed with the SEC or posted on Borrower’s website.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VII. Section 6.7 </w:t>
      </w:r>
      <w:r>
        <w:rPr>
          <w:rFonts w:ascii="Times New Roman" w:cs="Times New Roman" w:eastAsia="Times New Roman" w:hAnsi="Times New Roman"/>
          <w:sz w:val="18"/>
          <w:szCs w:val="18"/>
          <w:color w:val="auto"/>
        </w:rPr>
        <w:t>of the Agreement shall be deleted and replaced with the following:</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6.7 Taxes. </w:t>
      </w:r>
      <w:r>
        <w:rPr>
          <w:rFonts w:ascii="Times New Roman" w:cs="Times New Roman" w:eastAsia="Times New Roman" w:hAnsi="Times New Roman"/>
          <w:sz w:val="18"/>
          <w:szCs w:val="18"/>
          <w:color w:val="auto"/>
        </w:rPr>
        <w:t>Borrower shall file all required tax returns (or extensions thereof) when due, and shall pay all taxes it owes, when due, other than where the failure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comply would not reasonably be expected to have a Material Adverse Effect.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VIII. Section 7.2 </w:t>
      </w:r>
      <w:r>
        <w:rPr>
          <w:rFonts w:ascii="Times New Roman" w:cs="Times New Roman" w:eastAsia="Times New Roman" w:hAnsi="Times New Roman"/>
          <w:sz w:val="18"/>
          <w:szCs w:val="18"/>
          <w:color w:val="auto"/>
        </w:rPr>
        <w:t>of the Agreement shall be deleted and replaced with the following:</w:t>
      </w:r>
    </w:p>
    <w:p>
      <w:pPr>
        <w:spacing w:after="0" w:line="225"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7.2 Extraordinary Transactions</w:t>
      </w:r>
      <w:r>
        <w:rPr>
          <w:rFonts w:ascii="Times New Roman" w:cs="Times New Roman" w:eastAsia="Times New Roman" w:hAnsi="Times New Roman"/>
          <w:sz w:val="18"/>
          <w:szCs w:val="18"/>
          <w:color w:val="auto"/>
        </w:rPr>
        <w:t>. Sell, lease, license or otherwise dispose of its assets, other than (i) sales of inventory in the ordinary course of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business; (ii) licenses and sublicenses of Borrower’s intellectual property assets entered into in the ordinary course of business; (iii) disposition of worn out or obsolete equipment, de minimis amounts of raw materials or de minimis amounts of tangible assets; (iv) dispositions of rights to Intellectual Property to and with Cerulean Australia and related agreements and transactions; and (v) any transaction otherwise permitted under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or not an Event of Default under </w:t>
      </w:r>
      <w:r>
        <w:rPr>
          <w:rFonts w:ascii="Times New Roman" w:cs="Times New Roman" w:eastAsia="Times New Roman" w:hAnsi="Times New Roman"/>
          <w:sz w:val="18"/>
          <w:szCs w:val="18"/>
          <w:b w:val="1"/>
          <w:bCs w:val="1"/>
          <w:color w:val="auto"/>
        </w:rPr>
        <w:t>Section 8.12</w:t>
      </w:r>
      <w:r>
        <w:rPr>
          <w:rFonts w:ascii="Times New Roman" w:cs="Times New Roman" w:eastAsia="Times New Roman" w:hAnsi="Times New Roman"/>
          <w:sz w:val="18"/>
          <w:szCs w:val="18"/>
          <w:color w:val="auto"/>
        </w:rPr>
        <w:t xml:space="preserve"> (including without limitation, disposition of rights to Intellectual Property to and with Cerulean Australia).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Client\Cerulean Pharma Inc. – Amendment No. 03 to LSA</w:t>
      </w:r>
    </w:p>
    <w:p>
      <w:pPr>
        <w:sectPr>
          <w:pgSz w:w="11900" w:h="16838" w:orient="portrait"/>
          <w:cols w:equalWidth="0" w:num="1">
            <w:col w:w="11380"/>
          </w:cols>
          <w:pgMar w:left="240" w:top="266" w:right="2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IX. Section 7.6 </w:t>
      </w:r>
      <w:r>
        <w:rPr>
          <w:rFonts w:ascii="Times New Roman" w:cs="Times New Roman" w:eastAsia="Times New Roman" w:hAnsi="Times New Roman"/>
          <w:sz w:val="18"/>
          <w:szCs w:val="18"/>
          <w:color w:val="auto"/>
        </w:rPr>
        <w:t>of the Agreement shall be deleted and replaced with the following:</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7.6 Distributions</w:t>
      </w:r>
      <w:r>
        <w:rPr>
          <w:rFonts w:ascii="Times New Roman" w:cs="Times New Roman" w:eastAsia="Times New Roman" w:hAnsi="Times New Roman"/>
          <w:sz w:val="18"/>
          <w:szCs w:val="18"/>
          <w:color w:val="auto"/>
        </w:rPr>
        <w:t>. Pay any dividends or distributions, or redeem or repurchase its own capital stock, except for (i) repurchases of capital stock from departing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directors, or service providers under agreements approved by the Borrower’s board of directors, and (ii) capital contributions to Cerulean Australia, provided that the requirements of </w:t>
      </w:r>
      <w:r>
        <w:rPr>
          <w:rFonts w:ascii="Times New Roman" w:cs="Times New Roman" w:eastAsia="Times New Roman" w:hAnsi="Times New Roman"/>
          <w:sz w:val="18"/>
          <w:szCs w:val="18"/>
          <w:b w:val="1"/>
          <w:bCs w:val="1"/>
          <w:color w:val="auto"/>
        </w:rPr>
        <w:t>Section 7.10(ii)</w:t>
      </w:r>
      <w:r>
        <w:rPr>
          <w:rFonts w:ascii="Times New Roman" w:cs="Times New Roman" w:eastAsia="Times New Roman" w:hAnsi="Times New Roman"/>
          <w:sz w:val="18"/>
          <w:szCs w:val="18"/>
          <w:color w:val="auto"/>
        </w:rPr>
        <w:t xml:space="preserve"> are satisfied.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X. Section 7.10 </w:t>
      </w:r>
      <w:r>
        <w:rPr>
          <w:rFonts w:ascii="Times New Roman" w:cs="Times New Roman" w:eastAsia="Times New Roman" w:hAnsi="Times New Roman"/>
          <w:sz w:val="18"/>
          <w:szCs w:val="18"/>
          <w:color w:val="auto"/>
        </w:rPr>
        <w:t>of the Agreement shall be deleted and replaced with the following: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7.10 Deposit and Securities Accounts</w:t>
      </w:r>
      <w:r>
        <w:rPr>
          <w:rFonts w:ascii="Times New Roman" w:cs="Times New Roman" w:eastAsia="Times New Roman" w:hAnsi="Times New Roman"/>
          <w:sz w:val="18"/>
          <w:szCs w:val="18"/>
          <w:color w:val="auto"/>
        </w:rPr>
        <w:t>. Maintain any deposit accounts or accounts holding securities owned by Borrower except accounts in which Lender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obtained a perfected first priority security interest. Notwithstanding the foregoing, Lender shall not have a perfected security interest in (i) Borrower’s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number 3300994390 at SVB in the amount of $117,134.00 which secures letter of credit number SVBSF008253 issued in favor of Rivertech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Associates II, LLC; (ii) Cerulean Australia’s account numbers 033-002721996 and 033-002722008,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amount in such accounts shall not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$2,000,000 in the aggregate at any time; and (iii) other Liens securing letter of credit reimbursement obligations in favor of landlords in the ordinary course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Borrower’s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amount in such accounts (together with any amounts in accounts under clause (i)) shall not exceed $700,000.00. For 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 as the Obligations are outstanding, Borrower shall not hold directly or indirectly, purchase or create a purchase order or directive to purchase any auction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securities or similar financial instruments regardless of whether such securities are to be held by Borrower or through one or more brokerage accounts.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r>
        <w:rPr>
          <w:rFonts w:ascii="Times New Roman" w:cs="Times New Roman" w:eastAsia="Times New Roman" w:hAnsi="Times New Roman"/>
          <w:sz w:val="18"/>
          <w:szCs w:val="18"/>
          <w:b w:val="1"/>
          <w:bCs w:val="1"/>
          <w:color w:val="auto"/>
        </w:rPr>
        <w:t>I. Section 8.10</w:t>
      </w:r>
      <w:r>
        <w:rPr>
          <w:rFonts w:ascii="Times New Roman" w:cs="Times New Roman" w:eastAsia="Times New Roman" w:hAnsi="Times New Roman"/>
          <w:sz w:val="18"/>
          <w:szCs w:val="18"/>
          <w:color w:val="auto"/>
        </w:rPr>
        <w:t xml:space="preserve"> of the Agreement shall be deleted and replaced with the following:</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8.10 Involuntary Bankruptcy. </w:t>
      </w:r>
      <w:r>
        <w:rPr>
          <w:rFonts w:ascii="Times New Roman" w:cs="Times New Roman" w:eastAsia="Times New Roman" w:hAnsi="Times New Roman"/>
          <w:sz w:val="18"/>
          <w:szCs w:val="18"/>
          <w:color w:val="auto"/>
        </w:rPr>
        <w:t>An involuntary bankruptcy case against the Borrower remains undismissed or unstayed for 60 days or, if earlier, an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granting the relief sought is entered.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XII. Exhibit F </w:t>
      </w:r>
      <w:r>
        <w:rPr>
          <w:rFonts w:ascii="Times New Roman" w:cs="Times New Roman" w:eastAsia="Times New Roman" w:hAnsi="Times New Roman"/>
          <w:sz w:val="18"/>
          <w:szCs w:val="18"/>
          <w:color w:val="auto"/>
        </w:rPr>
        <w:t>of the Agreement shall be deleted and replaced with the Form attached hereto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XIII. Conditions Precedent to the effectiveness of Amendment 03:</w:t>
      </w:r>
    </w:p>
    <w:p>
      <w:pPr>
        <w:spacing w:after="0" w:line="229" w:lineRule="exact"/>
        <w:rPr>
          <w:sz w:val="20"/>
          <w:szCs w:val="20"/>
          <w:color w:val="auto"/>
        </w:rPr>
      </w:pPr>
    </w:p>
    <w:p>
      <w:pPr>
        <w:ind w:right="180" w:firstLine="456"/>
        <w:spacing w:after="0" w:line="282" w:lineRule="auto"/>
        <w:rPr>
          <w:sz w:val="20"/>
          <w:szCs w:val="20"/>
          <w:color w:val="auto"/>
        </w:rPr>
      </w:pPr>
      <w:r>
        <w:rPr>
          <w:rFonts w:ascii="Times New Roman" w:cs="Times New Roman" w:eastAsia="Times New Roman" w:hAnsi="Times New Roman"/>
          <w:sz w:val="18"/>
          <w:szCs w:val="18"/>
          <w:color w:val="auto"/>
        </w:rPr>
        <w:t>The obligation of Lender to enter into this Amendment 03 is subject to the performance and fulfillment of each and every of the following conditions precedent in form and substance satisfactory to Lender in its sole discretion:</w:t>
      </w:r>
    </w:p>
    <w:p>
      <w:pPr>
        <w:spacing w:after="0" w:line="162" w:lineRule="exact"/>
        <w:rPr>
          <w:sz w:val="20"/>
          <w:szCs w:val="20"/>
          <w:color w:val="auto"/>
        </w:rPr>
      </w:pPr>
    </w:p>
    <w:p>
      <w:pPr>
        <w:ind w:left="720" w:hanging="256"/>
        <w:spacing w:after="0"/>
        <w:tabs>
          <w:tab w:leader="none" w:pos="7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Amendment 03 shall have been duly executed and delivered by Borrower.</w:t>
      </w:r>
    </w:p>
    <w:p>
      <w:pPr>
        <w:spacing w:after="0" w:line="225" w:lineRule="exact"/>
        <w:rPr>
          <w:rFonts w:ascii="Times New Roman" w:cs="Times New Roman" w:eastAsia="Times New Roman" w:hAnsi="Times New Roman"/>
          <w:sz w:val="18"/>
          <w:szCs w:val="18"/>
          <w:b w:val="1"/>
          <w:bCs w:val="1"/>
          <w:color w:val="auto"/>
        </w:rPr>
      </w:pPr>
    </w:p>
    <w:p>
      <w:pPr>
        <w:ind w:right="240" w:firstLine="464"/>
        <w:spacing w:after="0" w:line="261" w:lineRule="auto"/>
        <w:tabs>
          <w:tab w:leader="none" w:pos="721"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Without limiting the foregoing or Lender’s rights or Borrower’s Obligations under the Agreement, such consents, including the approvals of Borrower’s board of directors, amendments, filings, recordations, or other documents from any persons or entities necessary to maintain the perfection and priority of Lender’s security interest in the Collateral as originally configured, in form and substance reasonably satisfactory to Lender, shall have been delivered by Borrower to Lender.</w:t>
      </w:r>
    </w:p>
    <w:p>
      <w:pPr>
        <w:spacing w:after="0" w:line="180" w:lineRule="exact"/>
        <w:rPr>
          <w:rFonts w:ascii="Times New Roman" w:cs="Times New Roman" w:eastAsia="Times New Roman" w:hAnsi="Times New Roman"/>
          <w:sz w:val="18"/>
          <w:szCs w:val="18"/>
          <w:b w:val="1"/>
          <w:bCs w:val="1"/>
          <w:color w:val="auto"/>
        </w:rPr>
      </w:pPr>
    </w:p>
    <w:p>
      <w:pPr>
        <w:jc w:val="both"/>
        <w:ind w:right="280" w:firstLine="464"/>
        <w:spacing w:after="0" w:line="266" w:lineRule="auto"/>
        <w:tabs>
          <w:tab w:leader="none" w:pos="701"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good standing certificate from Borrower’s state of incorporation or formation and the states in which Borrower maintains a place of business, including certificates of the applicable governmental authorities stating that Borrower is in compliance with the franchise tax laws of each such state, each dated as of a recent date shall have been delivered to Lender.</w:t>
      </w:r>
    </w:p>
    <w:p>
      <w:pPr>
        <w:spacing w:after="0" w:line="176" w:lineRule="exact"/>
        <w:rPr>
          <w:rFonts w:ascii="Times New Roman" w:cs="Times New Roman" w:eastAsia="Times New Roman" w:hAnsi="Times New Roman"/>
          <w:sz w:val="18"/>
          <w:szCs w:val="18"/>
          <w:b w:val="1"/>
          <w:bCs w:val="1"/>
          <w:color w:val="auto"/>
        </w:rPr>
      </w:pPr>
    </w:p>
    <w:p>
      <w:pPr>
        <w:ind w:right="100" w:firstLine="464"/>
        <w:spacing w:after="0" w:line="282" w:lineRule="auto"/>
        <w:tabs>
          <w:tab w:leader="none" w:pos="721"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necessary consents of shareholders, members, and other third parties with respect to the execution, delivery and performance of the Agreement and this Amendment 03.</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Client\Cerulean Pharma Inc. – Amendment No. 03 to LSA</w:t>
      </w:r>
    </w:p>
    <w:p>
      <w:pPr>
        <w:sectPr>
          <w:pgSz w:w="11900" w:h="16838" w:orient="portrait"/>
          <w:cols w:equalWidth="0" w:num="1">
            <w:col w:w="11400"/>
          </w:cols>
          <w:pgMar w:left="240" w:top="266" w:right="2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XIV. Additional Terms and Conditions</w:t>
      </w:r>
    </w:p>
    <w:p>
      <w:pPr>
        <w:spacing w:after="0" w:line="229" w:lineRule="exact"/>
        <w:rPr>
          <w:sz w:val="20"/>
          <w:szCs w:val="20"/>
          <w:color w:val="auto"/>
        </w:rPr>
      </w:pPr>
    </w:p>
    <w:p>
      <w:pPr>
        <w:ind w:left="720" w:hanging="256"/>
        <w:spacing w:after="0"/>
        <w:tabs>
          <w:tab w:leader="none" w:pos="7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Further Conditions</w:t>
      </w:r>
      <w:r>
        <w:rPr>
          <w:rFonts w:ascii="Times New Roman" w:cs="Times New Roman" w:eastAsia="Times New Roman" w:hAnsi="Times New Roman"/>
          <w:sz w:val="18"/>
          <w:szCs w:val="18"/>
          <w:color w:val="auto"/>
        </w:rPr>
        <w:t>. The following are conditions precedent to Lender’s obligations to enter into this Amendment 02:</w:t>
      </w:r>
    </w:p>
    <w:p>
      <w:pPr>
        <w:spacing w:after="0" w:line="225" w:lineRule="exact"/>
        <w:rPr>
          <w:rFonts w:ascii="Times New Roman" w:cs="Times New Roman" w:eastAsia="Times New Roman" w:hAnsi="Times New Roman"/>
          <w:sz w:val="18"/>
          <w:szCs w:val="18"/>
          <w:b w:val="1"/>
          <w:bCs w:val="1"/>
          <w:color w:val="auto"/>
        </w:rPr>
      </w:pPr>
    </w:p>
    <w:p>
      <w:pPr>
        <w:ind w:right="320" w:firstLine="921"/>
        <w:spacing w:after="0" w:line="282" w:lineRule="auto"/>
        <w:tabs>
          <w:tab w:leader="none" w:pos="112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execute and deliver all other documents, as Lender shall have reasonably requested prior to the execution by Borrower and Lender of this Amendment 03.</w:t>
      </w:r>
    </w:p>
    <w:p>
      <w:pPr>
        <w:spacing w:after="0" w:line="161" w:lineRule="exact"/>
        <w:rPr>
          <w:rFonts w:ascii="Times New Roman" w:cs="Times New Roman" w:eastAsia="Times New Roman" w:hAnsi="Times New Roman"/>
          <w:sz w:val="18"/>
          <w:szCs w:val="18"/>
          <w:color w:val="auto"/>
        </w:rPr>
      </w:pPr>
    </w:p>
    <w:p>
      <w:pPr>
        <w:ind w:left="1180" w:hanging="259"/>
        <w:spacing w:after="0"/>
        <w:tabs>
          <w:tab w:leader="none" w:pos="11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and hereby does agree to promptly pay all Lender’s Expenses for the preparation and negotiation of this Amendment 03 when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w:t>
      </w:r>
    </w:p>
    <w:p>
      <w:pPr>
        <w:spacing w:after="0" w:line="206" w:lineRule="exact"/>
        <w:rPr>
          <w:rFonts w:ascii="Times New Roman" w:cs="Times New Roman" w:eastAsia="Times New Roman" w:hAnsi="Times New Roman"/>
          <w:sz w:val="18"/>
          <w:szCs w:val="18"/>
          <w:color w:val="auto"/>
        </w:rPr>
      </w:pPr>
    </w:p>
    <w:p>
      <w:pPr>
        <w:ind w:right="160" w:firstLine="464"/>
        <w:spacing w:after="0" w:line="254" w:lineRule="auto"/>
        <w:tabs>
          <w:tab w:leader="none" w:pos="721"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Representations and Warranties of Borrower</w:t>
      </w:r>
      <w:r>
        <w:rPr>
          <w:rFonts w:ascii="Times New Roman" w:cs="Times New Roman" w:eastAsia="Times New Roman" w:hAnsi="Times New Roman"/>
          <w:sz w:val="18"/>
          <w:szCs w:val="18"/>
          <w:color w:val="auto"/>
        </w:rPr>
        <w:t xml:space="preserve">. Borrower reaffirms that, except as set forth in the attached Disclosure Schedule, the representations and warranties made to Lender in the Agreement are true and correct as of the date hereof as though fully set forth herein (except to the extent such representations and warranties expressly refer to a specific date, in which case they are true and correct in all material respects as of such date). Borrower further warrants and represents, as a significant material inducement to Lender to enter hereinto, that: (i) no Events of Default have occurred that have not been disclosed to Lender by Borrower in writing, except that Borrower has not provided monthly financial statements in accordance with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for August, 2014; (ii) all actions or proceedings pending or, to the knowledge of the Borrower, threatened in writing by or against Borrower before any court or administrative agency are set forth on the Disclosure Schedule; (iii) it is in full compliance with </w:t>
      </w:r>
      <w:r>
        <w:rPr>
          <w:rFonts w:ascii="Times New Roman" w:cs="Times New Roman" w:eastAsia="Times New Roman" w:hAnsi="Times New Roman"/>
          <w:sz w:val="18"/>
          <w:szCs w:val="18"/>
          <w:b w:val="1"/>
          <w:bCs w:val="1"/>
          <w:color w:val="auto"/>
        </w:rPr>
        <w:t>Section 7.10</w:t>
      </w:r>
      <w:r>
        <w:rPr>
          <w:rFonts w:ascii="Times New Roman" w:cs="Times New Roman" w:eastAsia="Times New Roman" w:hAnsi="Times New Roman"/>
          <w:sz w:val="18"/>
          <w:szCs w:val="18"/>
          <w:color w:val="auto"/>
        </w:rPr>
        <w:t xml:space="preserve"> of the Agreement; and (iv) the information provided on the attached Disclosure Schedule is complete and accurate. Lender hereby waives any Event of Default caused by Borrower’s not providing the financial statements described in clause (i) above.</w:t>
      </w:r>
    </w:p>
    <w:p>
      <w:pPr>
        <w:spacing w:after="0" w:line="189" w:lineRule="exact"/>
        <w:rPr>
          <w:rFonts w:ascii="Times New Roman" w:cs="Times New Roman" w:eastAsia="Times New Roman" w:hAnsi="Times New Roman"/>
          <w:sz w:val="18"/>
          <w:szCs w:val="18"/>
          <w:b w:val="1"/>
          <w:bCs w:val="1"/>
          <w:color w:val="auto"/>
        </w:rPr>
      </w:pPr>
    </w:p>
    <w:p>
      <w:pPr>
        <w:ind w:firstLine="464"/>
        <w:spacing w:after="0" w:line="256" w:lineRule="auto"/>
        <w:tabs>
          <w:tab w:leader="none" w:pos="701"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No Control</w:t>
      </w:r>
      <w:r>
        <w:rPr>
          <w:rFonts w:ascii="Times New Roman" w:cs="Times New Roman" w:eastAsia="Times New Roman" w:hAnsi="Times New Roman"/>
          <w:sz w:val="18"/>
          <w:szCs w:val="18"/>
          <w:color w:val="auto"/>
        </w:rPr>
        <w:t>. Borrower warrants and represents, as a significant material inducement to Lender to enter hereinto, that none of Lender nor any affiliate, officer, director, employee, agent, or attorney of Lender, have at any time, from Borrower’s date of formation through to the date hereof, (i) exercised management or other control over the Borrower, (ii) exercised undue influence over Borrower or any of its officers, employees or directors, (iii) entered into any joint venture, agency relationship, employment relationship, or partnership with Borrower, (iv) directed or instructed Borrower on the manner, method, amount, or identity of payee of any payment made to any creditor of Borrower, and further, Borrower warrants and represents that by entering hereinto with Lender has not, is not and will not have engaged in any of the foregoing.</w:t>
      </w:r>
    </w:p>
    <w:p>
      <w:pPr>
        <w:spacing w:after="0" w:line="1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XV. Integration Clause</w:t>
      </w:r>
      <w:r>
        <w:rPr>
          <w:rFonts w:ascii="Times New Roman" w:cs="Times New Roman" w:eastAsia="Times New Roman" w:hAnsi="Times New Roman"/>
          <w:sz w:val="18"/>
          <w:szCs w:val="18"/>
          <w:color w:val="auto"/>
        </w:rPr>
        <w:t>. This Amendment 03 and the Agreement, as previously amended, represent and document the entirety of the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understanding of the parties hereto with respect to the subject matter thereof. All prior understandings, whether oral or written, other than the Loan Documents, are hereby merged hereinto. </w:t>
      </w:r>
      <w:r>
        <w:rPr>
          <w:rFonts w:ascii="Times New Roman" w:cs="Times New Roman" w:eastAsia="Times New Roman" w:hAnsi="Times New Roman"/>
          <w:sz w:val="18"/>
          <w:szCs w:val="18"/>
          <w:b w:val="1"/>
          <w:bCs w:val="1"/>
          <w:color w:val="auto"/>
        </w:rPr>
        <w:t>NONE OF THE AGREEMENT OR THIS AMENDMENT 03 MAY BE MODIFIED EXCEPT BY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WRITING SIGNED BY LENDER AND BORROWER</w:t>
      </w:r>
      <w:r>
        <w:rPr>
          <w:rFonts w:ascii="Times New Roman" w:cs="Times New Roman" w:eastAsia="Times New Roman" w:hAnsi="Times New Roman"/>
          <w:sz w:val="18"/>
          <w:szCs w:val="18"/>
          <w:color w:val="auto"/>
        </w:rPr>
        <w:t>. Each provision hereof shall be severable from every other provision when determining its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such that Lender’s rights and remedies under this Amendment 03 and the Agreement may be enforced to the maximum extent permitted under applicable law. This Amendment 03 shall be binding upon, and inure to the benefit of, each party’s respective permitted successors and assigns. This Amendment 03 may be executed in counterpart originals, all of which, when taken together, shall constitute one and the same original document. No provision of any other document between Lender and Borrower shall limit the effectiveness hereof or the rights and remedies of Lender against Borrower. Except as expressly provided herein, in the event of any contradiction or inconsistency among the terms and conditions of this Amendment 03 and the Agreement, the terms of the Agreement shall prevail.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Client\Cerulean Pharma Inc. – Amendment No. 03 to LSA</w:t>
      </w:r>
    </w:p>
    <w:p>
      <w:pPr>
        <w:sectPr>
          <w:pgSz w:w="11900" w:h="16838" w:orient="portrait"/>
          <w:cols w:equalWidth="0" w:num="1">
            <w:col w:w="11420"/>
          </w:cols>
          <w:pgMar w:left="240" w:top="266" w:right="2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amended hereby, the Agreement remains unmodified and unchanged.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5"/>
                <w:szCs w:val="15"/>
                <w:b w:val="1"/>
                <w:bCs w:val="1"/>
                <w:color w:val="auto"/>
              </w:rPr>
              <w:t>ORROWER</w:t>
            </w:r>
            <w:r>
              <w:rPr>
                <w:rFonts w:ascii="Times New Roman" w:cs="Times New Roman" w:eastAsia="Times New Roman" w:hAnsi="Times New Roman"/>
                <w:sz w:val="18"/>
                <w:szCs w:val="18"/>
                <w:b w:val="1"/>
                <w:bCs w:val="1"/>
                <w:color w:val="auto"/>
              </w:rPr>
              <w:t>:</w:t>
            </w:r>
          </w:p>
        </w:tc>
        <w:tc>
          <w:tcPr>
            <w:tcW w:w="4300" w:type="dxa"/>
            <w:vAlign w:val="bottom"/>
          </w:tcPr>
          <w:p>
            <w:pPr>
              <w:spacing w:after="0"/>
              <w:rPr>
                <w:sz w:val="20"/>
                <w:szCs w:val="20"/>
                <w:color w:val="auto"/>
              </w:rPr>
            </w:pP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5"/>
                <w:szCs w:val="15"/>
                <w:b w:val="1"/>
                <w:bCs w:val="1"/>
                <w:color w:val="auto"/>
              </w:rPr>
              <w:t>ENDER</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32"/>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ERULEAN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HARMA INC</w:t>
            </w:r>
            <w:r>
              <w:rPr>
                <w:rFonts w:ascii="Times New Roman" w:cs="Times New Roman" w:eastAsia="Times New Roman" w:hAnsi="Times New Roman"/>
                <w:sz w:val="18"/>
                <w:szCs w:val="18"/>
                <w:b w:val="1"/>
                <w:bCs w:val="1"/>
                <w:color w:val="auto"/>
              </w:rPr>
              <w:t>.</w:t>
            </w:r>
          </w:p>
        </w:tc>
        <w:tc>
          <w:tcPr>
            <w:tcW w:w="60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5"/>
                <w:szCs w:val="15"/>
                <w:b w:val="1"/>
                <w:bCs w:val="1"/>
                <w:color w:val="auto"/>
              </w:rPr>
              <w:t>IGHTHOUSE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APITAL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ARTNERS VI</w:t>
            </w:r>
            <w:r>
              <w:rPr>
                <w:rFonts w:ascii="Times New Roman" w:cs="Times New Roman" w:eastAsia="Times New Roman" w:hAnsi="Times New Roman"/>
                <w:sz w:val="18"/>
                <w:szCs w:val="18"/>
                <w:b w:val="1"/>
                <w:bCs w:val="1"/>
                <w:color w:val="auto"/>
              </w:rPr>
              <w:t>, L.P.</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Oliver S. Fetzer</w:t>
            </w:r>
          </w:p>
        </w:tc>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 xml:space="preserve">LIGHTHOUSE MANAGEMENT PARTNERS VI, L.L.C, </w:t>
            </w:r>
            <w:r>
              <w:rPr>
                <w:rFonts w:ascii="Times New Roman" w:cs="Times New Roman" w:eastAsia="Times New Roman" w:hAnsi="Times New Roman"/>
                <w:sz w:val="15"/>
                <w:szCs w:val="15"/>
                <w:b w:val="1"/>
                <w:bCs w:val="1"/>
                <w:color w:val="auto"/>
                <w:w w:val="99"/>
              </w:rPr>
              <w:t>ITS</w:t>
            </w:r>
          </w:p>
        </w:tc>
        <w:tc>
          <w:tcPr>
            <w:tcW w:w="0" w:type="dxa"/>
            <w:vAlign w:val="bottom"/>
          </w:tcPr>
          <w:p>
            <w:pPr>
              <w:spacing w:after="0"/>
              <w:rPr>
                <w:sz w:val="1"/>
                <w:szCs w:val="1"/>
                <w:color w:val="auto"/>
              </w:rPr>
            </w:pPr>
          </w:p>
        </w:tc>
      </w:tr>
      <w:tr>
        <w:trPr>
          <w:trHeight w:val="186"/>
        </w:trPr>
        <w:tc>
          <w:tcPr>
            <w:tcW w:w="5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Name: Oliver S. Fetzer</w:t>
            </w:r>
          </w:p>
        </w:tc>
        <w:tc>
          <w:tcPr>
            <w:tcW w:w="1260" w:type="dxa"/>
            <w:vAlign w:val="bottom"/>
          </w:tcPr>
          <w:p>
            <w:pPr>
              <w:spacing w:after="0"/>
              <w:rPr>
                <w:sz w:val="16"/>
                <w:szCs w:val="16"/>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GENERAL PARTNER</w:t>
            </w:r>
          </w:p>
        </w:tc>
        <w:tc>
          <w:tcPr>
            <w:tcW w:w="0" w:type="dxa"/>
            <w:vAlign w:val="bottom"/>
          </w:tcPr>
          <w:p>
            <w:pPr>
              <w:spacing w:after="0"/>
              <w:rPr>
                <w:sz w:val="1"/>
                <w:szCs w:val="1"/>
                <w:color w:val="auto"/>
              </w:rPr>
            </w:pPr>
          </w:p>
        </w:tc>
      </w:tr>
      <w:tr>
        <w:trPr>
          <w:trHeight w:val="159"/>
        </w:trPr>
        <w:tc>
          <w:tcPr>
            <w:tcW w:w="5380" w:type="dxa"/>
            <w:vAlign w:val="bottom"/>
            <w:gridSpan w:val="3"/>
            <w:vMerge w:val="continue"/>
          </w:tcPr>
          <w:p>
            <w:pPr>
              <w:spacing w:after="0"/>
              <w:rPr>
                <w:sz w:val="13"/>
                <w:szCs w:val="13"/>
                <w:color w:val="auto"/>
              </w:rPr>
            </w:pPr>
          </w:p>
        </w:tc>
        <w:tc>
          <w:tcPr>
            <w:tcW w:w="12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Cristy Barnes</w:t>
            </w:r>
          </w:p>
        </w:tc>
        <w:tc>
          <w:tcPr>
            <w:tcW w:w="0" w:type="dxa"/>
            <w:vAlign w:val="bottom"/>
          </w:tcPr>
          <w:p>
            <w:pPr>
              <w:spacing w:after="0"/>
              <w:rPr>
                <w:sz w:val="1"/>
                <w:szCs w:val="1"/>
                <w:color w:val="auto"/>
              </w:rPr>
            </w:pPr>
          </w:p>
        </w:tc>
      </w:tr>
      <w:tr>
        <w:trPr>
          <w:trHeight w:val="331"/>
        </w:trPr>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Name:</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Christy Barnes</w:t>
            </w:r>
          </w:p>
        </w:tc>
        <w:tc>
          <w:tcPr>
            <w:tcW w:w="0" w:type="dxa"/>
            <w:vAlign w:val="bottom"/>
          </w:tcPr>
          <w:p>
            <w:pPr>
              <w:spacing w:after="0"/>
              <w:rPr>
                <w:sz w:val="1"/>
                <w:szCs w:val="1"/>
                <w:color w:val="auto"/>
              </w:rPr>
            </w:pPr>
          </w:p>
        </w:tc>
      </w:tr>
      <w:tr>
        <w:trPr>
          <w:trHeight w:val="331"/>
        </w:trPr>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0" w:type="dxa"/>
            <w:vAlign w:val="bottom"/>
          </w:tcPr>
          <w:p>
            <w:pPr>
              <w:spacing w:after="0"/>
              <w:rPr>
                <w:sz w:val="1"/>
                <w:szCs w:val="1"/>
                <w:color w:val="auto"/>
              </w:rPr>
            </w:pPr>
          </w:p>
        </w:tc>
      </w:tr>
      <w:tr>
        <w:trPr>
          <w:trHeight w:val="44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Annex I</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Disclosure Statement</w:t>
            </w:r>
          </w:p>
        </w:tc>
        <w:tc>
          <w:tcPr>
            <w:tcW w:w="12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Annex II</w:t>
            </w:r>
          </w:p>
        </w:tc>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Exhibit F</w:t>
            </w:r>
          </w:p>
        </w:tc>
        <w:tc>
          <w:tcPr>
            <w:tcW w:w="12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Client\Cerulean Pharma Inc. – Amendment No. 03 to LSA</w:t>
      </w:r>
    </w:p>
    <w:p>
      <w:pPr>
        <w:sectPr>
          <w:pgSz w:w="11900" w:h="16838" w:orient="portrait"/>
          <w:cols w:equalWidth="0" w:num="1">
            <w:col w:w="11420"/>
          </w:cols>
          <w:pgMar w:left="240" w:top="270" w:right="239" w:bottom="1440" w:gutter="0" w:footer="0" w:header="0"/>
        </w:sectPr>
      </w:pPr>
    </w:p>
    <w:bookmarkStart w:id="118" w:name="page119"/>
    <w:bookmarkEnd w:id="118"/>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Times New Roman" w:cs="Times New Roman" w:eastAsia="Times New Roman" w:hAnsi="Times New Roman"/>
          <w:sz w:val="15"/>
          <w:szCs w:val="15"/>
          <w:b w:val="1"/>
          <w:bCs w:val="1"/>
          <w:color w:val="auto"/>
        </w:rPr>
        <w:t>NNEX</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CHEDULE I</w:t>
      </w: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5"/>
          <w:szCs w:val="15"/>
          <w:b w:val="1"/>
          <w:bCs w:val="1"/>
          <w:color w:val="auto"/>
        </w:rPr>
        <w:t>ISCLOSURE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CHEDULE</w:t>
      </w:r>
    </w:p>
    <w:p>
      <w:pPr>
        <w:spacing w:after="0" w:line="2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5"/>
          <w:szCs w:val="15"/>
          <w:b w:val="1"/>
          <w:bCs w:val="1"/>
          <w:color w:val="auto"/>
        </w:rPr>
        <w:t>EPOSIT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5"/>
          <w:szCs w:val="15"/>
          <w:b w:val="1"/>
          <w:bCs w:val="1"/>
          <w:color w:val="auto"/>
        </w:rPr>
        <w:t>ECURITIES</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CCOUNTS</w:t>
      </w:r>
    </w:p>
    <w:p>
      <w:pPr>
        <w:spacing w:after="0" w:line="250" w:lineRule="exact"/>
        <w:rPr>
          <w:sz w:val="20"/>
          <w:szCs w:val="20"/>
          <w:color w:val="auto"/>
        </w:rPr>
      </w:pPr>
    </w:p>
    <w:tbl>
      <w:tblPr>
        <w:tblLayout w:type="fixed"/>
        <w:tblInd w:w="60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Account Information:</w:t>
            </w:r>
          </w:p>
        </w:tc>
        <w:tc>
          <w:tcPr>
            <w:tcW w:w="3560" w:type="dxa"/>
            <w:vAlign w:val="bottom"/>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Contact Information for Account:</w:t>
            </w:r>
          </w:p>
        </w:tc>
      </w:tr>
      <w:tr>
        <w:trPr>
          <w:trHeight w:val="187"/>
        </w:trPr>
        <w:tc>
          <w:tcPr>
            <w:tcW w:w="1000" w:type="dxa"/>
            <w:vAlign w:val="bottom"/>
          </w:tcPr>
          <w:p>
            <w:pPr>
              <w:spacing w:after="0"/>
              <w:rPr>
                <w:sz w:val="16"/>
                <w:szCs w:val="16"/>
                <w:color w:val="auto"/>
              </w:rPr>
            </w:pPr>
          </w:p>
        </w:tc>
        <w:tc>
          <w:tcPr>
            <w:tcW w:w="2140" w:type="dxa"/>
            <w:vAlign w:val="bottom"/>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Bank Name:</w:t>
            </w:r>
          </w:p>
        </w:tc>
        <w:tc>
          <w:tcPr>
            <w:tcW w:w="1360" w:type="dxa"/>
            <w:vAlign w:val="bottom"/>
            <w:tcBorders>
              <w:top w:val="single" w:sz="8" w:color="auto"/>
            </w:tcBorders>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Silicon Valley</w:t>
            </w:r>
          </w:p>
        </w:tc>
        <w:tc>
          <w:tcPr>
            <w:tcW w:w="124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Hank</w:t>
            </w:r>
          </w:p>
        </w:tc>
        <w:tc>
          <w:tcPr>
            <w:tcW w:w="660" w:type="dxa"/>
            <w:vAlign w:val="bottom"/>
          </w:tcPr>
          <w:p>
            <w:pPr>
              <w:spacing w:after="0"/>
              <w:rPr>
                <w:sz w:val="16"/>
                <w:szCs w:val="16"/>
                <w:color w:val="auto"/>
              </w:rPr>
            </w:pPr>
          </w:p>
        </w:tc>
        <w:tc>
          <w:tcPr>
            <w:tcW w:w="13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Contact Name:</w:t>
            </w:r>
          </w:p>
        </w:tc>
        <w:tc>
          <w:tcPr>
            <w:tcW w:w="720" w:type="dxa"/>
            <w:vAlign w:val="bottom"/>
            <w:tcBorders>
              <w:top w:val="single" w:sz="8" w:color="auto"/>
            </w:tcBorders>
          </w:tcPr>
          <w:p>
            <w:pPr>
              <w:ind w:left="220"/>
              <w:spacing w:after="0" w:line="188" w:lineRule="exact"/>
              <w:rPr>
                <w:sz w:val="20"/>
                <w:szCs w:val="20"/>
                <w:color w:val="auto"/>
              </w:rPr>
            </w:pPr>
            <w:r>
              <w:rPr>
                <w:rFonts w:ascii="Times New Roman" w:cs="Times New Roman" w:eastAsia="Times New Roman" w:hAnsi="Times New Roman"/>
                <w:sz w:val="18"/>
                <w:szCs w:val="18"/>
                <w:b w:val="1"/>
                <w:bCs w:val="1"/>
                <w:color w:val="auto"/>
              </w:rPr>
              <w:t>Kate</w:t>
            </w:r>
          </w:p>
        </w:tc>
        <w:tc>
          <w:tcPr>
            <w:tcW w:w="82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Walsh</w:t>
            </w:r>
          </w:p>
        </w:tc>
      </w:tr>
      <w:tr>
        <w:trPr>
          <w:trHeight w:val="216"/>
        </w:trPr>
        <w:tc>
          <w:tcPr>
            <w:tcW w:w="1000" w:type="dxa"/>
            <w:vAlign w:val="bottom"/>
          </w:tcPr>
          <w:p>
            <w:pPr>
              <w:spacing w:after="0"/>
              <w:rPr>
                <w:sz w:val="18"/>
                <w:szCs w:val="18"/>
                <w:color w:val="auto"/>
              </w:rPr>
            </w:pPr>
          </w:p>
        </w:tc>
        <w:tc>
          <w:tcPr>
            <w:tcW w:w="2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3003 Tasman Drive</w:t>
            </w:r>
          </w:p>
        </w:tc>
        <w:tc>
          <w:tcPr>
            <w:tcW w:w="20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(617) 630-4130</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2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2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Santa Clara, CA 95054</w:t>
            </w:r>
          </w:p>
        </w:tc>
        <w:tc>
          <w:tcPr>
            <w:tcW w:w="20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Fax:</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(617) 969-5962</w:t>
            </w:r>
          </w:p>
        </w:tc>
      </w:t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1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1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(408) 654-7400</w:t>
            </w:r>
          </w:p>
        </w:tc>
        <w:tc>
          <w:tcPr>
            <w:tcW w:w="1240" w:type="dxa"/>
            <w:vAlign w:val="bottom"/>
          </w:tcPr>
          <w:p>
            <w:pPr>
              <w:spacing w:after="0"/>
              <w:rPr>
                <w:sz w:val="20"/>
                <w:szCs w:val="20"/>
                <w:color w:val="auto"/>
              </w:rPr>
            </w:pPr>
          </w:p>
        </w:tc>
        <w:tc>
          <w:tcPr>
            <w:tcW w:w="20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w w:val="97"/>
              </w:rPr>
              <w:t>kwalsh@svb.com</w:t>
            </w:r>
          </w:p>
        </w:tc>
      </w:tr>
    </w:tbl>
    <w:p>
      <w:pPr>
        <w:ind w:left="1960" w:hanging="1079"/>
        <w:spacing w:after="0"/>
        <w:tabs>
          <w:tab w:leader="none" w:pos="19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Fax:</w:t>
      </w:r>
    </w:p>
    <w:tbl>
      <w:tblPr>
        <w:tblLayout w:type="fixed"/>
        <w:tblInd w:w="600" w:type="dxa"/>
        <w:tblCellMar>
          <w:top w:w="0" w:type="dxa"/>
          <w:left w:w="0" w:type="dxa"/>
          <w:bottom w:w="0" w:type="dxa"/>
          <w:right w:w="0" w:type="dxa"/>
        </w:tblCellMar>
      </w:tblPr>
      <w:tr>
        <w:trPr>
          <w:trHeight w:val="203"/>
        </w:trPr>
        <w:tc>
          <w:tcPr>
            <w:tcW w:w="1000" w:type="dxa"/>
            <w:vAlign w:val="bottom"/>
          </w:tcPr>
          <w:p>
            <w:pPr>
              <w:jc w:val="center"/>
              <w:ind w:right="270"/>
              <w:spacing w:after="0" w:line="203" w:lineRule="exact"/>
              <w:rPr>
                <w:sz w:val="20"/>
                <w:szCs w:val="20"/>
                <w:color w:val="auto"/>
              </w:rPr>
            </w:pPr>
            <w:r>
              <w:rPr>
                <w:rFonts w:ascii="Times New Roman" w:cs="Times New Roman" w:eastAsia="Times New Roman" w:hAnsi="Times New Roman"/>
                <w:sz w:val="18"/>
                <w:szCs w:val="18"/>
                <w:b w:val="1"/>
                <w:bCs w:val="1"/>
                <w:color w:val="auto"/>
                <w:w w:val="99"/>
              </w:rPr>
              <w:t>ACH</w:t>
            </w:r>
          </w:p>
        </w:tc>
        <w:tc>
          <w:tcPr>
            <w:tcW w:w="202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b w:val="1"/>
                <w:bCs w:val="1"/>
                <w:color w:val="auto"/>
              </w:rPr>
              <w:t>Type of Account:</w:t>
            </w:r>
          </w:p>
        </w:tc>
        <w:tc>
          <w:tcPr>
            <w:tcW w:w="2720" w:type="dxa"/>
            <w:vAlign w:val="bottom"/>
          </w:tcPr>
          <w:p>
            <w:pPr>
              <w:ind w:left="300"/>
              <w:spacing w:after="0" w:line="203" w:lineRule="exact"/>
              <w:rPr>
                <w:sz w:val="20"/>
                <w:szCs w:val="20"/>
                <w:color w:val="auto"/>
              </w:rPr>
            </w:pPr>
            <w:r>
              <w:rPr>
                <w:rFonts w:ascii="Times New Roman" w:cs="Times New Roman" w:eastAsia="Times New Roman" w:hAnsi="Times New Roman"/>
                <w:sz w:val="18"/>
                <w:szCs w:val="18"/>
                <w:b w:val="1"/>
                <w:bCs w:val="1"/>
                <w:color w:val="auto"/>
              </w:rPr>
              <w:t>Checking</w:t>
            </w:r>
          </w:p>
        </w:tc>
        <w:tc>
          <w:tcPr>
            <w:tcW w:w="20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8"/>
        </w:trPr>
        <w:tc>
          <w:tcPr>
            <w:tcW w:w="10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Account</w:t>
            </w: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3300508803</w:t>
            </w:r>
          </w:p>
        </w:tc>
        <w:tc>
          <w:tcPr>
            <w:tcW w:w="20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02"/>
        </w:trPr>
        <w:tc>
          <w:tcPr>
            <w:tcW w:w="1000" w:type="dxa"/>
            <w:vAlign w:val="bottom"/>
          </w:tcPr>
          <w:p>
            <w:pPr>
              <w:spacing w:after="0"/>
              <w:rPr>
                <w:sz w:val="24"/>
                <w:szCs w:val="24"/>
                <w:color w:val="auto"/>
              </w:rPr>
            </w:pP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SVB Securities</w:t>
            </w:r>
          </w:p>
        </w:tc>
        <w:tc>
          <w:tcPr>
            <w:tcW w:w="2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8"/>
              </w:rPr>
              <w:t>Customer Service</w:t>
            </w:r>
          </w:p>
        </w:tc>
      </w:tr>
      <w:tr>
        <w:trPr>
          <w:trHeight w:val="216"/>
        </w:trPr>
        <w:tc>
          <w:tcPr>
            <w:tcW w:w="1000" w:type="dxa"/>
            <w:vAlign w:val="bottom"/>
          </w:tcPr>
          <w:p>
            <w:pPr>
              <w:spacing w:after="0"/>
              <w:rPr>
                <w:sz w:val="18"/>
                <w:szCs w:val="18"/>
                <w:color w:val="auto"/>
              </w:rPr>
            </w:pP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3003 Tasman Drive</w:t>
            </w:r>
          </w:p>
        </w:tc>
        <w:tc>
          <w:tcPr>
            <w:tcW w:w="2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(800)303-7371</w:t>
            </w:r>
          </w:p>
        </w:tc>
      </w:tr>
      <w:tr>
        <w:trPr>
          <w:trHeight w:val="216"/>
        </w:trPr>
        <w:tc>
          <w:tcPr>
            <w:tcW w:w="10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Account</w:t>
            </w: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Santa Clara, CA 95054</w:t>
            </w:r>
          </w:p>
        </w:tc>
        <w:tc>
          <w:tcPr>
            <w:tcW w:w="2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Fax:</w:t>
            </w:r>
          </w:p>
        </w:tc>
        <w:tc>
          <w:tcPr>
            <w:tcW w:w="1580" w:type="dxa"/>
            <w:vAlign w:val="bottom"/>
          </w:tcPr>
          <w:p>
            <w:pPr>
              <w:spacing w:after="0"/>
              <w:rPr>
                <w:sz w:val="18"/>
                <w:szCs w:val="18"/>
                <w:color w:val="auto"/>
              </w:rPr>
            </w:pPr>
          </w:p>
        </w:tc>
      </w:tr>
      <w:tr>
        <w:trPr>
          <w:trHeight w:val="238"/>
        </w:trPr>
        <w:tc>
          <w:tcPr>
            <w:tcW w:w="100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(800) 303-7371</w:t>
            </w:r>
          </w:p>
        </w:tc>
        <w:tc>
          <w:tcPr>
            <w:tcW w:w="20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1580" w:type="dxa"/>
            <w:vAlign w:val="bottom"/>
          </w:tcPr>
          <w:p>
            <w:pPr>
              <w:spacing w:after="0"/>
              <w:rPr>
                <w:sz w:val="20"/>
                <w:szCs w:val="20"/>
                <w:color w:val="auto"/>
              </w:rPr>
            </w:pPr>
          </w:p>
        </w:tc>
      </w:tr>
    </w:tbl>
    <w:p>
      <w:pPr>
        <w:ind w:left="1960" w:hanging="1079"/>
        <w:spacing w:after="0"/>
        <w:tabs>
          <w:tab w:leader="none" w:pos="196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Fax:</w:t>
      </w:r>
    </w:p>
    <w:tbl>
      <w:tblPr>
        <w:tblLayout w:type="fixed"/>
        <w:tblInd w:w="340" w:type="dxa"/>
        <w:tblCellMar>
          <w:top w:w="0" w:type="dxa"/>
          <w:left w:w="0" w:type="dxa"/>
          <w:bottom w:w="0" w:type="dxa"/>
          <w:right w:w="0" w:type="dxa"/>
        </w:tblCellMar>
      </w:tblPr>
      <w:tr>
        <w:trPr>
          <w:trHeight w:val="203"/>
        </w:trPr>
        <w:tc>
          <w:tcPr>
            <w:tcW w:w="1400" w:type="dxa"/>
            <w:vAlign w:val="bottom"/>
          </w:tcPr>
          <w:p>
            <w:pPr>
              <w:spacing w:after="0"/>
              <w:rPr>
                <w:sz w:val="17"/>
                <w:szCs w:val="17"/>
                <w:color w:val="auto"/>
              </w:rPr>
            </w:pPr>
          </w:p>
        </w:tc>
        <w:tc>
          <w:tcPr>
            <w:tcW w:w="188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b w:val="1"/>
                <w:bCs w:val="1"/>
                <w:color w:val="auto"/>
              </w:rPr>
              <w:t>Type of Account:</w:t>
            </w:r>
          </w:p>
        </w:tc>
        <w:tc>
          <w:tcPr>
            <w:tcW w:w="2800" w:type="dxa"/>
            <w:vAlign w:val="bottom"/>
          </w:tcPr>
          <w:p>
            <w:pPr>
              <w:ind w:left="300"/>
              <w:spacing w:after="0" w:line="203" w:lineRule="exact"/>
              <w:rPr>
                <w:sz w:val="20"/>
                <w:szCs w:val="20"/>
                <w:color w:val="auto"/>
              </w:rPr>
            </w:pPr>
            <w:r>
              <w:rPr>
                <w:rFonts w:ascii="Times New Roman" w:cs="Times New Roman" w:eastAsia="Times New Roman" w:hAnsi="Times New Roman"/>
                <w:sz w:val="18"/>
                <w:szCs w:val="18"/>
                <w:b w:val="1"/>
                <w:bCs w:val="1"/>
                <w:color w:val="auto"/>
              </w:rPr>
              <w:t>Securities</w:t>
            </w:r>
          </w:p>
        </w:tc>
        <w:tc>
          <w:tcPr>
            <w:tcW w:w="19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486-04517-17 RR ZGQ</w:t>
            </w:r>
          </w:p>
        </w:tc>
        <w:tc>
          <w:tcPr>
            <w:tcW w:w="1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1400" w:type="dxa"/>
            <w:vAlign w:val="bottom"/>
          </w:tcPr>
          <w:p>
            <w:pPr>
              <w:spacing w:after="0"/>
              <w:rPr>
                <w:sz w:val="24"/>
                <w:szCs w:val="24"/>
                <w:color w:val="auto"/>
              </w:rPr>
            </w:pP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Silicon Valley Bank</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Kate Walsh</w:t>
            </w:r>
          </w:p>
        </w:tc>
        <w:tc>
          <w:tcPr>
            <w:tcW w:w="0" w:type="dxa"/>
            <w:vAlign w:val="bottom"/>
          </w:tcPr>
          <w:p>
            <w:pPr>
              <w:spacing w:after="0"/>
              <w:rPr>
                <w:sz w:val="1"/>
                <w:szCs w:val="1"/>
                <w:color w:val="auto"/>
              </w:rPr>
            </w:pPr>
          </w:p>
        </w:tc>
      </w:tr>
      <w:tr>
        <w:trPr>
          <w:trHeight w:val="216"/>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Account</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3003 Tasman Drive</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(617) 630-4130</w:t>
            </w:r>
          </w:p>
        </w:tc>
        <w:tc>
          <w:tcPr>
            <w:tcW w:w="0" w:type="dxa"/>
            <w:vAlign w:val="bottom"/>
          </w:tcPr>
          <w:p>
            <w:pPr>
              <w:spacing w:after="0"/>
              <w:rPr>
                <w:sz w:val="1"/>
                <w:szCs w:val="1"/>
                <w:color w:val="auto"/>
              </w:rPr>
            </w:pPr>
          </w:p>
        </w:tc>
      </w:tr>
      <w:tr>
        <w:trPr>
          <w:trHeight w:val="216"/>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Santa Clara, CA 95054</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Fax:</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(617) 969-5962</w:t>
            </w:r>
          </w:p>
        </w:tc>
        <w:tc>
          <w:tcPr>
            <w:tcW w:w="0" w:type="dxa"/>
            <w:vAlign w:val="bottom"/>
          </w:tcPr>
          <w:p>
            <w:pPr>
              <w:spacing w:after="0"/>
              <w:rPr>
                <w:sz w:val="1"/>
                <w:szCs w:val="1"/>
                <w:color w:val="auto"/>
              </w:rPr>
            </w:pPr>
          </w:p>
        </w:tc>
      </w:tr>
      <w:tr>
        <w:trPr>
          <w:trHeight w:val="216"/>
        </w:trPr>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3</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(408) 654-7400</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w w:val="97"/>
              </w:rPr>
              <w:t>kwalsh@svb.com</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Fax:</w:t>
            </w: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Capped at</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Type of Account:</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CD Securing Landlord</w:t>
            </w:r>
          </w:p>
        </w:tc>
        <w:tc>
          <w:tcPr>
            <w:tcW w:w="1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$117,134</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LOC</w:t>
            </w:r>
          </w:p>
        </w:tc>
        <w:tc>
          <w:tcPr>
            <w:tcW w:w="28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spacing w:after="0"/>
              <w:rPr>
                <w:sz w:val="20"/>
                <w:szCs w:val="20"/>
                <w:color w:val="auto"/>
              </w:rPr>
            </w:pP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3300994390</w:t>
            </w:r>
          </w:p>
        </w:tc>
        <w:tc>
          <w:tcPr>
            <w:tcW w:w="1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1400" w:type="dxa"/>
            <w:vAlign w:val="bottom"/>
          </w:tcPr>
          <w:p>
            <w:pPr>
              <w:spacing w:after="0"/>
              <w:rPr>
                <w:sz w:val="24"/>
                <w:szCs w:val="24"/>
                <w:color w:val="auto"/>
              </w:rPr>
            </w:pP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Wcstpac</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Account</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GPO Box 3433</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Sidney NSW 2001</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Fax:</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4</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+1 300 655 5051</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Australian Sub</w:t>
            </w:r>
          </w:p>
        </w:tc>
        <w:tc>
          <w:tcPr>
            <w:tcW w:w="18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Fax:</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(+61 2) 9293 9270</w:t>
            </w:r>
          </w:p>
        </w:tc>
        <w:tc>
          <w:tcPr>
            <w:tcW w:w="1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2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Capped at</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Type of Account:</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Operating Checking</w:t>
            </w:r>
          </w:p>
        </w:tc>
        <w:tc>
          <w:tcPr>
            <w:tcW w:w="1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$2,000,000 w/</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033-002 721996</w:t>
            </w:r>
          </w:p>
        </w:tc>
        <w:tc>
          <w:tcPr>
            <w:tcW w:w="1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Account #5</w:t>
            </w:r>
          </w:p>
        </w:tc>
        <w:tc>
          <w:tcPr>
            <w:tcW w:w="18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2"/>
        </w:trPr>
        <w:tc>
          <w:tcPr>
            <w:tcW w:w="1400" w:type="dxa"/>
            <w:vAlign w:val="bottom"/>
          </w:tcPr>
          <w:p>
            <w:pPr>
              <w:spacing w:after="0"/>
              <w:rPr>
                <w:sz w:val="24"/>
                <w:szCs w:val="24"/>
                <w:color w:val="auto"/>
              </w:rPr>
            </w:pP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Wcstpac</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Account</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GPO Box 3433</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Sidney NSW 2001</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Fax:</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5</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+1 300 655 5051</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Australian Sub</w:t>
            </w:r>
          </w:p>
        </w:tc>
        <w:tc>
          <w:tcPr>
            <w:tcW w:w="188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Fax:</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(+61 2) 9293 9270</w:t>
            </w:r>
          </w:p>
        </w:tc>
        <w:tc>
          <w:tcPr>
            <w:tcW w:w="1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28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Capped at</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Type of Account:</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Interest Bearing Account</w:t>
            </w:r>
          </w:p>
        </w:tc>
        <w:tc>
          <w:tcPr>
            <w:tcW w:w="1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$2,000,000 w/</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28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033-002 722008</w:t>
            </w:r>
          </w:p>
        </w:tc>
        <w:tc>
          <w:tcPr>
            <w:tcW w:w="19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Account #4</w:t>
            </w:r>
          </w:p>
        </w:tc>
        <w:tc>
          <w:tcPr>
            <w:tcW w:w="18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Client\Cerulean Pharma Inc. – Amendment No. 03 to LSA</w:t>
      </w:r>
    </w:p>
    <w:p>
      <w:pPr>
        <w:sectPr>
          <w:pgSz w:w="11900" w:h="16838" w:orient="portrait"/>
          <w:cols w:equalWidth="0" w:num="1">
            <w:col w:w="10219"/>
          </w:cols>
          <w:pgMar w:left="240" w:top="266" w:right="1440" w:bottom="1440" w:gutter="0" w:footer="0" w:header="0"/>
        </w:sectPr>
      </w:pPr>
    </w:p>
    <w:bookmarkStart w:id="119" w:name="page120"/>
    <w:bookmarkEnd w:id="11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w:t>
      </w:r>
      <w:r>
        <w:rPr>
          <w:rFonts w:ascii="Times New Roman" w:cs="Times New Roman" w:eastAsia="Times New Roman" w:hAnsi="Times New Roman"/>
          <w:sz w:val="15"/>
          <w:szCs w:val="15"/>
          <w:b w:val="1"/>
          <w:bCs w:val="1"/>
          <w:color w:val="auto"/>
        </w:rPr>
        <w:t>ERMITTED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5"/>
          <w:szCs w:val="15"/>
          <w:b w:val="1"/>
          <w:bCs w:val="1"/>
          <w:color w:val="auto"/>
        </w:rPr>
        <w:t>IENS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XISTING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5"/>
          <w:szCs w:val="15"/>
          <w:b w:val="1"/>
          <w:bCs w:val="1"/>
          <w:color w:val="auto"/>
        </w:rPr>
        <w:t>IENS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Liens on equipment financed pursuant to that certain Loan and Security Agreement between Silicon Valley Bank and the Borrower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18, 2008, as amended or refinanced from time to time, and any and all claims, rights and interest in such assets and all substitutions for, additions, attachments, accessories, accessions and improvements to and replacements, products, proceeds and insurance proceeds of any or all of the foregoing.</w:t>
      </w:r>
    </w:p>
    <w:p>
      <w:pPr>
        <w:spacing w:after="0" w:line="3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5"/>
          <w:szCs w:val="15"/>
          <w:b w:val="1"/>
          <w:bCs w:val="1"/>
          <w:color w:val="auto"/>
        </w:rPr>
        <w:t>UBSIDIARIES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Cerulean Pharma Australia Pty Ltd</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RIOR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5"/>
          <w:szCs w:val="15"/>
          <w:b w:val="1"/>
          <w:bCs w:val="1"/>
          <w:color w:val="auto"/>
        </w:rPr>
        <w:t>AMES</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Tempo Pharmaceuticals, Inc.</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5"/>
          <w:szCs w:val="15"/>
          <w:b w:val="1"/>
          <w:bCs w:val="1"/>
          <w:color w:val="auto"/>
        </w:rPr>
        <w:t>ITIGATION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5"/>
          <w:szCs w:val="15"/>
          <w:b w:val="1"/>
          <w:bCs w:val="1"/>
          <w:color w:val="auto"/>
        </w:rPr>
        <w:t>DMINISTRATIVE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ROCEEDINGS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9, 2011, the Borrower received a letter from an attorney representing Dr. Pei-Sze Ng, a former employee of the Borrower who voluntarily left employment with the Borrower. The letter threatened a claim against the Borrower for tortuous interference with contract as a result of communications the Borrower allegedly had with Alnylam Pharmaceuticals, which (according to the letter) offered Dr. Ng employment as a Senior Scientist and subsequently withdrew the offer.</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January 29, 2014 Calando Pharmaceuticals, Inc. (“Calando”) filed for Chapter 7 protection in the United States Bankruptcy Court for the District of Delaware. Borrower has various license and intellectual property agreements with Calando, which are now disputed in the bankruptcy. Given the uncertain nature of Calando’s liquidation plans at this time, it is possible that Borrower will face additional liability as a result of this bankruptcy.</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5"/>
          <w:szCs w:val="15"/>
          <w:b w:val="1"/>
          <w:bCs w:val="1"/>
          <w:color w:val="auto"/>
        </w:rPr>
        <w:t>USINESS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REMISES</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38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Landlord/Property Management</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Each Collateral Location:</w:t>
            </w:r>
          </w:p>
        </w:tc>
        <w:tc>
          <w:tcPr>
            <w:tcW w:w="2880" w:type="dxa"/>
            <w:vAlign w:val="bottom"/>
          </w:tcPr>
          <w:p>
            <w:pPr>
              <w:spacing w:after="0"/>
              <w:rPr>
                <w:sz w:val="12"/>
                <w:szCs w:val="12"/>
                <w:color w:val="auto"/>
              </w:rPr>
            </w:pPr>
          </w:p>
        </w:tc>
        <w:tc>
          <w:tcPr>
            <w:tcW w:w="3840" w:type="dxa"/>
            <w:vAlign w:val="bottom"/>
            <w:gridSpan w:val="4"/>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for any Borrower leased</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880" w:type="dxa"/>
            <w:vAlign w:val="bottom"/>
          </w:tcPr>
          <w:p>
            <w:pPr>
              <w:spacing w:after="0"/>
              <w:rPr>
                <w:sz w:val="15"/>
                <w:szCs w:val="15"/>
                <w:color w:val="auto"/>
              </w:rPr>
            </w:pP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Karen L. Roberts</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Alan Goodman</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Headquarters</w:t>
            </w: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840 Memorial Drive, 5th Fl.</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Rivertech Associates</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(Location 1)</w:t>
            </w: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Cambridge, MA 02139</w:t>
            </w:r>
          </w:p>
        </w:tc>
        <w:tc>
          <w:tcPr>
            <w:tcW w:w="384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II, LLC, c/o The Abbey Group</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Phone:</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(617) 551-9600</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575 Boylston Street</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Fax:</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(617) 494-1544</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Boston, MA 02142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(617) 266-8860</w:t>
            </w:r>
          </w:p>
        </w:tc>
        <w:tc>
          <w:tcPr>
            <w:tcW w:w="0" w:type="dxa"/>
            <w:vAlign w:val="bottom"/>
          </w:tcPr>
          <w:p>
            <w:pPr>
              <w:spacing w:after="0"/>
              <w:rPr>
                <w:sz w:val="1"/>
                <w:szCs w:val="1"/>
                <w:color w:val="auto"/>
              </w:rPr>
            </w:pPr>
          </w:p>
        </w:tc>
      </w:tr>
      <w:tr>
        <w:trPr>
          <w:trHeight w:val="238"/>
        </w:trPr>
        <w:tc>
          <w:tcPr>
            <w:tcW w:w="134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[Please note: 1</w:t>
            </w:r>
            <w:r>
              <w:rPr>
                <w:rFonts w:ascii="Times New Roman" w:cs="Times New Roman" w:eastAsia="Times New Roman" w:hAnsi="Times New Roman"/>
                <w:sz w:val="15"/>
                <w:szCs w:val="15"/>
                <w:b w:val="1"/>
                <w:bCs w:val="1"/>
                <w:color w:val="auto"/>
              </w:rPr>
              <w:t>st</w:t>
            </w:r>
            <w:r>
              <w:rPr>
                <w:rFonts w:ascii="Times New Roman" w:cs="Times New Roman" w:eastAsia="Times New Roman" w:hAnsi="Times New Roman"/>
                <w:sz w:val="18"/>
                <w:szCs w:val="18"/>
                <w:b w:val="1"/>
                <w:bCs w:val="1"/>
                <w:color w:val="auto"/>
              </w:rPr>
              <w:t xml:space="preserve"> floor is a business premise as well.]</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Fax:</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(617) 266-7424</w:t>
            </w:r>
          </w:p>
        </w:tc>
        <w:tc>
          <w:tcPr>
            <w:tcW w:w="0" w:type="dxa"/>
            <w:vAlign w:val="bottom"/>
          </w:tcPr>
          <w:p>
            <w:pPr>
              <w:spacing w:after="0"/>
              <w:rPr>
                <w:sz w:val="1"/>
                <w:szCs w:val="1"/>
                <w:color w:val="auto"/>
              </w:rPr>
            </w:pPr>
          </w:p>
        </w:tc>
      </w:tr>
      <w:tr>
        <w:trPr>
          <w:trHeight w:val="302"/>
        </w:trPr>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Andrew Slee</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17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[Guast] US Preclinical</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 LLC</w:t>
            </w:r>
          </w:p>
        </w:tc>
        <w:tc>
          <w:tcPr>
            <w:tcW w:w="2880" w:type="dxa"/>
            <w:vAlign w:val="bottom"/>
          </w:tcPr>
          <w:p>
            <w:pPr>
              <w:spacing w:after="0"/>
              <w:rPr>
                <w:sz w:val="18"/>
                <w:szCs w:val="18"/>
                <w:color w:val="auto"/>
              </w:rPr>
            </w:pP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320 Putnam Avenue</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Cambridge, MA 02139</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Phone:</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(617) 868-5481</w:t>
            </w:r>
          </w:p>
        </w:tc>
        <w:tc>
          <w:tcPr>
            <w:tcW w:w="20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Fax:</w:t>
            </w: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Fax:</w:t>
            </w:r>
          </w:p>
        </w:tc>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(617) 868-5691</w:t>
            </w:r>
          </w:p>
        </w:tc>
        <w:tc>
          <w:tcPr>
            <w:tcW w:w="5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Client\Cerulean Pharma Inc. – Amendment No. 03 to LSA</w:t>
      </w:r>
    </w:p>
    <w:p>
      <w:pPr>
        <w:sectPr>
          <w:pgSz w:w="11900" w:h="16838" w:orient="portrait"/>
          <w:cols w:equalWidth="0" w:num="1">
            <w:col w:w="11320"/>
          </w:cols>
          <w:pgMar w:left="240" w:top="266" w:right="339" w:bottom="1440" w:gutter="0" w:footer="0" w:header="0"/>
        </w:sectPr>
      </w:pPr>
    </w:p>
    <w:bookmarkStart w:id="120" w:name="page121"/>
    <w:bookmarkEnd w:id="120"/>
    <w:tbl>
      <w:tblPr>
        <w:tblLayout w:type="fixed"/>
        <w:tblInd w:w="36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Landlord/Property Management</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Each Collateral Location:</w:t>
            </w:r>
          </w:p>
        </w:tc>
        <w:tc>
          <w:tcPr>
            <w:tcW w:w="2920" w:type="dxa"/>
            <w:vAlign w:val="bottom"/>
          </w:tcPr>
          <w:p>
            <w:pPr>
              <w:spacing w:after="0"/>
              <w:rPr>
                <w:sz w:val="12"/>
                <w:szCs w:val="12"/>
                <w:color w:val="auto"/>
              </w:rPr>
            </w:pPr>
          </w:p>
        </w:tc>
        <w:tc>
          <w:tcPr>
            <w:tcW w:w="2800" w:type="dxa"/>
            <w:vAlign w:val="bottom"/>
            <w:gridSpan w:val="3"/>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Information for any Borrower leased</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2920" w:type="dxa"/>
            <w:vAlign w:val="bottom"/>
          </w:tcPr>
          <w:p>
            <w:pPr>
              <w:spacing w:after="0"/>
              <w:rPr>
                <w:sz w:val="15"/>
                <w:szCs w:val="15"/>
                <w:color w:val="auto"/>
              </w:rPr>
            </w:pP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11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Derek Thornton</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Almac Clinical Services, LLC</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4202 Technology Drive</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Durham, NC 27704</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Phone:</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(919) 294-1934</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Fax:</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(919) 471-2633</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Fax:</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11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Timothy Quinn</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Contact Name:</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N/A</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Sigma-Aldrich, Inc.</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654 Science Drive</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Madison, WI 53711</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City, State, Zip:</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Phone:</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(608) 335-3117</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Fax:</w:t>
            </w:r>
          </w:p>
        </w:tc>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(608) 233-6873</w:t>
            </w:r>
          </w:p>
        </w:tc>
        <w:tc>
          <w:tcPr>
            <w:tcW w:w="20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Fax:</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Client\Cerulean Pharma Inc. – Amendment No. 03 to LSA</w:t>
      </w:r>
    </w:p>
    <w:p>
      <w:pPr>
        <w:sectPr>
          <w:pgSz w:w="11900" w:h="16838" w:orient="portrait"/>
          <w:cols w:equalWidth="0" w:num="1">
            <w:col w:w="10219"/>
          </w:cols>
          <w:pgMar w:left="240" w:top="251" w:right="1440" w:bottom="1440" w:gutter="0" w:footer="0" w:header="0"/>
        </w:sectPr>
      </w:pPr>
    </w:p>
    <w:bookmarkStart w:id="121" w:name="page122"/>
    <w:bookmarkEnd w:id="121"/>
    <w:p>
      <w:pPr>
        <w:ind w:left="5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II</w:t>
      </w:r>
    </w:p>
    <w:p>
      <w:pPr>
        <w:spacing w:after="0" w:line="225" w:lineRule="exact"/>
        <w:rPr>
          <w:sz w:val="20"/>
          <w:szCs w:val="20"/>
          <w:color w:val="auto"/>
        </w:rPr>
      </w:pPr>
    </w:p>
    <w:p>
      <w:pPr>
        <w:jc w:val="right"/>
        <w:ind w:right="409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XHIBIT</w:t>
      </w:r>
      <w:r>
        <w:rPr>
          <w:rFonts w:ascii="Times New Roman" w:cs="Times New Roman" w:eastAsia="Times New Roman" w:hAnsi="Times New Roman"/>
          <w:sz w:val="18"/>
          <w:szCs w:val="18"/>
          <w:b w:val="1"/>
          <w:bCs w:val="1"/>
          <w:color w:val="auto"/>
        </w:rPr>
        <w:t xml:space="preserve"> 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Client\Cerulean Pharma Inc. – Amendment No. 03 to LSA</w:t>
      </w:r>
    </w:p>
    <w:p>
      <w:pPr>
        <w:sectPr>
          <w:pgSz w:w="11900" w:h="16838" w:orient="portrait"/>
          <w:cols w:equalWidth="0" w:num="1">
            <w:col w:w="10219"/>
          </w:cols>
          <w:pgMar w:left="240" w:top="266" w:right="1440" w:bottom="1440" w:gutter="0" w:footer="0" w:header="0"/>
        </w:sectPr>
      </w:pPr>
    </w:p>
    <w:bookmarkStart w:id="122" w:name="page123"/>
    <w:bookmarkEnd w:id="122"/>
    <w:p>
      <w:pPr>
        <w:ind w:left="7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the financial statement period</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(“Statement Period” extending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142875</wp:posOffset>
            </wp:positionV>
            <wp:extent cx="24009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1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2383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5"/>
          <w:szCs w:val="15"/>
          <w:b w:val="1"/>
          <w:bCs w:val="1"/>
          <w:color w:val="auto"/>
        </w:rPr>
        <w:t>XHIBIT F</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5"/>
          <w:szCs w:val="15"/>
          <w:b w:val="1"/>
          <w:bCs w:val="1"/>
          <w:color w:val="auto"/>
        </w:rPr>
        <w:t>FFICER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5"/>
          <w:szCs w:val="15"/>
          <w:b w:val="1"/>
          <w:bCs w:val="1"/>
          <w:color w:val="auto"/>
        </w:rPr>
        <w:t>ERTIFICATE</w:t>
      </w:r>
    </w:p>
    <w:p>
      <w:pPr>
        <w:spacing w:after="0" w:line="225" w:lineRule="exact"/>
        <w:rPr>
          <w:sz w:val="20"/>
          <w:szCs w:val="20"/>
          <w:color w:val="auto"/>
        </w:rPr>
      </w:pPr>
    </w:p>
    <w:p>
      <w:pPr>
        <w:ind w:firstLine="456"/>
        <w:spacing w:after="0" w:line="268" w:lineRule="auto"/>
        <w:rPr>
          <w:sz w:val="20"/>
          <w:szCs w:val="20"/>
          <w:color w:val="auto"/>
        </w:rPr>
      </w:pPr>
      <w:r>
        <w:rPr>
          <w:rFonts w:ascii="Times New Roman" w:cs="Times New Roman" w:eastAsia="Times New Roman" w:hAnsi="Times New Roman"/>
          <w:sz w:val="18"/>
          <w:szCs w:val="18"/>
          <w:color w:val="auto"/>
        </w:rPr>
        <w:t xml:space="preserve">The undersigned, to induce </w:t>
      </w: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5"/>
          <w:szCs w:val="15"/>
          <w:b w:val="1"/>
          <w:bCs w:val="1"/>
          <w:color w:val="auto"/>
        </w:rPr>
        <w:t>IGHTHOUSE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ARTNERS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VI, L.P.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Lender</w:t>
      </w:r>
      <w:r>
        <w:rPr>
          <w:rFonts w:ascii="Times New Roman" w:cs="Times New Roman" w:eastAsia="Times New Roman" w:hAnsi="Times New Roman"/>
          <w:sz w:val="18"/>
          <w:szCs w:val="18"/>
          <w:color w:val="auto"/>
        </w:rPr>
        <w:t xml:space="preserve">”), to extend or continue financial accommodations to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ERULEAN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5"/>
          <w:szCs w:val="15"/>
          <w:b w:val="1"/>
          <w:bCs w:val="1"/>
          <w:color w:val="auto"/>
        </w:rPr>
        <w:t>HARMA</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i w:val="1"/>
          <w:iCs w:val="1"/>
          <w:color w:val="auto"/>
        </w:rPr>
        <w:t>Borrower</w:t>
      </w:r>
      <w:r>
        <w:rPr>
          <w:rFonts w:ascii="Times New Roman" w:cs="Times New Roman" w:eastAsia="Times New Roman" w:hAnsi="Times New Roman"/>
          <w:sz w:val="18"/>
          <w:szCs w:val="18"/>
          <w:color w:val="auto"/>
        </w:rPr>
        <w:t>”) pursuant to the terms of that certain Loan and Security Agreement dated December 6, 2011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i w:val="1"/>
          <w:iCs w:val="1"/>
          <w:color w:val="auto"/>
        </w:rPr>
        <w:t>Loan Agreement</w:t>
      </w:r>
      <w:r>
        <w:rPr>
          <w:rFonts w:ascii="Times New Roman" w:cs="Times New Roman" w:eastAsia="Times New Roman" w:hAnsi="Times New Roman"/>
          <w:sz w:val="18"/>
          <w:szCs w:val="18"/>
          <w:color w:val="auto"/>
        </w:rPr>
        <w:t>”), hereby certifies that on the date hereof:</w:t>
      </w:r>
    </w:p>
    <w:p>
      <w:pPr>
        <w:spacing w:after="0" w:line="76" w:lineRule="exact"/>
        <w:rPr>
          <w:sz w:val="20"/>
          <w:szCs w:val="20"/>
          <w:color w:val="auto"/>
        </w:rPr>
      </w:pPr>
    </w:p>
    <w:p>
      <w:pPr>
        <w:ind w:left="460"/>
        <w:spacing w:after="0"/>
        <w:tabs>
          <w:tab w:leader="none" w:pos="880" w:val="left"/>
          <w:tab w:leader="none" w:pos="416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I am the duly elected and acting</w:t>
      </w:r>
      <w:r>
        <w:rPr>
          <w:sz w:val="20"/>
          <w:szCs w:val="20"/>
          <w:color w:val="auto"/>
        </w:rPr>
        <w:tab/>
      </w:r>
      <w:r>
        <w:rPr>
          <w:rFonts w:ascii="Times New Roman" w:cs="Times New Roman" w:eastAsia="Times New Roman" w:hAnsi="Times New Roman"/>
          <w:sz w:val="17"/>
          <w:szCs w:val="17"/>
          <w:color w:val="auto"/>
        </w:rPr>
        <w:t>of Borrower.</w:t>
      </w:r>
    </w:p>
    <w:p>
      <w:pPr>
        <w:spacing w:after="0" w:line="135" w:lineRule="exact"/>
        <w:rPr>
          <w:sz w:val="20"/>
          <w:szCs w:val="20"/>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am a Responsible Officer as that term is defined in the Loan Agreement.</w:t>
      </w:r>
    </w:p>
    <w:p>
      <w:pPr>
        <w:spacing w:after="0" w:line="130" w:lineRule="exact"/>
        <w:rPr>
          <w:rFonts w:ascii="Times New Roman" w:cs="Times New Roman" w:eastAsia="Times New Roman" w:hAnsi="Times New Roman"/>
          <w:sz w:val="18"/>
          <w:szCs w:val="18"/>
          <w:b w:val="1"/>
          <w:bCs w:val="1"/>
          <w:color w:val="auto"/>
        </w:rPr>
      </w:pPr>
    </w:p>
    <w:p>
      <w:pPr>
        <w:ind w:left="900" w:right="220" w:hanging="446"/>
        <w:spacing w:after="0" w:line="266" w:lineRule="auto"/>
        <w:tabs>
          <w:tab w:leader="none" w:pos="9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filed with the Securities and Exchange Commission or otherwise delivered to the Lender under the Loan Agreement for the Statement Period fairly presents the financial condition of the Borrower in all material respects as of the respective dates reported in such information.</w:t>
      </w:r>
    </w:p>
    <w:p>
      <w:pPr>
        <w:spacing w:after="0" w:line="81"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is currently able to pay its debts as they come due.</w:t>
      </w:r>
    </w:p>
    <w:p>
      <w:pPr>
        <w:spacing w:after="0" w:line="130"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understand that Lender is relying upon the truthfulness, accuracy and completeness hereof in connection with the Loan Agreement.</w:t>
      </w:r>
    </w:p>
    <w:p>
      <w:pPr>
        <w:spacing w:after="0" w:line="225" w:lineRule="exact"/>
        <w:rPr>
          <w:sz w:val="20"/>
          <w:szCs w:val="20"/>
          <w:color w:val="auto"/>
        </w:rPr>
      </w:pPr>
    </w:p>
    <w:p>
      <w:pPr>
        <w:ind w:left="460"/>
        <w:spacing w:after="0"/>
        <w:tabs>
          <w:tab w:leader="none" w:pos="7540" w:val="left"/>
        </w:tabs>
        <w:rPr>
          <w:sz w:val="20"/>
          <w:szCs w:val="20"/>
          <w:color w:val="auto"/>
        </w:rPr>
      </w:pPr>
      <w:r>
        <w:rPr>
          <w:rFonts w:ascii="Times New Roman" w:cs="Times New Roman" w:eastAsia="Times New Roman" w:hAnsi="Times New Roman"/>
          <w:sz w:val="18"/>
          <w:szCs w:val="18"/>
          <w:color w:val="auto"/>
        </w:rPr>
        <w:t>IN WITNESS WHEREOF, the undersigned has executed this Officer’s Certificate on</w:t>
      </w:r>
      <w:r>
        <w:rPr>
          <w:sz w:val="20"/>
          <w:szCs w:val="20"/>
          <w:color w:val="auto"/>
        </w:rPr>
        <w:tab/>
      </w:r>
      <w:r>
        <w:rPr>
          <w:rFonts w:ascii="Times New Roman" w:cs="Times New Roman" w:eastAsia="Times New Roman" w:hAnsi="Times New Roman"/>
          <w:sz w:val="16"/>
          <w:szCs w:val="16"/>
          <w:color w:val="auto"/>
        </w:rPr>
        <w:t>.</w:t>
      </w:r>
    </w:p>
    <w:p>
      <w:pPr>
        <w:spacing w:after="0" w:line="24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5"/>
          <w:szCs w:val="15"/>
          <w:b w:val="1"/>
          <w:bCs w:val="1"/>
          <w:color w:val="auto"/>
        </w:rPr>
        <w:t>ERULEAN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5"/>
          <w:szCs w:val="15"/>
          <w:b w:val="1"/>
          <w:bCs w:val="1"/>
          <w:color w:val="auto"/>
        </w:rPr>
        <w:t>HARMA</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5"/>
          <w:szCs w:val="15"/>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5215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5215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17145</wp:posOffset>
            </wp:positionV>
            <wp:extent cx="25215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Client\Cerulean Pharma Inc. – Amendment No. 03 to LSA</w:t>
      </w:r>
    </w:p>
    <w:p>
      <w:pPr>
        <w:sectPr>
          <w:pgSz w:w="11900" w:h="16838" w:orient="portrait"/>
          <w:cols w:equalWidth="0" w:num="1">
            <w:col w:w="11220"/>
          </w:cols>
          <w:pgMar w:left="240" w:top="270" w:right="4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D.T. Guiffre, certify that:</w:t>
      </w:r>
    </w:p>
    <w:p>
      <w:pPr>
        <w:spacing w:after="0" w:line="131" w:lineRule="exact"/>
        <w:rPr>
          <w:sz w:val="20"/>
          <w:szCs w:val="20"/>
          <w:color w:val="auto"/>
        </w:rPr>
      </w:pPr>
    </w:p>
    <w:p>
      <w:pPr>
        <w:ind w:left="900" w:hanging="446"/>
        <w:spacing w:after="0"/>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30"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1920" w:right="100" w:hanging="440"/>
        <w:spacing w:after="0" w:line="266" w:lineRule="auto"/>
        <w:tabs>
          <w:tab w:leader="none" w:pos="19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920" w:right="60" w:hanging="440"/>
        <w:spacing w:after="0" w:line="266" w:lineRule="auto"/>
        <w:tabs>
          <w:tab w:leader="none" w:pos="19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920" w:right="160" w:hanging="440"/>
        <w:spacing w:after="0" w:line="266" w:lineRule="auto"/>
        <w:tabs>
          <w:tab w:leader="none" w:pos="19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20" w:hanging="440"/>
        <w:spacing w:after="0" w:line="282" w:lineRule="auto"/>
        <w:tabs>
          <w:tab w:leader="none" w:pos="19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20" w:right="300" w:hanging="440"/>
        <w:spacing w:after="0" w:line="282" w:lineRule="auto"/>
        <w:tabs>
          <w:tab w:leader="none" w:pos="19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2014</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L. Roberts, certify that:</w:t>
      </w:r>
    </w:p>
    <w:p>
      <w:pPr>
        <w:spacing w:after="0" w:line="131" w:lineRule="exact"/>
        <w:rPr>
          <w:sz w:val="20"/>
          <w:szCs w:val="20"/>
          <w:color w:val="auto"/>
        </w:rPr>
      </w:pPr>
    </w:p>
    <w:p>
      <w:pPr>
        <w:ind w:left="900" w:hanging="446"/>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30" w:lineRule="exact"/>
        <w:rPr>
          <w:rFonts w:ascii="Times New Roman" w:cs="Times New Roman" w:eastAsia="Times New Roman" w:hAnsi="Times New Roman"/>
          <w:sz w:val="18"/>
          <w:szCs w:val="18"/>
          <w:color w:val="auto"/>
        </w:rPr>
      </w:pPr>
    </w:p>
    <w:p>
      <w:pPr>
        <w:jc w:val="both"/>
        <w:ind w:left="900" w:right="40" w:hanging="446"/>
        <w:spacing w:after="0" w:line="266"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900" w:right="240" w:hanging="446"/>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7" w:lineRule="exact"/>
        <w:rPr>
          <w:rFonts w:ascii="Times New Roman" w:cs="Times New Roman" w:eastAsia="Times New Roman" w:hAnsi="Times New Roman"/>
          <w:sz w:val="18"/>
          <w:szCs w:val="18"/>
          <w:color w:val="auto"/>
        </w:rPr>
      </w:pPr>
    </w:p>
    <w:p>
      <w:pPr>
        <w:ind w:left="1920" w:right="100" w:hanging="440"/>
        <w:spacing w:after="0" w:line="266" w:lineRule="auto"/>
        <w:tabs>
          <w:tab w:leader="none" w:pos="19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1920" w:right="60" w:hanging="440"/>
        <w:spacing w:after="0" w:line="266" w:lineRule="auto"/>
        <w:tabs>
          <w:tab w:leader="none" w:pos="19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8"/>
          <w:szCs w:val="18"/>
          <w:color w:val="auto"/>
        </w:rPr>
      </w:pPr>
    </w:p>
    <w:p>
      <w:pPr>
        <w:ind w:left="1920" w:right="160" w:hanging="440"/>
        <w:spacing w:after="0" w:line="266" w:lineRule="auto"/>
        <w:tabs>
          <w:tab w:leader="none" w:pos="19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900" w:right="200" w:hanging="446"/>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920" w:hanging="440"/>
        <w:spacing w:after="0" w:line="282" w:lineRule="auto"/>
        <w:tabs>
          <w:tab w:leader="none" w:pos="19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20" w:right="300" w:hanging="440"/>
        <w:spacing w:after="0" w:line="282" w:lineRule="auto"/>
        <w:tabs>
          <w:tab w:leader="none" w:pos="192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13, 2014</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Karen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Karen L. Roberts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Finance and Administration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117" w:right="2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September 30, 2014, as filed with the Securities and Exchange Commission on the date hereof (the “Report”), the undersigned, Christopher D.T. Guiffre, Chief Operating Officer of the Company, hereby certifies, pursuant to 18 U.S.C. Section 1350, that, to his knowledge on the date hereof:</w:t>
      </w:r>
    </w:p>
    <w:p>
      <w:pPr>
        <w:spacing w:after="0" w:line="176" w:lineRule="exact"/>
        <w:rPr>
          <w:sz w:val="20"/>
          <w:szCs w:val="20"/>
          <w:color w:val="auto"/>
        </w:rPr>
      </w:pPr>
    </w:p>
    <w:p>
      <w:pPr>
        <w:ind w:left="720" w:hanging="256"/>
        <w:spacing w:after="0"/>
        <w:tabs>
          <w:tab w:leader="none" w:pos="7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464"/>
        <w:spacing w:after="0" w:line="516" w:lineRule="auto"/>
        <w:tabs>
          <w:tab w:leader="none" w:pos="71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13, 2014</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September 30, 2014, as filed with the Securities and Exchange Commission on the date hereof (the “Report”), the undersigned, Karen L. Roberts, Senior Vice President, Finance and Administration of the Company, hereby certifies, pursuant to 18 U.S.C. Section 1350, that, to his knowledge on the date hereof:</w:t>
      </w:r>
    </w:p>
    <w:p>
      <w:pPr>
        <w:spacing w:after="0" w:line="176" w:lineRule="exact"/>
        <w:rPr>
          <w:sz w:val="20"/>
          <w:szCs w:val="20"/>
          <w:color w:val="auto"/>
        </w:rPr>
      </w:pPr>
    </w:p>
    <w:p>
      <w:pPr>
        <w:ind w:left="720" w:hanging="256"/>
        <w:spacing w:after="0"/>
        <w:tabs>
          <w:tab w:leader="none" w:pos="7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464"/>
        <w:spacing w:after="0" w:line="516" w:lineRule="auto"/>
        <w:tabs>
          <w:tab w:leader="none" w:pos="71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13, 2014</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Karen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Karen L. Roberts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Finance and Administration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1."/>
      <w:numFmt w:val="decimal"/>
      <w:start w:val="1"/>
    </w:lvl>
  </w:abstractNum>
  <w:abstractNum w:abstractNumId="3">
    <w:nsid w:val="32FFF902"/>
    <w:multiLevelType w:val="hybridMultilevel"/>
    <w:lvl w:ilvl="0">
      <w:lvlJc w:val="left"/>
      <w:lvlText w:val="%1."/>
      <w:numFmt w:val="decimal"/>
      <w:start w:val="5"/>
    </w:lvl>
  </w:abstractNum>
  <w:abstractNum w:abstractNumId="4">
    <w:nsid w:val="684A481A"/>
    <w:multiLevelType w:val="hybridMultilevel"/>
    <w:lvl w:ilvl="0">
      <w:lvlJc w:val="left"/>
      <w:lvlText w:val="%1."/>
      <w:numFmt w:val="decimal"/>
      <w:start w:val="6"/>
    </w:lvl>
  </w:abstractNum>
  <w:abstractNum w:abstractNumId="5">
    <w:nsid w:val="579478FE"/>
    <w:multiLevelType w:val="hybridMultilevel"/>
    <w:lvl w:ilvl="0">
      <w:lvlJc w:val="left"/>
      <w:lvlText w:val="%1."/>
      <w:numFmt w:val="decimal"/>
      <w:start w:val="7"/>
    </w:lvl>
  </w:abstractNum>
  <w:abstractNum w:abstractNumId="6">
    <w:nsid w:val="749ABB43"/>
    <w:multiLevelType w:val="hybridMultilevel"/>
    <w:lvl w:ilvl="0">
      <w:lvlJc w:val="left"/>
      <w:lvlText w:val="%1."/>
      <w:numFmt w:val="decimal"/>
      <w:start w:val="8"/>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
      <w:numFmt w:val="bullet"/>
      <w:start w:val="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1."/>
      <w:numFmt w:val="decimal"/>
      <w:start w:val="3"/>
    </w:lvl>
  </w:abstractNum>
  <w:abstractNum w:abstractNumId="41">
    <w:nsid w:val="1381823A"/>
    <w:multiLevelType w:val="hybridMultilevel"/>
    <w:lvl w:ilvl="0">
      <w:lvlJc w:val="left"/>
      <w:lvlText w:val="%1."/>
      <w:numFmt w:val="decimal"/>
      <w:start w:val="4"/>
    </w:lvl>
  </w:abstractNum>
  <w:abstractNum w:abstractNumId="42">
    <w:nsid w:val="5DB70AE5"/>
    <w:multiLevelType w:val="hybridMultilevel"/>
    <w:lvl w:ilvl="0">
      <w:lvlJc w:val="left"/>
      <w:lvlText w:val="(%1)"/>
      <w:numFmt w:val="lowerLetter"/>
      <w:start w:val="3"/>
    </w:lvl>
    <w:lvl w:ilvl="1">
      <w:lvlJc w:val="left"/>
      <w:lvlText w:val="(%2)"/>
      <w:numFmt w:val="lowerLetter"/>
      <w:start w:val="1"/>
    </w:lvl>
  </w:abstractNum>
  <w:abstractNum w:abstractNumId="43">
    <w:nsid w:val="100F8FCA"/>
    <w:multiLevelType w:val="hybridMultilevel"/>
    <w:lvl w:ilvl="0">
      <w:lvlJc w:val="left"/>
      <w:lvlText w:val="(%1)"/>
      <w:numFmt w:val="lowerLetter"/>
      <w:start w:val="2"/>
    </w:lvl>
    <w:lvl w:ilvl="1">
      <w:lvlJc w:val="left"/>
      <w:lvlText w:val="%2."/>
      <w:numFmt w:val="decimal"/>
      <w:start w:val="5"/>
    </w:lvl>
  </w:abstractNum>
  <w:abstractNum w:abstractNumId="44">
    <w:nsid w:val="6590700B"/>
    <w:multiLevelType w:val="hybridMultilevel"/>
    <w:lvl w:ilvl="0">
      <w:lvlJc w:val="left"/>
      <w:lvlText w:val="(%1)"/>
      <w:numFmt w:val="decimal"/>
      <w:start w:val="6"/>
    </w:lvl>
  </w:abstractNum>
  <w:abstractNum w:abstractNumId="45">
    <w:nsid w:val="15014ACB"/>
    <w:multiLevelType w:val="hybridMultilevel"/>
    <w:lvl w:ilvl="0">
      <w:lvlJc w:val="left"/>
      <w:lvlText w:val="(%1)"/>
      <w:numFmt w:val="decimal"/>
      <w:start w:val="6"/>
    </w:lvl>
    <w:lvl w:ilvl="1">
      <w:lvlJc w:val="left"/>
      <w:lvlText w:val="%2."/>
      <w:numFmt w:val="decimal"/>
      <w:start w:val="6"/>
    </w:lvl>
  </w:abstractNum>
  <w:abstractNum w:abstractNumId="46">
    <w:nsid w:val="5F5E7FD0"/>
    <w:multiLevelType w:val="hybridMultilevel"/>
    <w:lvl w:ilvl="0">
      <w:lvlJc w:val="left"/>
      <w:lvlText w:val="%1."/>
      <w:numFmt w:val="decimal"/>
      <w:start w:val="7"/>
    </w:lvl>
  </w:abstractNum>
  <w:abstractNum w:abstractNumId="47">
    <w:nsid w:val="98A3148"/>
    <w:multiLevelType w:val="hybridMultilevel"/>
    <w:lvl w:ilvl="0">
      <w:lvlJc w:val="left"/>
      <w:lvlText w:val="(%1)"/>
      <w:numFmt w:val="lowerLetter"/>
      <w:start w:val="1"/>
    </w:lvl>
  </w:abstractNum>
  <w:abstractNum w:abstractNumId="48">
    <w:nsid w:val="799D0247"/>
    <w:multiLevelType w:val="hybridMultilevel"/>
    <w:lvl w:ilvl="0">
      <w:lvlJc w:val="left"/>
      <w:lvlText w:val="(%1)"/>
      <w:numFmt w:val="lowerLetter"/>
      <w:start w:val="1"/>
    </w:lvl>
    <w:lvl w:ilvl="1">
      <w:lvlJc w:val="left"/>
      <w:lvlText w:val="(%2)"/>
      <w:numFmt w:val="lowerRoman"/>
      <w:start w:val="1"/>
    </w:lvl>
  </w:abstractNum>
  <w:abstractNum w:abstractNumId="49">
    <w:nsid w:val="6B94764"/>
    <w:multiLevelType w:val="hybridMultilevel"/>
    <w:lvl w:ilvl="0">
      <w:lvlJc w:val="left"/>
      <w:lvlText w:val="%1"/>
      <w:numFmt w:val="lowerLetter"/>
      <w:start w:val="1"/>
    </w:lvl>
    <w:lvl w:ilvl="1">
      <w:lvlJc w:val="left"/>
      <w:lvlText w:val="(%2)"/>
      <w:numFmt w:val="lowerLetter"/>
      <w:start w:val="2"/>
    </w:lvl>
  </w:abstractNum>
  <w:abstractNum w:abstractNumId="50">
    <w:nsid w:val="42C296BD"/>
    <w:multiLevelType w:val="hybridMultilevel"/>
    <w:lvl w:ilvl="0">
      <w:lvlJc w:val="left"/>
      <w:lvlText w:val="(%1)"/>
      <w:numFmt w:val="lowerLetter"/>
      <w:start w:val="35"/>
    </w:lvl>
    <w:lvl w:ilvl="1">
      <w:lvlJc w:val="left"/>
      <w:lvlText w:val="%2"/>
      <w:numFmt w:val="lowerLetter"/>
      <w:start w:val="1"/>
    </w:lvl>
  </w:abstractNum>
  <w:abstractNum w:abstractNumId="51">
    <w:nsid w:val="168E121F"/>
    <w:multiLevelType w:val="hybridMultilevel"/>
    <w:lvl w:ilvl="0">
      <w:lvlJc w:val="left"/>
      <w:lvlText w:val="%1"/>
      <w:numFmt w:val="decimal"/>
      <w:start w:val="1"/>
    </w:lvl>
    <w:lvl w:ilvl="1">
      <w:lvlJc w:val="left"/>
      <w:lvlText w:val="(%2)"/>
      <w:numFmt w:val="lowerLetter"/>
      <w:start w:val="3"/>
    </w:lvl>
  </w:abstractNum>
  <w:abstractNum w:abstractNumId="52">
    <w:nsid w:val="1EBA5D23"/>
    <w:multiLevelType w:val="hybridMultilevel"/>
    <w:lvl w:ilvl="0">
      <w:lvlJc w:val="left"/>
      <w:lvlText w:val="%1."/>
      <w:numFmt w:val="decimal"/>
      <w:start w:val="8"/>
    </w:lvl>
    <w:lvl w:ilvl="1">
      <w:lvlJc w:val="left"/>
      <w:lvlText w:val="%2"/>
      <w:numFmt w:val="lowerLetter"/>
      <w:start w:val="1"/>
    </w:lvl>
  </w:abstractNum>
  <w:abstractNum w:abstractNumId="53">
    <w:nsid w:val="661E3F1E"/>
    <w:multiLevelType w:val="hybridMultilevel"/>
    <w:lvl w:ilvl="0">
      <w:lvlJc w:val="left"/>
      <w:lvlText w:val="%1."/>
      <w:numFmt w:val="decimal"/>
      <w:start w:val="12"/>
    </w:lvl>
  </w:abstractNum>
  <w:abstractNum w:abstractNumId="54">
    <w:nsid w:val="5DC79EA8"/>
    <w:multiLevelType w:val="hybridMultilevel"/>
    <w:lvl w:ilvl="0">
      <w:lvlJc w:val="left"/>
      <w:lvlText w:val="%1."/>
      <w:numFmt w:val="decimal"/>
      <w:start w:val="17"/>
    </w:lvl>
    <w:lvl w:ilvl="1">
      <w:lvlJc w:val="left"/>
      <w:lvlText w:val="(%2)"/>
      <w:numFmt w:val="lowerLetter"/>
      <w:start w:val="1"/>
    </w:lvl>
  </w:abstractNum>
  <w:abstractNum w:abstractNumId="55">
    <w:nsid w:val="540A471C"/>
    <w:multiLevelType w:val="hybridMultilevel"/>
    <w:lvl w:ilvl="0">
      <w:lvlJc w:val="left"/>
      <w:lvlText w:val="(%1)"/>
      <w:numFmt w:val="lowerLetter"/>
      <w:start w:val="3"/>
    </w:lvl>
    <w:lvl w:ilvl="1">
      <w:lvlJc w:val="left"/>
      <w:lvlText w:val="(%2)"/>
      <w:numFmt w:val="lowerRoman"/>
      <w:start w:val="1"/>
    </w:lvl>
  </w:abstractNum>
  <w:abstractNum w:abstractNumId="56">
    <w:nsid w:val="7BD3EE7B"/>
    <w:multiLevelType w:val="hybridMultilevel"/>
    <w:lvl w:ilvl="0">
      <w:lvlJc w:val="left"/>
      <w:lvlText w:val="%1"/>
      <w:numFmt w:val="decimal"/>
      <w:start w:val="1"/>
    </w:lvl>
    <w:lvl w:ilvl="1">
      <w:lvlJc w:val="left"/>
      <w:lvlText w:val="(%2)"/>
      <w:numFmt w:val="lowerLetter"/>
      <w:start w:val="4"/>
    </w:lvl>
  </w:abstractNum>
  <w:abstractNum w:abstractNumId="57">
    <w:nsid w:val="51D9C564"/>
    <w:multiLevelType w:val="hybridMultilevel"/>
    <w:lvl w:ilvl="0">
      <w:lvlJc w:val="left"/>
      <w:lvlText w:val="%1."/>
      <w:numFmt w:val="decimal"/>
      <w:start w:val="19"/>
    </w:lvl>
    <w:lvl w:ilvl="1">
      <w:lvlJc w:val="left"/>
      <w:lvlText w:val="%2"/>
      <w:numFmt w:val="lowerLetter"/>
      <w:start w:val="1"/>
    </w:lvl>
  </w:abstractNum>
  <w:abstractNum w:abstractNumId="58">
    <w:nsid w:val="613EFDC5"/>
    <w:multiLevelType w:val="hybridMultilevel"/>
    <w:lvl w:ilvl="0">
      <w:lvlJc w:val="left"/>
      <w:lvlText w:val="%1."/>
      <w:numFmt w:val="decimal"/>
      <w:start w:val="1"/>
    </w:lvl>
  </w:abstractNum>
  <w:abstractNum w:abstractNumId="59">
    <w:nsid w:val="BF72B14"/>
    <w:multiLevelType w:val="hybridMultilevel"/>
    <w:lvl w:ilvl="0">
      <w:lvlJc w:val="left"/>
      <w:lvlText w:val="%1."/>
      <w:numFmt w:val="decimal"/>
      <w:start w:val="3"/>
    </w:lvl>
  </w:abstractNum>
  <w:abstractNum w:abstractNumId="60">
    <w:nsid w:val="11447B73"/>
    <w:multiLevelType w:val="hybridMultilevel"/>
    <w:lvl w:ilvl="0">
      <w:lvlJc w:val="left"/>
      <w:lvlText w:val="%1."/>
      <w:numFmt w:val="decimal"/>
      <w:start w:val="4"/>
    </w:lvl>
  </w:abstractNum>
  <w:abstractNum w:abstractNumId="61">
    <w:nsid w:val="42963E5A"/>
    <w:multiLevelType w:val="hybridMultilevel"/>
    <w:lvl w:ilvl="0">
      <w:lvlJc w:val="left"/>
      <w:lvlText w:val="(%1)"/>
      <w:numFmt w:val="lowerLetter"/>
      <w:start w:val="3"/>
    </w:lvl>
    <w:lvl w:ilvl="1">
      <w:lvlJc w:val="left"/>
      <w:lvlText w:val="(%2)"/>
      <w:numFmt w:val="lowerLetter"/>
      <w:start w:val="1"/>
    </w:lvl>
  </w:abstractNum>
  <w:abstractNum w:abstractNumId="62">
    <w:nsid w:val="A0382C5"/>
    <w:multiLevelType w:val="hybridMultilevel"/>
    <w:lvl w:ilvl="0">
      <w:lvlJc w:val="left"/>
      <w:lvlText w:val="(%1)"/>
      <w:numFmt w:val="lowerLetter"/>
      <w:start w:val="2"/>
    </w:lvl>
    <w:lvl w:ilvl="1">
      <w:lvlJc w:val="left"/>
      <w:lvlText w:val="%2."/>
      <w:numFmt w:val="decimal"/>
      <w:start w:val="5"/>
    </w:lvl>
  </w:abstractNum>
  <w:abstractNum w:abstractNumId="63">
    <w:nsid w:val="8F2B15E"/>
    <w:multiLevelType w:val="hybridMultilevel"/>
    <w:lvl w:ilvl="0">
      <w:lvlJc w:val="left"/>
      <w:lvlText w:val="(%1)"/>
      <w:numFmt w:val="decimal"/>
      <w:start w:val="6"/>
    </w:lvl>
  </w:abstractNum>
  <w:abstractNum w:abstractNumId="64">
    <w:nsid w:val="1A32234B"/>
    <w:multiLevelType w:val="hybridMultilevel"/>
    <w:lvl w:ilvl="0">
      <w:lvlJc w:val="left"/>
      <w:lvlText w:val="(%1)"/>
      <w:numFmt w:val="decimal"/>
      <w:start w:val="6"/>
    </w:lvl>
    <w:lvl w:ilvl="1">
      <w:lvlJc w:val="left"/>
      <w:lvlText w:val="%2."/>
      <w:numFmt w:val="decimal"/>
      <w:start w:val="6"/>
    </w:lvl>
  </w:abstractNum>
  <w:abstractNum w:abstractNumId="65">
    <w:nsid w:val="3B0FD379"/>
    <w:multiLevelType w:val="hybridMultilevel"/>
    <w:lvl w:ilvl="0">
      <w:lvlJc w:val="left"/>
      <w:lvlText w:val="%1."/>
      <w:numFmt w:val="decimal"/>
      <w:start w:val="7"/>
    </w:lvl>
  </w:abstractNum>
  <w:abstractNum w:abstractNumId="66">
    <w:nsid w:val="68EB2F63"/>
    <w:multiLevelType w:val="hybridMultilevel"/>
    <w:lvl w:ilvl="0">
      <w:lvlJc w:val="left"/>
      <w:lvlText w:val="(%1)"/>
      <w:numFmt w:val="lowerLetter"/>
      <w:start w:val="1"/>
    </w:lvl>
  </w:abstractNum>
  <w:abstractNum w:abstractNumId="67">
    <w:nsid w:val="4962813B"/>
    <w:multiLevelType w:val="hybridMultilevel"/>
    <w:lvl w:ilvl="0">
      <w:lvlJc w:val="left"/>
      <w:lvlText w:val="(%1)"/>
      <w:numFmt w:val="lowerLetter"/>
      <w:start w:val="1"/>
    </w:lvl>
    <w:lvl w:ilvl="1">
      <w:lvlJc w:val="left"/>
      <w:lvlText w:val="(%2)"/>
      <w:numFmt w:val="lowerRoman"/>
      <w:start w:val="1"/>
    </w:lvl>
  </w:abstractNum>
  <w:abstractNum w:abstractNumId="68">
    <w:nsid w:val="60B6DF70"/>
    <w:multiLevelType w:val="hybridMultilevel"/>
    <w:lvl w:ilvl="0">
      <w:lvlJc w:val="left"/>
      <w:lvlText w:val="%1"/>
      <w:numFmt w:val="lowerLetter"/>
      <w:start w:val="1"/>
    </w:lvl>
    <w:lvl w:ilvl="1">
      <w:lvlJc w:val="left"/>
      <w:lvlText w:val="(%2)"/>
      <w:numFmt w:val="lowerLetter"/>
      <w:start w:val="2"/>
    </w:lvl>
  </w:abstractNum>
  <w:abstractNum w:abstractNumId="69">
    <w:nsid w:val="6A5EE64"/>
    <w:multiLevelType w:val="hybridMultilevel"/>
    <w:lvl w:ilvl="0">
      <w:lvlJc w:val="left"/>
      <w:lvlText w:val="(%1)"/>
      <w:numFmt w:val="lowerLetter"/>
      <w:start w:val="35"/>
    </w:lvl>
    <w:lvl w:ilvl="1">
      <w:lvlJc w:val="left"/>
      <w:lvlText w:val="%2"/>
      <w:numFmt w:val="lowerLetter"/>
      <w:start w:val="1"/>
    </w:lvl>
  </w:abstractNum>
  <w:abstractNum w:abstractNumId="70">
    <w:nsid w:val="14330624"/>
    <w:multiLevelType w:val="hybridMultilevel"/>
    <w:lvl w:ilvl="0">
      <w:lvlJc w:val="left"/>
      <w:lvlText w:val="%1"/>
      <w:numFmt w:val="decimal"/>
      <w:start w:val="1"/>
    </w:lvl>
    <w:lvl w:ilvl="1">
      <w:lvlJc w:val="left"/>
      <w:lvlText w:val="(%2)"/>
      <w:numFmt w:val="lowerLetter"/>
      <w:start w:val="3"/>
    </w:lvl>
  </w:abstractNum>
  <w:abstractNum w:abstractNumId="71">
    <w:nsid w:val="7FFFCA11"/>
    <w:multiLevelType w:val="hybridMultilevel"/>
    <w:lvl w:ilvl="0">
      <w:lvlJc w:val="left"/>
      <w:lvlText w:val="%1."/>
      <w:numFmt w:val="decimal"/>
      <w:start w:val="8"/>
    </w:lvl>
    <w:lvl w:ilvl="1">
      <w:lvlJc w:val="left"/>
      <w:lvlText w:val="%2"/>
      <w:numFmt w:val="lowerLetter"/>
      <w:start w:val="1"/>
    </w:lvl>
  </w:abstractNum>
  <w:abstractNum w:abstractNumId="72">
    <w:nsid w:val="1A27709E"/>
    <w:multiLevelType w:val="hybridMultilevel"/>
    <w:lvl w:ilvl="0">
      <w:lvlJc w:val="left"/>
      <w:lvlText w:val="%1."/>
      <w:numFmt w:val="decimal"/>
      <w:start w:val="12"/>
    </w:lvl>
  </w:abstractNum>
  <w:abstractNum w:abstractNumId="73">
    <w:nsid w:val="71EA1109"/>
    <w:multiLevelType w:val="hybridMultilevel"/>
    <w:lvl w:ilvl="0">
      <w:lvlJc w:val="left"/>
      <w:lvlText w:val="%1."/>
      <w:numFmt w:val="decimal"/>
      <w:start w:val="17"/>
    </w:lvl>
    <w:lvl w:ilvl="1">
      <w:lvlJc w:val="left"/>
      <w:lvlText w:val="(%2)"/>
      <w:numFmt w:val="lowerLetter"/>
      <w:start w:val="1"/>
    </w:lvl>
  </w:abstractNum>
  <w:abstractNum w:abstractNumId="74">
    <w:nsid w:val="100F59DC"/>
    <w:multiLevelType w:val="hybridMultilevel"/>
    <w:lvl w:ilvl="0">
      <w:lvlJc w:val="left"/>
      <w:lvlText w:val="(%1)"/>
      <w:numFmt w:val="lowerLetter"/>
      <w:start w:val="3"/>
    </w:lvl>
    <w:lvl w:ilvl="1">
      <w:lvlJc w:val="left"/>
      <w:lvlText w:val="(%2)"/>
      <w:numFmt w:val="lowerRoman"/>
      <w:start w:val="1"/>
    </w:lvl>
  </w:abstractNum>
  <w:abstractNum w:abstractNumId="75">
    <w:nsid w:val="7FB7E0AA"/>
    <w:multiLevelType w:val="hybridMultilevel"/>
    <w:lvl w:ilvl="0">
      <w:lvlJc w:val="left"/>
      <w:lvlText w:val="(%1)"/>
      <w:numFmt w:val="lowerLetter"/>
      <w:start w:val="4"/>
    </w:lvl>
  </w:abstractNum>
  <w:abstractNum w:abstractNumId="76">
    <w:nsid w:val="6EB5BD4"/>
    <w:multiLevelType w:val="hybridMultilevel"/>
    <w:lvl w:ilvl="0">
      <w:lvlJc w:val="left"/>
      <w:lvlText w:val="%1."/>
      <w:numFmt w:val="decimal"/>
      <w:start w:val="19"/>
    </w:lvl>
  </w:abstractNum>
  <w:abstractNum w:abstractNumId="77">
    <w:nsid w:val="6F6DD9AC"/>
    <w:multiLevelType w:val="hybridMultilevel"/>
    <w:lvl w:ilvl="0">
      <w:lvlJc w:val="left"/>
      <w:lvlText w:val="%1."/>
      <w:numFmt w:val="decimal"/>
      <w:start w:val="1"/>
    </w:lvl>
  </w:abstractNum>
  <w:abstractNum w:abstractNumId="78">
    <w:nsid w:val="94211F2"/>
    <w:multiLevelType w:val="hybridMultilevel"/>
    <w:lvl w:ilvl="0">
      <w:lvlJc w:val="left"/>
      <w:lvlText w:val="(%1)"/>
      <w:numFmt w:val="lowerLetter"/>
      <w:start w:val="1"/>
    </w:lvl>
  </w:abstractNum>
  <w:abstractNum w:abstractNumId="79">
    <w:nsid w:val="885E1B"/>
    <w:multiLevelType w:val="hybridMultilevel"/>
    <w:lvl w:ilvl="0">
      <w:lvlJc w:val="left"/>
      <w:lvlText w:val="%1"/>
      <w:numFmt w:val="decimal"/>
      <w:start w:val="1"/>
    </w:lvl>
    <w:lvl w:ilvl="1">
      <w:lvlJc w:val="left"/>
      <w:lvlText w:val="(%2)"/>
      <w:numFmt w:val="lowerLetter"/>
      <w:start w:val="2"/>
    </w:lvl>
  </w:abstractNum>
  <w:abstractNum w:abstractNumId="80">
    <w:nsid w:val="76272110"/>
    <w:multiLevelType w:val="hybridMultilevel"/>
    <w:lvl w:ilvl="0">
      <w:lvlJc w:val="left"/>
      <w:lvlText w:val="%1."/>
      <w:numFmt w:val="decimal"/>
      <w:start w:val="3"/>
    </w:lvl>
    <w:lvl w:ilvl="1">
      <w:lvlJc w:val="left"/>
      <w:lvlText w:val="%2"/>
      <w:numFmt w:val="lowerLetter"/>
      <w:start w:val="1"/>
    </w:lvl>
  </w:abstractNum>
  <w:abstractNum w:abstractNumId="81">
    <w:nsid w:val="4C04A8AF"/>
    <w:multiLevelType w:val="hybridMultilevel"/>
    <w:lvl w:ilvl="0">
      <w:lvlJc w:val="left"/>
      <w:lvlText w:val="%1."/>
      <w:numFmt w:val="upperLetter"/>
      <w:start w:val="35"/>
    </w:lvl>
  </w:abstractNum>
  <w:abstractNum w:abstractNumId="82">
    <w:nsid w:val="1716703B"/>
    <w:multiLevelType w:val="hybridMultilevel"/>
    <w:lvl w:ilvl="0">
      <w:lvlJc w:val="left"/>
      <w:lvlText w:val="%1."/>
      <w:numFmt w:val="upperLetter"/>
      <w:start w:val="61"/>
    </w:lvl>
  </w:abstractNum>
  <w:abstractNum w:abstractNumId="83">
    <w:nsid w:val="14E17E33"/>
    <w:multiLevelType w:val="hybridMultilevel"/>
    <w:lvl w:ilvl="0">
      <w:lvlJc w:val="left"/>
      <w:lvlText w:val="(%1)"/>
      <w:numFmt w:val="lowerRoman"/>
      <w:start w:val="1"/>
    </w:lvl>
  </w:abstractNum>
  <w:abstractNum w:abstractNumId="84">
    <w:nsid w:val="3222E7CD"/>
    <w:multiLevelType w:val="hybridMultilevel"/>
    <w:lvl w:ilvl="0">
      <w:lvlJc w:val="left"/>
      <w:lvlText w:val="(%1)"/>
      <w:numFmt w:val="lowerLetter"/>
      <w:start w:val="1"/>
    </w:lvl>
  </w:abstractNum>
  <w:abstractNum w:abstractNumId="85">
    <w:nsid w:val="74DE0EE3"/>
    <w:multiLevelType w:val="hybridMultilevel"/>
    <w:lvl w:ilvl="0">
      <w:lvlJc w:val="left"/>
      <w:lvlText w:val="(%1)"/>
      <w:numFmt w:val="lowerLetter"/>
      <w:start w:val="1"/>
    </w:lvl>
    <w:lvl w:ilvl="1">
      <w:lvlJc w:val="left"/>
      <w:lvlText w:val="(%2)"/>
      <w:numFmt w:val="lowerRoman"/>
      <w:start w:val="1"/>
    </w:lvl>
  </w:abstractNum>
  <w:abstractNum w:abstractNumId="86">
    <w:nsid w:val="68EBC550"/>
    <w:multiLevelType w:val="hybridMultilevel"/>
    <w:lvl w:ilvl="0">
      <w:lvlJc w:val="left"/>
      <w:lvlText w:val="1"/>
      <w:numFmt w:val="bullet"/>
      <w:start w:val="1"/>
    </w:lvl>
  </w:abstractNum>
  <w:abstractNum w:abstractNumId="87">
    <w:nsid w:val="2DF6D648"/>
    <w:multiLevelType w:val="hybridMultilevel"/>
    <w:lvl w:ilvl="0">
      <w:lvlJc w:val="left"/>
      <w:lvlText w:val="2"/>
      <w:numFmt w:val="bullet"/>
      <w:start w:val="1"/>
    </w:lvl>
  </w:abstractNum>
  <w:abstractNum w:abstractNumId="88">
    <w:nsid w:val="46B7D447"/>
    <w:multiLevelType w:val="hybridMultilevel"/>
    <w:lvl w:ilvl="0">
      <w:lvlJc w:val="left"/>
      <w:lvlText w:val="%1."/>
      <w:numFmt w:val="decimal"/>
      <w:start w:val="2"/>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2019-12-07T16:41:18Z</dcterms:created>
  <dcterms:modified xsi:type="dcterms:W3CDTF">2019-12-07T16:41:18Z</dcterms:modified>
</cp:coreProperties>
</file>