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UNITED STATES</w:t>
      </w:r>
    </w:p>
    <w:p>
      <w:pPr>
        <w:pStyle w:val="TextBody"/>
        <w:bidi w:val="0"/>
        <w:spacing w:before="0" w:after="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SECURITIES AND EXCHANGE COMMISSION</w:t>
      </w:r>
    </w:p>
    <w:p>
      <w:pPr>
        <w:pStyle w:val="TextBody"/>
        <w:bidi w:val="0"/>
        <w:spacing w:before="0" w:after="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 xml:space="preserve">FORM </w:t>
      </w:r>
      <w:bookmarkStart w:id="2" w:name="xdx_902_edei--DocumentType_c20260814__20"/>
      <w:bookmarkEnd w:id="2"/>
      <w:r>
        <w:rPr>
          <w:rFonts w:ascii="Arial;Helvetica;Sans-Serif" w:hAnsi="Arial;Helvetica;San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CURRENT REPORT</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Pursuant to Section 13 or 15(d)</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Date of Report (Date of earliest event reported): </w:t>
      </w:r>
      <w:bookmarkStart w:id="3" w:name="xdx_905_edei--DocumentPeriodEndDate_c202"/>
      <w:bookmarkEnd w:id="3"/>
      <w:r>
        <w:rPr>
          <w:rFonts w:ascii="Arial;Helvetica;Sans-Serif" w:hAnsi="Arial;Helvetica;Sans-Serif"/>
          <w:b w:val="false"/>
          <w:i w:val="false"/>
          <w:caps w:val="false"/>
          <w:smallCaps w:val="false"/>
          <w:sz w:val="20"/>
        </w:rPr>
        <w:t>August 14,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20"/>
        </w:rPr>
      </w:pPr>
      <w:bookmarkStart w:id="4" w:name="xdx_90D_edei--EntityRegistrantName_c2026"/>
      <w:bookmarkEnd w:id="4"/>
      <w:r>
        <w:rPr>
          <w:rFonts w:ascii="Arial;Helvetica;Sans-Serif" w:hAnsi="Arial;Helvetica;Sans-Serif"/>
          <w:b w:val="false"/>
          <w:i w:val="false"/>
          <w:caps w:val="false"/>
          <w:smallCaps w:val="false"/>
          <w:sz w:val="20"/>
        </w:rPr>
        <w:t>DARE BIOSCIENCE, INC.</w:t>
      </w:r>
    </w:p>
    <w:p>
      <w:pPr>
        <w:pStyle w:val="TextBody"/>
        <w:bidi w:val="0"/>
        <w:spacing w:before="0" w:after="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DARÉ BIOSCIENCE, INC.</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5115" w:type="dxa"/>
        <w:jc w:val="left"/>
        <w:tblInd w:w="0" w:type="dxa"/>
        <w:tblLayout w:type="fixed"/>
        <w:tblCellMar>
          <w:top w:w="0" w:type="dxa"/>
          <w:left w:w="0" w:type="dxa"/>
          <w:bottom w:w="0" w:type="dxa"/>
          <w:right w:w="0" w:type="dxa"/>
        </w:tblCellMar>
      </w:tblPr>
      <w:tblGrid>
        <w:gridCol w:w="2270"/>
        <w:gridCol w:w="60"/>
        <w:gridCol w:w="1160"/>
        <w:gridCol w:w="60"/>
        <w:gridCol w:w="1565"/>
      </w:tblGrid>
      <w:tr>
        <w:trPr/>
        <w:tc>
          <w:tcPr>
            <w:tcW w:w="2270"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5" w:name="xdx_902_edei--EntityIncorporationStateCo"/>
            <w:bookmarkEnd w:id="5"/>
            <w:r>
              <w:rPr>
                <w:rFonts w:ascii="Arial;Helvetica;Sans-Serif" w:hAnsi="Arial;Helvetica;San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6" w:name="xdx_904_edei--EntityFileNumber_c20260814"/>
            <w:bookmarkEnd w:id="6"/>
            <w:r>
              <w:rPr>
                <w:rFonts w:ascii="Arial;Helvetica;Sans-Serif" w:hAnsi="Arial;Helvetica;Sans-Serif"/>
                <w:b/>
                <w:i w:val="false"/>
                <w:caps w:val="false"/>
                <w:smallCaps w:val="false"/>
                <w:sz w:val="20"/>
              </w:rPr>
              <w:t>001-36395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7" w:name="xdx_90E_edei--EntityTaxIdentificationNum"/>
            <w:bookmarkEnd w:id="7"/>
            <w:r>
              <w:rPr>
                <w:rFonts w:ascii="Arial;Helvetica;Sans-Serif" w:hAnsi="Arial;Helvetica;Sans-Serif"/>
                <w:b/>
                <w:i w:val="false"/>
                <w:caps w:val="false"/>
                <w:smallCaps w:val="false"/>
                <w:sz w:val="20"/>
              </w:rPr>
              <w:t>20-4139823</w:t>
            </w:r>
          </w:p>
        </w:tc>
      </w:tr>
      <w:tr>
        <w:trPr/>
        <w:tc>
          <w:tcPr>
            <w:tcW w:w="2270" w:type="dxa"/>
            <w:tcBorders/>
            <w:vAlign w:val="center"/>
          </w:tcPr>
          <w:p>
            <w:pPr>
              <w:pStyle w:val="TableContents"/>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 or other jurisdiction</w:t>
            </w:r>
          </w:p>
          <w:p>
            <w:pPr>
              <w:pStyle w:val="TableContents"/>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tcBorders/>
            <w:vAlign w:val="center"/>
          </w:tcPr>
          <w:p>
            <w:pPr>
              <w:pStyle w:val="TableContents"/>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(Commission</w:t>
            </w:r>
          </w:p>
          <w:p>
            <w:pPr>
              <w:pStyle w:val="TableContents"/>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(I.R.S. Employer</w:t>
            </w:r>
          </w:p>
          <w:p>
            <w:pPr>
              <w:pStyle w:val="TableContents"/>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bookmarkStart w:id="8" w:name="xdx_904_edei--EntityAddressAddressLine1_"/>
      <w:bookmarkEnd w:id="8"/>
      <w:r>
        <w:rPr>
          <w:rFonts w:ascii="Arial;Helvetica;Sans-Serif" w:hAnsi="Arial;Helvetica;Sans-Serif"/>
          <w:b/>
          <w:i w:val="false"/>
          <w:caps w:val="false"/>
          <w:smallCaps w:val="false"/>
          <w:sz w:val="20"/>
        </w:rPr>
        <w:t xml:space="preserve">3655 Nobel Drive, </w:t>
      </w:r>
      <w:bookmarkStart w:id="9" w:name="xdx_905_edei--EntityAddressAddressLine2_"/>
      <w:bookmarkEnd w:id="9"/>
      <w:r>
        <w:rPr>
          <w:rFonts w:ascii="Arial;Helvetica;Sans-Serif" w:hAnsi="Arial;Helvetica;Sans-Serif"/>
          <w:b/>
          <w:i w:val="false"/>
          <w:caps w:val="false"/>
          <w:smallCaps w:val="false"/>
          <w:sz w:val="20"/>
        </w:rPr>
        <w:t>Suite 260</w:t>
      </w:r>
    </w:p>
    <w:p>
      <w:pPr>
        <w:pStyle w:val="TextBody"/>
        <w:bidi w:val="0"/>
        <w:spacing w:before="0" w:after="0"/>
        <w:jc w:val="center"/>
        <w:rPr>
          <w:rFonts w:ascii="Arial;Helvetica;Sans-Serif" w:hAnsi="Arial;Helvetica;Sans-Serif"/>
          <w:b/>
          <w:i w:val="false"/>
          <w:caps w:val="false"/>
          <w:smallCaps w:val="false"/>
          <w:sz w:val="20"/>
        </w:rPr>
      </w:pPr>
      <w:bookmarkStart w:id="10" w:name="xdx_903_edei--EntityAddressCityOrTown_c2"/>
      <w:bookmarkEnd w:id="10"/>
      <w:r>
        <w:rPr>
          <w:rFonts w:ascii="Arial;Helvetica;Sans-Serif" w:hAnsi="Arial;Helvetica;Sans-Serif"/>
          <w:b/>
          <w:i w:val="false"/>
          <w:caps w:val="false"/>
          <w:smallCaps w:val="false"/>
          <w:sz w:val="20"/>
        </w:rPr>
        <w:t xml:space="preserve">San Diego, </w:t>
      </w:r>
      <w:bookmarkStart w:id="11" w:name="xdx_905_edei--EntityAddressStateOrProvin"/>
      <w:bookmarkEnd w:id="11"/>
      <w:r>
        <w:rPr>
          <w:rFonts w:ascii="Arial;Helvetica;Sans-Serif" w:hAnsi="Arial;Helvetica;Sans-Serif"/>
          <w:b/>
          <w:i w:val="false"/>
          <w:caps w:val="false"/>
          <w:smallCaps w:val="false"/>
          <w:sz w:val="20"/>
        </w:rPr>
        <w:t xml:space="preserve">CA </w:t>
      </w:r>
      <w:bookmarkStart w:id="12" w:name="xdx_909_edei--EntityAddressPostalZipCode"/>
      <w:bookmarkEnd w:id="12"/>
      <w:r>
        <w:rPr>
          <w:rFonts w:ascii="Arial;Helvetica;Sans-Serif" w:hAnsi="Arial;Helvetica;Sans-Serif"/>
          <w:b/>
          <w:i w:val="false"/>
          <w:caps w:val="false"/>
          <w:smallCaps w:val="false"/>
          <w:sz w:val="20"/>
        </w:rPr>
        <w:t>92122</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(Address of Principal Executive Offices and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Registrant’s telephone number, including area code: </w:t>
      </w:r>
      <w:bookmarkStart w:id="13" w:name="xdx_903_edei--CityAreaCode_c20260814__20"/>
      <w:bookmarkEnd w:id="13"/>
      <w:r>
        <w:rPr>
          <w:rFonts w:ascii="Arial;Helvetica;Sans-Serif" w:hAnsi="Arial;Helvetica;Sans-Serif"/>
          <w:b/>
          <w:i w:val="false"/>
          <w:caps w:val="false"/>
          <w:smallCaps w:val="false"/>
          <w:sz w:val="20"/>
        </w:rPr>
        <w:t xml:space="preserve">(858) </w:t>
      </w:r>
      <w:bookmarkStart w:id="14" w:name="xdx_903_edei--LocalPhoneNumber_c20260814"/>
      <w:bookmarkEnd w:id="14"/>
      <w:r>
        <w:rPr>
          <w:rFonts w:ascii="Arial;Helvetica;Sans-Serif" w:hAnsi="Arial;Helvetica;Sans-Serif"/>
          <w:b/>
          <w:i w:val="false"/>
          <w:caps w:val="false"/>
          <w:smallCaps w:val="false"/>
          <w:sz w:val="20"/>
        </w:rPr>
        <w:t>926-7655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Not Applicable</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Arial;Helvetica;Sans-Serif" w:hAnsi="Arial;Helvetica;Sans-Serif"/>
          <w:b w:val="false"/>
          <w:i/>
          <w:caps w:val="false"/>
          <w:smallCaps w:val="false"/>
          <w:sz w:val="20"/>
        </w:rPr>
        <w:t>see</w:t>
      </w:r>
      <w:r>
        <w:rPr>
          <w:rFonts w:ascii="Arial;Helvetica;Sans-Serif" w:hAnsi="Arial;Helvetica;Sans-Serif"/>
          <w:b w:val="false"/>
          <w:i w:val="false"/>
          <w:caps w:val="false"/>
          <w:smallCaps w:val="false"/>
          <w:sz w:val="20"/>
        </w:rPr>
        <w:t xml:space="preserve"> General Instruction A.2. below):</w:t>
      </w:r>
    </w:p>
    <w:p>
      <w:pPr>
        <w:pStyle w:val="TextBody"/>
        <w:bidi w:val="0"/>
        <w:spacing w:before="0" w:after="0"/>
        <w:jc w:val="both"/>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caps w:val="false"/>
                <w:smallCaps w:val="false"/>
              </w:rPr>
            </w:pPr>
            <w:bookmarkStart w:id="15" w:name="xdx_904_edei--WrittenCommunications_c202"/>
            <w:bookmarkEnd w:id="15"/>
            <w:r>
              <w:rPr>
                <w:caps w:val="false"/>
                <w:smallCaps w:val="false"/>
              </w:rPr>
              <w:t>☐</w:t>
            </w:r>
          </w:p>
        </w:tc>
        <w:tc>
          <w:tcPr>
            <w:tcW w:w="96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6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8_edei--SolicitingMaterial_c202608"/>
            <w:bookmarkEnd w:id="16"/>
            <w:r>
              <w:rPr>
                <w:caps w:val="false"/>
                <w:smallCaps w:val="false"/>
              </w:rPr>
              <w:t>☐</w:t>
            </w:r>
          </w:p>
        </w:tc>
        <w:tc>
          <w:tcPr>
            <w:tcW w:w="96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6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9_edei--PreCommencementTenderOffer"/>
            <w:bookmarkEnd w:id="17"/>
            <w:r>
              <w:rPr>
                <w:caps w:val="false"/>
                <w:smallCaps w:val="false"/>
              </w:rPr>
              <w:t>☐</w:t>
            </w:r>
          </w:p>
        </w:tc>
        <w:tc>
          <w:tcPr>
            <w:tcW w:w="96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6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1_edei--PreCommencementIssuerTende"/>
            <w:bookmarkEnd w:id="18"/>
            <w:r>
              <w:rPr>
                <w:caps w:val="false"/>
                <w:smallCaps w:val="false"/>
              </w:rPr>
              <w:t>☐</w:t>
            </w:r>
          </w:p>
        </w:tc>
        <w:tc>
          <w:tcPr>
            <w:tcW w:w="96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Pre-commencement communications pursuant to Rule 13e-4(c) under the Exchange Act (17 CFR 240.13e-4(c))</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Securities registered pursuant to Section 12(b) of the Act:</w:t>
      </w:r>
    </w:p>
    <w:p>
      <w:pPr>
        <w:pStyle w:val="TextBody"/>
        <w:bidi w:val="0"/>
        <w:spacing w:before="0" w:after="0"/>
        <w:jc w:val="both"/>
        <w:rPr>
          <w:caps w:val="false"/>
          <w:smallCaps w:val="false"/>
        </w:rPr>
      </w:pPr>
      <w:r>
        <w:rPr>
          <w:caps w:val="false"/>
          <w:smallCaps w:val="false"/>
        </w:rPr>
        <w:t> </w:t>
      </w:r>
    </w:p>
    <w:tbl>
      <w:tblPr>
        <w:tblW w:w="7260" w:type="dxa"/>
        <w:jc w:val="left"/>
        <w:tblInd w:w="0" w:type="dxa"/>
        <w:tblLayout w:type="fixed"/>
        <w:tblCellMar>
          <w:top w:w="0" w:type="dxa"/>
          <w:left w:w="0" w:type="dxa"/>
          <w:bottom w:w="28" w:type="dxa"/>
          <w:right w:w="0" w:type="dxa"/>
        </w:tblCellMar>
      </w:tblPr>
      <w:tblGrid>
        <w:gridCol w:w="1640"/>
        <w:gridCol w:w="60"/>
        <w:gridCol w:w="1610"/>
        <w:gridCol w:w="60"/>
        <w:gridCol w:w="3890"/>
      </w:tblGrid>
      <w:tr>
        <w:trPr/>
        <w:tc>
          <w:tcPr>
            <w:tcW w:w="1640" w:type="dxa"/>
            <w:tcBorders>
              <w:bottom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bottom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of each exchange on which registered</w:t>
            </w:r>
          </w:p>
        </w:tc>
      </w:tr>
      <w:tr>
        <w:trPr/>
        <w:tc>
          <w:tcPr>
            <w:tcW w:w="1640" w:type="dxa"/>
            <w:tcBorders/>
            <w:tcMar>
              <w:bottom w:w="0" w:type="dxa"/>
            </w:tcMar>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19" w:name="xdx_900_edei--Security12bTitle_c20260814"/>
            <w:bookmarkEnd w:id="19"/>
            <w:r>
              <w:rPr>
                <w:rFonts w:ascii="Arial;Helvetica;Sans-Serif" w:hAnsi="Arial;Helvetica;Sans-Serif"/>
                <w:b/>
                <w:i w:val="false"/>
                <w:caps w:val="false"/>
                <w:smallCaps w:val="false"/>
                <w:sz w:val="20"/>
              </w:rPr>
              <w:t>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20" w:name="xdx_90B_edei--TradingSymbol_c20260814__2"/>
            <w:bookmarkEnd w:id="20"/>
            <w:r>
              <w:rPr>
                <w:rFonts w:ascii="Arial;Helvetica;Sans-Serif" w:hAnsi="Arial;Helvetica;Sans-Serif"/>
                <w:b/>
                <w:i w:val="false"/>
                <w:caps w:val="false"/>
                <w:smallCaps w:val="false"/>
                <w:sz w:val="20"/>
              </w:rPr>
              <w:t>DARE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21" w:name="xdx_905_edei--SecurityExchangeName_c2026"/>
            <w:bookmarkEnd w:id="21"/>
            <w:r>
              <w:rPr>
                <w:rFonts w:ascii="Arial;Helvetica;Sans-Serif" w:hAnsi="Arial;Helvetica;Sans-Serif"/>
                <w:b/>
                <w:i w:val="false"/>
                <w:caps w:val="false"/>
                <w:smallCaps w:val="false"/>
                <w:sz w:val="20"/>
              </w:rPr>
              <w:t>Nasdaq Capital Market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Emerging growth company </w:t>
      </w:r>
      <w:bookmarkStart w:id="22" w:name="xdx_90A_edei--EntityEmergingGrowthCompan"/>
      <w:bookmarkEnd w:id="22"/>
      <w:r>
        <w:rPr>
          <w:rFonts w:ascii="Arial;Helvetica;Sans-Serif" w:hAnsi="Arial;Helvetica;Sans-Serif"/>
          <w:b w:val="false"/>
          <w:i w:val="false"/>
          <w:caps w:val="false"/>
          <w:smallCaps w:val="false"/>
          <w:sz w:val="20"/>
        </w:rPr>
        <w:t>☐</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875"/>
        <w:gridCol w:w="3965"/>
      </w:tblGrid>
      <w:tr>
        <w:trPr/>
        <w:tc>
          <w:tcPr>
            <w:tcW w:w="87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Item 1.01</w:t>
            </w:r>
          </w:p>
        </w:tc>
        <w:tc>
          <w:tcPr>
            <w:tcW w:w="396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Entry into a Material Definitive Agreement.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August 14, 2026, Daré Bioscience, Inc. (the “Company,” “Daré,” “we,” “us,” or “our”) entered into a securities purchase agreement with certain institutional investors relating to the purchase and sale of (i) 4,085,687 shares of our common stock (the “Shares”), (ii) pre-funded warrants to purchase up to an aggregate of 293,894 shares of our common stock (the “Pre-Funded Warrants”), (iii) warrants to purchase up to 4,379,581 shares of our common stock (the “Series A Warrants”), and (iv) warrants to purchase up to 4,379,581 shares of our common stock and/or pre-funded warrants to purchase shares of our common stock (the “Series B Warrants” and together with the Series A Warrants, the “Common Warrants”). The offering price was $1.37 per Share and $1.3699 per Pre-Funded Warrant. For each Share or Pre-Funded Warrant purchased by an investor, such investor will receive one Series A Warrant to purchase one share of our common stock and one Series B Warrant to purchase one share of our common stock or one pre-funded warrant.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Pre-Funded Warrants will be exercisable immediately after issuance and will expire when exercised in full and will have an exercise price of $0.0001 per share, subject to adjustment for stock splits, reverse stock splits, stock dividends and similar transactions. A holder (together with its affiliates) may not exercise any portion of a Pre-Funded Warrant to the extent that the holder would own more than 4.99% (or, at the election of the holder, 9.99%) of Daré’s outstanding common stock immediately after exercise.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exercise price of the Common Warrants will be $1.37 per share, subject to adjustment for stock splits, reverse stock splits, stock dividends and similar transactions. The right of a holder to exercise the Common Warrants is subject to obtaining such approval from our stockholders as may be required by the rules of The Nasdaq Stock Market (“Nasdaq”) to permit exercise of the Common Warrants, and, if required and obtained, the Common Warrants will be exercisable beginning on the effective date of such stockholder approval, and the Series A Warrants will expire five years from such date, and the Series B Warrants will expire two years from such date. A holder (together with its affiliates) may not exercise any portion of a Common Warrant to the extent that the holder would own more than 4.99% (or, at the election of the holder, 9.99%) of Daré’s outstanding common stock immediately after exercise.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Common Warrants include certain rights upon “fundamental transactions” as described in the Common Warrants, including the right of the holders thereof to require us or a successor entity to redeem the Common Warrants for cash in the amount of the Black-Scholes Value (as defined in each Common Warrant) of the unexercised portion of the Common Warrants concurrently with or within 30 days following the consummation of a fundamental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aggregate gross proceeds to Daré from the offering are expected to be approximately $6.0 million before deducting estimated offering expenses payable by Daré and excluding the proceeds, if any, from the exercise of the Pre-Funded Warrants and the Common Warrants. The closing is expected to occur on or about August 17, 2026, subject to the satisfaction of customary closing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intend to use the proceeds from the offering for working capital and general corporate purposes, including to support our 503B compounding and consumer health business strategies, research and development activities, general and administrative costs, and to meet working capital needs. We use the term “503B compounding” to refer to the production and supply of compounded drugs by outsourcing facilities registered under Section 503B of the Federal Food, Drug, and Cosmetic Act, or FDCA, without patient-specific prescriptions in accordance with Section 503B of the FDCA.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Shares, the Pre-Funded Warrants and the shares issuable upon exercise of the Pre-Funded Warrants are being sold pursuant to Daré’s registration statement on Form S-3 (File No. 333-278380), filed with the U.S. Securities and Exchange Commission on March 29, 2024, and declared effective by the SEC on May 10, 2024, and a prospectus supplement thereunder. The Common Warrants and the shares of common stock issuable upon exercise thereof are being offered pursuant to the exemption from registration provided by Section 4(a)(2) of the Securities Act and/or Rule 506(b) promulgated thereunder.</w:t>
      </w:r>
    </w:p>
    <w:p>
      <w:pPr>
        <w:pStyle w:val="TextBody"/>
        <w:bidi w:val="0"/>
        <w:spacing w:before="0" w:after="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entered into a placement agency agreement on August 14, 2026 with Ladenburg Thalmann &amp; Co. Inc. to act as our exclusive placement agent in connection with the offering described above. The placement agent agreed to use its reasonable best efforts to arrange for the sale of the securities offered. We agreed to pay the placement agent a fee equal to 7.0% of the gross proceeds of the Shares and Pre-Funded Warrants sold, and to reimburse the placement agent for certain offering-related expenses in an amount up to $105,000. In addition, we agreed to issue to the placement agent, or its designees, warrants to purchase such number of shares of our common stock equal to 4.0% of the number of Shares and Pre-Funded Warrants sold. The exercise price of such warrants will be $2.12 per share, and such warrants will expire five years from the commencement of the sales in the offering. Such warrants will otherwise have substantially the same terms as the Common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securities purchase agreement contains customary representations, warranties and agreements by Daré, customary conditions to closing, and indemnification obligations of the parties. The representations, warranties and covenants contained in the securities purchase agreement were made only for purposes of the securities purchase agreement and as of a specific date, were solely for the benefit of the parties to the securities purchase agreement, and may be subject to limitations agreed upon by such parties.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Copies of the form of Pre-Funded Warrant, Common Warrant, placement agent warrant,securities purchase agreement and placement agent agreement are filed as Exhibits 4.1, 4.2, 4.3, 10.1 and 10.2, respectively. The foregoing descriptions of the terms of such documents are qualified in their entirety by reference to such exhibits. A copy of the opinion of Sheppard Mullin Richter &amp; Hampton LLP relating to the legality of the issuance and the sale of the Shares, the Pre-Funded Warrants and the shares of common stock issuable upon exercise of the Pre-Funded Warrants is filed as Exhibit 5.1.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report shall not constitute an offer to sell or the solicitation of an offer to buy any securities of the Company, nor shall there be any offer, solicitation, or sale of the Company’s securities in any state or jurisdiction in which such offer, solicitation or sale would be unlawful prior to registration or qualification under the securities laws of such jurisdiction.</w:t>
      </w:r>
    </w:p>
    <w:p>
      <w:pPr>
        <w:pStyle w:val="TextBody"/>
        <w:bidi w:val="0"/>
        <w:jc w:val="both"/>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980"/>
        <w:gridCol w:w="4025"/>
      </w:tblGrid>
      <w:tr>
        <w:trPr/>
        <w:tc>
          <w:tcPr>
            <w:tcW w:w="980" w:type="dxa"/>
            <w:tcBorders/>
            <w:vAlign w:val="center"/>
          </w:tcPr>
          <w:p>
            <w:pPr>
              <w:pStyle w:val="TableContents"/>
              <w:bidi w:val="0"/>
              <w:spacing w:before="0" w:after="283"/>
              <w:jc w:val="left"/>
              <w:rPr>
                <w:b/>
              </w:rPr>
            </w:pPr>
            <w:r>
              <w:rPr>
                <w:b/>
              </w:rPr>
              <w:t>Item 3.02</w:t>
            </w:r>
          </w:p>
        </w:tc>
        <w:tc>
          <w:tcPr>
            <w:tcW w:w="4025" w:type="dxa"/>
            <w:tcBorders/>
            <w:vAlign w:val="center"/>
          </w:tcPr>
          <w:p>
            <w:pPr>
              <w:pStyle w:val="TableContents"/>
              <w:bidi w:val="0"/>
              <w:spacing w:before="0" w:after="283"/>
              <w:jc w:val="left"/>
              <w:rPr>
                <w:b/>
              </w:rPr>
            </w:pPr>
            <w:r>
              <w:rPr>
                <w:b/>
              </w:rPr>
              <w:t>Unregistered Sales of Equity Securities.</w:t>
            </w:r>
          </w:p>
        </w:tc>
      </w:tr>
    </w:tbl>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information set forth in Item 1.01 of this report is incorporated by reference into this Item 3.02 to the extent such information is responsive to the disclosure requirements of Item 3.02 of Current Report on Form 8-K.</w:t>
      </w:r>
    </w:p>
    <w:p>
      <w:pPr>
        <w:pStyle w:val="TextBody"/>
        <w:bidi w:val="0"/>
        <w:spacing w:before="0" w:after="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875"/>
        <w:gridCol w:w="1295"/>
      </w:tblGrid>
      <w:tr>
        <w:trPr/>
        <w:tc>
          <w:tcPr>
            <w:tcW w:w="87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Item 8.01</w:t>
            </w:r>
          </w:p>
        </w:tc>
        <w:tc>
          <w:tcPr>
            <w:tcW w:w="129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Events.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August 14, 2026, Daré issued a press release announcing the offering, a copy of which is attached as Exhibit 99.1 and is incorporated herein by reference.</w:t>
      </w:r>
    </w:p>
    <w:p>
      <w:pPr>
        <w:pStyle w:val="TextBody"/>
        <w:bidi w:val="0"/>
        <w:spacing w:before="0" w:after="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875"/>
        <w:gridCol w:w="3275"/>
      </w:tblGrid>
      <w:tr>
        <w:trPr/>
        <w:tc>
          <w:tcPr>
            <w:tcW w:w="87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Item 9.01</w:t>
            </w:r>
          </w:p>
        </w:tc>
        <w:tc>
          <w:tcPr>
            <w:tcW w:w="327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Financial Statements and Exhibits.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 Exhibits.</w:t>
      </w:r>
    </w:p>
    <w:p>
      <w:pPr>
        <w:pStyle w:val="TextBody"/>
        <w:bidi w:val="0"/>
        <w:spacing w:before="0" w:after="0"/>
        <w:jc w:val="both"/>
        <w:rPr>
          <w:caps w:val="false"/>
          <w:smallCaps w:val="false"/>
        </w:rPr>
      </w:pPr>
      <w:r>
        <w:rPr>
          <w:caps w:val="false"/>
          <w:smallCaps w:val="false"/>
        </w:rPr>
        <w:t> </w:t>
      </w:r>
    </w:p>
    <w:tbl>
      <w:tblPr>
        <w:tblW w:w="8350" w:type="dxa"/>
        <w:jc w:val="left"/>
        <w:tblInd w:w="0" w:type="dxa"/>
        <w:tblLayout w:type="fixed"/>
        <w:tblCellMar>
          <w:top w:w="0" w:type="dxa"/>
          <w:left w:w="0" w:type="dxa"/>
          <w:bottom w:w="28" w:type="dxa"/>
          <w:right w:w="0" w:type="dxa"/>
        </w:tblCellMar>
      </w:tblPr>
      <w:tblGrid>
        <w:gridCol w:w="1070"/>
        <w:gridCol w:w="60"/>
        <w:gridCol w:w="7220"/>
      </w:tblGrid>
      <w:tr>
        <w:trPr/>
        <w:tc>
          <w:tcPr>
            <w:tcW w:w="1070" w:type="dxa"/>
            <w:tcBorders>
              <w:bottom w:val="single" w:sz="8" w:space="0" w:color="000000"/>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20" w:type="dxa"/>
            <w:tcBorders>
              <w:bottom w:val="single" w:sz="8" w:space="0" w:color="000000"/>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Description</w:t>
            </w:r>
          </w:p>
        </w:tc>
      </w:tr>
      <w:tr>
        <w:trPr/>
        <w:tc>
          <w:tcPr>
            <w:tcW w:w="10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20" w:type="dxa"/>
            <w:tcBorders/>
            <w:tcMar>
              <w:bottom w:w="0" w:type="dxa"/>
            </w:tcMar>
            <w:vAlign w:val="center"/>
          </w:tcPr>
          <w:p>
            <w:pPr>
              <w:pStyle w:val="TableContents"/>
              <w:bidi w:val="0"/>
              <w:spacing w:before="0" w:after="283"/>
              <w:jc w:val="both"/>
              <w:rPr/>
            </w:pPr>
            <w:hyperlink w:anchor="ex4-1.htm">
              <w:r>
                <w:rPr>
                  <w:rStyle w:val="InternetLink"/>
                  <w:rFonts w:ascii="Arial;Helvetica;Sans-Serif" w:hAnsi="Arial;Helvetica;Sans-Serif"/>
                  <w:b w:val="false"/>
                  <w:i w:val="false"/>
                  <w:caps w:val="false"/>
                  <w:smallCaps w:val="false"/>
                  <w:sz w:val="20"/>
                </w:rPr>
                <w:t>Form of Pre-Funded Warrant (August 2026)</w:t>
              </w:r>
            </w:hyperlink>
          </w:p>
        </w:tc>
      </w:tr>
      <w:tr>
        <w:trPr/>
        <w:tc>
          <w:tcPr>
            <w:tcW w:w="10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20" w:type="dxa"/>
            <w:tcBorders/>
            <w:tcMar>
              <w:bottom w:w="0" w:type="dxa"/>
            </w:tcMar>
            <w:vAlign w:val="center"/>
          </w:tcPr>
          <w:p>
            <w:pPr>
              <w:pStyle w:val="TableContents"/>
              <w:bidi w:val="0"/>
              <w:spacing w:before="0" w:after="283"/>
              <w:jc w:val="both"/>
              <w:rPr/>
            </w:pPr>
            <w:hyperlink w:anchor="ex4-2.htm">
              <w:r>
                <w:rPr>
                  <w:rStyle w:val="InternetLink"/>
                  <w:rFonts w:ascii="Arial;Helvetica;Sans-Serif" w:hAnsi="Arial;Helvetica;Sans-Serif"/>
                  <w:b w:val="false"/>
                  <w:i w:val="false"/>
                  <w:caps w:val="false"/>
                  <w:smallCaps w:val="false"/>
                  <w:sz w:val="20"/>
                </w:rPr>
                <w:t>Form of Common Warrant (August 2026)</w:t>
              </w:r>
            </w:hyperlink>
          </w:p>
        </w:tc>
      </w:tr>
      <w:tr>
        <w:trPr/>
        <w:tc>
          <w:tcPr>
            <w:tcW w:w="10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20" w:type="dxa"/>
            <w:tcBorders/>
            <w:tcMar>
              <w:bottom w:w="0" w:type="dxa"/>
            </w:tcMar>
            <w:vAlign w:val="center"/>
          </w:tcPr>
          <w:p>
            <w:pPr>
              <w:pStyle w:val="TableContents"/>
              <w:bidi w:val="0"/>
              <w:spacing w:before="0" w:after="283"/>
              <w:jc w:val="both"/>
              <w:rPr/>
            </w:pPr>
            <w:hyperlink w:anchor="ex4-3.htm">
              <w:r>
                <w:rPr>
                  <w:rStyle w:val="InternetLink"/>
                  <w:rFonts w:ascii="Arial;Helvetica;Sans-Serif" w:hAnsi="Arial;Helvetica;Sans-Serif"/>
                  <w:b w:val="false"/>
                  <w:i w:val="false"/>
                  <w:caps w:val="false"/>
                  <w:smallCaps w:val="false"/>
                  <w:sz w:val="20"/>
                </w:rPr>
                <w:t>Form of Placement Agent Warrant (August 2026)</w:t>
              </w:r>
            </w:hyperlink>
          </w:p>
        </w:tc>
      </w:tr>
      <w:tr>
        <w:trPr/>
        <w:tc>
          <w:tcPr>
            <w:tcW w:w="10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20" w:type="dxa"/>
            <w:tcBorders/>
            <w:tcMar>
              <w:bottom w:w="0" w:type="dxa"/>
            </w:tcMar>
            <w:vAlign w:val="center"/>
          </w:tcPr>
          <w:p>
            <w:pPr>
              <w:pStyle w:val="TableContents"/>
              <w:bidi w:val="0"/>
              <w:spacing w:before="0" w:after="283"/>
              <w:jc w:val="both"/>
              <w:rPr/>
            </w:pPr>
            <w:hyperlink w:anchor="ex5-1.htm">
              <w:r>
                <w:rPr>
                  <w:rStyle w:val="InternetLink"/>
                  <w:rFonts w:ascii="Arial;Helvetica;Sans-Serif" w:hAnsi="Arial;Helvetica;Sans-Serif"/>
                  <w:b w:val="false"/>
                  <w:i w:val="false"/>
                  <w:caps w:val="false"/>
                  <w:smallCaps w:val="false"/>
                  <w:sz w:val="20"/>
                </w:rPr>
                <w:t>Opinion of Sheppard Mullin Richter &amp; Hampton LLP</w:t>
              </w:r>
            </w:hyperlink>
          </w:p>
        </w:tc>
      </w:tr>
      <w:tr>
        <w:trPr/>
        <w:tc>
          <w:tcPr>
            <w:tcW w:w="10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20" w:type="dxa"/>
            <w:tcBorders/>
            <w:tcMar>
              <w:bottom w:w="0" w:type="dxa"/>
            </w:tcMar>
            <w:vAlign w:val="center"/>
          </w:tcPr>
          <w:p>
            <w:pPr>
              <w:pStyle w:val="TableContents"/>
              <w:bidi w:val="0"/>
              <w:spacing w:before="0" w:after="283"/>
              <w:jc w:val="both"/>
              <w:rPr/>
            </w:pPr>
            <w:hyperlink w:anchor="ex10-1.htm">
              <w:r>
                <w:rPr>
                  <w:rStyle w:val="InternetLink"/>
                  <w:rFonts w:ascii="Arial;Helvetica;Sans-Serif" w:hAnsi="Arial;Helvetica;Sans-Serif"/>
                  <w:b w:val="false"/>
                  <w:i w:val="false"/>
                  <w:caps w:val="false"/>
                  <w:smallCaps w:val="false"/>
                  <w:sz w:val="20"/>
                </w:rPr>
                <w:t>Form of Securities Purchase Agreement (August 2026)</w:t>
              </w:r>
            </w:hyperlink>
          </w:p>
        </w:tc>
      </w:tr>
      <w:tr>
        <w:trPr/>
        <w:tc>
          <w:tcPr>
            <w:tcW w:w="10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20" w:type="dxa"/>
            <w:tcBorders/>
            <w:tcMar>
              <w:bottom w:w="0" w:type="dxa"/>
            </w:tcMar>
            <w:vAlign w:val="center"/>
          </w:tcPr>
          <w:p>
            <w:pPr>
              <w:pStyle w:val="TableContents"/>
              <w:bidi w:val="0"/>
              <w:spacing w:before="0" w:after="283"/>
              <w:jc w:val="both"/>
              <w:rPr/>
            </w:pPr>
            <w:hyperlink w:anchor="ex10-2.htm">
              <w:r>
                <w:rPr>
                  <w:rStyle w:val="InternetLink"/>
                  <w:rFonts w:ascii="Arial;Helvetica;Sans-Serif" w:hAnsi="Arial;Helvetica;Sans-Serif"/>
                  <w:b w:val="false"/>
                  <w:i w:val="false"/>
                  <w:caps w:val="false"/>
                  <w:smallCaps w:val="false"/>
                  <w:sz w:val="20"/>
                </w:rPr>
                <w:t>Form of Placement Agency Agreement (August 2026)</w:t>
              </w:r>
            </w:hyperlink>
          </w:p>
        </w:tc>
      </w:tr>
      <w:tr>
        <w:trPr/>
        <w:tc>
          <w:tcPr>
            <w:tcW w:w="10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20" w:type="dxa"/>
            <w:tcBorders/>
            <w:tcMar>
              <w:bottom w:w="0" w:type="dxa"/>
            </w:tcMar>
            <w:vAlign w:val="center"/>
          </w:tcPr>
          <w:p>
            <w:pPr>
              <w:pStyle w:val="TableContents"/>
              <w:bidi w:val="0"/>
              <w:spacing w:before="0" w:after="283"/>
              <w:jc w:val="both"/>
              <w:rPr/>
            </w:pPr>
            <w:hyperlink w:anchor="ex5-1.htm">
              <w:r>
                <w:rPr>
                  <w:rStyle w:val="InternetLink"/>
                  <w:rFonts w:ascii="Arial;Helvetica;Sans-Serif" w:hAnsi="Arial;Helvetica;Sans-Serif"/>
                  <w:b w:val="false"/>
                  <w:i w:val="false"/>
                  <w:caps w:val="false"/>
                  <w:smallCaps w:val="false"/>
                  <w:sz w:val="20"/>
                </w:rPr>
                <w:t>Consent of Sheppard Mullin Richter &amp; Hampton LLP (incorporated into Exhibit 5.1)</w:t>
              </w:r>
            </w:hyperlink>
            <w:r>
              <w:rPr>
                <w:rFonts w:ascii="Arial;Helvetica;Sans-Serif" w:hAnsi="Arial;Helvetica;Sans-Serif"/>
                <w:b w:val="false"/>
                <w:i w:val="false"/>
                <w:caps w:val="false"/>
                <w:smallCaps w:val="false"/>
                <w:sz w:val="20"/>
              </w:rPr>
              <w:t xml:space="preserve"> </w:t>
            </w:r>
          </w:p>
        </w:tc>
      </w:tr>
      <w:tr>
        <w:trPr/>
        <w:tc>
          <w:tcPr>
            <w:tcW w:w="10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20" w:type="dxa"/>
            <w:tcBorders/>
            <w:tcMar>
              <w:bottom w:w="0" w:type="dxa"/>
            </w:tcMar>
            <w:vAlign w:val="center"/>
          </w:tcPr>
          <w:p>
            <w:pPr>
              <w:pStyle w:val="TableContents"/>
              <w:bidi w:val="0"/>
              <w:spacing w:before="0" w:after="283"/>
              <w:jc w:val="both"/>
              <w:rPr/>
            </w:pPr>
            <w:hyperlink w:anchor="ex99-1.htm">
              <w:r>
                <w:rPr>
                  <w:rStyle w:val="InternetLink"/>
                  <w:rFonts w:ascii="Arial;Helvetica;Sans-Serif" w:hAnsi="Arial;Helvetica;Sans-Serif"/>
                  <w:b w:val="false"/>
                  <w:i w:val="false"/>
                  <w:caps w:val="false"/>
                  <w:smallCaps w:val="false"/>
                  <w:sz w:val="20"/>
                </w:rPr>
                <w:t>Press release issued on August 14, 2026</w:t>
              </w:r>
            </w:hyperlink>
          </w:p>
        </w:tc>
      </w:tr>
      <w:tr>
        <w:trPr/>
        <w:tc>
          <w:tcPr>
            <w:tcW w:w="10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20" w:type="dxa"/>
            <w:tcBorders/>
            <w:tcMar>
              <w:bottom w:w="0" w:type="dxa"/>
            </w:tcMar>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Cover Page Interactive Data File (embedded within the Inline XBRL document)</w:t>
            </w:r>
          </w:p>
        </w:tc>
      </w:tr>
    </w:tbl>
    <w:p>
      <w:pPr>
        <w:pStyle w:val="TextBody"/>
        <w:bidi w:val="0"/>
        <w:spacing w:before="0" w:after="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caps w:val="false"/>
          <w:smallCaps w:val="false"/>
        </w:rPr>
      </w:pPr>
      <w:r>
        <w:rPr>
          <w:caps w:val="false"/>
          <w:smallCaps w:val="false"/>
        </w:rPr>
        <w:t> </w:t>
      </w:r>
    </w:p>
    <w:tbl>
      <w:tblPr>
        <w:tblW w:w="6000" w:type="dxa"/>
        <w:jc w:val="left"/>
        <w:tblInd w:w="0" w:type="dxa"/>
        <w:tblLayout w:type="fixed"/>
        <w:tblCellMar>
          <w:top w:w="0" w:type="dxa"/>
          <w:left w:w="0" w:type="dxa"/>
          <w:bottom w:w="0" w:type="dxa"/>
          <w:right w:w="0" w:type="dxa"/>
        </w:tblCellMar>
      </w:tblPr>
      <w:tblGrid>
        <w:gridCol w:w="2090"/>
        <w:gridCol w:w="590"/>
        <w:gridCol w:w="3320"/>
      </w:tblGrid>
      <w:tr>
        <w:trPr/>
        <w:tc>
          <w:tcPr>
            <w:tcW w:w="2090" w:type="dxa"/>
            <w:tcBorders/>
            <w:vAlign w:val="center"/>
          </w:tcPr>
          <w:p>
            <w:pPr>
              <w:pStyle w:val="TableContents"/>
              <w:bidi w:val="0"/>
              <w:spacing w:before="0" w:after="283"/>
              <w:jc w:val="left"/>
              <w:rPr>
                <w:caps w:val="false"/>
                <w:smallCaps w:val="false"/>
              </w:rPr>
            </w:pPr>
            <w:r>
              <w:rPr>
                <w:caps w:val="false"/>
                <w:smallCaps w:val="false"/>
              </w:rPr>
              <w:t> </w:t>
            </w:r>
          </w:p>
        </w:tc>
        <w:tc>
          <w:tcPr>
            <w:tcW w:w="3910" w:type="dxa"/>
            <w:gridSpan w:val="2"/>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DARÉ BIOSCIENCE, INC.</w:t>
            </w:r>
          </w:p>
        </w:tc>
      </w:tr>
      <w:tr>
        <w:trPr/>
        <w:tc>
          <w:tcPr>
            <w:tcW w:w="2090" w:type="dxa"/>
            <w:tcBorders/>
            <w:vAlign w:val="center"/>
          </w:tcPr>
          <w:p>
            <w:pPr>
              <w:pStyle w:val="TableContents"/>
              <w:bidi w:val="0"/>
              <w:spacing w:before="0" w:after="283"/>
              <w:jc w:val="left"/>
              <w:rPr>
                <w:caps w:val="false"/>
                <w:smallCaps w:val="false"/>
              </w:rPr>
            </w:pPr>
            <w:r>
              <w:rPr>
                <w:caps w:val="false"/>
                <w:smallCaps w:val="false"/>
              </w:rPr>
              <w:t> </w:t>
            </w:r>
          </w:p>
        </w:tc>
        <w:tc>
          <w:tcPr>
            <w:tcW w:w="39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Dated: August 17, 2026</w:t>
            </w:r>
          </w:p>
        </w:tc>
        <w:tc>
          <w:tcPr>
            <w:tcW w:w="5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w:t>
            </w:r>
          </w:p>
        </w:tc>
        <w:tc>
          <w:tcPr>
            <w:tcW w:w="332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 xml:space="preserve">/s/ Sabrina Martucci Johnson </w:t>
            </w:r>
          </w:p>
        </w:tc>
      </w:tr>
      <w:tr>
        <w:trPr/>
        <w:tc>
          <w:tcPr>
            <w:tcW w:w="209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w:t>
            </w:r>
          </w:p>
        </w:tc>
        <w:tc>
          <w:tcPr>
            <w:tcW w:w="33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Sabrina Martucci Johnson</w:t>
            </w:r>
          </w:p>
        </w:tc>
      </w:tr>
      <w:tr>
        <w:trPr/>
        <w:tc>
          <w:tcPr>
            <w:tcW w:w="209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w:t>
            </w:r>
          </w:p>
        </w:tc>
        <w:tc>
          <w:tcPr>
            <w:tcW w:w="33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President and Chief Executive Officer</w:t>
            </w:r>
          </w:p>
        </w:tc>
      </w:tr>
    </w:tbl>
    <w:p>
      <w:pPr>
        <w:pStyle w:val="TextBody"/>
        <w:bidi w:val="0"/>
        <w:spacing w:before="0" w:after="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-4-</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23" w:name="ex4-1.htm"/>
      <w:bookmarkStart w:id="24" w:name="ksex41"/>
      <w:bookmarkEnd w:id="23"/>
      <w:bookmarkEnd w:id="24"/>
      <w:r>
        <w:rPr>
          <w:caps w:val="false"/>
          <w:smallCaps w:val="false"/>
        </w:rPr>
        <w:t> </w:t>
      </w:r>
      <w:r>
        <w:br w:type="page"/>
      </w:r>
    </w:p>
    <w:p>
      <w:pPr>
        <w:pStyle w:val="TextBody"/>
        <w:bidi w:val="0"/>
        <w:spacing w:before="0" w:after="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4.1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PRE-FUNDED COMMON STOCK PURCHASE WARRANT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sz w:val="20"/>
        </w:rPr>
      </w:pPr>
      <w:r>
        <w:rPr>
          <w:rFonts w:ascii="Arial;Helvetica;Sans-Serif" w:hAnsi="Arial;Helvetica;Sans-Serif"/>
          <w:b/>
          <w:i w:val="false"/>
          <w:caps/>
          <w:sz w:val="20"/>
        </w:rPr>
        <w:t>DarÉ BIOSCIENCE, INC.</w:t>
      </w:r>
    </w:p>
    <w:p>
      <w:pPr>
        <w:pStyle w:val="TextBody"/>
        <w:bidi w:val="0"/>
        <w:spacing w:before="0" w:after="0"/>
        <w:jc w:val="center"/>
        <w:rPr>
          <w:caps/>
        </w:rPr>
      </w:pPr>
      <w:r>
        <w:rPr>
          <w:caps/>
        </w:rPr>
        <w:t> </w:t>
      </w:r>
    </w:p>
    <w:tbl>
      <w:tblPr>
        <w:tblW w:w="3035" w:type="dxa"/>
        <w:jc w:val="left"/>
        <w:tblInd w:w="0" w:type="dxa"/>
        <w:tblLayout w:type="fixed"/>
        <w:tblCellMar>
          <w:top w:w="0" w:type="dxa"/>
          <w:left w:w="0" w:type="dxa"/>
          <w:bottom w:w="0" w:type="dxa"/>
          <w:right w:w="0" w:type="dxa"/>
        </w:tblCellMar>
      </w:tblPr>
      <w:tblGrid>
        <w:gridCol w:w="60"/>
        <w:gridCol w:w="2975"/>
      </w:tblGrid>
      <w:tr>
        <w:trPr/>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2975" w:type="dxa"/>
            <w:tcBorders/>
            <w:vAlign w:val="center"/>
          </w:tcPr>
          <w:p>
            <w:pPr>
              <w:pStyle w:val="TableContents"/>
              <w:bidi w:val="0"/>
              <w:spacing w:before="0" w:after="283"/>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Warrant Shares: [____]</w:t>
            </w:r>
          </w:p>
        </w:tc>
      </w:tr>
      <w:tr>
        <w:trPr/>
        <w:tc>
          <w:tcPr>
            <w:tcW w:w="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297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Initial Exercise Date: [____], 2026</w:t>
            </w:r>
          </w:p>
        </w:tc>
      </w:tr>
    </w:tbl>
    <w:p>
      <w:pPr>
        <w:pStyle w:val="TextBody"/>
        <w:bidi w:val="0"/>
        <w:spacing w:before="0" w:after="0"/>
        <w:ind w:left="43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PRE-FUNDED COMMON STOCK PURCHASE WARRANT (this “</w:t>
      </w:r>
      <w:r>
        <w:rPr>
          <w:rFonts w:ascii="Arial;Helvetica;Sans-Serif" w:hAnsi="Arial;Helvetica;Sans-Serif"/>
          <w:b w:val="false"/>
          <w:i w:val="false"/>
          <w:caps w:val="false"/>
          <w:smallCaps w:val="false"/>
          <w:sz w:val="20"/>
          <w:u w:val="single"/>
        </w:rPr>
        <w:t>Warrant</w:t>
      </w:r>
      <w:r>
        <w:rPr>
          <w:rFonts w:ascii="Arial;Helvetica;Sans-Serif" w:hAnsi="Arial;Helvetica;Sans-Serif"/>
          <w:b w:val="false"/>
          <w:i w:val="false"/>
          <w:caps w:val="false"/>
          <w:smallCaps w:val="false"/>
          <w:sz w:val="20"/>
        </w:rPr>
        <w:t>”) certifies that, for value received, _____________ or its assigns (the “</w:t>
      </w:r>
      <w:r>
        <w:rPr>
          <w:rFonts w:ascii="Arial;Helvetica;Sans-Serif" w:hAnsi="Arial;Helvetica;Sans-Serif"/>
          <w:b w:val="false"/>
          <w:i w:val="false"/>
          <w:caps w:val="false"/>
          <w:smallCaps w:val="false"/>
          <w:sz w:val="20"/>
          <w:u w:val="single"/>
        </w:rPr>
        <w:t>Holder</w:t>
      </w:r>
      <w:r>
        <w:rPr>
          <w:rFonts w:ascii="Arial;Helvetica;Sans-Serif" w:hAnsi="Arial;Helvetica;Sans-Serif"/>
          <w:b w:val="false"/>
          <w:i w:val="false"/>
          <w:caps w:val="false"/>
          <w:smallCaps w:val="false"/>
          <w:sz w:val="20"/>
        </w:rPr>
        <w:t>”) is entitled, upon the terms and subject to the limitations on exercise and the conditions hereinafter set forth, at any time on or after the date set forth above (the “</w:t>
      </w:r>
      <w:r>
        <w:rPr>
          <w:rFonts w:ascii="Arial;Helvetica;Sans-Serif" w:hAnsi="Arial;Helvetica;Sans-Serif"/>
          <w:b w:val="false"/>
          <w:i w:val="false"/>
          <w:caps w:val="false"/>
          <w:smallCaps w:val="false"/>
          <w:sz w:val="20"/>
          <w:u w:val="single"/>
        </w:rPr>
        <w:t>Initial Exercise Date</w:t>
      </w:r>
      <w:r>
        <w:rPr>
          <w:rFonts w:ascii="Arial;Helvetica;Sans-Serif" w:hAnsi="Arial;Helvetica;Sans-Serif"/>
          <w:b w:val="false"/>
          <w:i w:val="false"/>
          <w:caps w:val="false"/>
          <w:smallCaps w:val="false"/>
          <w:sz w:val="20"/>
        </w:rPr>
        <w:t>”) and until this Warrant is exercised in full (the “</w:t>
      </w:r>
      <w:r>
        <w:rPr>
          <w:rFonts w:ascii="Arial;Helvetica;Sans-Serif" w:hAnsi="Arial;Helvetica;Sans-Serif"/>
          <w:b w:val="false"/>
          <w:i w:val="false"/>
          <w:caps w:val="false"/>
          <w:smallCaps w:val="false"/>
          <w:sz w:val="20"/>
          <w:u w:val="single"/>
        </w:rPr>
        <w:t>Termination Date</w:t>
      </w:r>
      <w:r>
        <w:rPr>
          <w:rFonts w:ascii="Arial;Helvetica;Sans-Serif" w:hAnsi="Arial;Helvetica;Sans-Serif"/>
          <w:b w:val="false"/>
          <w:i w:val="false"/>
          <w:caps w:val="false"/>
          <w:smallCaps w:val="false"/>
          <w:sz w:val="20"/>
        </w:rPr>
        <w:t>”), to subscribe for and purchase from Daré Bioscience, Inc., a Delaware corporation (the “</w:t>
      </w:r>
      <w:r>
        <w:rPr>
          <w:rFonts w:ascii="Arial;Helvetica;Sans-Serif" w:hAnsi="Arial;Helvetica;Sans-Serif"/>
          <w:b w:val="false"/>
          <w:i w:val="false"/>
          <w:caps w:val="false"/>
          <w:smallCaps w:val="false"/>
          <w:sz w:val="20"/>
          <w:u w:val="single"/>
        </w:rPr>
        <w:t>Company</w:t>
      </w:r>
      <w:r>
        <w:rPr>
          <w:rFonts w:ascii="Arial;Helvetica;Sans-Serif" w:hAnsi="Arial;Helvetica;Sans-Serif"/>
          <w:b w:val="false"/>
          <w:i w:val="false"/>
          <w:caps w:val="false"/>
          <w:smallCaps w:val="false"/>
          <w:sz w:val="20"/>
        </w:rPr>
        <w:t>”), up to ______ shares (as subject to adjustment hereunder, the “</w:t>
      </w:r>
      <w:r>
        <w:rPr>
          <w:rFonts w:ascii="Arial;Helvetica;Sans-Serif" w:hAnsi="Arial;Helvetica;Sans-Serif"/>
          <w:b w:val="false"/>
          <w:i w:val="false"/>
          <w:caps w:val="false"/>
          <w:smallCaps w:val="false"/>
          <w:sz w:val="20"/>
          <w:u w:val="single"/>
        </w:rPr>
        <w:t>Warrant Shares</w:t>
      </w:r>
      <w:r>
        <w:rPr>
          <w:rFonts w:ascii="Arial;Helvetica;Sans-Serif" w:hAnsi="Arial;Helvetica;Sans-Serif"/>
          <w:b w:val="false"/>
          <w:i w:val="false"/>
          <w:caps w:val="false"/>
          <w:smallCaps w:val="false"/>
          <w:sz w:val="20"/>
        </w:rPr>
        <w:t>”) of Common Stock. The purchase price of one share of Common Stock under this Warrant shall be equal to the Exercise Price, as defined in Section 2(b).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u w:val="single"/>
        </w:rPr>
        <w:t>Section 1</w:t>
      </w:r>
      <w:r>
        <w:rPr>
          <w:rFonts w:ascii="Arial;Helvetica;Sans-Serif" w:hAnsi="Arial;Helvetica;Sans-Serif"/>
          <w:b w:val="false"/>
          <w:i w:val="false"/>
          <w:caps w:val="false"/>
          <w:smallCaps w:val="false"/>
          <w:sz w:val="20"/>
        </w:rPr>
        <w:t xml:space="preserve">. </w:t>
      </w:r>
      <w:r>
        <w:rPr>
          <w:rFonts w:ascii="Arial;Helvetica;Sans-Serif" w:hAnsi="Arial;Helvetica;Sans-Serif"/>
          <w:b w:val="false"/>
          <w:i w:val="false"/>
          <w:caps w:val="false"/>
          <w:smallCaps w:val="false"/>
          <w:sz w:val="20"/>
          <w:u w:val="single"/>
        </w:rPr>
        <w:t>Definitions</w:t>
      </w:r>
      <w:r>
        <w:rPr>
          <w:rFonts w:ascii="Arial;Helvetica;Sans-Serif" w:hAnsi="Arial;Helvetica;Sans-Serif"/>
          <w:b w:val="false"/>
          <w:i w:val="false"/>
          <w:caps w:val="false"/>
          <w:smallCaps w:val="false"/>
          <w:sz w:val="20"/>
        </w:rPr>
        <w:t>. Capitalized terms used and not otherwise defined herein shall have the meanings set forth in that certain Securities Purchase Agreement (the “</w:t>
      </w:r>
      <w:r>
        <w:rPr>
          <w:rFonts w:ascii="Arial;Helvetica;Sans-Serif" w:hAnsi="Arial;Helvetica;Sans-Serif"/>
          <w:b w:val="false"/>
          <w:i w:val="false"/>
          <w:caps w:val="false"/>
          <w:smallCaps w:val="false"/>
          <w:sz w:val="20"/>
          <w:u w:val="single"/>
        </w:rPr>
        <w:t>Purchase Agreement</w:t>
      </w:r>
      <w:r>
        <w:rPr>
          <w:rFonts w:ascii="Arial;Helvetica;Sans-Serif" w:hAnsi="Arial;Helvetica;Sans-Serif"/>
          <w:b w:val="false"/>
          <w:i w:val="false"/>
          <w:caps w:val="false"/>
          <w:smallCaps w:val="false"/>
          <w:sz w:val="20"/>
        </w:rPr>
        <w:t>”), dated August 14, 2026, among the Company and the purchasers signatory thereto. In addition to the terms defined elsewhere in this Warrant, the following terms have the meanings indicated in this Section 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Affiliate</w:t>
      </w:r>
      <w:r>
        <w:rPr>
          <w:rFonts w:ascii="Arial;Helvetica;Sans-Serif" w:hAnsi="Arial;Helvetica;San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Bid Price</w:t>
      </w:r>
      <w:r>
        <w:rPr>
          <w:rFonts w:ascii="Arial;Helvetica;Sans-Serif" w:hAnsi="Arial;Helvetica;Sans-Serif"/>
          <w:b w:val="false"/>
          <w:i w:val="false"/>
          <w:caps w:val="false"/>
          <w:smallCaps w:val="false"/>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the Common Stock is then listed or quoted for trading on the OTCQB or OTCQX, the volume weighted average price of the Common Stock for such date (or the nearest preceding date) on the OTCQB or OTCQX as applicable, (c) if the Common Stock is not then listed or quoted for trading on the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Board of Directors</w:t>
      </w:r>
      <w:r>
        <w:rPr>
          <w:rFonts w:ascii="Arial;Helvetica;Sans-Serif" w:hAnsi="Arial;Helvetica;Sans-Serif"/>
          <w:b w:val="false"/>
          <w:i w:val="false"/>
          <w:caps w:val="false"/>
          <w:smallCaps w:val="false"/>
          <w:sz w:val="20"/>
        </w:rPr>
        <w:t>” means the board of directors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Business Day</w:t>
      </w:r>
      <w:r>
        <w:rPr>
          <w:rFonts w:ascii="Arial;Helvetica;Sans-Serif" w:hAnsi="Arial;Helvetica;San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Arial;Helvetica;Sans-Serif" w:hAnsi="Arial;Helvetica;Sans-Serif"/>
          <w:b w:val="false"/>
          <w:i w:val="false"/>
          <w:caps w:val="false"/>
          <w:smallCaps w:val="false"/>
          <w:sz w:val="20"/>
          <w:u w:val="single"/>
        </w:rPr>
        <w:t>provided</w:t>
      </w:r>
      <w:r>
        <w:rPr>
          <w:rFonts w:ascii="Arial;Helvetica;Sans-Serif" w:hAnsi="Arial;Helvetica;Sans-Serif"/>
          <w:b w:val="false"/>
          <w:i w:val="false"/>
          <w:caps w:val="false"/>
          <w:smallCaps w:val="false"/>
          <w:sz w:val="20"/>
        </w:rPr>
        <w:t xml:space="preserve">, </w:t>
      </w:r>
      <w:r>
        <w:rPr>
          <w:rFonts w:ascii="Arial;Helvetica;Sans-Serif" w:hAnsi="Arial;Helvetica;Sans-Serif"/>
          <w:b w:val="false"/>
          <w:i w:val="false"/>
          <w:caps w:val="false"/>
          <w:smallCaps w:val="false"/>
          <w:sz w:val="20"/>
          <w:u w:val="single"/>
        </w:rPr>
        <w:t>however</w:t>
      </w:r>
      <w:r>
        <w:rPr>
          <w:rFonts w:ascii="Arial;Helvetica;Sans-Serif" w:hAnsi="Arial;Helvetica;San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Commission</w:t>
      </w:r>
      <w:r>
        <w:rPr>
          <w:rFonts w:ascii="Arial;Helvetica;Sans-Serif" w:hAnsi="Arial;Helvetica;Sans-Serif"/>
          <w:b w:val="false"/>
          <w:i w:val="false"/>
          <w:caps w:val="false"/>
          <w:smallCaps w:val="false"/>
          <w:sz w:val="20"/>
        </w:rPr>
        <w:t>” means the United States Securities and Exchange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Common Stock</w:t>
      </w:r>
      <w:r>
        <w:rPr>
          <w:rFonts w:ascii="Arial;Helvetica;Sans-Serif" w:hAnsi="Arial;Helvetica;Sans-Serif"/>
          <w:b w:val="false"/>
          <w:i w:val="false"/>
          <w:caps w:val="false"/>
          <w:smallCaps w:val="false"/>
          <w:sz w:val="20"/>
        </w:rPr>
        <w:t>” means the common stock of the Company, par value $0.0001 per share, and any other class of securities into which such securities may hereafter be reclassified or changed.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Common Stock Equivalents</w:t>
      </w:r>
      <w:r>
        <w:rPr>
          <w:rFonts w:ascii="Arial;Helvetica;Sans-Serif" w:hAnsi="Arial;Helvetica;Sans-Serif"/>
          <w:b w:val="false"/>
          <w:i w:val="false"/>
          <w:caps w:val="false"/>
          <w:smallCaps w:val="false"/>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Exchange Act</w:t>
      </w:r>
      <w:r>
        <w:rPr>
          <w:rFonts w:ascii="Arial;Helvetica;Sans-Serif" w:hAnsi="Arial;Helvetica;San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Person</w:t>
      </w:r>
      <w:r>
        <w:rPr>
          <w:rFonts w:ascii="Arial;Helvetica;Sans-Serif" w:hAnsi="Arial;Helvetica;San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Registration Statement</w:t>
      </w:r>
      <w:r>
        <w:rPr>
          <w:rFonts w:ascii="Arial;Helvetica;Sans-Serif" w:hAnsi="Arial;Helvetica;Sans-Serif"/>
          <w:b w:val="false"/>
          <w:i w:val="false"/>
          <w:caps w:val="false"/>
          <w:smallCaps w:val="false"/>
          <w:sz w:val="20"/>
        </w:rPr>
        <w:t>” means the Company’s registration statement on Form S-3(File No. 333-278380).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Securities Act</w:t>
      </w:r>
      <w:r>
        <w:rPr>
          <w:rFonts w:ascii="Arial;Helvetica;Sans-Serif" w:hAnsi="Arial;Helvetica;Sans-Serif"/>
          <w:b w:val="false"/>
          <w:i w:val="false"/>
          <w:caps w:val="false"/>
          <w:smallCaps w:val="false"/>
          <w:sz w:val="20"/>
        </w:rPr>
        <w:t>” means the Securities Act of 1933,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Subsidiary</w:t>
      </w:r>
      <w:r>
        <w:rPr>
          <w:rFonts w:ascii="Arial;Helvetica;Sans-Serif" w:hAnsi="Arial;Helvetica;Sans-Serif"/>
          <w:b w:val="false"/>
          <w:i w:val="false"/>
          <w:caps w:val="false"/>
          <w:smallCaps w:val="false"/>
          <w:sz w:val="20"/>
        </w:rPr>
        <w:t>” means any subsidiary of the Company and shall, where applicable, also include any direct or indirect subsidiary of the Company formed or acquired after the date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Trading Day</w:t>
      </w:r>
      <w:r>
        <w:rPr>
          <w:rFonts w:ascii="Arial;Helvetica;Sans-Serif" w:hAnsi="Arial;Helvetica;Sans-Serif"/>
          <w:b w:val="false"/>
          <w:i w:val="false"/>
          <w:caps w:val="false"/>
          <w:smallCaps w:val="false"/>
          <w:sz w:val="20"/>
        </w:rPr>
        <w:t>” means a day on which the Common Stock is traded on a Trading Market.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Trading Market</w:t>
      </w:r>
      <w:r>
        <w:rPr>
          <w:rFonts w:ascii="Arial;Helvetica;Sans-Serif" w:hAnsi="Arial;Helvetica;San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the New York Stock Exchange.</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Transfer Agent</w:t>
      </w:r>
      <w:r>
        <w:rPr>
          <w:rFonts w:ascii="Arial;Helvetica;Sans-Serif" w:hAnsi="Arial;Helvetica;Sans-Serif"/>
          <w:b w:val="false"/>
          <w:i w:val="false"/>
          <w:caps w:val="false"/>
          <w:smallCaps w:val="false"/>
          <w:sz w:val="20"/>
        </w:rPr>
        <w:t>” means Equiniti Trust Company, LLC, the current transfer agent of the Company, with a mailing address of 28 Liberty Street, 53</w:t>
      </w:r>
      <w:r>
        <w:rPr>
          <w:rFonts w:ascii="Arial;Helvetica;Sans-Serif" w:hAnsi="Arial;Helvetica;Sans-Serif"/>
          <w:b w:val="false"/>
          <w:i w:val="false"/>
          <w:caps w:val="false"/>
          <w:smallCaps w:val="false"/>
          <w:position w:val="7"/>
          <w:sz w:val="16"/>
          <w:sz w:val="20"/>
        </w:rPr>
        <w:t>rd</w:t>
      </w:r>
      <w:r>
        <w:rPr>
          <w:rFonts w:ascii="Arial;Helvetica;Sans-Serif" w:hAnsi="Arial;Helvetica;Sans-Serif"/>
          <w:b w:val="false"/>
          <w:i w:val="false"/>
          <w:caps w:val="false"/>
          <w:smallCaps w:val="false"/>
          <w:sz w:val="20"/>
        </w:rPr>
        <w:t xml:space="preserve"> Floor, New York, NY 10005 and any successor transfer agent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VWAP</w:t>
      </w:r>
      <w:r>
        <w:rPr>
          <w:rFonts w:ascii="Arial;Helvetica;Sans-Serif" w:hAnsi="Arial;Helvetica;San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then listed or quoted for trading on the OTCQB or OTCQX, the volume weighted average price of the Common Stock for such date (or the nearest preceding date) on the OTCQB or OTCQX as applicable, (c) if the Common Stock is not then listed or quoted for trading on the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Warrants</w:t>
      </w:r>
      <w:r>
        <w:rPr>
          <w:rFonts w:ascii="Arial;Helvetica;Sans-Serif" w:hAnsi="Arial;Helvetica;Sans-Serif"/>
          <w:b w:val="false"/>
          <w:i w:val="false"/>
          <w:caps w:val="false"/>
          <w:smallCaps w:val="false"/>
          <w:sz w:val="20"/>
        </w:rPr>
        <w:t>” means this Warrant and other Pre-Funded Common Stock Purchase Warrants issued by the Company pursuant to the Registration Statement and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u w:val="single"/>
        </w:rPr>
        <w:t>Section 2</w:t>
      </w:r>
      <w:r>
        <w:rPr>
          <w:rFonts w:ascii="Arial;Helvetica;Sans-Serif" w:hAnsi="Arial;Helvetica;Sans-Serif"/>
          <w:b w:val="false"/>
          <w:i w:val="false"/>
          <w:caps w:val="false"/>
          <w:smallCaps w:val="false"/>
          <w:sz w:val="20"/>
        </w:rPr>
        <w:t xml:space="preserve">. </w:t>
      </w:r>
      <w:r>
        <w:rPr>
          <w:rFonts w:ascii="Arial;Helvetica;Sans-Serif" w:hAnsi="Arial;Helvetica;Sans-Serif"/>
          <w:b w:val="false"/>
          <w:i w:val="false"/>
          <w:caps w:val="false"/>
          <w:smallCaps w:val="false"/>
          <w:sz w:val="20"/>
          <w:u w:val="single"/>
        </w:rPr>
        <w:t>Exercise</w:t>
      </w:r>
      <w:r>
        <w:rPr>
          <w:rFonts w:ascii="Arial;Helvetica;Sans-Serif" w:hAnsi="Arial;Helvetica;San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 </w:t>
      </w:r>
      <w:r>
        <w:rPr>
          <w:rFonts w:ascii="Arial;Helvetica;Sans-Serif" w:hAnsi="Arial;Helvetica;Sans-Serif"/>
          <w:b w:val="false"/>
          <w:i w:val="false"/>
          <w:caps w:val="false"/>
          <w:smallCaps w:val="false"/>
          <w:sz w:val="20"/>
          <w:u w:val="single"/>
        </w:rPr>
        <w:t>Exercise of Warrant</w:t>
      </w:r>
      <w:r>
        <w:rPr>
          <w:rFonts w:ascii="Arial;Helvetica;Sans-Serif" w:hAnsi="Arial;Helvetica;Sans-Serif"/>
          <w:b w:val="false"/>
          <w:i w:val="false"/>
          <w:caps w:val="false"/>
          <w:smallCaps w:val="false"/>
          <w:sz w:val="20"/>
        </w:rPr>
        <w:t>. Subject to Section 2(e),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Arial;Helvetica;Sans-Serif" w:hAnsi="Arial;Helvetica;Sans-Serif"/>
          <w:b w:val="false"/>
          <w:i w:val="false"/>
          <w:caps w:val="false"/>
          <w:smallCaps w:val="false"/>
          <w:sz w:val="20"/>
          <w:u w:val="single"/>
        </w:rPr>
        <w:t>Notice of Exercise</w:t>
      </w:r>
      <w:r>
        <w:rPr>
          <w:rFonts w:ascii="Arial;Helvetica;Sans-Serif" w:hAnsi="Arial;Helvetica;Sans-Serif"/>
          <w:b w:val="false"/>
          <w:i w:val="false"/>
          <w:caps w:val="false"/>
          <w:smallCaps w:val="false"/>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this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rFonts w:ascii="Arial;Helvetica;Sans-Serif" w:hAnsi="Arial;Helvetica;San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b) </w:t>
      </w:r>
      <w:r>
        <w:rPr>
          <w:rFonts w:ascii="Arial;Helvetica;Sans-Serif" w:hAnsi="Arial;Helvetica;Sans-Serif"/>
          <w:b w:val="false"/>
          <w:i w:val="false"/>
          <w:caps w:val="false"/>
          <w:smallCaps w:val="false"/>
          <w:sz w:val="20"/>
          <w:u w:val="single"/>
        </w:rPr>
        <w:t>Exercise Price</w:t>
      </w:r>
      <w:r>
        <w:rPr>
          <w:rFonts w:ascii="Arial;Helvetica;Sans-Serif" w:hAnsi="Arial;Helvetica;Sans-Serif"/>
          <w:b w:val="false"/>
          <w:i w:val="false"/>
          <w:caps w:val="false"/>
          <w:smallCaps w:val="false"/>
          <w:sz w:val="20"/>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Warrant Share shall be $0.0001, subject to adjustment hereunder (the “</w:t>
      </w:r>
      <w:r>
        <w:rPr>
          <w:rFonts w:ascii="Arial;Helvetica;Sans-Serif" w:hAnsi="Arial;Helvetica;Sans-Serif"/>
          <w:b w:val="false"/>
          <w:i w:val="false"/>
          <w:caps w:val="false"/>
          <w:smallCaps w:val="false"/>
          <w:sz w:val="20"/>
          <w:u w:val="single"/>
        </w:rPr>
        <w:t>Exercise Price</w:t>
      </w:r>
      <w:r>
        <w:rPr>
          <w:rFonts w:ascii="Arial;Helvetica;Sans-Serif" w:hAnsi="Arial;Helvetica;San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 </w:t>
      </w:r>
      <w:r>
        <w:rPr>
          <w:rFonts w:ascii="Arial;Helvetica;Sans-Serif" w:hAnsi="Arial;Helvetica;Sans-Serif"/>
          <w:b w:val="false"/>
          <w:i w:val="false"/>
          <w:caps w:val="false"/>
          <w:smallCaps w:val="false"/>
          <w:sz w:val="20"/>
          <w:u w:val="single"/>
        </w:rPr>
        <w:t>Cashless Exercise</w:t>
      </w:r>
      <w:r>
        <w:rPr>
          <w:rFonts w:ascii="Arial;Helvetica;Sans-Serif" w:hAnsi="Arial;Helvetica;Sans-Serif"/>
          <w:b w:val="false"/>
          <w:i w:val="false"/>
          <w:caps w:val="false"/>
          <w:smallCaps w:val="false"/>
          <w:sz w:val="20"/>
        </w:rPr>
        <w:t>.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72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36"/>
        <w:gridCol w:w="9809"/>
      </w:tblGrid>
      <w:tr>
        <w:trPr/>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336" w:type="dxa"/>
            <w:tcBorders/>
            <w:vAlign w:val="center"/>
          </w:tcPr>
          <w:p>
            <w:pPr>
              <w:pStyle w:val="TableContents"/>
              <w:bidi w:val="0"/>
              <w:spacing w:before="0" w:after="283"/>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 = </w:t>
            </w:r>
          </w:p>
        </w:tc>
        <w:tc>
          <w:tcPr>
            <w:tcW w:w="9809" w:type="dxa"/>
            <w:tcBorders/>
            <w:vAlign w:val="center"/>
          </w:tcPr>
          <w:p>
            <w:pPr>
              <w:pStyle w:val="TableContents"/>
              <w:bidi w:val="0"/>
              <w:spacing w:before="0" w:after="283"/>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w:t>
            </w:r>
            <w:r>
              <w:rPr>
                <w:rFonts w:ascii="Arial;Helvetica;Sans-Serif" w:hAnsi="Arial;Helvetica;Sans-Serif"/>
                <w:b w:val="false"/>
                <w:i w:val="false"/>
                <w:caps w:val="false"/>
                <w:smallCaps w:val="false"/>
                <w:sz w:val="20"/>
                <w:u w:val="single"/>
              </w:rPr>
              <w:t>Bloomberg</w:t>
            </w:r>
            <w:r>
              <w:rPr>
                <w:rFonts w:ascii="Arial;Helvetica;Sans-Serif" w:hAnsi="Arial;Helvetica;Sans-Serif"/>
                <w:b w:val="false"/>
                <w:i w:val="false"/>
                <w:caps w:val="false"/>
                <w:smallCaps w:val="false"/>
                <w:sz w:val="20"/>
              </w:rPr>
              <w:t>”) as of the time of the Holder’s execution of the applicable Notice of Exercise, if such Notice of Exercise is executed during “regular trading hours” on a Trading Day and is delivered pursuant to Section 2(a) hereof within two (2) hours thereafter (including until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tc>
      </w:tr>
      <w:tr>
        <w:trPr/>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336"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9809"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336" w:type="dxa"/>
            <w:tcBorders/>
            <w:vAlign w:val="center"/>
          </w:tcPr>
          <w:p>
            <w:pPr>
              <w:pStyle w:val="TableContents"/>
              <w:bidi w:val="0"/>
              <w:spacing w:before="0" w:after="283"/>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(B) = </w:t>
            </w:r>
          </w:p>
        </w:tc>
        <w:tc>
          <w:tcPr>
            <w:tcW w:w="9809" w:type="dxa"/>
            <w:tcBorders/>
            <w:vAlign w:val="center"/>
          </w:tcPr>
          <w:p>
            <w:pPr>
              <w:pStyle w:val="TableContents"/>
              <w:bidi w:val="0"/>
              <w:spacing w:before="0" w:after="283"/>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Exercise Price of this Warrant, as adjusted hereunder; and</w:t>
            </w:r>
          </w:p>
        </w:tc>
      </w:tr>
      <w:tr>
        <w:trPr/>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336"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9809"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336" w:type="dxa"/>
            <w:tcBorders/>
            <w:vAlign w:val="center"/>
          </w:tcPr>
          <w:p>
            <w:pPr>
              <w:pStyle w:val="TableContents"/>
              <w:bidi w:val="0"/>
              <w:spacing w:before="0" w:after="283"/>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(X) = </w:t>
            </w:r>
          </w:p>
        </w:tc>
        <w:tc>
          <w:tcPr>
            <w:tcW w:w="9809"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2070" w:right="0" w:hanging="63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2070" w:right="0" w:hanging="63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 </w:t>
      </w:r>
      <w:r>
        <w:rPr>
          <w:rFonts w:ascii="Arial;Helvetica;Sans-Serif" w:hAnsi="Arial;Helvetica;Sans-Serif"/>
          <w:b w:val="false"/>
          <w:i w:val="false"/>
          <w:caps w:val="false"/>
          <w:smallCaps w:val="false"/>
          <w:sz w:val="20"/>
          <w:u w:val="single"/>
        </w:rPr>
        <w:t>Mechanics of Exercise</w:t>
      </w:r>
      <w:r>
        <w:rPr>
          <w:rFonts w:ascii="Arial;Helvetica;Sans-Serif" w:hAnsi="Arial;Helvetica;San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 </w:t>
      </w:r>
      <w:r>
        <w:rPr>
          <w:rFonts w:ascii="Arial;Helvetica;Sans-Serif" w:hAnsi="Arial;Helvetica;Sans-Serif"/>
          <w:b w:val="false"/>
          <w:i w:val="false"/>
          <w:caps w:val="false"/>
          <w:smallCaps w:val="false"/>
          <w:sz w:val="20"/>
          <w:u w:val="single"/>
        </w:rPr>
        <w:t>Delivery of Warrant Shares Upon Exercise</w:t>
      </w:r>
      <w:r>
        <w:rPr>
          <w:rFonts w:ascii="Arial;Helvetica;Sans-Serif" w:hAnsi="Arial;Helvetica;San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Arial;Helvetica;Sans-Serif" w:hAnsi="Arial;Helvetica;Sans-Serif"/>
          <w:b w:val="false"/>
          <w:i w:val="false"/>
          <w:caps w:val="false"/>
          <w:smallCaps w:val="false"/>
          <w:sz w:val="20"/>
          <w:u w:val="single"/>
        </w:rPr>
        <w:t>DWAC</w:t>
      </w:r>
      <w:r>
        <w:rPr>
          <w:rFonts w:ascii="Arial;Helvetica;Sans-Serif" w:hAnsi="Arial;Helvetica;Sans-Serif"/>
          <w:b w:val="false"/>
          <w:i w:val="false"/>
          <w:caps w:val="false"/>
          <w:smallCaps w:val="false"/>
          <w:sz w:val="20"/>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Arial;Helvetica;Sans-Serif" w:hAnsi="Arial;Helvetica;Sans-Serif"/>
          <w:b w:val="false"/>
          <w:i w:val="false"/>
          <w:caps w:val="false"/>
          <w:smallCaps w:val="false"/>
          <w:sz w:val="20"/>
          <w:u w:val="single"/>
        </w:rPr>
        <w:t>Warrant Share Delivery Date</w:t>
      </w:r>
      <w:r>
        <w:rPr>
          <w:rFonts w:ascii="Arial;Helvetica;Sans-Serif" w:hAnsi="Arial;Helvetica;San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w:t>
      </w:r>
      <w:r>
        <w:rPr>
          <w:rFonts w:ascii="Arial;Helvetica;Sans-Serif" w:hAnsi="Arial;Helvetica;Sans-Serif"/>
          <w:b w:val="false"/>
          <w:i w:val="false"/>
          <w:caps w:val="false"/>
          <w:smallCaps w:val="false"/>
          <w:position w:val="7"/>
          <w:sz w:val="16"/>
          <w:sz w:val="20"/>
        </w:rPr>
        <w:t>rd</w:t>
      </w:r>
      <w:r>
        <w:rPr>
          <w:rFonts w:ascii="Arial;Helvetica;Sans-Serif" w:hAnsi="Arial;Helvetica;Sans-Serif"/>
          <w:b w:val="false"/>
          <w:i w:val="false"/>
          <w:caps w:val="false"/>
          <w:smallCaps w:val="false"/>
          <w:sz w:val="20"/>
        </w:rPr>
        <w:t>)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Arial;Helvetica;Sans-Serif" w:hAnsi="Arial;Helvetica;Sans-Serif"/>
          <w:b w:val="false"/>
          <w:i w:val="false"/>
          <w:caps w:val="false"/>
          <w:smallCaps w:val="false"/>
          <w:sz w:val="20"/>
          <w:u w:val="single"/>
        </w:rPr>
        <w:t>Standard Settlement Period</w:t>
      </w:r>
      <w:r>
        <w:rPr>
          <w:rFonts w:ascii="Arial;Helvetica;Sans-Serif" w:hAnsi="Arial;Helvetica;Sans-Serif"/>
          <w:b w:val="false"/>
          <w:i w:val="false"/>
          <w:caps w:val="false"/>
          <w:smallCaps w:val="false"/>
          <w:sz w:val="20"/>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pStyle w:val="TextBody"/>
        <w:bidi w:val="0"/>
        <w:spacing w:before="0" w:after="0"/>
        <w:ind w:left="216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ii. </w:t>
      </w:r>
      <w:r>
        <w:rPr>
          <w:rFonts w:ascii="Arial;Helvetica;Sans-Serif" w:hAnsi="Arial;Helvetica;Sans-Serif"/>
          <w:b w:val="false"/>
          <w:i w:val="false"/>
          <w:caps w:val="false"/>
          <w:smallCaps w:val="false"/>
          <w:sz w:val="20"/>
          <w:u w:val="single"/>
        </w:rPr>
        <w:t>Delivery of New Warrants Upon Exercise</w:t>
      </w:r>
      <w:r>
        <w:rPr>
          <w:rFonts w:ascii="Arial;Helvetica;Sans-Serif" w:hAnsi="Arial;Helvetica;San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iii. </w:t>
      </w:r>
      <w:r>
        <w:rPr>
          <w:rFonts w:ascii="Arial;Helvetica;Sans-Serif" w:hAnsi="Arial;Helvetica;Sans-Serif"/>
          <w:b w:val="false"/>
          <w:i w:val="false"/>
          <w:caps w:val="false"/>
          <w:smallCaps w:val="false"/>
          <w:sz w:val="20"/>
          <w:u w:val="single"/>
        </w:rPr>
        <w:t>Rescission Rights</w:t>
      </w:r>
      <w:r>
        <w:rPr>
          <w:rFonts w:ascii="Arial;Helvetica;Sans-Serif" w:hAnsi="Arial;Helvetica;Sans-Serif"/>
          <w:b w:val="false"/>
          <w:i w:val="false"/>
          <w:caps w:val="false"/>
          <w:smallCaps w:val="false"/>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iv. </w:t>
      </w:r>
      <w:r>
        <w:rPr>
          <w:rFonts w:ascii="Arial;Helvetica;Sans-Serif" w:hAnsi="Arial;Helvetica;Sans-Serif"/>
          <w:b w:val="false"/>
          <w:i w:val="false"/>
          <w:caps w:val="false"/>
          <w:smallCaps w:val="false"/>
          <w:sz w:val="20"/>
          <w:u w:val="single"/>
        </w:rPr>
        <w:t>Compensation for Buy-In on Failure to Timely Deliver Warrant Shares Upon Exercise</w:t>
      </w:r>
      <w:r>
        <w:rPr>
          <w:rFonts w:ascii="Arial;Helvetica;Sans-Serif" w:hAnsi="Arial;Helvetica;Sans-Serif"/>
          <w:b w:val="false"/>
          <w:i w:val="false"/>
          <w:caps w:val="false"/>
          <w:smallCaps w:val="false"/>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Helvetica;Sans-Serif" w:hAnsi="Arial;Helvetica;Sans-Serif"/>
          <w:b w:val="false"/>
          <w:i w:val="false"/>
          <w:caps w:val="false"/>
          <w:smallCaps w:val="false"/>
          <w:sz w:val="20"/>
          <w:u w:val="single"/>
        </w:rPr>
        <w:t>Buy-In</w:t>
      </w:r>
      <w:r>
        <w:rPr>
          <w:rFonts w:ascii="Arial;Helvetica;Sans-Serif" w:hAnsi="Arial;Helvetica;Sans-Serif"/>
          <w:b w:val="false"/>
          <w:i w:val="false"/>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this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this Warrant as required pursuant to the terms hereof.</w:t>
      </w:r>
    </w:p>
    <w:p>
      <w:pPr>
        <w:pStyle w:val="TextBody"/>
        <w:bidi w:val="0"/>
        <w:spacing w:before="0" w:after="0"/>
        <w:ind w:left="216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v. </w:t>
      </w:r>
      <w:r>
        <w:rPr>
          <w:rFonts w:ascii="Arial;Helvetica;Sans-Serif" w:hAnsi="Arial;Helvetica;Sans-Serif"/>
          <w:b w:val="false"/>
          <w:i w:val="false"/>
          <w:caps w:val="false"/>
          <w:smallCaps w:val="false"/>
          <w:sz w:val="20"/>
          <w:u w:val="single"/>
        </w:rPr>
        <w:t>No Fractional Shares or Scrip</w:t>
      </w:r>
      <w:r>
        <w:rPr>
          <w:rFonts w:ascii="Arial;Helvetica;Sans-Serif" w:hAnsi="Arial;Helvetica;San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vi. </w:t>
      </w:r>
      <w:r>
        <w:rPr>
          <w:rFonts w:ascii="Arial;Helvetica;Sans-Serif" w:hAnsi="Arial;Helvetica;Sans-Serif"/>
          <w:b w:val="false"/>
          <w:i w:val="false"/>
          <w:caps w:val="false"/>
          <w:smallCaps w:val="false"/>
          <w:sz w:val="20"/>
          <w:u w:val="single"/>
        </w:rPr>
        <w:t>Charges, Taxes and Expenses</w:t>
      </w:r>
      <w:r>
        <w:rPr>
          <w:rFonts w:ascii="Arial;Helvetica;Sans-Serif" w:hAnsi="Arial;Helvetica;San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Helvetica;Sans-Serif" w:hAnsi="Arial;Helvetica;Sans-Serif"/>
          <w:b w:val="false"/>
          <w:i w:val="false"/>
          <w:caps w:val="false"/>
          <w:smallCaps w:val="false"/>
          <w:sz w:val="20"/>
          <w:u w:val="single"/>
        </w:rPr>
        <w:t>provided</w:t>
      </w:r>
      <w:r>
        <w:rPr>
          <w:rFonts w:ascii="Arial;Helvetica;Sans-Serif" w:hAnsi="Arial;Helvetica;Sans-Serif"/>
          <w:b w:val="false"/>
          <w:i w:val="false"/>
          <w:caps w:val="false"/>
          <w:smallCaps w:val="false"/>
          <w:sz w:val="20"/>
        </w:rPr>
        <w:t xml:space="preserve">, </w:t>
      </w:r>
      <w:r>
        <w:rPr>
          <w:rFonts w:ascii="Arial;Helvetica;Sans-Serif" w:hAnsi="Arial;Helvetica;Sans-Serif"/>
          <w:b w:val="false"/>
          <w:i w:val="false"/>
          <w:caps w:val="false"/>
          <w:smallCaps w:val="false"/>
          <w:sz w:val="20"/>
          <w:u w:val="single"/>
        </w:rPr>
        <w:t>however</w:t>
      </w:r>
      <w:r>
        <w:rPr>
          <w:rFonts w:ascii="Arial;Helvetica;Sans-Serif" w:hAnsi="Arial;Helvetica;Sans-Serif"/>
          <w:b w:val="false"/>
          <w:i w:val="false"/>
          <w:caps w:val="false"/>
          <w:smallCaps w:val="false"/>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vii. </w:t>
      </w:r>
      <w:r>
        <w:rPr>
          <w:rFonts w:ascii="Arial;Helvetica;Sans-Serif" w:hAnsi="Arial;Helvetica;Sans-Serif"/>
          <w:b w:val="false"/>
          <w:i w:val="false"/>
          <w:caps w:val="false"/>
          <w:smallCaps w:val="false"/>
          <w:sz w:val="20"/>
          <w:u w:val="single"/>
        </w:rPr>
        <w:t>Closing of Books</w:t>
      </w:r>
      <w:r>
        <w:rPr>
          <w:rFonts w:ascii="Arial;Helvetica;Sans-Serif" w:hAnsi="Arial;Helvetica;San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216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 </w:t>
      </w:r>
      <w:r>
        <w:rPr>
          <w:rFonts w:ascii="Arial;Helvetica;Sans-Serif" w:hAnsi="Arial;Helvetica;Sans-Serif"/>
          <w:b w:val="false"/>
          <w:i w:val="false"/>
          <w:caps w:val="false"/>
          <w:smallCaps w:val="false"/>
          <w:sz w:val="20"/>
          <w:u w:val="single"/>
        </w:rPr>
        <w:t>Holder’s Exercise Limitations</w:t>
      </w:r>
      <w:r>
        <w:rPr>
          <w:rFonts w:ascii="Arial;Helvetica;Sans-Serif" w:hAnsi="Arial;Helvetica;San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Helvetica;Sans-Serif" w:hAnsi="Arial;Helvetica;Sans-Serif"/>
          <w:b w:val="false"/>
          <w:i w:val="false"/>
          <w:caps w:val="false"/>
          <w:smallCaps w:val="false"/>
          <w:sz w:val="20"/>
          <w:u w:val="single"/>
        </w:rPr>
        <w:t>Attribution Parties</w:t>
      </w:r>
      <w:r>
        <w:rPr>
          <w:rFonts w:ascii="Arial;Helvetica;Sans-Serif" w:hAnsi="Arial;Helvetica;San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and the Company shall have no obligation to verify or confirm the accuracy of such determination,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Helvetica;Sans-Serif" w:hAnsi="Arial;Helvetica;Sans-Serif"/>
          <w:b w:val="false"/>
          <w:i w:val="false"/>
          <w:caps w:val="false"/>
          <w:smallCaps w:val="false"/>
          <w:sz w:val="20"/>
          <w:u w:val="single"/>
        </w:rPr>
        <w:t>Beneficial Ownership Limitation</w:t>
      </w:r>
      <w:r>
        <w:rPr>
          <w:rFonts w:ascii="Arial;Helvetica;Sans-Serif" w:hAnsi="Arial;Helvetica;Sans-Serif"/>
          <w:b w:val="false"/>
          <w:i w:val="false"/>
          <w:caps w:val="false"/>
          <w:smallCaps w:val="false"/>
          <w:sz w:val="20"/>
        </w:rPr>
        <w:t>” shall be 4.99% (or, upon election by a Holder prior to the issuance of any Warrants, 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Arial;Helvetica;Sans-Serif" w:hAnsi="Arial;Helvetica;Sans-Serif"/>
          <w:b w:val="false"/>
          <w:i w:val="false"/>
          <w:caps w:val="false"/>
          <w:smallCaps w:val="false"/>
          <w:position w:val="7"/>
          <w:sz w:val="16"/>
          <w:sz w:val="20"/>
        </w:rPr>
        <w:t>st</w:t>
      </w:r>
      <w:r>
        <w:rPr>
          <w:rFonts w:ascii="Arial;Helvetica;Sans-Serif" w:hAnsi="Arial;Helvetica;Sans-Serif"/>
          <w:b w:val="false"/>
          <w:i w:val="false"/>
          <w:caps w:val="false"/>
          <w:smallCaps w:val="false"/>
          <w:sz w:val="20"/>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this Warrant is unexercisable as a result of the Beneficial Ownership Limitation, no alternate consideration shall be owed by the Company.</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u w:val="single"/>
        </w:rPr>
        <w:t>Section 3</w:t>
      </w:r>
      <w:r>
        <w:rPr>
          <w:rFonts w:ascii="Arial;Helvetica;Sans-Serif" w:hAnsi="Arial;Helvetica;Sans-Serif"/>
          <w:b w:val="false"/>
          <w:i w:val="false"/>
          <w:caps w:val="false"/>
          <w:smallCaps w:val="false"/>
          <w:sz w:val="20"/>
        </w:rPr>
        <w:t xml:space="preserve">. </w:t>
      </w:r>
      <w:r>
        <w:rPr>
          <w:rFonts w:ascii="Arial;Helvetica;Sans-Serif" w:hAnsi="Arial;Helvetica;Sans-Serif"/>
          <w:b w:val="false"/>
          <w:i w:val="false"/>
          <w:caps w:val="false"/>
          <w:smallCaps w:val="false"/>
          <w:sz w:val="20"/>
          <w:u w:val="single"/>
        </w:rPr>
        <w:t>Certain Adjustments</w:t>
      </w:r>
      <w:r>
        <w:rPr>
          <w:rFonts w:ascii="Arial;Helvetica;Sans-Serif" w:hAnsi="Arial;Helvetica;San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 </w:t>
      </w:r>
      <w:r>
        <w:rPr>
          <w:rFonts w:ascii="Arial;Helvetica;Sans-Serif" w:hAnsi="Arial;Helvetica;Sans-Serif"/>
          <w:b w:val="false"/>
          <w:i w:val="false"/>
          <w:caps w:val="false"/>
          <w:smallCaps w:val="false"/>
          <w:sz w:val="20"/>
          <w:u w:val="single"/>
        </w:rPr>
        <w:t>Stock Dividends and Splits</w:t>
      </w:r>
      <w:r>
        <w:rPr>
          <w:rFonts w:ascii="Arial;Helvetica;Sans-Serif" w:hAnsi="Arial;Helvetica;Sans-Serif"/>
          <w:b w:val="false"/>
          <w:i w:val="false"/>
          <w:caps w:val="false"/>
          <w:smallCaps w:val="false"/>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b) </w:t>
      </w:r>
      <w:r>
        <w:rPr>
          <w:rFonts w:ascii="Arial;Helvetica;Sans-Serif" w:hAnsi="Arial;Helvetica;Sans-Serif"/>
          <w:b w:val="false"/>
          <w:i w:val="false"/>
          <w:caps w:val="false"/>
          <w:smallCaps w:val="false"/>
          <w:sz w:val="20"/>
          <w:u w:val="single"/>
        </w:rPr>
        <w:t>Subsequent Rights Offerings</w:t>
      </w:r>
      <w:r>
        <w:rPr>
          <w:rFonts w:ascii="Arial;Helvetica;Sans-Serif" w:hAnsi="Arial;Helvetica;Sans-Serif"/>
          <w:b w:val="false"/>
          <w:i w:val="false"/>
          <w:caps w:val="false"/>
          <w:smallCaps w:val="false"/>
          <w:sz w:val="20"/>
        </w:rPr>
        <w:t>. In addition to any adjustments pursuant to Section 3(a) above, if at any time during which this Warrant is outstanding, the Company grants, issues or sells any Common Stock Equivalents or rights to purchase stock, warrants, securities or other property pro rata to the record holders of any class of shares of Common Stock (the “</w:t>
      </w:r>
      <w:r>
        <w:rPr>
          <w:rFonts w:ascii="Arial;Helvetica;Sans-Serif" w:hAnsi="Arial;Helvetica;Sans-Serif"/>
          <w:b w:val="false"/>
          <w:i w:val="false"/>
          <w:caps w:val="false"/>
          <w:smallCaps w:val="false"/>
          <w:sz w:val="20"/>
          <w:u w:val="single"/>
        </w:rPr>
        <w:t>Purchase Rights</w:t>
      </w:r>
      <w:r>
        <w:rPr>
          <w:rFonts w:ascii="Arial;Helvetica;Sans-Serif" w:hAnsi="Arial;Helvetica;San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provided, that all Purchase Rights shall automatically terminate on, and shall not be held in abeyance for any period subsequent to, the Termination Date.</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 </w:t>
      </w:r>
      <w:r>
        <w:rPr>
          <w:rFonts w:ascii="Arial;Helvetica;Sans-Serif" w:hAnsi="Arial;Helvetica;Sans-Serif"/>
          <w:b w:val="false"/>
          <w:i w:val="false"/>
          <w:caps w:val="false"/>
          <w:smallCaps w:val="false"/>
          <w:sz w:val="20"/>
          <w:u w:val="single"/>
        </w:rPr>
        <w:t>Pro Rata Distributions</w:t>
      </w:r>
      <w:r>
        <w:rPr>
          <w:rFonts w:ascii="Arial;Helvetica;Sans-Serif" w:hAnsi="Arial;Helvetica;Sans-Serif"/>
          <w:b w:val="false"/>
          <w:i w:val="false"/>
          <w:caps w:val="false"/>
          <w:smallCaps w:val="false"/>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Helvetica;Sans-Serif" w:hAnsi="Arial;Helvetica;Sans-Serif"/>
          <w:b w:val="false"/>
          <w:i w:val="false"/>
          <w:caps w:val="false"/>
          <w:smallCaps w:val="false"/>
          <w:sz w:val="20"/>
          <w:u w:val="single"/>
        </w:rPr>
        <w:t>Distribution</w:t>
      </w:r>
      <w:r>
        <w:rPr>
          <w:rFonts w:ascii="Arial;Helvetica;Sans-Serif" w:hAnsi="Arial;Helvetica;San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Helvetica;Sans-Serif" w:hAnsi="Arial;Helvetica;Sans-Serif"/>
          <w:b w:val="false"/>
          <w:i w:val="false"/>
          <w:caps w:val="false"/>
          <w:smallCaps w:val="false"/>
          <w:sz w:val="20"/>
          <w:u w:val="single"/>
        </w:rPr>
        <w:t>provided</w:t>
      </w:r>
      <w:r>
        <w:rPr>
          <w:rFonts w:ascii="Arial;Helvetica;Sans-Serif" w:hAnsi="Arial;Helvetica;Sans-Serif"/>
          <w:b w:val="false"/>
          <w:i w:val="false"/>
          <w:caps w:val="false"/>
          <w:smallCaps w:val="false"/>
          <w:sz w:val="20"/>
        </w:rPr>
        <w:t xml:space="preserve">, </w:t>
      </w:r>
      <w:r>
        <w:rPr>
          <w:rFonts w:ascii="Arial;Helvetica;Sans-Serif" w:hAnsi="Arial;Helvetica;Sans-Serif"/>
          <w:b w:val="false"/>
          <w:i w:val="false"/>
          <w:caps w:val="false"/>
          <w:smallCaps w:val="false"/>
          <w:sz w:val="20"/>
          <w:u w:val="single"/>
        </w:rPr>
        <w:t>however</w:t>
      </w:r>
      <w:r>
        <w:rPr>
          <w:rFonts w:ascii="Arial;Helvetica;Sans-Serif" w:hAnsi="Arial;Helvetica;Sans-Serif"/>
          <w:b w:val="false"/>
          <w:i w:val="false"/>
          <w:caps w:val="false"/>
          <w:smallCaps w:val="false"/>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provided, that, any right to a Distribution shall automatically terminate on, and shall not be held in abeyance for any period subsequent to, the Termination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 </w:t>
      </w:r>
      <w:r>
        <w:rPr>
          <w:rFonts w:ascii="Arial;Helvetica;Sans-Serif" w:hAnsi="Arial;Helvetica;Sans-Serif"/>
          <w:b w:val="false"/>
          <w:i w:val="false"/>
          <w:caps w:val="false"/>
          <w:smallCaps w:val="false"/>
          <w:sz w:val="20"/>
          <w:u w:val="single"/>
        </w:rPr>
        <w:t>Fundamental Transaction</w:t>
      </w:r>
      <w:r>
        <w:rPr>
          <w:rFonts w:ascii="Arial;Helvetica;Sans-Serif" w:hAnsi="Arial;Helvetica;San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Arial;Helvetica;Sans-Serif" w:hAnsi="Arial;Helvetica;Sans-Serif"/>
          <w:b w:val="false"/>
          <w:i w:val="false"/>
          <w:caps w:val="false"/>
          <w:smallCaps w:val="false"/>
          <w:sz w:val="20"/>
          <w:u w:val="single"/>
        </w:rPr>
        <w:t>Fundamental Transaction</w:t>
      </w:r>
      <w:r>
        <w:rPr>
          <w:rFonts w:ascii="Arial;Helvetica;Sans-Serif" w:hAnsi="Arial;Helvetica;San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Helvetica;Sans-Serif" w:hAnsi="Arial;Helvetica;Sans-Serif"/>
          <w:b w:val="false"/>
          <w:i w:val="false"/>
          <w:caps w:val="false"/>
          <w:smallCaps w:val="false"/>
          <w:sz w:val="20"/>
          <w:u w:val="single"/>
        </w:rPr>
        <w:t>Alternate Consideration</w:t>
      </w:r>
      <w:r>
        <w:rPr>
          <w:rFonts w:ascii="Arial;Helvetica;Sans-Serif" w:hAnsi="Arial;Helvetica;Sans-Serif"/>
          <w:b w:val="false"/>
          <w:i w:val="false"/>
          <w:caps w:val="false"/>
          <w:smallCaps w:val="false"/>
          <w:sz w:val="20"/>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Arial;Helvetica;Sans-Serif" w:hAnsi="Arial;Helvetica;Sans-Serif"/>
          <w:b w:val="false"/>
          <w:i w:val="false"/>
          <w:caps w:val="false"/>
          <w:smallCaps w:val="false"/>
          <w:sz w:val="20"/>
          <w:u w:val="single"/>
        </w:rPr>
        <w:t>Successor Entity</w:t>
      </w:r>
      <w:r>
        <w:rPr>
          <w:rFonts w:ascii="Arial;Helvetica;Sans-Serif" w:hAnsi="Arial;Helvetica;Sans-Serif"/>
          <w:b w:val="false"/>
          <w:i w:val="false"/>
          <w:caps w:val="false"/>
          <w:smallCaps w:val="false"/>
          <w:sz w:val="20"/>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 </w:t>
      </w:r>
      <w:r>
        <w:rPr>
          <w:rFonts w:ascii="Arial;Helvetica;Sans-Serif" w:hAnsi="Arial;Helvetica;Sans-Serif"/>
          <w:b w:val="false"/>
          <w:i w:val="false"/>
          <w:caps w:val="false"/>
          <w:smallCaps w:val="false"/>
          <w:sz w:val="20"/>
          <w:u w:val="single"/>
        </w:rPr>
        <w:t>Calculations</w:t>
      </w:r>
      <w:r>
        <w:rPr>
          <w:rFonts w:ascii="Arial;Helvetica;Sans-Serif" w:hAnsi="Arial;Helvetica;Sans-Serif"/>
          <w:b w:val="false"/>
          <w:i w:val="false"/>
          <w:caps w:val="false"/>
          <w:smallCaps w:val="false"/>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f) </w:t>
      </w:r>
      <w:r>
        <w:rPr>
          <w:rFonts w:ascii="Arial;Helvetica;Sans-Serif" w:hAnsi="Arial;Helvetica;Sans-Serif"/>
          <w:b w:val="false"/>
          <w:i w:val="false"/>
          <w:caps w:val="false"/>
          <w:smallCaps w:val="false"/>
          <w:sz w:val="20"/>
          <w:u w:val="single"/>
        </w:rPr>
        <w:t>Notice to Holder</w:t>
      </w:r>
      <w:r>
        <w:rPr>
          <w:rFonts w:ascii="Arial;Helvetica;Sans-Serif" w:hAnsi="Arial;Helvetica;San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 </w:t>
      </w:r>
      <w:r>
        <w:rPr>
          <w:rFonts w:ascii="Arial;Helvetica;Sans-Serif" w:hAnsi="Arial;Helvetica;Sans-Serif"/>
          <w:b w:val="false"/>
          <w:i w:val="false"/>
          <w:caps w:val="false"/>
          <w:smallCaps w:val="false"/>
          <w:sz w:val="20"/>
          <w:u w:val="single"/>
        </w:rPr>
        <w:t>Adjustment to Exercise Price</w:t>
      </w:r>
      <w:r>
        <w:rPr>
          <w:rFonts w:ascii="Arial;Helvetica;Sans-Serif" w:hAnsi="Arial;Helvetica;San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ii. </w:t>
      </w:r>
      <w:r>
        <w:rPr>
          <w:rFonts w:ascii="Arial;Helvetica;Sans-Serif" w:hAnsi="Arial;Helvetica;Sans-Serif"/>
          <w:b w:val="false"/>
          <w:i w:val="false"/>
          <w:caps w:val="false"/>
          <w:smallCaps w:val="false"/>
          <w:sz w:val="20"/>
          <w:u w:val="single"/>
        </w:rPr>
        <w:t>Notice to Allow Exercise by Holder</w:t>
      </w:r>
      <w:r>
        <w:rPr>
          <w:rFonts w:ascii="Arial;Helvetica;Sans-Serif" w:hAnsi="Arial;Helvetica;Sans-Serif"/>
          <w:b w:val="false"/>
          <w:i w:val="false"/>
          <w:caps w:val="false"/>
          <w:smallCaps w:val="false"/>
          <w:sz w:val="20"/>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the stockholders of the Company shall be required in connection with any reclassification of the Common Stock, any consolidation or merger to which the Company and all of its Subsidiaries, taken as a whole,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and provided further that no notice shall be required if the information is in a press release or document filed with the Commission.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216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u w:val="single"/>
        </w:rPr>
        <w:t>Section 4</w:t>
      </w:r>
      <w:r>
        <w:rPr>
          <w:rFonts w:ascii="Arial;Helvetica;Sans-Serif" w:hAnsi="Arial;Helvetica;Sans-Serif"/>
          <w:b w:val="false"/>
          <w:i w:val="false"/>
          <w:caps w:val="false"/>
          <w:smallCaps w:val="false"/>
          <w:sz w:val="20"/>
        </w:rPr>
        <w:t xml:space="preserve">. </w:t>
      </w:r>
      <w:r>
        <w:rPr>
          <w:rFonts w:ascii="Arial;Helvetica;Sans-Serif" w:hAnsi="Arial;Helvetica;Sans-Serif"/>
          <w:b w:val="false"/>
          <w:i w:val="false"/>
          <w:caps w:val="false"/>
          <w:smallCaps w:val="false"/>
          <w:sz w:val="20"/>
          <w:u w:val="single"/>
        </w:rPr>
        <w:t>Transfer of Warrant</w:t>
      </w:r>
      <w:r>
        <w:rPr>
          <w:rFonts w:ascii="Arial;Helvetica;Sans-Serif" w:hAnsi="Arial;Helvetica;San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 </w:t>
      </w:r>
      <w:r>
        <w:rPr>
          <w:rFonts w:ascii="Arial;Helvetica;Sans-Serif" w:hAnsi="Arial;Helvetica;Sans-Serif"/>
          <w:b w:val="false"/>
          <w:i w:val="false"/>
          <w:caps w:val="false"/>
          <w:smallCaps w:val="false"/>
          <w:sz w:val="20"/>
          <w:u w:val="single"/>
        </w:rPr>
        <w:t>Transferability</w:t>
      </w:r>
      <w:r>
        <w:rPr>
          <w:rFonts w:ascii="Arial;Helvetica;Sans-Serif" w:hAnsi="Arial;Helvetica;Sans-Serif"/>
          <w:b w:val="false"/>
          <w:i w:val="false"/>
          <w:caps w:val="false"/>
          <w:smallCaps w:val="false"/>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This Warrant, if properly assigned in accordance herewith, may be exercised by a new holder for the purchase of Warrant Shares without having a new Warrant 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b) </w:t>
      </w:r>
      <w:r>
        <w:rPr>
          <w:rFonts w:ascii="Arial;Helvetica;Sans-Serif" w:hAnsi="Arial;Helvetica;Sans-Serif"/>
          <w:b w:val="false"/>
          <w:i w:val="false"/>
          <w:caps w:val="false"/>
          <w:smallCaps w:val="false"/>
          <w:sz w:val="20"/>
          <w:u w:val="single"/>
        </w:rPr>
        <w:t>New Warrants</w:t>
      </w:r>
      <w:r>
        <w:rPr>
          <w:rFonts w:ascii="Arial;Helvetica;Sans-Serif" w:hAnsi="Arial;Helvetica;San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this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 </w:t>
      </w:r>
      <w:r>
        <w:rPr>
          <w:rFonts w:ascii="Arial;Helvetica;Sans-Serif" w:hAnsi="Arial;Helvetica;Sans-Serif"/>
          <w:b w:val="false"/>
          <w:i w:val="false"/>
          <w:caps w:val="false"/>
          <w:smallCaps w:val="false"/>
          <w:sz w:val="20"/>
          <w:u w:val="single"/>
        </w:rPr>
        <w:t>Warrant Register</w:t>
      </w:r>
      <w:r>
        <w:rPr>
          <w:rFonts w:ascii="Arial;Helvetica;Sans-Serif" w:hAnsi="Arial;Helvetica;Sans-Serif"/>
          <w:b w:val="false"/>
          <w:i w:val="false"/>
          <w:caps w:val="false"/>
          <w:smallCaps w:val="false"/>
          <w:sz w:val="20"/>
        </w:rPr>
        <w:t>. The Company shall register this Warrant, upon records to be maintained by the Company for that purpose (the “</w:t>
      </w:r>
      <w:r>
        <w:rPr>
          <w:rFonts w:ascii="Arial;Helvetica;Sans-Serif" w:hAnsi="Arial;Helvetica;Sans-Serif"/>
          <w:b w:val="false"/>
          <w:i w:val="false"/>
          <w:caps w:val="false"/>
          <w:smallCaps w:val="false"/>
          <w:sz w:val="20"/>
          <w:u w:val="single"/>
        </w:rPr>
        <w:t>Warrant Register</w:t>
      </w:r>
      <w:r>
        <w:rPr>
          <w:rFonts w:ascii="Arial;Helvetica;Sans-Serif" w:hAnsi="Arial;Helvetica;San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u w:val="single"/>
        </w:rPr>
        <w:t>Section 5</w:t>
      </w:r>
      <w:r>
        <w:rPr>
          <w:rFonts w:ascii="Arial;Helvetica;Sans-Serif" w:hAnsi="Arial;Helvetica;Sans-Serif"/>
          <w:b w:val="false"/>
          <w:i w:val="false"/>
          <w:caps w:val="false"/>
          <w:smallCaps w:val="false"/>
          <w:sz w:val="20"/>
        </w:rPr>
        <w:t xml:space="preserve">. </w:t>
      </w:r>
      <w:r>
        <w:rPr>
          <w:rFonts w:ascii="Arial;Helvetica;Sans-Serif" w:hAnsi="Arial;Helvetica;Sans-Serif"/>
          <w:b w:val="false"/>
          <w:i w:val="false"/>
          <w:caps w:val="false"/>
          <w:smallCaps w:val="false"/>
          <w:sz w:val="20"/>
          <w:u w:val="single"/>
        </w:rPr>
        <w:t>Miscellaneous</w:t>
      </w:r>
      <w:r>
        <w:rPr>
          <w:rFonts w:ascii="Arial;Helvetica;Sans-Serif" w:hAnsi="Arial;Helvetica;San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 </w:t>
      </w:r>
      <w:r>
        <w:rPr>
          <w:rFonts w:ascii="Arial;Helvetica;Sans-Serif" w:hAnsi="Arial;Helvetica;Sans-Serif"/>
          <w:b w:val="false"/>
          <w:i w:val="false"/>
          <w:caps w:val="false"/>
          <w:smallCaps w:val="false"/>
          <w:sz w:val="20"/>
          <w:u w:val="single"/>
        </w:rPr>
        <w:t>No Rights as Stockholder Until Exercise; No Settlement in Cash</w:t>
      </w:r>
      <w:r>
        <w:rPr>
          <w:rFonts w:ascii="Arial;Helvetica;Sans-Serif" w:hAnsi="Arial;Helvetica;Sans-Serif"/>
          <w:b w:val="false"/>
          <w:i w:val="false"/>
          <w:caps w:val="false"/>
          <w:smallCaps w:val="false"/>
          <w:sz w:val="20"/>
        </w:rPr>
        <w:t>. This Warrant does not entitle the Holder to any voting rights, dividends or other rights as a stockholder of the Company prior to the exercise hereof,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b) </w:t>
      </w:r>
      <w:r>
        <w:rPr>
          <w:rFonts w:ascii="Arial;Helvetica;Sans-Serif" w:hAnsi="Arial;Helvetica;Sans-Serif"/>
          <w:b w:val="false"/>
          <w:i w:val="false"/>
          <w:caps w:val="false"/>
          <w:smallCaps w:val="false"/>
          <w:sz w:val="20"/>
          <w:u w:val="single"/>
        </w:rPr>
        <w:t>Loss, Theft, Destruction or Mutilation of Warrant</w:t>
      </w:r>
      <w:r>
        <w:rPr>
          <w:rFonts w:ascii="Arial;Helvetica;Sans-Serif" w:hAnsi="Arial;Helvetica;San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this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 </w:t>
      </w:r>
      <w:r>
        <w:rPr>
          <w:rFonts w:ascii="Arial;Helvetica;Sans-Serif" w:hAnsi="Arial;Helvetica;Sans-Serif"/>
          <w:b w:val="false"/>
          <w:i w:val="false"/>
          <w:caps w:val="false"/>
          <w:smallCaps w:val="false"/>
          <w:sz w:val="20"/>
          <w:u w:val="single"/>
        </w:rPr>
        <w:t>Saturdays, Sundays, Holidays, etc</w:t>
      </w:r>
      <w:r>
        <w:rPr>
          <w:rFonts w:ascii="Arial;Helvetica;Sans-Serif" w:hAnsi="Arial;Helvetica;San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 </w:t>
      </w:r>
      <w:r>
        <w:rPr>
          <w:rFonts w:ascii="Arial;Helvetica;Sans-Serif" w:hAnsi="Arial;Helvetica;Sans-Serif"/>
          <w:b w:val="false"/>
          <w:i w:val="false"/>
          <w:caps w:val="false"/>
          <w:smallCaps w:val="false"/>
          <w:sz w:val="20"/>
          <w:u w:val="single"/>
        </w:rPr>
        <w:t>Authorized Shares</w:t>
      </w:r>
      <w:r>
        <w:rPr>
          <w:rFonts w:ascii="Arial;Helvetica;Sans-Serif" w:hAnsi="Arial;Helvetica;San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144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covenants that, during the period this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144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 </w:t>
      </w:r>
      <w:r>
        <w:rPr>
          <w:rFonts w:ascii="Arial;Helvetica;Sans-Serif" w:hAnsi="Arial;Helvetica;Sans-Serif"/>
          <w:b w:val="false"/>
          <w:i w:val="false"/>
          <w:caps w:val="false"/>
          <w:smallCaps w:val="false"/>
          <w:sz w:val="20"/>
          <w:u w:val="single"/>
        </w:rPr>
        <w:t>Governing Law</w:t>
      </w:r>
      <w:r>
        <w:rPr>
          <w:rFonts w:ascii="Arial;Helvetica;Sans-Serif" w:hAnsi="Arial;Helvetica;Sans-Serif"/>
          <w:b w:val="false"/>
          <w:i w:val="false"/>
          <w:caps w:val="false"/>
          <w:smallCaps w:val="false"/>
          <w:sz w:val="20"/>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f) </w:t>
      </w:r>
      <w:r>
        <w:rPr>
          <w:rFonts w:ascii="Arial;Helvetica;Sans-Serif" w:hAnsi="Arial;Helvetica;Sans-Serif"/>
          <w:b w:val="false"/>
          <w:i w:val="false"/>
          <w:caps w:val="false"/>
          <w:smallCaps w:val="false"/>
          <w:sz w:val="20"/>
          <w:u w:val="single"/>
        </w:rPr>
        <w:t>Restrictions</w:t>
      </w:r>
      <w:r>
        <w:rPr>
          <w:rFonts w:ascii="Arial;Helvetica;Sans-Serif" w:hAnsi="Arial;Helvetica;San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g) </w:t>
      </w:r>
      <w:r>
        <w:rPr>
          <w:rFonts w:ascii="Arial;Helvetica;Sans-Serif" w:hAnsi="Arial;Helvetica;Sans-Serif"/>
          <w:b w:val="false"/>
          <w:i w:val="false"/>
          <w:caps w:val="false"/>
          <w:smallCaps w:val="false"/>
          <w:sz w:val="20"/>
          <w:u w:val="single"/>
        </w:rPr>
        <w:t>Nonwaiver and Expenses</w:t>
      </w:r>
      <w:r>
        <w:rPr>
          <w:rFonts w:ascii="Arial;Helvetica;Sans-Serif" w:hAnsi="Arial;Helvetica;San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h) </w:t>
      </w:r>
      <w:r>
        <w:rPr>
          <w:rFonts w:ascii="Arial;Helvetica;Sans-Serif" w:hAnsi="Arial;Helvetica;Sans-Serif"/>
          <w:b w:val="false"/>
          <w:i w:val="false"/>
          <w:caps w:val="false"/>
          <w:smallCaps w:val="false"/>
          <w:sz w:val="20"/>
          <w:u w:val="single"/>
        </w:rPr>
        <w:t>Notices</w:t>
      </w:r>
      <w:r>
        <w:rPr>
          <w:rFonts w:ascii="Arial;Helvetica;Sans-Serif" w:hAnsi="Arial;Helvetica;Sans-Serif"/>
          <w:b w:val="false"/>
          <w:i w:val="false"/>
          <w:caps w:val="false"/>
          <w:smallCaps w:val="false"/>
          <w:sz w:val="20"/>
        </w:rPr>
        <w:t xml:space="preserve">.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Daré Bioscience, Inc. 3655 Nobel Drive, Suite 260, San Diego, CA 92122, Attention: </w:t>
      </w:r>
      <w:r>
        <w:rPr>
          <w:rFonts w:ascii="Arial;Helvetica;Sans-Serif" w:hAnsi="Arial;Helvetica;Sans-Serif"/>
          <w:b/>
          <w:i w:val="false"/>
          <w:caps w:val="false"/>
          <w:smallCaps w:val="false"/>
          <w:sz w:val="20"/>
        </w:rPr>
        <w:t xml:space="preserve">Sabrina Martucci Johnson, </w:t>
      </w:r>
      <w:r>
        <w:rPr>
          <w:rFonts w:ascii="Arial;Helvetica;Sans-Serif" w:hAnsi="Arial;Helvetica;Sans-Serif"/>
          <w:b w:val="false"/>
          <w:i w:val="false"/>
          <w:caps w:val="false"/>
          <w:smallCaps w:val="false"/>
          <w:sz w:val="20"/>
        </w:rPr>
        <w:t xml:space="preserve">email address: </w:t>
      </w:r>
      <w:r>
        <w:rPr>
          <w:rFonts w:ascii="Arial;Helvetica;Sans-Serif" w:hAnsi="Arial;Helvetica;Sans-Serif"/>
          <w:b w:val="false"/>
          <w:i w:val="false"/>
          <w:caps w:val="false"/>
          <w:smallCaps w:val="false"/>
          <w:sz w:val="20"/>
          <w:u w:val="single"/>
        </w:rPr>
        <w:t>sjohnson@darebioscience.com</w:t>
      </w:r>
      <w:r>
        <w:rPr>
          <w:rFonts w:ascii="Arial;Helvetica;Sans-Serif" w:hAnsi="Arial;Helvetica;Sans-Serif"/>
          <w:b w:val="false"/>
          <w:i w:val="false"/>
          <w:caps w:val="false"/>
          <w:smallCaps w:val="false"/>
          <w:sz w:val="20"/>
        </w:rPr>
        <w:t>,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 </w:t>
      </w:r>
      <w:r>
        <w:rPr>
          <w:rFonts w:ascii="Arial;Helvetica;Sans-Serif" w:hAnsi="Arial;Helvetica;Sans-Serif"/>
          <w:b w:val="false"/>
          <w:i w:val="false"/>
          <w:caps w:val="false"/>
          <w:smallCaps w:val="false"/>
          <w:sz w:val="20"/>
          <w:u w:val="single"/>
        </w:rPr>
        <w:t>Limitation of Liability</w:t>
      </w:r>
      <w:r>
        <w:rPr>
          <w:rFonts w:ascii="Arial;Helvetica;Sans-Serif" w:hAnsi="Arial;Helvetica;San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j) </w:t>
      </w:r>
      <w:r>
        <w:rPr>
          <w:rFonts w:ascii="Arial;Helvetica;Sans-Serif" w:hAnsi="Arial;Helvetica;Sans-Serif"/>
          <w:b w:val="false"/>
          <w:i w:val="false"/>
          <w:caps w:val="false"/>
          <w:smallCaps w:val="false"/>
          <w:sz w:val="20"/>
          <w:u w:val="single"/>
        </w:rPr>
        <w:t>Remedies</w:t>
      </w:r>
      <w:r>
        <w:rPr>
          <w:rFonts w:ascii="Arial;Helvetica;Sans-Serif" w:hAnsi="Arial;Helvetica;San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k) </w:t>
      </w:r>
      <w:r>
        <w:rPr>
          <w:rFonts w:ascii="Arial;Helvetica;Sans-Serif" w:hAnsi="Arial;Helvetica;Sans-Serif"/>
          <w:b w:val="false"/>
          <w:i w:val="false"/>
          <w:caps w:val="false"/>
          <w:smallCaps w:val="false"/>
          <w:sz w:val="20"/>
          <w:u w:val="single"/>
        </w:rPr>
        <w:t>Successors and Assigns</w:t>
      </w:r>
      <w:r>
        <w:rPr>
          <w:rFonts w:ascii="Arial;Helvetica;Sans-Serif" w:hAnsi="Arial;Helvetica;San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l) </w:t>
      </w:r>
      <w:r>
        <w:rPr>
          <w:rFonts w:ascii="Arial;Helvetica;Sans-Serif" w:hAnsi="Arial;Helvetica;Sans-Serif"/>
          <w:b w:val="false"/>
          <w:i w:val="false"/>
          <w:caps w:val="false"/>
          <w:smallCaps w:val="false"/>
          <w:sz w:val="20"/>
          <w:u w:val="single"/>
        </w:rPr>
        <w:t>Amendment</w:t>
      </w:r>
      <w:r>
        <w:rPr>
          <w:rFonts w:ascii="Arial;Helvetica;Sans-Serif" w:hAnsi="Arial;Helvetica;Sans-Serif"/>
          <w:b w:val="false"/>
          <w:i w:val="false"/>
          <w:caps w:val="false"/>
          <w:smallCaps w:val="false"/>
          <w:sz w:val="20"/>
        </w:rPr>
        <w:t>. Other than Section 2(e) above and this Section 5(l), which may not be amended, modified or waived, this Warrant may be modified or amended or the provisions hereof waived with the written consent of the Company, on the one hand, and the Holder, on the other hand.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m) </w:t>
      </w:r>
      <w:r>
        <w:rPr>
          <w:rFonts w:ascii="Arial;Helvetica;Sans-Serif" w:hAnsi="Arial;Helvetica;Sans-Serif"/>
          <w:b w:val="false"/>
          <w:i w:val="false"/>
          <w:caps w:val="false"/>
          <w:smallCaps w:val="false"/>
          <w:sz w:val="20"/>
          <w:u w:val="single"/>
        </w:rPr>
        <w:t>Severability</w:t>
      </w:r>
      <w:r>
        <w:rPr>
          <w:rFonts w:ascii="Arial;Helvetica;Sans-Serif" w:hAnsi="Arial;Helvetica;San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n) </w:t>
      </w:r>
      <w:r>
        <w:rPr>
          <w:rFonts w:ascii="Arial;Helvetica;Sans-Serif" w:hAnsi="Arial;Helvetica;Sans-Serif"/>
          <w:b w:val="false"/>
          <w:i w:val="false"/>
          <w:caps w:val="false"/>
          <w:smallCaps w:val="false"/>
          <w:sz w:val="20"/>
          <w:u w:val="single"/>
        </w:rPr>
        <w:t>Headings</w:t>
      </w:r>
      <w:r>
        <w:rPr>
          <w:rFonts w:ascii="Arial;Helvetica;Sans-Serif" w:hAnsi="Arial;Helvetica;San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firstLine="1440"/>
        <w:jc w:val="both"/>
        <w:rPr>
          <w:caps w:val="false"/>
          <w:smallCaps w:val="false"/>
        </w:rPr>
      </w:pPr>
      <w:r>
        <w:rPr>
          <w:caps w:val="false"/>
          <w:smallCaps w:val="false"/>
        </w:rPr>
        <w:t> </w:t>
      </w:r>
    </w:p>
    <w:tbl>
      <w:tblPr>
        <w:tblW w:w="2434" w:type="dxa"/>
        <w:jc w:val="left"/>
        <w:tblInd w:w="0" w:type="dxa"/>
        <w:tblLayout w:type="fixed"/>
        <w:tblCellMar>
          <w:top w:w="0" w:type="dxa"/>
          <w:left w:w="0" w:type="dxa"/>
          <w:bottom w:w="0" w:type="dxa"/>
          <w:right w:w="0" w:type="dxa"/>
        </w:tblCellMar>
      </w:tblPr>
      <w:tblGrid>
        <w:gridCol w:w="75"/>
        <w:gridCol w:w="680"/>
        <w:gridCol w:w="16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59" w:type="dxa"/>
            <w:gridSpan w:val="2"/>
            <w:tcBorders/>
            <w:vAlign w:val="center"/>
          </w:tcPr>
          <w:p>
            <w:pPr>
              <w:pStyle w:val="TableContents"/>
              <w:bidi w:val="0"/>
              <w:spacing w:before="0" w:after="0"/>
              <w:jc w:val="both"/>
              <w:rPr>
                <w:rFonts w:ascii="Arial;Helvetica;Sans-Serif" w:hAnsi="Arial;Helvetica;Sans-Serif"/>
                <w:b/>
                <w:i w:val="false"/>
                <w:caps/>
                <w:sz w:val="20"/>
              </w:rPr>
            </w:pPr>
            <w:r>
              <w:rPr>
                <w:rFonts w:ascii="Arial;Helvetica;Sans-Serif" w:hAnsi="Arial;Helvetica;Sans-Serif"/>
                <w:b/>
                <w:i w:val="false"/>
                <w:caps/>
                <w:sz w:val="20"/>
              </w:rPr>
              <w:t>DarÉ BIOSCIENCE,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w:t>
            </w:r>
          </w:p>
        </w:tc>
        <w:tc>
          <w:tcPr>
            <w:tcW w:w="167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w:t>
            </w:r>
          </w:p>
        </w:tc>
        <w:tc>
          <w:tcPr>
            <w:tcW w:w="16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w:t>
            </w:r>
          </w:p>
        </w:tc>
        <w:tc>
          <w:tcPr>
            <w:tcW w:w="1679"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NOTICE OF EXERCISE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sz w:val="20"/>
        </w:rPr>
      </w:pPr>
      <w:r>
        <w:rPr>
          <w:rFonts w:ascii="Arial;Helvetica;Sans-Serif" w:hAnsi="Arial;Helvetica;Sans-Serif"/>
          <w:b w:val="false"/>
          <w:i w:val="false"/>
          <w:caps/>
          <w:sz w:val="20"/>
        </w:rPr>
        <w:t>To: DARE BIOSCIENCE, INC.</w:t>
      </w:r>
    </w:p>
    <w:p>
      <w:pPr>
        <w:pStyle w:val="TextBody"/>
        <w:bidi w:val="0"/>
        <w:spacing w:before="0" w:after="0"/>
        <w:jc w:val="both"/>
        <w:rPr>
          <w:caps/>
        </w:rPr>
      </w:pPr>
      <w:r>
        <w:rPr>
          <w:caps/>
        </w:rPr>
        <w:t> </w:t>
      </w:r>
    </w:p>
    <w:p>
      <w:pPr>
        <w:pStyle w:val="TextBody"/>
        <w:bidi w:val="0"/>
        <w:spacing w:before="0" w:after="0"/>
        <w:ind w:left="0" w:right="0" w:firstLine="144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 Payment shall take the form of (check applicable box):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 in lawful money of the United States; 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_______________________________</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Warrant Shares shall be delivered to the following DWAC Account Number: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_______________________________</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_______________________________</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_______________________________</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sz w:val="20"/>
        </w:rPr>
      </w:pPr>
      <w:r>
        <w:rPr>
          <w:rFonts w:ascii="Arial;Helvetica;Sans-Serif" w:hAnsi="Arial;Helvetica;Sans-Serif"/>
          <w:b w:val="false"/>
          <w:i w:val="false"/>
          <w:caps/>
          <w:sz w:val="20"/>
        </w:rPr>
        <w:t>[SIGNATURE OF HOLDER]</w:t>
      </w:r>
    </w:p>
    <w:p>
      <w:pPr>
        <w:pStyle w:val="TextBody"/>
        <w:bidi w:val="0"/>
        <w:spacing w:before="0" w:after="0"/>
        <w:jc w:val="both"/>
        <w:rPr>
          <w:caps/>
        </w:rPr>
      </w:pPr>
      <w:r>
        <w:rPr>
          <w:caps/>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of Investing Entity: ________________________________________________________________________</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Signature of Authorized Signatory of Investing Entity</w:t>
      </w:r>
      <w:r>
        <w:rPr>
          <w:rFonts w:ascii="Arial;Helvetica;Sans-Serif" w:hAnsi="Arial;Helvetica;Sans-Serif"/>
          <w:b w:val="false"/>
          <w:i w:val="false"/>
          <w:caps w:val="false"/>
          <w:smallCaps w:val="false"/>
          <w:sz w:val="20"/>
        </w:rPr>
        <w:t>: _________________________________________________</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of Authorized Signatory: ___________________________________________________________________</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 of Authorized Signatory: ____________________________________________________________________</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 ________________________________________________________________________________________</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ASSIGNMENT FORM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(To assign the foregoing Warrant, execute this form and supply required information. Do not use this form to purchase shares.)</w:t>
      </w:r>
    </w:p>
    <w:p>
      <w:pPr>
        <w:pStyle w:val="TextBody"/>
        <w:bidi w:val="0"/>
        <w:spacing w:before="0" w:after="0"/>
        <w:ind w:left="0" w:right="0" w:firstLine="21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firstLine="210"/>
        <w:jc w:val="both"/>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4895"/>
        <w:gridCol w:w="60"/>
        <w:gridCol w:w="1220"/>
      </w:tblGrid>
      <w:tr>
        <w:trPr/>
        <w:tc>
          <w:tcPr>
            <w:tcW w:w="489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w:t>
            </w:r>
          </w:p>
        </w:tc>
        <w:tc>
          <w:tcPr>
            <w:tcW w:w="60" w:type="dxa"/>
            <w:tcBorders/>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(Please Print)</w:t>
            </w:r>
          </w:p>
        </w:tc>
      </w:tr>
      <w:tr>
        <w:trPr/>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89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Address:</w:t>
            </w:r>
          </w:p>
        </w:tc>
        <w:tc>
          <w:tcPr>
            <w:tcW w:w="60" w:type="dxa"/>
            <w:tcBorders/>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(Please Print)</w:t>
            </w:r>
          </w:p>
        </w:tc>
      </w:tr>
      <w:tr>
        <w:trPr/>
        <w:tc>
          <w:tcPr>
            <w:tcW w:w="48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Phone Number:</w:t>
            </w:r>
          </w:p>
        </w:tc>
        <w:tc>
          <w:tcPr>
            <w:tcW w:w="60" w:type="dxa"/>
            <w:tcBorders/>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Email Address:</w:t>
            </w:r>
          </w:p>
        </w:tc>
        <w:tc>
          <w:tcPr>
            <w:tcW w:w="60" w:type="dxa"/>
            <w:tcBorders/>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Dated: _______________ __, ______</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89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Holder’s Signature: ______________________________</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89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Holder’s Address: ______________________________</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25" w:name="ex4-2.htm"/>
      <w:bookmarkStart w:id="26" w:name="ksex42"/>
      <w:bookmarkEnd w:id="25"/>
      <w:bookmarkEnd w:id="26"/>
      <w:r>
        <w:rPr>
          <w:caps w:val="false"/>
          <w:smallCaps w:val="false"/>
        </w:rPr>
        <w:t> </w:t>
      </w:r>
      <w:r>
        <w:br w:type="page"/>
      </w:r>
    </w:p>
    <w:p>
      <w:pPr>
        <w:pStyle w:val="TextBody"/>
        <w:bidi w:val="0"/>
        <w:spacing w:before="0" w:after="0"/>
        <w:ind w:left="0" w:right="0" w:hanging="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4.2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SERIES [A][B] COMMON STOCK PURCHASE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sz w:val="20"/>
        </w:rPr>
      </w:pPr>
      <w:r>
        <w:rPr>
          <w:rFonts w:ascii="Arial;Helvetica;Sans-Serif" w:hAnsi="Arial;Helvetica;Sans-Serif"/>
          <w:b/>
          <w:i w:val="false"/>
          <w:caps/>
          <w:sz w:val="20"/>
        </w:rPr>
        <w:t>DARÉ BIOSCIENCE, INC.</w:t>
      </w:r>
    </w:p>
    <w:p>
      <w:pPr>
        <w:pStyle w:val="TextBody"/>
        <w:bidi w:val="0"/>
        <w:spacing w:before="0" w:after="0"/>
        <w:ind w:left="0" w:right="0" w:hanging="0"/>
        <w:jc w:val="center"/>
        <w:rPr>
          <w:caps/>
        </w:rPr>
      </w:pPr>
      <w:r>
        <w:rPr>
          <w:caps/>
        </w:rPr>
        <w:t> </w:t>
      </w:r>
    </w:p>
    <w:tbl>
      <w:tblPr>
        <w:tblW w:w="5815" w:type="dxa"/>
        <w:jc w:val="left"/>
        <w:tblInd w:w="0" w:type="dxa"/>
        <w:tblLayout w:type="fixed"/>
        <w:tblCellMar>
          <w:top w:w="0" w:type="dxa"/>
          <w:left w:w="0" w:type="dxa"/>
          <w:bottom w:w="0" w:type="dxa"/>
          <w:right w:w="0" w:type="dxa"/>
        </w:tblCellMar>
      </w:tblPr>
      <w:tblGrid>
        <w:gridCol w:w="2345"/>
        <w:gridCol w:w="3470"/>
      </w:tblGrid>
      <w:tr>
        <w:trPr/>
        <w:tc>
          <w:tcPr>
            <w:tcW w:w="2345"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Warrant Shares: [_______]</w:t>
            </w:r>
          </w:p>
        </w:tc>
        <w:tc>
          <w:tcPr>
            <w:tcW w:w="3470" w:type="dxa"/>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Initial Issuance Date: August [__], 2026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SERIES [A][B] COMMON STOCK PURCHASE WARRANT (this “</w:t>
      </w:r>
      <w:r>
        <w:rPr>
          <w:rFonts w:ascii="Arial;Helvetica;Sans-Serif" w:hAnsi="Arial;Helvetica;Sans-Serif"/>
          <w:b w:val="false"/>
          <w:i w:val="false"/>
          <w:caps w:val="false"/>
          <w:smallCaps w:val="false"/>
          <w:sz w:val="20"/>
          <w:u w:val="single"/>
        </w:rPr>
        <w:t>Warrant</w:t>
      </w:r>
      <w:r>
        <w:rPr>
          <w:rFonts w:ascii="Arial;Helvetica;Sans-Serif" w:hAnsi="Arial;Helvetica;Sans-Serif"/>
          <w:b w:val="false"/>
          <w:i w:val="false"/>
          <w:caps w:val="false"/>
          <w:smallCaps w:val="false"/>
          <w:sz w:val="20"/>
        </w:rPr>
        <w:t>”) certifies that, for value received, [____________] or its assigns (the “</w:t>
      </w:r>
      <w:r>
        <w:rPr>
          <w:rFonts w:ascii="Arial;Helvetica;Sans-Serif" w:hAnsi="Arial;Helvetica;Sans-Serif"/>
          <w:b w:val="false"/>
          <w:i w:val="false"/>
          <w:caps w:val="false"/>
          <w:smallCaps w:val="false"/>
          <w:sz w:val="20"/>
          <w:u w:val="single"/>
        </w:rPr>
        <w:t>Holder</w:t>
      </w:r>
      <w:r>
        <w:rPr>
          <w:rFonts w:ascii="Arial;Helvetica;Sans-Serif" w:hAnsi="Arial;Helvetica;Sans-Serif"/>
          <w:b w:val="false"/>
          <w:i w:val="false"/>
          <w:caps w:val="false"/>
          <w:smallCaps w:val="false"/>
          <w:sz w:val="20"/>
        </w:rPr>
        <w:t>”) is entitled, upon the terms and subject to the limitations on exercise and the conditions hereinafter set forth, at any time on or after the Shareholder Approval Date (the “</w:t>
      </w:r>
      <w:r>
        <w:rPr>
          <w:rFonts w:ascii="Arial;Helvetica;Sans-Serif" w:hAnsi="Arial;Helvetica;Sans-Serif"/>
          <w:b w:val="false"/>
          <w:i w:val="false"/>
          <w:caps w:val="false"/>
          <w:smallCaps w:val="false"/>
          <w:sz w:val="20"/>
          <w:u w:val="single"/>
        </w:rPr>
        <w:t>Initial Exercise Date</w:t>
      </w:r>
      <w:r>
        <w:rPr>
          <w:rFonts w:ascii="Arial;Helvetica;Sans-Serif" w:hAnsi="Arial;Helvetica;Sans-Serif"/>
          <w:b w:val="false"/>
          <w:i w:val="false"/>
          <w:caps w:val="false"/>
          <w:smallCaps w:val="false"/>
          <w:sz w:val="20"/>
        </w:rPr>
        <w:t>”) and on or prior to 5:00 p.m. (New York City time) on [________]</w:t>
      </w:r>
      <w:r>
        <w:rPr>
          <w:rFonts w:ascii="Arial;Helvetica;Sans-Serif" w:hAnsi="Arial;Helvetica;Sans-Serif"/>
          <w:b w:val="false"/>
          <w:i w:val="false"/>
          <w:caps w:val="false"/>
          <w:smallCaps w:val="false"/>
          <w:position w:val="7"/>
          <w:sz w:val="16"/>
          <w:sz w:val="20"/>
        </w:rPr>
        <w:t>1</w:t>
      </w:r>
      <w:r>
        <w:rPr>
          <w:rFonts w:ascii="Arial;Helvetica;Sans-Serif" w:hAnsi="Arial;Helvetica;Sans-Serif"/>
          <w:b w:val="false"/>
          <w:i w:val="false"/>
          <w:caps w:val="false"/>
          <w:smallCaps w:val="false"/>
          <w:sz w:val="20"/>
        </w:rPr>
        <w:t xml:space="preserve"> (the “</w:t>
      </w:r>
      <w:r>
        <w:rPr>
          <w:rFonts w:ascii="Arial;Helvetica;Sans-Serif" w:hAnsi="Arial;Helvetica;Sans-Serif"/>
          <w:b w:val="false"/>
          <w:i w:val="false"/>
          <w:caps w:val="false"/>
          <w:smallCaps w:val="false"/>
          <w:sz w:val="20"/>
          <w:u w:val="single"/>
        </w:rPr>
        <w:t>Termination Date</w:t>
      </w:r>
      <w:r>
        <w:rPr>
          <w:rFonts w:ascii="Arial;Helvetica;Sans-Serif" w:hAnsi="Arial;Helvetica;Sans-Serif"/>
          <w:b w:val="false"/>
          <w:i w:val="false"/>
          <w:caps w:val="false"/>
          <w:smallCaps w:val="false"/>
          <w:sz w:val="20"/>
        </w:rPr>
        <w:t>”), but not thereafter, to subscribe for and purchase from Daré Bioscience, Inc., a Delaware corporation (the “</w:t>
      </w:r>
      <w:r>
        <w:rPr>
          <w:rFonts w:ascii="Arial;Helvetica;Sans-Serif" w:hAnsi="Arial;Helvetica;Sans-Serif"/>
          <w:b w:val="false"/>
          <w:i w:val="false"/>
          <w:caps w:val="false"/>
          <w:smallCaps w:val="false"/>
          <w:sz w:val="20"/>
          <w:u w:val="single"/>
        </w:rPr>
        <w:t>Company</w:t>
      </w:r>
      <w:r>
        <w:rPr>
          <w:rFonts w:ascii="Arial;Helvetica;Sans-Serif" w:hAnsi="Arial;Helvetica;Sans-Serif"/>
          <w:b w:val="false"/>
          <w:i w:val="false"/>
          <w:caps w:val="false"/>
          <w:smallCaps w:val="false"/>
          <w:sz w:val="20"/>
        </w:rPr>
        <w:t>”), up to [_____] shares (as subject to adjustment hereunder, the “</w:t>
      </w:r>
      <w:r>
        <w:rPr>
          <w:rFonts w:ascii="Arial;Helvetica;Sans-Serif" w:hAnsi="Arial;Helvetica;Sans-Serif"/>
          <w:b w:val="false"/>
          <w:i w:val="false"/>
          <w:caps w:val="false"/>
          <w:smallCaps w:val="false"/>
          <w:sz w:val="20"/>
          <w:u w:val="single"/>
        </w:rPr>
        <w:t>Warrant Shares</w:t>
      </w:r>
      <w:r>
        <w:rPr>
          <w:rFonts w:ascii="Arial;Helvetica;Sans-Serif" w:hAnsi="Arial;Helvetica;Sans-Serif"/>
          <w:b w:val="false"/>
          <w:i w:val="false"/>
          <w:caps w:val="false"/>
          <w:smallCaps w:val="false"/>
          <w:sz w:val="20"/>
        </w:rPr>
        <w:t>”) of Common Stock</w:t>
      </w:r>
      <w:r>
        <w:rPr>
          <w:rFonts w:ascii="Arial;Helvetica;Sans-Serif" w:hAnsi="Arial;Helvetica;Sans-Serif"/>
          <w:b w:val="false"/>
          <w:i w:val="false"/>
          <w:caps w:val="false"/>
          <w:smallCaps w:val="false"/>
          <w:position w:val="7"/>
          <w:sz w:val="16"/>
          <w:sz w:val="20"/>
        </w:rPr>
        <w:t>2</w:t>
      </w:r>
      <w:r>
        <w:rPr>
          <w:rFonts w:ascii="Arial;Helvetica;Sans-Serif" w:hAnsi="Arial;Helvetica;Sans-Serif"/>
          <w:b w:val="false"/>
          <w:i w:val="false"/>
          <w:caps w:val="false"/>
          <w:smallCaps w:val="false"/>
          <w:sz w:val="20"/>
        </w:rPr>
        <w:t>. The purchase price of one share of Common Stock</w:t>
      </w:r>
      <w:r>
        <w:rPr>
          <w:rFonts w:ascii="Arial;Helvetica;Sans-Serif" w:hAnsi="Arial;Helvetica;Sans-Serif"/>
          <w:b w:val="false"/>
          <w:i w:val="false"/>
          <w:caps w:val="false"/>
          <w:smallCaps w:val="false"/>
          <w:position w:val="7"/>
          <w:sz w:val="16"/>
          <w:sz w:val="20"/>
        </w:rPr>
        <w:t>3</w:t>
      </w:r>
      <w:r>
        <w:rPr>
          <w:rFonts w:ascii="Arial;Helvetica;Sans-Serif" w:hAnsi="Arial;Helvetica;Sans-Serif"/>
          <w:b w:val="false"/>
          <w:i w:val="false"/>
          <w:caps w:val="false"/>
          <w:smallCaps w:val="false"/>
          <w:sz w:val="20"/>
        </w:rPr>
        <w:t xml:space="preserve"> under this Warrant shall be equal to the Exercise Price, as defined in Section 2(b).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u w:val="single"/>
        </w:rPr>
        <w:t>Section 1</w:t>
      </w:r>
      <w:r>
        <w:rPr>
          <w:rFonts w:ascii="Arial;Helvetica;Sans-Serif" w:hAnsi="Arial;Helvetica;Sans-Serif"/>
          <w:b w:val="false"/>
          <w:i w:val="false"/>
          <w:caps w:val="false"/>
          <w:smallCaps w:val="false"/>
          <w:sz w:val="20"/>
        </w:rPr>
        <w:t xml:space="preserve">. </w:t>
      </w:r>
      <w:r>
        <w:rPr>
          <w:rFonts w:ascii="Arial;Helvetica;Sans-Serif" w:hAnsi="Arial;Helvetica;Sans-Serif"/>
          <w:b w:val="false"/>
          <w:i w:val="false"/>
          <w:caps w:val="false"/>
          <w:smallCaps w:val="false"/>
          <w:sz w:val="20"/>
          <w:u w:val="single"/>
        </w:rPr>
        <w:t>Definitions</w:t>
      </w:r>
      <w:r>
        <w:rPr>
          <w:rFonts w:ascii="Arial;Helvetica;Sans-Serif" w:hAnsi="Arial;Helvetica;Sans-Serif"/>
          <w:b w:val="false"/>
          <w:i w:val="false"/>
          <w:caps w:val="false"/>
          <w:smallCaps w:val="false"/>
          <w:sz w:val="20"/>
        </w:rPr>
        <w:t>. Capitalized terms used and not otherwise defined herein shall have the meanings set forth in that certain Securities Purchase Agreement (the “</w:t>
      </w:r>
      <w:r>
        <w:rPr>
          <w:rFonts w:ascii="Arial;Helvetica;Sans-Serif" w:hAnsi="Arial;Helvetica;Sans-Serif"/>
          <w:b w:val="false"/>
          <w:i w:val="false"/>
          <w:caps w:val="false"/>
          <w:smallCaps w:val="false"/>
          <w:sz w:val="20"/>
          <w:u w:val="single"/>
        </w:rPr>
        <w:t>Purchase Agreement</w:t>
      </w:r>
      <w:r>
        <w:rPr>
          <w:rFonts w:ascii="Arial;Helvetica;Sans-Serif" w:hAnsi="Arial;Helvetica;Sans-Serif"/>
          <w:b w:val="false"/>
          <w:i w:val="false"/>
          <w:caps w:val="false"/>
          <w:smallCaps w:val="false"/>
          <w:sz w:val="20"/>
        </w:rPr>
        <w:t>”), dated August 14, 2026, among the Company and the purchasers signatory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position w:val="7"/>
          <w:sz w:val="16"/>
          <w:sz w:val="20"/>
        </w:rPr>
        <w:t>1</w:t>
      </w:r>
      <w:r>
        <w:rPr>
          <w:rFonts w:ascii="Arial;Helvetica;Sans-Serif" w:hAnsi="Arial;Helvetica;Sans-Serif"/>
          <w:b w:val="false"/>
          <w:i w:val="false"/>
          <w:caps w:val="false"/>
          <w:smallCaps w:val="false"/>
          <w:sz w:val="20"/>
        </w:rPr>
        <w:t xml:space="preserve"> [Series A: Insert the 5 year anniversary of the Initial Exercise Date, provided that, if such date is not a Trading Day, insert the immediately following Trading Day.][Series B: Insert the 2 year anniversary of the Initial Exercise Date, provided that, if such date is not a Trading Day, insert the immediately following Trading Day.].</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position w:val="7"/>
          <w:sz w:val="16"/>
          <w:sz w:val="20"/>
        </w:rPr>
        <w:t>2</w:t>
      </w:r>
      <w:r>
        <w:rPr>
          <w:rFonts w:ascii="Arial;Helvetica;Sans-Serif" w:hAnsi="Arial;Helvetica;Sans-Serif"/>
          <w:b w:val="false"/>
          <w:i w:val="false"/>
          <w:caps w:val="false"/>
          <w:smallCaps w:val="false"/>
          <w:sz w:val="20"/>
        </w:rPr>
        <w:t xml:space="preserve"> For Series B: add “and/or Pre-Funded Warrants.”</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position w:val="7"/>
          <w:sz w:val="16"/>
          <w:sz w:val="20"/>
        </w:rPr>
        <w:t>3</w:t>
      </w:r>
      <w:r>
        <w:rPr>
          <w:rFonts w:ascii="Arial;Helvetica;Sans-Serif" w:hAnsi="Arial;Helvetica;Sans-Serif"/>
          <w:b w:val="false"/>
          <w:i w:val="false"/>
          <w:caps w:val="false"/>
          <w:smallCaps w:val="false"/>
          <w:sz w:val="20"/>
        </w:rPr>
        <w:t xml:space="preserve"> For Series B: add “or one Pre-Funded Warrant”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u w:val="single"/>
        </w:rPr>
        <w:t>Section 2</w:t>
      </w:r>
      <w:r>
        <w:rPr>
          <w:rFonts w:ascii="Arial;Helvetica;Sans-Serif" w:hAnsi="Arial;Helvetica;Sans-Serif"/>
          <w:b w:val="false"/>
          <w:i w:val="false"/>
          <w:caps w:val="false"/>
          <w:smallCaps w:val="false"/>
          <w:sz w:val="20"/>
        </w:rPr>
        <w:t xml:space="preserve">. </w:t>
      </w:r>
      <w:r>
        <w:rPr>
          <w:rFonts w:ascii="Arial;Helvetica;Sans-Serif" w:hAnsi="Arial;Helvetica;Sans-Serif"/>
          <w:b w:val="false"/>
          <w:i w:val="false"/>
          <w:caps w:val="false"/>
          <w:smallCaps w:val="false"/>
          <w:sz w:val="20"/>
          <w:u w:val="single"/>
        </w:rPr>
        <w:t>Exercise</w:t>
      </w:r>
      <w:r>
        <w:rPr>
          <w:rFonts w:ascii="Arial;Helvetica;Sans-Serif" w:hAnsi="Arial;Helvetica;San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 </w:t>
      </w:r>
      <w:r>
        <w:rPr>
          <w:rFonts w:ascii="Arial;Helvetica;Sans-Serif" w:hAnsi="Arial;Helvetica;Sans-Serif"/>
          <w:b w:val="false"/>
          <w:i w:val="false"/>
          <w:caps w:val="false"/>
          <w:smallCaps w:val="false"/>
          <w:sz w:val="20"/>
          <w:u w:val="single"/>
        </w:rPr>
        <w:t>Exercise of Warrant</w:t>
      </w:r>
      <w:r>
        <w:rPr>
          <w:rFonts w:ascii="Arial;Helvetica;Sans-Serif" w:hAnsi="Arial;Helvetica;Sans-Serif"/>
          <w:b w:val="false"/>
          <w:i w:val="false"/>
          <w:caps w:val="false"/>
          <w:smallCaps w:val="false"/>
          <w:sz w:val="20"/>
        </w:rPr>
        <w:t>. Subject to Section 2(e),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Arial;Helvetica;Sans-Serif" w:hAnsi="Arial;Helvetica;Sans-Serif"/>
          <w:b w:val="false"/>
          <w:i w:val="false"/>
          <w:caps w:val="false"/>
          <w:smallCaps w:val="false"/>
          <w:sz w:val="20"/>
          <w:u w:val="single"/>
        </w:rPr>
        <w:t>Notice of Exercise</w:t>
      </w:r>
      <w:r>
        <w:rPr>
          <w:rFonts w:ascii="Arial;Helvetica;Sans-Serif" w:hAnsi="Arial;Helvetica;Sans-Serif"/>
          <w:b w:val="false"/>
          <w:i w:val="false"/>
          <w:caps w:val="false"/>
          <w:smallCaps w:val="false"/>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this Warrant has been exercised in full, in which case, the Holder shall surrender this Warrant to the Company for cancellation as soon as reasonably practicable following the date on which the final Notice of Exercise is delivered to the Company, and in any event within three (3) Trading Days of such date.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rFonts w:ascii="Arial;Helvetica;Sans-Serif" w:hAnsi="Arial;Helvetica;San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b) </w:t>
      </w:r>
      <w:r>
        <w:rPr>
          <w:rFonts w:ascii="Arial;Helvetica;Sans-Serif" w:hAnsi="Arial;Helvetica;Sans-Serif"/>
          <w:b w:val="false"/>
          <w:i w:val="false"/>
          <w:caps w:val="false"/>
          <w:smallCaps w:val="false"/>
          <w:sz w:val="20"/>
          <w:u w:val="single"/>
        </w:rPr>
        <w:t>Exercise Price</w:t>
      </w:r>
      <w:r>
        <w:rPr>
          <w:rFonts w:ascii="Arial;Helvetica;Sans-Serif" w:hAnsi="Arial;Helvetica;Sans-Serif"/>
          <w:b w:val="false"/>
          <w:i w:val="false"/>
          <w:caps w:val="false"/>
          <w:smallCaps w:val="false"/>
          <w:sz w:val="20"/>
        </w:rPr>
        <w:t>. The exercise price per Warrant Share shall be $1.37,</w:t>
      </w:r>
      <w:r>
        <w:rPr>
          <w:rFonts w:ascii="Arial;Helvetica;Sans-Serif" w:hAnsi="Arial;Helvetica;Sans-Serif"/>
          <w:b w:val="false"/>
          <w:i w:val="false"/>
          <w:caps w:val="false"/>
          <w:smallCaps w:val="false"/>
          <w:position w:val="7"/>
          <w:sz w:val="16"/>
          <w:sz w:val="20"/>
        </w:rPr>
        <w:t>4</w:t>
      </w:r>
      <w:r>
        <w:rPr>
          <w:rFonts w:ascii="Arial;Helvetica;Sans-Serif" w:hAnsi="Arial;Helvetica;Sans-Serif"/>
          <w:b w:val="false"/>
          <w:i w:val="false"/>
          <w:caps w:val="false"/>
          <w:smallCaps w:val="false"/>
          <w:sz w:val="20"/>
        </w:rPr>
        <w:t xml:space="preserve"> subject to adjustment hereunder (the “</w:t>
      </w:r>
      <w:r>
        <w:rPr>
          <w:rFonts w:ascii="Arial;Helvetica;Sans-Serif" w:hAnsi="Arial;Helvetica;Sans-Serif"/>
          <w:b w:val="false"/>
          <w:i w:val="false"/>
          <w:caps w:val="false"/>
          <w:smallCaps w:val="false"/>
          <w:sz w:val="20"/>
          <w:u w:val="single"/>
        </w:rPr>
        <w:t>Exercise Price</w:t>
      </w:r>
      <w:r>
        <w:rPr>
          <w:rFonts w:ascii="Arial;Helvetica;Sans-Serif" w:hAnsi="Arial;Helvetica;San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 </w:t>
      </w:r>
      <w:r>
        <w:rPr>
          <w:rFonts w:ascii="Arial;Helvetica;Sans-Serif" w:hAnsi="Arial;Helvetica;Sans-Serif"/>
          <w:b w:val="false"/>
          <w:i w:val="false"/>
          <w:caps w:val="false"/>
          <w:smallCaps w:val="false"/>
          <w:sz w:val="20"/>
          <w:u w:val="single"/>
        </w:rPr>
        <w:t>Cashless Exercise</w:t>
      </w:r>
      <w:r>
        <w:rPr>
          <w:rFonts w:ascii="Arial;Helvetica;Sans-Serif" w:hAnsi="Arial;Helvetica;Sans-Serif"/>
          <w:b w:val="false"/>
          <w:i w:val="false"/>
          <w:caps w:val="false"/>
          <w:smallCaps w:val="false"/>
          <w:sz w:val="20"/>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72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3"/>
        <w:gridCol w:w="9872"/>
      </w:tblGrid>
      <w:tr>
        <w:trPr/>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(A) =</w:t>
            </w:r>
          </w:p>
        </w:tc>
        <w:tc>
          <w:tcPr>
            <w:tcW w:w="987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w:t>
            </w:r>
            <w:r>
              <w:rPr>
                <w:rFonts w:ascii="Arial;Helvetica;Sans-Serif" w:hAnsi="Arial;Helvetica;Sans-Serif"/>
                <w:u w:val="single"/>
              </w:rPr>
              <w:t>Bloomberg</w:t>
            </w:r>
            <w:r>
              <w:rPr>
                <w:rFonts w:ascii="Arial;Helvetica;Sans-Serif" w:hAnsi="Arial;Helvetica;Sans-Serif"/>
              </w:rPr>
              <w:t>”) as of the time of the Holder’s execution of the applicable Notice of Exercise, if such Notice of Exercise is executed during “regular trading hours” on a Trading Day and is delivered pursuant to Section 2(a) hereof within two (2) hours thereafter (including until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position w:val="7"/>
          <w:sz w:val="16"/>
          <w:sz w:val="20"/>
        </w:rPr>
        <w:t>4</w:t>
      </w:r>
      <w:r>
        <w:rPr>
          <w:rFonts w:ascii="Arial;Helvetica;Sans-Serif" w:hAnsi="Arial;Helvetica;Sans-Serif"/>
          <w:b w:val="false"/>
          <w:i w:val="false"/>
          <w:caps w:val="false"/>
          <w:smallCaps w:val="false"/>
          <w:sz w:val="20"/>
        </w:rPr>
        <w:t xml:space="preserve"> For Series B: add “and (ii) per Pre-Funded Warrant shall be the exercise price per share of Common Stock minus $0.0001, in each case,”</w:t>
      </w:r>
    </w:p>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417"/>
        <w:gridCol w:w="9728"/>
      </w:tblGrid>
      <w:tr>
        <w:trPr/>
        <w:tc>
          <w:tcPr>
            <w:tcW w:w="60"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 xml:space="preserve">(B) = </w:t>
            </w:r>
          </w:p>
        </w:tc>
        <w:tc>
          <w:tcPr>
            <w:tcW w:w="9728"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the Exercise Price of this Warrant, as adjusted hereunder; and</w:t>
            </w:r>
          </w:p>
        </w:tc>
      </w:tr>
      <w:tr>
        <w:trPr/>
        <w:tc>
          <w:tcPr>
            <w:tcW w:w="60"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both"/>
              <w:rPr/>
            </w:pPr>
            <w:r>
              <w:rPr/>
              <w:t> </w:t>
            </w:r>
          </w:p>
        </w:tc>
        <w:tc>
          <w:tcPr>
            <w:tcW w:w="972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 xml:space="preserve">(X) = </w:t>
            </w:r>
          </w:p>
        </w:tc>
        <w:tc>
          <w:tcPr>
            <w:tcW w:w="9728"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2070" w:right="0" w:hanging="63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If Warrant Shares are issued in such a cashless exercise, the parties acknowledge and agree that in accordance with Section 3(a)(9) of the Securities Act, the Warrant Shares shall take on the characteristics of this Warrant, and the holding period of the Warrant Shares being issued may be tacked on to the holding period of this Warrant. The Company agrees not to take any position contrary to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Bid Price</w:t>
      </w:r>
      <w:r>
        <w:rPr>
          <w:rFonts w:ascii="Arial;Helvetica;Sans-Serif" w:hAnsi="Arial;Helvetica;Sans-Serif"/>
          <w:b w:val="false"/>
          <w:i w:val="false"/>
          <w:caps w:val="false"/>
          <w:smallCaps w:val="false"/>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the Common Stock is then listed or quoted on the OTCQB Venture Market (“</w:t>
      </w:r>
      <w:r>
        <w:rPr>
          <w:rFonts w:ascii="Arial;Helvetica;Sans-Serif" w:hAnsi="Arial;Helvetica;Sans-Serif"/>
          <w:b w:val="false"/>
          <w:i w:val="false"/>
          <w:caps w:val="false"/>
          <w:smallCaps w:val="false"/>
          <w:sz w:val="20"/>
          <w:u w:val="single"/>
        </w:rPr>
        <w:t>OTCQB</w:t>
      </w:r>
      <w:r>
        <w:rPr>
          <w:rFonts w:ascii="Arial;Helvetica;Sans-Serif" w:hAnsi="Arial;Helvetica;Sans-Serif"/>
          <w:b w:val="false"/>
          <w:i w:val="false"/>
          <w:caps w:val="false"/>
          <w:smallCaps w:val="false"/>
          <w:sz w:val="20"/>
        </w:rPr>
        <w:t>”) or the OTCQX Best Market (“</w:t>
      </w:r>
      <w:r>
        <w:rPr>
          <w:rFonts w:ascii="Arial;Helvetica;Sans-Serif" w:hAnsi="Arial;Helvetica;Sans-Serif"/>
          <w:b w:val="false"/>
          <w:i w:val="false"/>
          <w:caps w:val="false"/>
          <w:smallCaps w:val="false"/>
          <w:sz w:val="20"/>
          <w:u w:val="single"/>
        </w:rPr>
        <w:t>OTCQX</w:t>
      </w:r>
      <w:r>
        <w:rPr>
          <w:rFonts w:ascii="Arial;Helvetica;Sans-Serif" w:hAnsi="Arial;Helvetica;Sans-Serif"/>
          <w:b w:val="false"/>
          <w:i w:val="false"/>
          <w:caps w:val="false"/>
          <w:smallCaps w:val="false"/>
          <w:sz w:val="20"/>
        </w:rPr>
        <w: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operated by the OTC Markets, Inc. (or a similar organization or agency succeeding to its functions of reporting prices) (“</w:t>
      </w:r>
      <w:r>
        <w:rPr>
          <w:rFonts w:ascii="Arial;Helvetica;Sans-Serif" w:hAnsi="Arial;Helvetica;Sans-Serif"/>
          <w:b w:val="false"/>
          <w:i w:val="false"/>
          <w:caps w:val="false"/>
          <w:smallCaps w:val="false"/>
          <w:sz w:val="20"/>
          <w:u w:val="single"/>
        </w:rPr>
        <w:t>Pink Market</w:t>
      </w:r>
      <w:r>
        <w:rPr>
          <w:rFonts w:ascii="Arial;Helvetica;Sans-Serif" w:hAnsi="Arial;Helvetica;Sans-Serif"/>
          <w:b w:val="false"/>
          <w:i w:val="false"/>
          <w:caps w:val="false"/>
          <w:smallCaps w:val="false"/>
          <w:sz w:val="20"/>
        </w:rPr>
        <w:t>”),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VWAP</w:t>
      </w:r>
      <w:r>
        <w:rPr>
          <w:rFonts w:ascii="Arial;Helvetica;Sans-Serif" w:hAnsi="Arial;Helvetica;San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Common Stock is then listed or quoted on the OTCQB or the OTCQX, the volume weighted average price of the Common Stock for such date (or the nearest preceding date) on OTCQB or OTCQX as applicable, (c) if the Common Stock is not then listed or quoted for trading on OTCQB or OTCQX and if prices for the Common Stock are then reported on the Pink Market,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 </w:t>
      </w:r>
      <w:r>
        <w:rPr>
          <w:rFonts w:ascii="Arial;Helvetica;Sans-Serif" w:hAnsi="Arial;Helvetica;Sans-Serif"/>
          <w:b w:val="false"/>
          <w:i w:val="false"/>
          <w:caps w:val="false"/>
          <w:smallCaps w:val="false"/>
          <w:sz w:val="20"/>
          <w:u w:val="single"/>
        </w:rPr>
        <w:t>Mechanics of Exercise</w:t>
      </w:r>
      <w:r>
        <w:rPr>
          <w:rFonts w:ascii="Arial;Helvetica;Sans-Serif" w:hAnsi="Arial;Helvetica;San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 </w:t>
      </w:r>
      <w:r>
        <w:rPr>
          <w:rFonts w:ascii="Arial;Helvetica;Sans-Serif" w:hAnsi="Arial;Helvetica;Sans-Serif"/>
          <w:b w:val="false"/>
          <w:i w:val="false"/>
          <w:caps w:val="false"/>
          <w:smallCaps w:val="false"/>
          <w:sz w:val="20"/>
          <w:u w:val="single"/>
        </w:rPr>
        <w:t>Delivery of Warrant Shares Upon Exercise</w:t>
      </w:r>
      <w:r>
        <w:rPr>
          <w:rFonts w:ascii="Arial;Helvetica;Sans-Serif" w:hAnsi="Arial;Helvetica;San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Arial;Helvetica;Sans-Serif" w:hAnsi="Arial;Helvetica;Sans-Serif"/>
          <w:b w:val="false"/>
          <w:i w:val="false"/>
          <w:caps w:val="false"/>
          <w:smallCaps w:val="false"/>
          <w:sz w:val="20"/>
          <w:u w:val="single"/>
        </w:rPr>
        <w:t>DWAC</w:t>
      </w:r>
      <w:r>
        <w:rPr>
          <w:rFonts w:ascii="Arial;Helvetica;Sans-Serif" w:hAnsi="Arial;Helvetica;Sans-Serif"/>
          <w:b w:val="false"/>
          <w:i w:val="false"/>
          <w:caps w:val="false"/>
          <w:smallCaps w:val="false"/>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this Warrant),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Arial;Helvetica;Sans-Serif" w:hAnsi="Arial;Helvetica;Sans-Serif"/>
          <w:b w:val="false"/>
          <w:i w:val="false"/>
          <w:caps w:val="false"/>
          <w:smallCaps w:val="false"/>
          <w:sz w:val="20"/>
          <w:u w:val="single"/>
        </w:rPr>
        <w:t>Warrant Share Delivery Date</w:t>
      </w:r>
      <w:r>
        <w:rPr>
          <w:rFonts w:ascii="Arial;Helvetica;Sans-Serif" w:hAnsi="Arial;Helvetica;Sans-Serif"/>
          <w:b w:val="false"/>
          <w:i w:val="false"/>
          <w:caps w:val="false"/>
          <w:smallCaps w:val="false"/>
          <w:sz w:val="20"/>
        </w:rPr>
        <w:t>”), provided that payment of the aggregate Exercise Price (other than in the case of a cashless exercise) is received by the Warrant Share Delivery Date.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w:t>
      </w:r>
      <w:r>
        <w:rPr>
          <w:rFonts w:ascii="Arial;Helvetica;Sans-Serif" w:hAnsi="Arial;Helvetica;Sans-Serif"/>
          <w:b w:val="false"/>
          <w:i w:val="false"/>
          <w:caps w:val="false"/>
          <w:smallCaps w:val="false"/>
          <w:position w:val="7"/>
          <w:sz w:val="16"/>
          <w:sz w:val="20"/>
        </w:rPr>
        <w:t>rd</w:t>
      </w:r>
      <w:r>
        <w:rPr>
          <w:rFonts w:ascii="Arial;Helvetica;Sans-Serif" w:hAnsi="Arial;Helvetica;Sans-Serif"/>
          <w:b w:val="false"/>
          <w:i w:val="false"/>
          <w:caps w:val="false"/>
          <w:smallCaps w:val="false"/>
          <w:sz w:val="20"/>
        </w:rPr>
        <w:t>)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Arial;Helvetica;Sans-Serif" w:hAnsi="Arial;Helvetica;Sans-Serif"/>
          <w:b w:val="false"/>
          <w:i w:val="false"/>
          <w:caps w:val="false"/>
          <w:smallCaps w:val="false"/>
          <w:sz w:val="20"/>
          <w:u w:val="single"/>
        </w:rPr>
        <w:t>Standard Settlement Period</w:t>
      </w:r>
      <w:r>
        <w:rPr>
          <w:rFonts w:ascii="Arial;Helvetica;Sans-Serif" w:hAnsi="Arial;Helvetica;Sans-Serif"/>
          <w:b w:val="false"/>
          <w:i w:val="false"/>
          <w:caps w:val="false"/>
          <w:smallCaps w:val="false"/>
          <w:sz w:val="20"/>
        </w:rPr>
        <w:t>” means the standard settlement period, expressed in a number of Trading Days, on the Company’s primary Trading Market with respect to the Common Stock as in effect on the date of delivery of the Notice of Exercise.</w:t>
      </w:r>
    </w:p>
    <w:p>
      <w:pPr>
        <w:pStyle w:val="TextBody"/>
        <w:bidi w:val="0"/>
        <w:spacing w:before="0" w:after="0"/>
        <w:ind w:left="216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ii. </w:t>
      </w:r>
      <w:r>
        <w:rPr>
          <w:rFonts w:ascii="Arial;Helvetica;Sans-Serif" w:hAnsi="Arial;Helvetica;Sans-Serif"/>
          <w:b w:val="false"/>
          <w:i w:val="false"/>
          <w:caps w:val="false"/>
          <w:smallCaps w:val="false"/>
          <w:sz w:val="20"/>
          <w:u w:val="single"/>
        </w:rPr>
        <w:t>[Delivery of Pre-Funded Warrants Upon Exercise</w:t>
      </w:r>
      <w:r>
        <w:rPr>
          <w:rFonts w:ascii="Arial;Helvetica;Sans-Serif" w:hAnsi="Arial;Helvetica;Sans-Serif"/>
          <w:b w:val="false"/>
          <w:i w:val="false"/>
          <w:caps w:val="false"/>
          <w:smallCaps w:val="false"/>
          <w:sz w:val="20"/>
        </w:rPr>
        <w:t>. The Company shall cause the Pre-Funded Warrants purchased hereunder to be delivered to the Holder by electronic delivery of a certificate, registered in the Company’s share register in the name of the Holder or its designee, for the number of Pre-Funded Warrants to which the Holder is entitled pursuant to such exercise to the email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Upon delivery of the Notice of Exercise, the Holder shall be deemed for all corporate purposes to have become the holder of record of the Pre-Funded Warrants with respect to which this Warrant has been exercised, irrespective of the date of delivery of the Pre-Funded Warrants, provided that payment of the aggregate Exercise Price (other than in the case of a cashless exercise) is received within the earlier of (i) one (1) Trading Day and (ii) the number of Trading Days comprising the Standard Settlement Period following delivery of the Notice of Exercise.]</w:t>
      </w:r>
      <w:r>
        <w:rPr>
          <w:rFonts w:ascii="Arial;Helvetica;Sans-Serif" w:hAnsi="Arial;Helvetica;Sans-Serif"/>
          <w:b w:val="false"/>
          <w:i w:val="false"/>
          <w:caps w:val="false"/>
          <w:smallCaps w:val="false"/>
          <w:position w:val="7"/>
          <w:sz w:val="16"/>
          <w:sz w:val="20"/>
        </w:rPr>
        <w:t>5</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63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iii. </w:t>
      </w:r>
      <w:r>
        <w:rPr>
          <w:rFonts w:ascii="Arial;Helvetica;Sans-Serif" w:hAnsi="Arial;Helvetica;Sans-Serif"/>
          <w:b w:val="false"/>
          <w:i w:val="false"/>
          <w:caps w:val="false"/>
          <w:smallCaps w:val="false"/>
          <w:sz w:val="20"/>
          <w:u w:val="single"/>
        </w:rPr>
        <w:t>Delivery of New Warrants Upon Exercise</w:t>
      </w:r>
      <w:r>
        <w:rPr>
          <w:rFonts w:ascii="Arial;Helvetica;Sans-Serif" w:hAnsi="Arial;Helvetica;San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2160" w:right="0" w:firstLine="630"/>
        <w:jc w:val="both"/>
        <w:rPr>
          <w:caps w:val="false"/>
          <w:smallCaps w:val="false"/>
        </w:rPr>
      </w:pPr>
      <w:r>
        <w:rPr>
          <w:caps w:val="false"/>
          <w:smallCaps w:val="false"/>
        </w:rPr>
        <w:t> </w:t>
      </w:r>
    </w:p>
    <w:p>
      <w:pPr>
        <w:pStyle w:val="TextBody"/>
        <w:bidi w:val="0"/>
        <w:spacing w:before="0" w:after="0"/>
        <w:ind w:left="216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iv. </w:t>
      </w:r>
      <w:r>
        <w:rPr>
          <w:rFonts w:ascii="Arial;Helvetica;Sans-Serif" w:hAnsi="Arial;Helvetica;Sans-Serif"/>
          <w:b w:val="false"/>
          <w:i w:val="false"/>
          <w:caps w:val="false"/>
          <w:smallCaps w:val="false"/>
          <w:sz w:val="20"/>
          <w:u w:val="single"/>
        </w:rPr>
        <w:t>Rescission Rights</w:t>
      </w:r>
      <w:r>
        <w:rPr>
          <w:rFonts w:ascii="Arial;Helvetica;Sans-Serif" w:hAnsi="Arial;Helvetica;Sans-Serif"/>
          <w:b w:val="false"/>
          <w:i w:val="false"/>
          <w:caps w:val="false"/>
          <w:smallCaps w:val="false"/>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position w:val="7"/>
          <w:sz w:val="16"/>
          <w:sz w:val="20"/>
        </w:rPr>
        <w:t>5</w:t>
      </w:r>
      <w:r>
        <w:rPr>
          <w:rFonts w:ascii="Arial;Helvetica;Sans-Serif" w:hAnsi="Arial;Helvetica;Sans-Serif"/>
          <w:b w:val="false"/>
          <w:i w:val="false"/>
          <w:caps w:val="false"/>
          <w:smallCaps w:val="false"/>
          <w:sz w:val="20"/>
        </w:rPr>
        <w:t xml:space="preserve"> Add only for Series B Warrants.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v. </w:t>
      </w:r>
      <w:r>
        <w:rPr>
          <w:rFonts w:ascii="Arial;Helvetica;Sans-Serif" w:hAnsi="Arial;Helvetica;Sans-Serif"/>
          <w:b w:val="false"/>
          <w:i w:val="false"/>
          <w:caps w:val="false"/>
          <w:smallCaps w:val="false"/>
          <w:sz w:val="20"/>
          <w:u w:val="single"/>
        </w:rPr>
        <w:t>Compensation for Buy-In on Failure to Timely Deliver Warrant Shares Upon Exercise</w:t>
      </w:r>
      <w:r>
        <w:rPr>
          <w:rFonts w:ascii="Arial;Helvetica;Sans-Serif" w:hAnsi="Arial;Helvetica;Sans-Serif"/>
          <w:b w:val="false"/>
          <w:i w:val="false"/>
          <w:caps w:val="false"/>
          <w:smallCaps w:val="false"/>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Helvetica;Sans-Serif" w:hAnsi="Arial;Helvetica;Sans-Serif"/>
          <w:b w:val="false"/>
          <w:i w:val="false"/>
          <w:caps w:val="false"/>
          <w:smallCaps w:val="false"/>
          <w:sz w:val="20"/>
          <w:u w:val="single"/>
        </w:rPr>
        <w:t>Buy-In</w:t>
      </w:r>
      <w:r>
        <w:rPr>
          <w:rFonts w:ascii="Arial;Helvetica;Sans-Serif" w:hAnsi="Arial;Helvetica;Sans-Serif"/>
          <w:b w:val="false"/>
          <w:i w:val="false"/>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this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this Warrant as required pursuant to the terms hereof.</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vi. </w:t>
      </w:r>
      <w:r>
        <w:rPr>
          <w:rFonts w:ascii="Arial;Helvetica;Sans-Serif" w:hAnsi="Arial;Helvetica;Sans-Serif"/>
          <w:b w:val="false"/>
          <w:i w:val="false"/>
          <w:caps w:val="false"/>
          <w:smallCaps w:val="false"/>
          <w:sz w:val="20"/>
          <w:u w:val="single"/>
        </w:rPr>
        <w:t>No Fractional Shares or Scrip</w:t>
      </w:r>
      <w:r>
        <w:rPr>
          <w:rFonts w:ascii="Arial;Helvetica;Sans-Serif" w:hAnsi="Arial;Helvetica;San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vii. </w:t>
      </w:r>
      <w:r>
        <w:rPr>
          <w:rFonts w:ascii="Arial;Helvetica;Sans-Serif" w:hAnsi="Arial;Helvetica;Sans-Serif"/>
          <w:b w:val="false"/>
          <w:i w:val="false"/>
          <w:caps w:val="false"/>
          <w:smallCaps w:val="false"/>
          <w:sz w:val="20"/>
          <w:u w:val="single"/>
        </w:rPr>
        <w:t>Charges, Taxes and Expenses</w:t>
      </w:r>
      <w:r>
        <w:rPr>
          <w:rFonts w:ascii="Arial;Helvetica;Sans-Serif" w:hAnsi="Arial;Helvetica;San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Helvetica;Sans-Serif" w:hAnsi="Arial;Helvetica;Sans-Serif"/>
          <w:b w:val="false"/>
          <w:i w:val="false"/>
          <w:caps w:val="false"/>
          <w:smallCaps w:val="false"/>
          <w:sz w:val="20"/>
          <w:u w:val="single"/>
        </w:rPr>
        <w:t>provided</w:t>
      </w:r>
      <w:r>
        <w:rPr>
          <w:rFonts w:ascii="Arial;Helvetica;Sans-Serif" w:hAnsi="Arial;Helvetica;Sans-Serif"/>
          <w:b w:val="false"/>
          <w:i w:val="false"/>
          <w:caps w:val="false"/>
          <w:smallCaps w:val="false"/>
          <w:sz w:val="20"/>
        </w:rPr>
        <w:t xml:space="preserve">, </w:t>
      </w:r>
      <w:r>
        <w:rPr>
          <w:rFonts w:ascii="Arial;Helvetica;Sans-Serif" w:hAnsi="Arial;Helvetica;Sans-Serif"/>
          <w:b w:val="false"/>
          <w:i w:val="false"/>
          <w:caps w:val="false"/>
          <w:smallCaps w:val="false"/>
          <w:sz w:val="20"/>
          <w:u w:val="single"/>
        </w:rPr>
        <w:t>however</w:t>
      </w:r>
      <w:r>
        <w:rPr>
          <w:rFonts w:ascii="Arial;Helvetica;Sans-Serif" w:hAnsi="Arial;Helvetica;Sans-Serif"/>
          <w:b w:val="false"/>
          <w:i w:val="false"/>
          <w:caps w:val="false"/>
          <w:smallCaps w:val="false"/>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216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viii. </w:t>
      </w:r>
      <w:r>
        <w:rPr>
          <w:rFonts w:ascii="Arial;Helvetica;Sans-Serif" w:hAnsi="Arial;Helvetica;Sans-Serif"/>
          <w:b w:val="false"/>
          <w:i w:val="false"/>
          <w:caps w:val="false"/>
          <w:smallCaps w:val="false"/>
          <w:sz w:val="20"/>
          <w:u w:val="single"/>
        </w:rPr>
        <w:t>Closing of Books</w:t>
      </w:r>
      <w:r>
        <w:rPr>
          <w:rFonts w:ascii="Arial;Helvetica;Sans-Serif" w:hAnsi="Arial;Helvetica;San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 </w:t>
      </w:r>
      <w:r>
        <w:rPr>
          <w:rFonts w:ascii="Arial;Helvetica;Sans-Serif" w:hAnsi="Arial;Helvetica;Sans-Serif"/>
          <w:b w:val="false"/>
          <w:i w:val="false"/>
          <w:caps w:val="false"/>
          <w:smallCaps w:val="false"/>
          <w:sz w:val="20"/>
          <w:u w:val="single"/>
        </w:rPr>
        <w:t>Holder’s Exercise Limitations</w:t>
      </w:r>
      <w:r>
        <w:rPr>
          <w:rFonts w:ascii="Arial;Helvetica;Sans-Serif" w:hAnsi="Arial;Helvetica;San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Helvetica;Sans-Serif" w:hAnsi="Arial;Helvetica;Sans-Serif"/>
          <w:b w:val="false"/>
          <w:i w:val="false"/>
          <w:caps w:val="false"/>
          <w:smallCaps w:val="false"/>
          <w:sz w:val="20"/>
          <w:u w:val="single"/>
        </w:rPr>
        <w:t>Attribution Parties</w:t>
      </w:r>
      <w:r>
        <w:rPr>
          <w:rFonts w:ascii="Arial;Helvetica;Sans-Serif" w:hAnsi="Arial;Helvetica;San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and the Company shall have no obligation to verify or confirm the accuracy of such determination,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Helvetica;Sans-Serif" w:hAnsi="Arial;Helvetica;Sans-Serif"/>
          <w:b w:val="false"/>
          <w:i w:val="false"/>
          <w:caps w:val="false"/>
          <w:smallCaps w:val="false"/>
          <w:sz w:val="20"/>
          <w:u w:val="single"/>
        </w:rPr>
        <w:t>Beneficial Ownership Limitation</w:t>
      </w:r>
      <w:r>
        <w:rPr>
          <w:rFonts w:ascii="Arial;Helvetica;Sans-Serif" w:hAnsi="Arial;Helvetica;Sans-Serif"/>
          <w:b w:val="false"/>
          <w:i w:val="false"/>
          <w:caps w:val="false"/>
          <w:smallCaps w:val="false"/>
          <w:sz w:val="20"/>
        </w:rPr>
        <w:t>” shall be 4.99% (or, upon election by a Holder prior to the issuance of any Warrants, 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Arial;Helvetica;Sans-Serif" w:hAnsi="Arial;Helvetica;Sans-Serif"/>
          <w:b w:val="false"/>
          <w:i w:val="false"/>
          <w:caps w:val="false"/>
          <w:smallCaps w:val="false"/>
          <w:position w:val="7"/>
          <w:sz w:val="16"/>
          <w:sz w:val="20"/>
        </w:rPr>
        <w:t>st</w:t>
      </w:r>
      <w:r>
        <w:rPr>
          <w:rFonts w:ascii="Arial;Helvetica;Sans-Serif" w:hAnsi="Arial;Helvetica;Sans-Serif"/>
          <w:b w:val="false"/>
          <w:i w:val="false"/>
          <w:caps w:val="false"/>
          <w:smallCaps w:val="false"/>
          <w:sz w:val="20"/>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this Warrant is unexercisable as a result of the Beneficial Ownership Limitation, no alternate consideration shall be owed by the Company.</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u w:val="single"/>
        </w:rPr>
        <w:t>Section 3</w:t>
      </w:r>
      <w:r>
        <w:rPr>
          <w:rFonts w:ascii="Arial;Helvetica;Sans-Serif" w:hAnsi="Arial;Helvetica;Sans-Serif"/>
          <w:b w:val="false"/>
          <w:i w:val="false"/>
          <w:caps w:val="false"/>
          <w:smallCaps w:val="false"/>
          <w:sz w:val="20"/>
        </w:rPr>
        <w:t xml:space="preserve">. </w:t>
      </w:r>
      <w:r>
        <w:rPr>
          <w:rFonts w:ascii="Arial;Helvetica;Sans-Serif" w:hAnsi="Arial;Helvetica;Sans-Serif"/>
          <w:b w:val="false"/>
          <w:i w:val="false"/>
          <w:caps w:val="false"/>
          <w:smallCaps w:val="false"/>
          <w:sz w:val="20"/>
          <w:u w:val="single"/>
        </w:rPr>
        <w:t>Certain Adjustments</w:t>
      </w:r>
      <w:r>
        <w:rPr>
          <w:rFonts w:ascii="Arial;Helvetica;Sans-Serif" w:hAnsi="Arial;Helvetica;San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 </w:t>
      </w:r>
      <w:r>
        <w:rPr>
          <w:rFonts w:ascii="Arial;Helvetica;Sans-Serif" w:hAnsi="Arial;Helvetica;Sans-Serif"/>
          <w:b w:val="false"/>
          <w:i w:val="false"/>
          <w:caps w:val="false"/>
          <w:smallCaps w:val="false"/>
          <w:sz w:val="20"/>
          <w:u w:val="single"/>
        </w:rPr>
        <w:t>Stock Dividends and Splits</w:t>
      </w:r>
      <w:r>
        <w:rPr>
          <w:rFonts w:ascii="Arial;Helvetica;Sans-Serif" w:hAnsi="Arial;Helvetica;Sans-Serif"/>
          <w:b w:val="false"/>
          <w:i w:val="false"/>
          <w:caps w:val="false"/>
          <w:smallCaps w:val="false"/>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b) </w:t>
      </w:r>
      <w:r>
        <w:rPr>
          <w:rFonts w:ascii="Arial;Helvetica;Sans-Serif" w:hAnsi="Arial;Helvetica;Sans-Serif"/>
          <w:b w:val="false"/>
          <w:i w:val="false"/>
          <w:caps w:val="false"/>
          <w:smallCaps w:val="false"/>
          <w:sz w:val="20"/>
          <w:u w:val="single"/>
        </w:rPr>
        <w:t>Subsequent Rights Offerings</w:t>
      </w:r>
      <w:r>
        <w:rPr>
          <w:rFonts w:ascii="Arial;Helvetica;Sans-Serif" w:hAnsi="Arial;Helvetica;Sans-Serif"/>
          <w:b w:val="false"/>
          <w:i w:val="false"/>
          <w:caps w:val="false"/>
          <w:smallCaps w:val="false"/>
          <w:sz w:val="20"/>
        </w:rPr>
        <w:t>. In addition to any adjustments pursuant to Section 3(a) above, if at any time during which this Warrant is outstanding, the Company grants, issues or sells any Common Stock Equivalents or rights to purchase stock, warrants, securities or other property pro rata to the record holders of any class of shares of Common Stock (the “</w:t>
      </w:r>
      <w:r>
        <w:rPr>
          <w:rFonts w:ascii="Arial;Helvetica;Sans-Serif" w:hAnsi="Arial;Helvetica;Sans-Serif"/>
          <w:b w:val="false"/>
          <w:i w:val="false"/>
          <w:caps w:val="false"/>
          <w:smallCaps w:val="false"/>
          <w:sz w:val="20"/>
          <w:u w:val="single"/>
        </w:rPr>
        <w:t>Purchase Rights</w:t>
      </w:r>
      <w:r>
        <w:rPr>
          <w:rFonts w:ascii="Arial;Helvetica;Sans-Serif" w:hAnsi="Arial;Helvetica;San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Helvetica;Sans-Serif" w:hAnsi="Arial;Helvetica;Sans-Serif"/>
          <w:b w:val="false"/>
          <w:i w:val="false"/>
          <w:caps w:val="false"/>
          <w:smallCaps w:val="false"/>
          <w:sz w:val="20"/>
          <w:u w:val="single"/>
        </w:rPr>
        <w:t>provided</w:t>
      </w:r>
      <w:r>
        <w:rPr>
          <w:rFonts w:ascii="Arial;Helvetica;Sans-Serif" w:hAnsi="Arial;Helvetica;Sans-Serif"/>
          <w:b w:val="false"/>
          <w:i w:val="false"/>
          <w:caps w:val="false"/>
          <w:smallCaps w:val="false"/>
          <w:sz w:val="20"/>
        </w:rPr>
        <w:t xml:space="preserve">, </w:t>
      </w:r>
      <w:r>
        <w:rPr>
          <w:rFonts w:ascii="Arial;Helvetica;Sans-Serif" w:hAnsi="Arial;Helvetica;Sans-Serif"/>
          <w:b w:val="false"/>
          <w:i w:val="false"/>
          <w:caps w:val="false"/>
          <w:smallCaps w:val="false"/>
          <w:sz w:val="20"/>
          <w:u w:val="single"/>
        </w:rPr>
        <w:t>however</w:t>
      </w:r>
      <w:r>
        <w:rPr>
          <w:rFonts w:ascii="Arial;Helvetica;Sans-Serif" w:hAnsi="Arial;Helvetica;Sans-Serif"/>
          <w:b w:val="false"/>
          <w:i w:val="false"/>
          <w:caps w:val="false"/>
          <w:smallCaps w:val="false"/>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provided, that all Purchase Rights shall automatically terminate on, and shall not be held in abeyance for any period subsequent to, the Termination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 </w:t>
      </w:r>
      <w:r>
        <w:rPr>
          <w:rFonts w:ascii="Arial;Helvetica;Sans-Serif" w:hAnsi="Arial;Helvetica;Sans-Serif"/>
          <w:b w:val="false"/>
          <w:i w:val="false"/>
          <w:caps w:val="false"/>
          <w:smallCaps w:val="false"/>
          <w:sz w:val="20"/>
          <w:u w:val="single"/>
        </w:rPr>
        <w:t>Pro Rata Distributions</w:t>
      </w:r>
      <w:r>
        <w:rPr>
          <w:rFonts w:ascii="Arial;Helvetica;Sans-Serif" w:hAnsi="Arial;Helvetica;Sans-Serif"/>
          <w:b w:val="false"/>
          <w:i w:val="false"/>
          <w:caps w:val="false"/>
          <w:smallCaps w:val="false"/>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Helvetica;Sans-Serif" w:hAnsi="Arial;Helvetica;Sans-Serif"/>
          <w:b w:val="false"/>
          <w:i w:val="false"/>
          <w:caps w:val="false"/>
          <w:smallCaps w:val="false"/>
          <w:sz w:val="20"/>
          <w:u w:val="single"/>
        </w:rPr>
        <w:t>Distribution</w:t>
      </w:r>
      <w:r>
        <w:rPr>
          <w:rFonts w:ascii="Arial;Helvetica;Sans-Serif" w:hAnsi="Arial;Helvetica;San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Helvetica;Sans-Serif" w:hAnsi="Arial;Helvetica;Sans-Serif"/>
          <w:b w:val="false"/>
          <w:i w:val="false"/>
          <w:caps w:val="false"/>
          <w:smallCaps w:val="false"/>
          <w:sz w:val="20"/>
          <w:u w:val="single"/>
        </w:rPr>
        <w:t>provided</w:t>
      </w:r>
      <w:r>
        <w:rPr>
          <w:rFonts w:ascii="Arial;Helvetica;Sans-Serif" w:hAnsi="Arial;Helvetica;Sans-Serif"/>
          <w:b w:val="false"/>
          <w:i w:val="false"/>
          <w:caps w:val="false"/>
          <w:smallCaps w:val="false"/>
          <w:sz w:val="20"/>
        </w:rPr>
        <w:t xml:space="preserve">, </w:t>
      </w:r>
      <w:r>
        <w:rPr>
          <w:rFonts w:ascii="Arial;Helvetica;Sans-Serif" w:hAnsi="Arial;Helvetica;Sans-Serif"/>
          <w:b w:val="false"/>
          <w:i w:val="false"/>
          <w:caps w:val="false"/>
          <w:smallCaps w:val="false"/>
          <w:sz w:val="20"/>
          <w:u w:val="single"/>
        </w:rPr>
        <w:t>however</w:t>
      </w:r>
      <w:r>
        <w:rPr>
          <w:rFonts w:ascii="Arial;Helvetica;Sans-Serif" w:hAnsi="Arial;Helvetica;Sans-Serif"/>
          <w:b w:val="false"/>
          <w:i w:val="false"/>
          <w:caps w:val="false"/>
          <w:smallCaps w:val="false"/>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provided, that any right to a Distribution shall automatically terminate on, and shall not be held in abeyance for any period subsequent to, the Termination Date.</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 </w:t>
      </w:r>
      <w:r>
        <w:rPr>
          <w:rFonts w:ascii="Arial;Helvetica;Sans-Serif" w:hAnsi="Arial;Helvetica;Sans-Serif"/>
          <w:b w:val="false"/>
          <w:i w:val="false"/>
          <w:caps w:val="false"/>
          <w:smallCaps w:val="false"/>
          <w:sz w:val="20"/>
          <w:u w:val="single"/>
        </w:rPr>
        <w:t>Fundamental Transaction</w:t>
      </w:r>
      <w:r>
        <w:rPr>
          <w:rFonts w:ascii="Arial;Helvetica;Sans-Serif" w:hAnsi="Arial;Helvetica;San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Arial;Helvetica;Sans-Serif" w:hAnsi="Arial;Helvetica;Sans-Serif"/>
          <w:b w:val="false"/>
          <w:i w:val="false"/>
          <w:caps w:val="false"/>
          <w:smallCaps w:val="false"/>
          <w:sz w:val="20"/>
          <w:u w:val="single"/>
        </w:rPr>
        <w:t>Fundamental Transaction</w:t>
      </w:r>
      <w:r>
        <w:rPr>
          <w:rFonts w:ascii="Arial;Helvetica;Sans-Serif" w:hAnsi="Arial;Helvetica;San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Helvetica;Sans-Serif" w:hAnsi="Arial;Helvetica;Sans-Serif"/>
          <w:b w:val="false"/>
          <w:i w:val="false"/>
          <w:caps w:val="false"/>
          <w:smallCaps w:val="false"/>
          <w:sz w:val="20"/>
          <w:u w:val="single"/>
        </w:rPr>
        <w:t>Alternate Consideration</w:t>
      </w:r>
      <w:r>
        <w:rPr>
          <w:rFonts w:ascii="Arial;Helvetica;Sans-Serif" w:hAnsi="Arial;Helvetica;Sans-Serif"/>
          <w:b w:val="false"/>
          <w:i w:val="false"/>
          <w:caps w:val="false"/>
          <w:smallCaps w:val="false"/>
          <w:sz w:val="20"/>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Arial;Helvetica;Sans-Serif" w:hAnsi="Arial;Helvetica;Sans-Serif"/>
          <w:b w:val="false"/>
          <w:i w:val="false"/>
          <w:caps w:val="false"/>
          <w:smallCaps w:val="false"/>
          <w:sz w:val="20"/>
          <w:u w:val="single"/>
        </w:rPr>
        <w:t>Black Scholes Value</w:t>
      </w:r>
      <w:r>
        <w:rPr>
          <w:rFonts w:ascii="Arial;Helvetica;Sans-Serif" w:hAnsi="Arial;Helvetica;Sans-Serif"/>
          <w:b w:val="false"/>
          <w:i w:val="false"/>
          <w:caps w:val="false"/>
          <w:smallCaps w:val="false"/>
          <w:sz w:val="20"/>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100 day volatility obtained from the HVT function on Bloomberg (determined utilizing a 365 day annualization factor) as of the Trading Day immediately following the public announcement of the applicable Fundamental Transaction, (C) the underlying price per share used in such calculation shall be the sum of the price per share being offered in cash, if any, plus the value of any non-cash consideration, if any, being offered in such Fundamental Transaction,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Arial;Helvetica;Sans-Serif" w:hAnsi="Arial;Helvetica;Sans-Serif"/>
          <w:b w:val="false"/>
          <w:i w:val="false"/>
          <w:caps w:val="false"/>
          <w:smallCaps w:val="false"/>
          <w:sz w:val="20"/>
          <w:u w:val="single"/>
        </w:rPr>
        <w:t>Successor Entity</w:t>
      </w:r>
      <w:r>
        <w:rPr>
          <w:rFonts w:ascii="Arial;Helvetica;Sans-Serif" w:hAnsi="Arial;Helvetica;Sans-Serif"/>
          <w:b w:val="false"/>
          <w:i w:val="false"/>
          <w:caps w:val="false"/>
          <w:smallCaps w:val="false"/>
          <w:sz w:val="20"/>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 </w:t>
      </w:r>
      <w:r>
        <w:rPr>
          <w:rFonts w:ascii="Arial;Helvetica;Sans-Serif" w:hAnsi="Arial;Helvetica;Sans-Serif"/>
          <w:b w:val="false"/>
          <w:i w:val="false"/>
          <w:caps w:val="false"/>
          <w:smallCaps w:val="false"/>
          <w:sz w:val="20"/>
          <w:u w:val="single"/>
        </w:rPr>
        <w:t>Calculations</w:t>
      </w:r>
      <w:r>
        <w:rPr>
          <w:rFonts w:ascii="Arial;Helvetica;Sans-Serif" w:hAnsi="Arial;Helvetica;Sans-Serif"/>
          <w:b w:val="false"/>
          <w:i w:val="false"/>
          <w:caps w:val="false"/>
          <w:smallCaps w:val="false"/>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f) </w:t>
      </w:r>
      <w:r>
        <w:rPr>
          <w:rFonts w:ascii="Arial;Helvetica;Sans-Serif" w:hAnsi="Arial;Helvetica;Sans-Serif"/>
          <w:b w:val="false"/>
          <w:i w:val="false"/>
          <w:caps w:val="false"/>
          <w:smallCaps w:val="false"/>
          <w:sz w:val="20"/>
          <w:u w:val="single"/>
        </w:rPr>
        <w:t>Notice to Holder</w:t>
      </w:r>
      <w:r>
        <w:rPr>
          <w:rFonts w:ascii="Arial;Helvetica;Sans-Serif" w:hAnsi="Arial;Helvetica;San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 </w:t>
      </w:r>
      <w:r>
        <w:rPr>
          <w:rFonts w:ascii="Arial;Helvetica;Sans-Serif" w:hAnsi="Arial;Helvetica;Sans-Serif"/>
          <w:b w:val="false"/>
          <w:i w:val="false"/>
          <w:caps w:val="false"/>
          <w:smallCaps w:val="false"/>
          <w:sz w:val="20"/>
          <w:u w:val="single"/>
        </w:rPr>
        <w:t>Adjustment to Exercise Price</w:t>
      </w:r>
      <w:r>
        <w:rPr>
          <w:rFonts w:ascii="Arial;Helvetica;Sans-Serif" w:hAnsi="Arial;Helvetica;San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ii. </w:t>
      </w:r>
      <w:r>
        <w:rPr>
          <w:rFonts w:ascii="Arial;Helvetica;Sans-Serif" w:hAnsi="Arial;Helvetica;Sans-Serif"/>
          <w:b w:val="false"/>
          <w:i w:val="false"/>
          <w:caps w:val="false"/>
          <w:smallCaps w:val="false"/>
          <w:sz w:val="20"/>
          <w:u w:val="single"/>
        </w:rPr>
        <w:t>Notice to Allow Exercise by Holder</w:t>
      </w:r>
      <w:r>
        <w:rPr>
          <w:rFonts w:ascii="Arial;Helvetica;Sans-Serif" w:hAnsi="Arial;Helvetica;Sans-Serif"/>
          <w:b w:val="false"/>
          <w:i w:val="false"/>
          <w:caps w:val="false"/>
          <w:smallCaps w:val="false"/>
          <w:sz w:val="20"/>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the stockholders of the Company shall be required in connection with any reclassification of the Common Stock, any consolidation or merger to which the Company and all of its Subsidiaries, taken as a whole,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and provided further that no notice shall be required if the information is in a press release or document filed with the Commission. To the extent that any notice provided in this Warrant constitutes, or contains, material, non-public information regarding the Company or any of the Subsidiaries, the Company shall simultaneously report such information in a public filing with the Commission.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3060" w:right="0" w:hanging="18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g) </w:t>
      </w:r>
      <w:r>
        <w:rPr>
          <w:rFonts w:ascii="Arial;Helvetica;Sans-Serif" w:hAnsi="Arial;Helvetica;Sans-Serif"/>
          <w:b w:val="false"/>
          <w:i w:val="false"/>
          <w:caps w:val="false"/>
          <w:smallCaps w:val="false"/>
          <w:sz w:val="20"/>
          <w:u w:val="single"/>
        </w:rPr>
        <w:t>Voluntary Adjustment By Company</w:t>
      </w:r>
      <w:r>
        <w:rPr>
          <w:rFonts w:ascii="Arial;Helvetica;Sans-Serif" w:hAnsi="Arial;Helvetica;Sans-Serif"/>
          <w:b w:val="false"/>
          <w:i w:val="false"/>
          <w:caps w:val="false"/>
          <w:smallCaps w:val="false"/>
          <w:sz w:val="20"/>
        </w:rPr>
        <w:t>.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u w:val="single"/>
        </w:rPr>
        <w:t>Section 4</w:t>
      </w:r>
      <w:r>
        <w:rPr>
          <w:rFonts w:ascii="Arial;Helvetica;Sans-Serif" w:hAnsi="Arial;Helvetica;Sans-Serif"/>
          <w:b w:val="false"/>
          <w:i w:val="false"/>
          <w:caps w:val="false"/>
          <w:smallCaps w:val="false"/>
          <w:sz w:val="20"/>
        </w:rPr>
        <w:t xml:space="preserve">. </w:t>
      </w:r>
      <w:r>
        <w:rPr>
          <w:rFonts w:ascii="Arial;Helvetica;Sans-Serif" w:hAnsi="Arial;Helvetica;Sans-Serif"/>
          <w:b w:val="false"/>
          <w:i w:val="false"/>
          <w:caps w:val="false"/>
          <w:smallCaps w:val="false"/>
          <w:sz w:val="20"/>
          <w:u w:val="single"/>
        </w:rPr>
        <w:t>Transfer of Warrant</w:t>
      </w:r>
      <w:r>
        <w:rPr>
          <w:rFonts w:ascii="Arial;Helvetica;Sans-Serif" w:hAnsi="Arial;Helvetica;San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 </w:t>
      </w:r>
      <w:r>
        <w:rPr>
          <w:rFonts w:ascii="Arial;Helvetica;Sans-Serif" w:hAnsi="Arial;Helvetica;Sans-Serif"/>
          <w:b w:val="false"/>
          <w:i w:val="false"/>
          <w:caps w:val="false"/>
          <w:smallCaps w:val="false"/>
          <w:sz w:val="20"/>
          <w:u w:val="single"/>
        </w:rPr>
        <w:t>Transferability</w:t>
      </w:r>
      <w:r>
        <w:rPr>
          <w:rFonts w:ascii="Arial;Helvetica;Sans-Serif" w:hAnsi="Arial;Helvetica;Sans-Serif"/>
          <w:b w:val="false"/>
          <w:i w:val="false"/>
          <w:caps w:val="false"/>
          <w:smallCaps w:val="false"/>
          <w:sz w:val="20"/>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This Warrant, if properly assigned in accordance herewith, may be exercised by a new holder for the purchase of Warrant Shares without having a new Warrant 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b) </w:t>
      </w:r>
      <w:r>
        <w:rPr>
          <w:rFonts w:ascii="Arial;Helvetica;Sans-Serif" w:hAnsi="Arial;Helvetica;Sans-Serif"/>
          <w:b w:val="false"/>
          <w:i w:val="false"/>
          <w:caps w:val="false"/>
          <w:smallCaps w:val="false"/>
          <w:sz w:val="20"/>
          <w:u w:val="single"/>
        </w:rPr>
        <w:t>New Warrants</w:t>
      </w:r>
      <w:r>
        <w:rPr>
          <w:rFonts w:ascii="Arial;Helvetica;Sans-Serif" w:hAnsi="Arial;Helvetica;San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this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 </w:t>
      </w:r>
      <w:r>
        <w:rPr>
          <w:rFonts w:ascii="Arial;Helvetica;Sans-Serif" w:hAnsi="Arial;Helvetica;Sans-Serif"/>
          <w:b w:val="false"/>
          <w:i w:val="false"/>
          <w:caps w:val="false"/>
          <w:smallCaps w:val="false"/>
          <w:sz w:val="20"/>
          <w:u w:val="single"/>
        </w:rPr>
        <w:t>Warrant Register</w:t>
      </w:r>
      <w:r>
        <w:rPr>
          <w:rFonts w:ascii="Arial;Helvetica;Sans-Serif" w:hAnsi="Arial;Helvetica;Sans-Serif"/>
          <w:b w:val="false"/>
          <w:i w:val="false"/>
          <w:caps w:val="false"/>
          <w:smallCaps w:val="false"/>
          <w:sz w:val="20"/>
        </w:rPr>
        <w:t>. The Company shall register this Warrant, upon records to be maintained by the Company for that purpose (the “</w:t>
      </w:r>
      <w:r>
        <w:rPr>
          <w:rFonts w:ascii="Arial;Helvetica;Sans-Serif" w:hAnsi="Arial;Helvetica;Sans-Serif"/>
          <w:b w:val="false"/>
          <w:i w:val="false"/>
          <w:caps w:val="false"/>
          <w:smallCaps w:val="false"/>
          <w:sz w:val="20"/>
          <w:u w:val="single"/>
        </w:rPr>
        <w:t>Warrant Register</w:t>
      </w:r>
      <w:r>
        <w:rPr>
          <w:rFonts w:ascii="Arial;Helvetica;Sans-Serif" w:hAnsi="Arial;Helvetica;San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 </w:t>
      </w:r>
      <w:r>
        <w:rPr>
          <w:rFonts w:ascii="Arial;Helvetica;Sans-Serif" w:hAnsi="Arial;Helvetica;Sans-Serif"/>
          <w:b w:val="false"/>
          <w:i w:val="false"/>
          <w:caps w:val="false"/>
          <w:smallCaps w:val="false"/>
          <w:sz w:val="20"/>
          <w:u w:val="single"/>
        </w:rPr>
        <w:t>Transfer Restrictions</w:t>
      </w:r>
      <w:r>
        <w:rPr>
          <w:rFonts w:ascii="Arial;Helvetica;Sans-Serif" w:hAnsi="Arial;Helvetica;Sans-Serif"/>
          <w:b w:val="false"/>
          <w:i w:val="false"/>
          <w:caps w:val="false"/>
          <w:smallCaps w:val="false"/>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 </w:t>
      </w:r>
      <w:r>
        <w:rPr>
          <w:rFonts w:ascii="Arial;Helvetica;Sans-Serif" w:hAnsi="Arial;Helvetica;Sans-Serif"/>
          <w:b w:val="false"/>
          <w:i w:val="false"/>
          <w:caps w:val="false"/>
          <w:smallCaps w:val="false"/>
          <w:sz w:val="20"/>
          <w:u w:val="single"/>
        </w:rPr>
        <w:t>Representation by the Holder</w:t>
      </w:r>
      <w:r>
        <w:rPr>
          <w:rFonts w:ascii="Arial;Helvetica;Sans-Serif" w:hAnsi="Arial;Helvetica;Sans-Serif"/>
          <w:b w:val="false"/>
          <w:i w:val="false"/>
          <w:caps w:val="false"/>
          <w:smallCaps w:val="false"/>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u w:val="single"/>
        </w:rPr>
        <w:t>Section 5</w:t>
      </w:r>
      <w:r>
        <w:rPr>
          <w:rFonts w:ascii="Arial;Helvetica;Sans-Serif" w:hAnsi="Arial;Helvetica;Sans-Serif"/>
          <w:b w:val="false"/>
          <w:i w:val="false"/>
          <w:caps w:val="false"/>
          <w:smallCaps w:val="false"/>
          <w:sz w:val="20"/>
        </w:rPr>
        <w:t xml:space="preserve">. </w:t>
      </w:r>
      <w:r>
        <w:rPr>
          <w:rFonts w:ascii="Arial;Helvetica;Sans-Serif" w:hAnsi="Arial;Helvetica;Sans-Serif"/>
          <w:b w:val="false"/>
          <w:i w:val="false"/>
          <w:caps w:val="false"/>
          <w:smallCaps w:val="false"/>
          <w:sz w:val="20"/>
          <w:u w:val="single"/>
        </w:rPr>
        <w:t>Miscellaneous</w:t>
      </w:r>
      <w:r>
        <w:rPr>
          <w:rFonts w:ascii="Arial;Helvetica;Sans-Serif" w:hAnsi="Arial;Helvetica;San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 </w:t>
      </w:r>
      <w:r>
        <w:rPr>
          <w:rFonts w:ascii="Arial;Helvetica;Sans-Serif" w:hAnsi="Arial;Helvetica;Sans-Serif"/>
          <w:b w:val="false"/>
          <w:i w:val="false"/>
          <w:caps w:val="false"/>
          <w:smallCaps w:val="false"/>
          <w:sz w:val="20"/>
          <w:u w:val="single"/>
        </w:rPr>
        <w:t>No Rights as Stockholder Until Exercise; No Settlement in Cash</w:t>
      </w:r>
      <w:r>
        <w:rPr>
          <w:rFonts w:ascii="Arial;Helvetica;Sans-Serif" w:hAnsi="Arial;Helvetica;Sans-Serif"/>
          <w:b w:val="false"/>
          <w:i w:val="false"/>
          <w:caps w:val="false"/>
          <w:smallCaps w:val="false"/>
          <w:sz w:val="20"/>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2(d)(v) herein, in no event shall the Company be required to net cash settle an exercise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b) </w:t>
      </w:r>
      <w:r>
        <w:rPr>
          <w:rFonts w:ascii="Arial;Helvetica;Sans-Serif" w:hAnsi="Arial;Helvetica;Sans-Serif"/>
          <w:b w:val="false"/>
          <w:i w:val="false"/>
          <w:caps w:val="false"/>
          <w:smallCaps w:val="false"/>
          <w:sz w:val="20"/>
          <w:u w:val="single"/>
        </w:rPr>
        <w:t>Loss, Theft, Destruction or Mutilation of Warrant</w:t>
      </w:r>
      <w:r>
        <w:rPr>
          <w:rFonts w:ascii="Arial;Helvetica;Sans-Serif" w:hAnsi="Arial;Helvetica;San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this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 </w:t>
      </w:r>
      <w:r>
        <w:rPr>
          <w:rFonts w:ascii="Arial;Helvetica;Sans-Serif" w:hAnsi="Arial;Helvetica;Sans-Serif"/>
          <w:b w:val="false"/>
          <w:i w:val="false"/>
          <w:caps w:val="false"/>
          <w:smallCaps w:val="false"/>
          <w:sz w:val="20"/>
          <w:u w:val="single"/>
        </w:rPr>
        <w:t>Saturdays, Sundays, Holidays, etc</w:t>
      </w:r>
      <w:r>
        <w:rPr>
          <w:rFonts w:ascii="Arial;Helvetica;Sans-Serif" w:hAnsi="Arial;Helvetica;Sans-Serif"/>
          <w:b w:val="false"/>
          <w:i w:val="false"/>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 </w:t>
      </w:r>
      <w:r>
        <w:rPr>
          <w:rFonts w:ascii="Arial;Helvetica;Sans-Serif" w:hAnsi="Arial;Helvetica;Sans-Serif"/>
          <w:b w:val="false"/>
          <w:i w:val="false"/>
          <w:caps w:val="false"/>
          <w:smallCaps w:val="false"/>
          <w:sz w:val="20"/>
          <w:u w:val="single"/>
        </w:rPr>
        <w:t>Authorized Shares</w:t>
      </w:r>
      <w:r>
        <w:rPr>
          <w:rFonts w:ascii="Arial;Helvetica;Sans-Serif" w:hAnsi="Arial;Helvetica;San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covenants that, during the period this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 </w:t>
      </w:r>
      <w:r>
        <w:rPr>
          <w:rFonts w:ascii="Arial;Helvetica;Sans-Serif" w:hAnsi="Arial;Helvetica;Sans-Serif"/>
          <w:b w:val="false"/>
          <w:i w:val="false"/>
          <w:caps w:val="false"/>
          <w:smallCaps w:val="false"/>
          <w:sz w:val="20"/>
          <w:u w:val="single"/>
        </w:rPr>
        <w:t>Jurisdiction</w:t>
      </w:r>
      <w:r>
        <w:rPr>
          <w:rFonts w:ascii="Arial;Helvetica;Sans-Serif" w:hAnsi="Arial;Helvetica;Sans-Serif"/>
          <w:b w:val="false"/>
          <w:i w:val="false"/>
          <w:caps w:val="false"/>
          <w:smallCaps w:val="false"/>
          <w:sz w:val="20"/>
        </w:rPr>
        <w:t>. All questions concerning the construction, validity, enforcement and interpretation of this Warrant shall be determined in accordance with the provisions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f) </w:t>
      </w:r>
      <w:r>
        <w:rPr>
          <w:rFonts w:ascii="Arial;Helvetica;Sans-Serif" w:hAnsi="Arial;Helvetica;Sans-Serif"/>
          <w:b w:val="false"/>
          <w:i w:val="false"/>
          <w:caps w:val="false"/>
          <w:smallCaps w:val="false"/>
          <w:sz w:val="20"/>
          <w:u w:val="single"/>
        </w:rPr>
        <w:t>Restrictions</w:t>
      </w:r>
      <w:r>
        <w:rPr>
          <w:rFonts w:ascii="Arial;Helvetica;Sans-Serif" w:hAnsi="Arial;Helvetica;San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g) </w:t>
      </w:r>
      <w:r>
        <w:rPr>
          <w:rFonts w:ascii="Arial;Helvetica;Sans-Serif" w:hAnsi="Arial;Helvetica;Sans-Serif"/>
          <w:b w:val="false"/>
          <w:i w:val="false"/>
          <w:caps w:val="false"/>
          <w:smallCaps w:val="false"/>
          <w:sz w:val="20"/>
          <w:u w:val="single"/>
        </w:rPr>
        <w:t>Nonwaiver and Expenses</w:t>
      </w:r>
      <w:r>
        <w:rPr>
          <w:rFonts w:ascii="Arial;Helvetica;Sans-Serif" w:hAnsi="Arial;Helvetica;San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180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h) </w:t>
      </w:r>
      <w:r>
        <w:rPr>
          <w:rFonts w:ascii="Arial;Helvetica;Sans-Serif" w:hAnsi="Arial;Helvetica;Sans-Serif"/>
          <w:b w:val="false"/>
          <w:i w:val="false"/>
          <w:caps w:val="false"/>
          <w:smallCaps w:val="false"/>
          <w:sz w:val="20"/>
          <w:u w:val="single"/>
        </w:rPr>
        <w:t>Notices</w:t>
      </w:r>
      <w:r>
        <w:rPr>
          <w:rFonts w:ascii="Arial;Helvetica;Sans-Serif" w:hAnsi="Arial;Helvetica;Sans-Serif"/>
          <w:b w:val="false"/>
          <w:i w:val="false"/>
          <w:caps w:val="false"/>
          <w:smallCaps w:val="false"/>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 </w:t>
      </w:r>
      <w:r>
        <w:rPr>
          <w:rFonts w:ascii="Arial;Helvetica;Sans-Serif" w:hAnsi="Arial;Helvetica;Sans-Serif"/>
          <w:b w:val="false"/>
          <w:i w:val="false"/>
          <w:caps w:val="false"/>
          <w:smallCaps w:val="false"/>
          <w:sz w:val="20"/>
          <w:u w:val="single"/>
        </w:rPr>
        <w:t>Limitation of Liability</w:t>
      </w:r>
      <w:r>
        <w:rPr>
          <w:rFonts w:ascii="Arial;Helvetica;Sans-Serif" w:hAnsi="Arial;Helvetica;San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j) </w:t>
      </w:r>
      <w:r>
        <w:rPr>
          <w:rFonts w:ascii="Arial;Helvetica;Sans-Serif" w:hAnsi="Arial;Helvetica;Sans-Serif"/>
          <w:b w:val="false"/>
          <w:i w:val="false"/>
          <w:caps w:val="false"/>
          <w:smallCaps w:val="false"/>
          <w:sz w:val="20"/>
          <w:u w:val="single"/>
        </w:rPr>
        <w:t>Remedies</w:t>
      </w:r>
      <w:r>
        <w:rPr>
          <w:rFonts w:ascii="Arial;Helvetica;Sans-Serif" w:hAnsi="Arial;Helvetica;San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k) </w:t>
      </w:r>
      <w:r>
        <w:rPr>
          <w:rFonts w:ascii="Arial;Helvetica;Sans-Serif" w:hAnsi="Arial;Helvetica;Sans-Serif"/>
          <w:b w:val="false"/>
          <w:i w:val="false"/>
          <w:caps w:val="false"/>
          <w:smallCaps w:val="false"/>
          <w:sz w:val="20"/>
          <w:u w:val="single"/>
        </w:rPr>
        <w:t>Successors and Assigns</w:t>
      </w:r>
      <w:r>
        <w:rPr>
          <w:rFonts w:ascii="Arial;Helvetica;Sans-Serif" w:hAnsi="Arial;Helvetica;San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l) </w:t>
      </w:r>
      <w:r>
        <w:rPr>
          <w:rFonts w:ascii="Arial;Helvetica;Sans-Serif" w:hAnsi="Arial;Helvetica;Sans-Serif"/>
          <w:b w:val="false"/>
          <w:i w:val="false"/>
          <w:caps w:val="false"/>
          <w:smallCaps w:val="false"/>
          <w:sz w:val="20"/>
          <w:u w:val="single"/>
        </w:rPr>
        <w:t>Amendment</w:t>
      </w:r>
      <w:r>
        <w:rPr>
          <w:rFonts w:ascii="Arial;Helvetica;Sans-Serif" w:hAnsi="Arial;Helvetica;Sans-Serif"/>
          <w:b w:val="false"/>
          <w:i w:val="false"/>
          <w:caps w:val="false"/>
          <w:smallCaps w:val="false"/>
          <w:sz w:val="20"/>
        </w:rPr>
        <w:t>. Other than Section 2(e) above and this Section 5(l), which may not be amended, modified or waived, this Warrant may be modified or amended or the provisions hereof waived with the written consent of the Company, on the one hand, and the Holder, on the other hand.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m) </w:t>
      </w:r>
      <w:r>
        <w:rPr>
          <w:rFonts w:ascii="Arial;Helvetica;Sans-Serif" w:hAnsi="Arial;Helvetica;Sans-Serif"/>
          <w:b w:val="false"/>
          <w:i w:val="false"/>
          <w:caps w:val="false"/>
          <w:smallCaps w:val="false"/>
          <w:sz w:val="20"/>
          <w:u w:val="single"/>
        </w:rPr>
        <w:t>Severability</w:t>
      </w:r>
      <w:r>
        <w:rPr>
          <w:rFonts w:ascii="Arial;Helvetica;Sans-Serif" w:hAnsi="Arial;Helvetica;San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n) </w:t>
      </w:r>
      <w:r>
        <w:rPr>
          <w:rFonts w:ascii="Arial;Helvetica;Sans-Serif" w:hAnsi="Arial;Helvetica;Sans-Serif"/>
          <w:b w:val="false"/>
          <w:i w:val="false"/>
          <w:caps w:val="false"/>
          <w:smallCaps w:val="false"/>
          <w:sz w:val="20"/>
          <w:u w:val="single"/>
        </w:rPr>
        <w:t>Headings</w:t>
      </w:r>
      <w:r>
        <w:rPr>
          <w:rFonts w:ascii="Arial;Helvetica;Sans-Serif" w:hAnsi="Arial;Helvetica;San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firstLine="1440"/>
        <w:jc w:val="both"/>
        <w:rPr>
          <w:caps w:val="false"/>
          <w:smallCaps w:val="false"/>
        </w:rPr>
      </w:pPr>
      <w:r>
        <w:rPr>
          <w:caps w:val="false"/>
          <w:smallCaps w:val="false"/>
        </w:rPr>
        <w:t> </w:t>
      </w:r>
    </w:p>
    <w:tbl>
      <w:tblPr>
        <w:tblW w:w="2434" w:type="dxa"/>
        <w:jc w:val="left"/>
        <w:tblInd w:w="0" w:type="dxa"/>
        <w:tblLayout w:type="fixed"/>
        <w:tblCellMar>
          <w:top w:w="0" w:type="dxa"/>
          <w:left w:w="0" w:type="dxa"/>
          <w:bottom w:w="0" w:type="dxa"/>
          <w:right w:w="0" w:type="dxa"/>
        </w:tblCellMar>
      </w:tblPr>
      <w:tblGrid>
        <w:gridCol w:w="75"/>
        <w:gridCol w:w="910"/>
        <w:gridCol w:w="1449"/>
      </w:tblGrid>
      <w:tr>
        <w:trPr/>
        <w:tc>
          <w:tcPr>
            <w:tcW w:w="75" w:type="dxa"/>
            <w:tcBorders/>
            <w:vAlign w:val="center"/>
          </w:tcPr>
          <w:p>
            <w:pPr>
              <w:pStyle w:val="TableContents"/>
              <w:bidi w:val="0"/>
              <w:spacing w:before="0" w:after="283"/>
              <w:jc w:val="left"/>
              <w:rPr/>
            </w:pPr>
            <w:r>
              <w:rPr/>
              <w:t> </w:t>
            </w:r>
          </w:p>
        </w:tc>
        <w:tc>
          <w:tcPr>
            <w:tcW w:w="2359" w:type="dxa"/>
            <w:gridSpan w:val="2"/>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DARÉ BIOSCIENCE, INC.</w:t>
            </w:r>
          </w:p>
        </w:tc>
      </w:tr>
      <w:tr>
        <w:trPr/>
        <w:tc>
          <w:tcPr>
            <w:tcW w:w="7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pPr>
            <w:r>
              <w:rPr/>
              <w:t> </w:t>
            </w:r>
          </w:p>
        </w:tc>
        <w:tc>
          <w:tcPr>
            <w:tcW w:w="144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By:</w:t>
            </w:r>
          </w:p>
        </w:tc>
        <w:tc>
          <w:tcPr>
            <w:tcW w:w="144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Name:</w:t>
            </w:r>
          </w:p>
        </w:tc>
        <w:tc>
          <w:tcPr>
            <w:tcW w:w="144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Title:</w:t>
            </w:r>
          </w:p>
        </w:tc>
        <w:tc>
          <w:tcPr>
            <w:tcW w:w="1449"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NOTICE OF EXERCISE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sz w:val="20"/>
        </w:rPr>
      </w:pPr>
      <w:r>
        <w:rPr>
          <w:rFonts w:ascii="Arial;Helvetica;Sans-Serif" w:hAnsi="Arial;Helvetica;Sans-Serif"/>
          <w:b w:val="false"/>
          <w:i w:val="false"/>
          <w:caps/>
          <w:sz w:val="20"/>
        </w:rPr>
        <w:t>To: DARÉ BIOSCIENCE, INC.</w:t>
      </w:r>
    </w:p>
    <w:p>
      <w:pPr>
        <w:pStyle w:val="TextBody"/>
        <w:bidi w:val="0"/>
        <w:spacing w:before="0" w:after="0"/>
        <w:ind w:left="0" w:right="0" w:hanging="0"/>
        <w:jc w:val="both"/>
        <w:rPr>
          <w:caps/>
        </w:rPr>
      </w:pPr>
      <w:r>
        <w:rPr>
          <w:caps/>
        </w:rPr>
        <w:t> </w:t>
      </w:r>
    </w:p>
    <w:p>
      <w:pPr>
        <w:pStyle w:val="TextBody"/>
        <w:bidi w:val="0"/>
        <w:spacing w:before="0" w:after="0"/>
        <w:ind w:left="0" w:right="0" w:firstLine="144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 Payment shall take the form of (check applicable box):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 in lawful money of the United States; 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 Please issue said Warrant Shares in the name of the undersigned or in such other name as is specified below:</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_______________________________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Warrant Shares shall be delivered to the following DWAC Account Number: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_______________________________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_______________________________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_______________________________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 </w:t>
      </w:r>
      <w:r>
        <w:rPr>
          <w:rFonts w:ascii="Arial;Helvetica;Sans-Serif" w:hAnsi="Arial;Helvetica;Sans-Serif"/>
          <w:b w:val="false"/>
          <w:i w:val="false"/>
          <w:caps w:val="false"/>
          <w:smallCaps w:val="false"/>
          <w:sz w:val="20"/>
          <w:u w:val="single"/>
        </w:rPr>
        <w:t>Accredited Investor</w:t>
      </w:r>
      <w:r>
        <w:rPr>
          <w:rFonts w:ascii="Arial;Helvetica;Sans-Serif" w:hAnsi="Arial;Helvetica;Sans-Serif"/>
          <w:b w:val="false"/>
          <w:i w:val="false"/>
          <w:caps w:val="false"/>
          <w:smallCaps w:val="false"/>
          <w:sz w:val="20"/>
        </w:rPr>
        <w:t>. The undersigned is an “accredited investor” as defined in Regulation D promulgated under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sz w:val="20"/>
        </w:rPr>
      </w:pPr>
      <w:r>
        <w:rPr>
          <w:rFonts w:ascii="Arial;Helvetica;Sans-Serif" w:hAnsi="Arial;Helvetica;Sans-Serif"/>
          <w:b w:val="false"/>
          <w:i w:val="false"/>
          <w:caps/>
          <w:sz w:val="20"/>
        </w:rPr>
        <w:t>[SIGNATURE OF HOLDER]</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of Investing Entity: ________________________________________________________________________</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Signature of Authorized Signatory of Investing Entity</w:t>
      </w:r>
      <w:r>
        <w:rPr>
          <w:rFonts w:ascii="Arial;Helvetica;Sans-Serif" w:hAnsi="Arial;Helvetica;Sans-Serif"/>
          <w:b w:val="false"/>
          <w:i w:val="false"/>
          <w:caps w:val="false"/>
          <w:smallCaps w:val="false"/>
          <w:sz w:val="20"/>
        </w:rPr>
        <w:t>: _________________________________________________</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of Authorized Signatory: ___________________________________________________________________</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 of Authorized Signatory: ____________________________________________________________________</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 ________________________________________________________________________________________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B</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ASSIGNMENT FORM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(To assign the foregoing Warrant, execute this form and supply required information. Do not use this form to exercise the Warrant to purchase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4895"/>
        <w:gridCol w:w="60"/>
        <w:gridCol w:w="1220"/>
      </w:tblGrid>
      <w:tr>
        <w:trPr/>
        <w:tc>
          <w:tcPr>
            <w:tcW w:w="489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w:t>
            </w:r>
          </w:p>
        </w:tc>
        <w:tc>
          <w:tcPr>
            <w:tcW w:w="60" w:type="dxa"/>
            <w:tcBorders/>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(Please Print)</w:t>
            </w:r>
          </w:p>
        </w:tc>
      </w:tr>
      <w:tr>
        <w:trPr/>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89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Address:</w:t>
            </w:r>
          </w:p>
        </w:tc>
        <w:tc>
          <w:tcPr>
            <w:tcW w:w="60" w:type="dxa"/>
            <w:tcBorders/>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(Please Print)</w:t>
            </w:r>
          </w:p>
        </w:tc>
      </w:tr>
      <w:tr>
        <w:trPr/>
        <w:tc>
          <w:tcPr>
            <w:tcW w:w="48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Phone Number:</w:t>
            </w:r>
          </w:p>
        </w:tc>
        <w:tc>
          <w:tcPr>
            <w:tcW w:w="60" w:type="dxa"/>
            <w:tcBorders/>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Email Address:</w:t>
            </w:r>
          </w:p>
        </w:tc>
        <w:tc>
          <w:tcPr>
            <w:tcW w:w="60" w:type="dxa"/>
            <w:tcBorders/>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Dated: _______________ __, ______</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89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Holder’s Signature: ______________________________</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8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89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Holder’s Address: ______________________________</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firstLine="36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7" w:name="ex4-3.htm"/>
      <w:bookmarkStart w:id="28" w:name="ksex43"/>
      <w:bookmarkEnd w:id="27"/>
      <w:bookmarkEnd w:id="28"/>
      <w:r>
        <w:rPr>
          <w:caps w:val="false"/>
          <w:smallCaps w:val="false"/>
        </w:rPr>
        <w:t> </w:t>
      </w:r>
      <w:r>
        <w:br w:type="page"/>
      </w:r>
    </w:p>
    <w:p>
      <w:pPr>
        <w:pStyle w:val="TextBody"/>
        <w:bidi w:val="0"/>
        <w:spacing w:before="0" w:after="0"/>
        <w:ind w:left="0" w:right="0" w:hanging="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4.3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PLACEMENT AGENT COMMON STOCK PURCHASE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sz w:val="20"/>
        </w:rPr>
      </w:pPr>
      <w:r>
        <w:rPr>
          <w:rFonts w:ascii="Arial;Helvetica;Sans-Serif" w:hAnsi="Arial;Helvetica;Sans-Serif"/>
          <w:b/>
          <w:i w:val="false"/>
          <w:caps/>
          <w:sz w:val="20"/>
        </w:rPr>
        <w:t>Daré Bioscience, Inc.</w:t>
      </w:r>
    </w:p>
    <w:p>
      <w:pPr>
        <w:pStyle w:val="TextBody"/>
        <w:bidi w:val="0"/>
        <w:spacing w:before="0" w:after="0"/>
        <w:ind w:left="0" w:right="0" w:hanging="0"/>
        <w:jc w:val="center"/>
        <w:rPr>
          <w:caps/>
        </w:rPr>
      </w:pPr>
      <w:r>
        <w:rPr>
          <w:caps/>
        </w:rPr>
        <w:t> </w:t>
      </w:r>
    </w:p>
    <w:tbl>
      <w:tblPr>
        <w:tblW w:w="5845" w:type="dxa"/>
        <w:jc w:val="left"/>
        <w:tblInd w:w="0" w:type="dxa"/>
        <w:tblLayout w:type="fixed"/>
        <w:tblCellMar>
          <w:top w:w="0" w:type="dxa"/>
          <w:left w:w="0" w:type="dxa"/>
          <w:bottom w:w="0" w:type="dxa"/>
          <w:right w:w="0" w:type="dxa"/>
        </w:tblCellMar>
      </w:tblPr>
      <w:tblGrid>
        <w:gridCol w:w="2360"/>
        <w:gridCol w:w="3485"/>
      </w:tblGrid>
      <w:tr>
        <w:trPr/>
        <w:tc>
          <w:tcPr>
            <w:tcW w:w="23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Warrant Shares: [_______]</w:t>
            </w:r>
          </w:p>
        </w:tc>
        <w:tc>
          <w:tcPr>
            <w:tcW w:w="34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Initial Issuance Date: August [__],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PLACEMENT AGENT COMMON STOCK PURCHASE WARRANT (this “</w:t>
      </w:r>
      <w:r>
        <w:rPr>
          <w:rFonts w:ascii="Arial;Helvetica;Sans-Serif" w:hAnsi="Arial;Helvetica;Sans-Serif"/>
          <w:b w:val="false"/>
          <w:i w:val="false"/>
          <w:caps w:val="false"/>
          <w:smallCaps w:val="false"/>
          <w:sz w:val="20"/>
          <w:u w:val="single"/>
        </w:rPr>
        <w:t>Warrant</w:t>
      </w:r>
      <w:r>
        <w:rPr>
          <w:rFonts w:ascii="Arial;Helvetica;Sans-Serif" w:hAnsi="Arial;Helvetica;Sans-Serif"/>
          <w:b w:val="false"/>
          <w:i w:val="false"/>
          <w:caps w:val="false"/>
          <w:smallCaps w:val="false"/>
          <w:sz w:val="20"/>
        </w:rPr>
        <w:t>”) certifies that, for value received, [____________] or its assigns (the “</w:t>
      </w:r>
      <w:r>
        <w:rPr>
          <w:rFonts w:ascii="Arial;Helvetica;Sans-Serif" w:hAnsi="Arial;Helvetica;Sans-Serif"/>
          <w:b w:val="false"/>
          <w:i w:val="false"/>
          <w:caps w:val="false"/>
          <w:smallCaps w:val="false"/>
          <w:sz w:val="20"/>
          <w:u w:val="single"/>
        </w:rPr>
        <w:t>Holder</w:t>
      </w:r>
      <w:r>
        <w:rPr>
          <w:rFonts w:ascii="Arial;Helvetica;Sans-Serif" w:hAnsi="Arial;Helvetica;Sans-Serif"/>
          <w:b w:val="false"/>
          <w:i w:val="false"/>
          <w:caps w:val="false"/>
          <w:smallCaps w:val="false"/>
          <w:sz w:val="20"/>
        </w:rPr>
        <w:t>”) is entitled, upon the terms and subject to the limitations on exercise and the conditions hereinafter set forth, at any time on or after the Shareholder Approval Date (the “</w:t>
      </w:r>
      <w:r>
        <w:rPr>
          <w:rFonts w:ascii="Arial;Helvetica;Sans-Serif" w:hAnsi="Arial;Helvetica;Sans-Serif"/>
          <w:b w:val="false"/>
          <w:i w:val="false"/>
          <w:caps w:val="false"/>
          <w:smallCaps w:val="false"/>
          <w:sz w:val="20"/>
          <w:u w:val="single"/>
        </w:rPr>
        <w:t>Initial Exercise Date</w:t>
      </w:r>
      <w:r>
        <w:rPr>
          <w:rFonts w:ascii="Arial;Helvetica;Sans-Serif" w:hAnsi="Arial;Helvetica;Sans-Serif"/>
          <w:b w:val="false"/>
          <w:i w:val="false"/>
          <w:caps w:val="false"/>
          <w:smallCaps w:val="false"/>
          <w:sz w:val="20"/>
        </w:rPr>
        <w:t>”) and on or prior to 5:00 p.m. (New York City time) on August 14, 2031 (the “</w:t>
      </w:r>
      <w:r>
        <w:rPr>
          <w:rFonts w:ascii="Arial;Helvetica;Sans-Serif" w:hAnsi="Arial;Helvetica;Sans-Serif"/>
          <w:b w:val="false"/>
          <w:i w:val="false"/>
          <w:caps w:val="false"/>
          <w:smallCaps w:val="false"/>
          <w:sz w:val="20"/>
          <w:u w:val="single"/>
        </w:rPr>
        <w:t>Termination Date</w:t>
      </w:r>
      <w:r>
        <w:rPr>
          <w:rFonts w:ascii="Arial;Helvetica;Sans-Serif" w:hAnsi="Arial;Helvetica;Sans-Serif"/>
          <w:b w:val="false"/>
          <w:i w:val="false"/>
          <w:caps w:val="false"/>
          <w:smallCaps w:val="false"/>
          <w:sz w:val="20"/>
        </w:rPr>
        <w:t>”), but not thereafter, to subscribe for and purchase from Daré Bioscience, Inc., a Delaware corporation (the “</w:t>
      </w:r>
      <w:r>
        <w:rPr>
          <w:rFonts w:ascii="Arial;Helvetica;Sans-Serif" w:hAnsi="Arial;Helvetica;Sans-Serif"/>
          <w:b w:val="false"/>
          <w:i w:val="false"/>
          <w:caps w:val="false"/>
          <w:smallCaps w:val="false"/>
          <w:sz w:val="20"/>
          <w:u w:val="single"/>
        </w:rPr>
        <w:t>Company</w:t>
      </w:r>
      <w:r>
        <w:rPr>
          <w:rFonts w:ascii="Arial;Helvetica;Sans-Serif" w:hAnsi="Arial;Helvetica;Sans-Serif"/>
          <w:b w:val="false"/>
          <w:i w:val="false"/>
          <w:caps w:val="false"/>
          <w:smallCaps w:val="false"/>
          <w:sz w:val="20"/>
        </w:rPr>
        <w:t>”), up to [_____] shares (as subject to adjustment hereunder, the “</w:t>
      </w:r>
      <w:r>
        <w:rPr>
          <w:rFonts w:ascii="Arial;Helvetica;Sans-Serif" w:hAnsi="Arial;Helvetica;Sans-Serif"/>
          <w:b w:val="false"/>
          <w:i w:val="false"/>
          <w:caps w:val="false"/>
          <w:smallCaps w:val="false"/>
          <w:sz w:val="20"/>
          <w:u w:val="single"/>
        </w:rPr>
        <w:t>Warrant Shares</w:t>
      </w:r>
      <w:r>
        <w:rPr>
          <w:rFonts w:ascii="Arial;Helvetica;Sans-Serif" w:hAnsi="Arial;Helvetica;Sans-Serif"/>
          <w:b w:val="false"/>
          <w:i w:val="false"/>
          <w:caps w:val="false"/>
          <w:smallCaps w:val="false"/>
          <w:sz w:val="20"/>
        </w:rPr>
        <w:t>”) of Common Stock. The purchase price of one share of Common Stock under this Warrant shall be equal to the Exercise Price, as defined in Section 2(b). This Warrant is issued pursuant to that certain Placement Agency Agreement, by and between the Company and Ladenburg Thalmann &amp; Co. Inc., dated as of July 31, 2026.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u w:val="single"/>
        </w:rPr>
        <w:t>Section 1</w:t>
      </w:r>
      <w:r>
        <w:rPr>
          <w:rFonts w:ascii="Arial;Helvetica;Sans-Serif" w:hAnsi="Arial;Helvetica;Sans-Serif"/>
          <w:b w:val="false"/>
          <w:i w:val="false"/>
          <w:caps w:val="false"/>
          <w:smallCaps w:val="false"/>
          <w:sz w:val="20"/>
        </w:rPr>
        <w:t xml:space="preserve">. </w:t>
      </w:r>
      <w:r>
        <w:rPr>
          <w:rFonts w:ascii="Arial;Helvetica;Sans-Serif" w:hAnsi="Arial;Helvetica;Sans-Serif"/>
          <w:b w:val="false"/>
          <w:i w:val="false"/>
          <w:caps w:val="false"/>
          <w:smallCaps w:val="false"/>
          <w:sz w:val="20"/>
          <w:u w:val="single"/>
        </w:rPr>
        <w:t>Definitions</w:t>
      </w:r>
      <w:r>
        <w:rPr>
          <w:rFonts w:ascii="Arial;Helvetica;Sans-Serif" w:hAnsi="Arial;Helvetica;Sans-Serif"/>
          <w:b w:val="false"/>
          <w:i w:val="false"/>
          <w:caps w:val="false"/>
          <w:smallCaps w:val="false"/>
          <w:sz w:val="20"/>
        </w:rPr>
        <w:t>. Capitalized terms used and not otherwise defined herein shall have the meanings set forth in that certain Securities Purchase Agreement (the “</w:t>
      </w:r>
      <w:r>
        <w:rPr>
          <w:rFonts w:ascii="Arial;Helvetica;Sans-Serif" w:hAnsi="Arial;Helvetica;Sans-Serif"/>
          <w:b w:val="false"/>
          <w:i w:val="false"/>
          <w:caps w:val="false"/>
          <w:smallCaps w:val="false"/>
          <w:sz w:val="20"/>
          <w:u w:val="single"/>
        </w:rPr>
        <w:t>Purchase Agreement</w:t>
      </w:r>
      <w:r>
        <w:rPr>
          <w:rFonts w:ascii="Arial;Helvetica;Sans-Serif" w:hAnsi="Arial;Helvetica;Sans-Serif"/>
          <w:b w:val="false"/>
          <w:i w:val="false"/>
          <w:caps w:val="false"/>
          <w:smallCaps w:val="false"/>
          <w:sz w:val="20"/>
        </w:rPr>
        <w:t>”), dated August 14, 2026, among the Company and the purchasers signatory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u w:val="single"/>
        </w:rPr>
        <w:t>Section 2</w:t>
      </w:r>
      <w:r>
        <w:rPr>
          <w:rFonts w:ascii="Arial;Helvetica;Sans-Serif" w:hAnsi="Arial;Helvetica;Sans-Serif"/>
          <w:b w:val="false"/>
          <w:i w:val="false"/>
          <w:caps w:val="false"/>
          <w:smallCaps w:val="false"/>
          <w:sz w:val="20"/>
        </w:rPr>
        <w:t xml:space="preserve">. </w:t>
      </w:r>
      <w:r>
        <w:rPr>
          <w:rFonts w:ascii="Arial;Helvetica;Sans-Serif" w:hAnsi="Arial;Helvetica;Sans-Serif"/>
          <w:b w:val="false"/>
          <w:i w:val="false"/>
          <w:caps w:val="false"/>
          <w:smallCaps w:val="false"/>
          <w:sz w:val="20"/>
          <w:u w:val="single"/>
        </w:rPr>
        <w:t>Exercise</w:t>
      </w:r>
      <w:r>
        <w:rPr>
          <w:rFonts w:ascii="Arial;Helvetica;Sans-Serif" w:hAnsi="Arial;Helvetica;San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 </w:t>
      </w:r>
      <w:r>
        <w:rPr>
          <w:rFonts w:ascii="Arial;Helvetica;Sans-Serif" w:hAnsi="Arial;Helvetica;Sans-Serif"/>
          <w:b w:val="false"/>
          <w:i w:val="false"/>
          <w:caps w:val="false"/>
          <w:smallCaps w:val="false"/>
          <w:sz w:val="20"/>
          <w:u w:val="single"/>
        </w:rPr>
        <w:t>Exercise of Warrant</w:t>
      </w:r>
      <w:r>
        <w:rPr>
          <w:rFonts w:ascii="Arial;Helvetica;Sans-Serif" w:hAnsi="Arial;Helvetica;Sans-Serif"/>
          <w:b w:val="false"/>
          <w:i w:val="false"/>
          <w:caps w:val="false"/>
          <w:smallCaps w:val="false"/>
          <w:sz w:val="20"/>
        </w:rPr>
        <w:t>. Subject to Section 2(e),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Arial;Helvetica;Sans-Serif" w:hAnsi="Arial;Helvetica;Sans-Serif"/>
          <w:b w:val="false"/>
          <w:i w:val="false"/>
          <w:caps w:val="false"/>
          <w:smallCaps w:val="false"/>
          <w:sz w:val="20"/>
          <w:u w:val="single"/>
        </w:rPr>
        <w:t>Notice of Exercise</w:t>
      </w:r>
      <w:r>
        <w:rPr>
          <w:rFonts w:ascii="Arial;Helvetica;Sans-Serif" w:hAnsi="Arial;Helvetica;Sans-Serif"/>
          <w:b w:val="false"/>
          <w:i w:val="false"/>
          <w:caps w:val="false"/>
          <w:smallCaps w:val="false"/>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this Warrant has been exercised in full, in which case, the Holder shall surrender this Warrant to the Company for cancellation as soon as reasonably practicable following the date on which the final Notice of Exercise is delivered to the Company, and in any event within three (3) Trading Days of such date.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rFonts w:ascii="Arial;Helvetica;Sans-Serif" w:hAnsi="Arial;Helvetica;San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b) </w:t>
      </w:r>
      <w:r>
        <w:rPr>
          <w:rFonts w:ascii="Arial;Helvetica;Sans-Serif" w:hAnsi="Arial;Helvetica;Sans-Serif"/>
          <w:b w:val="false"/>
          <w:i w:val="false"/>
          <w:caps w:val="false"/>
          <w:smallCaps w:val="false"/>
          <w:sz w:val="20"/>
          <w:u w:val="single"/>
        </w:rPr>
        <w:t>Exercise Price</w:t>
      </w:r>
      <w:r>
        <w:rPr>
          <w:rFonts w:ascii="Arial;Helvetica;Sans-Serif" w:hAnsi="Arial;Helvetica;Sans-Serif"/>
          <w:b w:val="false"/>
          <w:i w:val="false"/>
          <w:caps w:val="false"/>
          <w:smallCaps w:val="false"/>
          <w:sz w:val="20"/>
        </w:rPr>
        <w:t xml:space="preserve">. The exercise price per Warrant Share shall be </w:t>
      </w:r>
      <w:r>
        <w:rPr>
          <w:rFonts w:ascii="Arial;Helvetica;Sans-Serif" w:hAnsi="Arial;Helvetica;Sans-Serif"/>
          <w:b/>
          <w:i w:val="false"/>
          <w:caps w:val="false"/>
          <w:smallCaps w:val="false"/>
          <w:sz w:val="20"/>
        </w:rPr>
        <w:t>$2.1235</w:t>
      </w:r>
      <w:r>
        <w:rPr>
          <w:rFonts w:ascii="Arial;Helvetica;Sans-Serif" w:hAnsi="Arial;Helvetica;Sans-Serif"/>
          <w:b w:val="false"/>
          <w:i w:val="false"/>
          <w:caps w:val="false"/>
          <w:smallCaps w:val="false"/>
          <w:sz w:val="20"/>
        </w:rPr>
        <w:t>, subject to adjustment hereunder (the “</w:t>
      </w:r>
      <w:r>
        <w:rPr>
          <w:rFonts w:ascii="Arial;Helvetica;Sans-Serif" w:hAnsi="Arial;Helvetica;Sans-Serif"/>
          <w:b w:val="false"/>
          <w:i w:val="false"/>
          <w:caps w:val="false"/>
          <w:smallCaps w:val="false"/>
          <w:sz w:val="20"/>
          <w:u w:val="single"/>
        </w:rPr>
        <w:t>Exercise Price</w:t>
      </w:r>
      <w:r>
        <w:rPr>
          <w:rFonts w:ascii="Arial;Helvetica;Sans-Serif" w:hAnsi="Arial;Helvetica;San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 </w:t>
      </w:r>
      <w:r>
        <w:rPr>
          <w:rFonts w:ascii="Arial;Helvetica;Sans-Serif" w:hAnsi="Arial;Helvetica;Sans-Serif"/>
          <w:b w:val="false"/>
          <w:i w:val="false"/>
          <w:caps w:val="false"/>
          <w:smallCaps w:val="false"/>
          <w:sz w:val="20"/>
          <w:u w:val="single"/>
        </w:rPr>
        <w:t>Cashless Exercise</w:t>
      </w:r>
      <w:r>
        <w:rPr>
          <w:rFonts w:ascii="Arial;Helvetica;Sans-Serif" w:hAnsi="Arial;Helvetica;Sans-Serif"/>
          <w:b w:val="false"/>
          <w:i w:val="false"/>
          <w:caps w:val="false"/>
          <w:smallCaps w:val="false"/>
          <w:sz w:val="20"/>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72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140"/>
        <w:gridCol w:w="977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w:t>
            </w:r>
          </w:p>
        </w:tc>
        <w:tc>
          <w:tcPr>
            <w:tcW w:w="1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9771"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w:t>
            </w:r>
            <w:r>
              <w:rPr>
                <w:rFonts w:ascii="Arial;Helvetica;Sans-Serif" w:hAnsi="Arial;Helvetica;Sans-Serif"/>
                <w:b w:val="false"/>
                <w:i w:val="false"/>
                <w:caps w:val="false"/>
                <w:smallCaps w:val="false"/>
                <w:sz w:val="20"/>
                <w:u w:val="single"/>
              </w:rPr>
              <w:t>Bloomberg</w:t>
            </w:r>
            <w:r>
              <w:rPr>
                <w:rFonts w:ascii="Arial;Helvetica;Sans-Serif" w:hAnsi="Arial;Helvetica;Sans-Serif"/>
                <w:b w:val="false"/>
                <w:i w:val="false"/>
                <w:caps w:val="false"/>
                <w:smallCaps w:val="false"/>
                <w:sz w:val="20"/>
              </w:rPr>
              <w:t>”) as of the time of the Holder’s execution of the applicable Notice of Exercise, if such Notice of Exercise is executed during “regular trading hours” on a Trading Day and is delivered pursuant to Section 2(a) hereof within two (2) hours thereafter (including until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77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w:t>
            </w:r>
          </w:p>
        </w:tc>
        <w:tc>
          <w:tcPr>
            <w:tcW w:w="1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9771"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Exercise Price of this Warrant, as adjusted hereunder;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77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(X)</w:t>
            </w:r>
          </w:p>
        </w:tc>
        <w:tc>
          <w:tcPr>
            <w:tcW w:w="1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9771"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1980" w:right="0" w:hanging="54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If Warrant Shares are issued in such a cashless exercise, the parties acknowledge and agree that in accordance with Section 3(a)(9) of the Securities Act, the Warrant Shares shall take on the characteristics of this Warrant, and the holding period of the Warrant Shares being issued may be tacked on to the holding period of this Warrant. The Company agrees not to take any position contrary to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Bid Price</w:t>
      </w:r>
      <w:r>
        <w:rPr>
          <w:rFonts w:ascii="Arial;Helvetica;Sans-Serif" w:hAnsi="Arial;Helvetica;Sans-Serif"/>
          <w:b w:val="false"/>
          <w:i w:val="false"/>
          <w:caps w:val="false"/>
          <w:smallCaps w:val="false"/>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the Common Stock is then listed or quoted on the OTCQB Venture Market (“</w:t>
      </w:r>
      <w:r>
        <w:rPr>
          <w:rFonts w:ascii="Arial;Helvetica;Sans-Serif" w:hAnsi="Arial;Helvetica;Sans-Serif"/>
          <w:b w:val="false"/>
          <w:i w:val="false"/>
          <w:caps w:val="false"/>
          <w:smallCaps w:val="false"/>
          <w:sz w:val="20"/>
          <w:u w:val="single"/>
        </w:rPr>
        <w:t>OTCQB</w:t>
      </w:r>
      <w:r>
        <w:rPr>
          <w:rFonts w:ascii="Arial;Helvetica;Sans-Serif" w:hAnsi="Arial;Helvetica;Sans-Serif"/>
          <w:b w:val="false"/>
          <w:i w:val="false"/>
          <w:caps w:val="false"/>
          <w:smallCaps w:val="false"/>
          <w:sz w:val="20"/>
        </w:rPr>
        <w:t>”) or the OTCQX Best Market (“</w:t>
      </w:r>
      <w:r>
        <w:rPr>
          <w:rFonts w:ascii="Arial;Helvetica;Sans-Serif" w:hAnsi="Arial;Helvetica;Sans-Serif"/>
          <w:b w:val="false"/>
          <w:i w:val="false"/>
          <w:caps w:val="false"/>
          <w:smallCaps w:val="false"/>
          <w:sz w:val="20"/>
          <w:u w:val="single"/>
        </w:rPr>
        <w:t>OTCQX</w:t>
      </w:r>
      <w:r>
        <w:rPr>
          <w:rFonts w:ascii="Arial;Helvetica;Sans-Serif" w:hAnsi="Arial;Helvetica;Sans-Serif"/>
          <w:b w:val="false"/>
          <w:i w:val="false"/>
          <w:caps w:val="false"/>
          <w:smallCaps w:val="false"/>
          <w:sz w:val="20"/>
        </w:rPr>
        <w: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operated by the OTC Markets, Inc. (or a similar organization or agency succeeding to its functions of reporting prices) (“</w:t>
      </w:r>
      <w:r>
        <w:rPr>
          <w:rFonts w:ascii="Arial;Helvetica;Sans-Serif" w:hAnsi="Arial;Helvetica;Sans-Serif"/>
          <w:b w:val="false"/>
          <w:i w:val="false"/>
          <w:caps w:val="false"/>
          <w:smallCaps w:val="false"/>
          <w:sz w:val="20"/>
          <w:u w:val="single"/>
        </w:rPr>
        <w:t>Pink Market</w:t>
      </w:r>
      <w:r>
        <w:rPr>
          <w:rFonts w:ascii="Arial;Helvetica;Sans-Serif" w:hAnsi="Arial;Helvetica;Sans-Serif"/>
          <w:b w:val="false"/>
          <w:i w:val="false"/>
          <w:caps w:val="false"/>
          <w:smallCaps w:val="false"/>
          <w:sz w:val="20"/>
        </w:rPr>
        <w:t>”),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VWAP</w:t>
      </w:r>
      <w:r>
        <w:rPr>
          <w:rFonts w:ascii="Arial;Helvetica;Sans-Serif" w:hAnsi="Arial;Helvetica;San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Common Stock is then listed or quoted on the OTCQB or the OTCQX, the volume weighted average price of the Common Stock for such date (or the nearest preceding date) on OTCQB or OTCQX as applicable, (c) if the Common Stock is not then listed or quoted for trading on OTCQB or OTCQX and if prices for the Common Stock are then reported on the Pink Market,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 </w:t>
      </w:r>
      <w:r>
        <w:rPr>
          <w:rFonts w:ascii="Arial;Helvetica;Sans-Serif" w:hAnsi="Arial;Helvetica;Sans-Serif"/>
          <w:b w:val="false"/>
          <w:i w:val="false"/>
          <w:caps w:val="false"/>
          <w:smallCaps w:val="false"/>
          <w:sz w:val="20"/>
          <w:u w:val="single"/>
        </w:rPr>
        <w:t>Mechanics of Exercise</w:t>
      </w:r>
      <w:r>
        <w:rPr>
          <w:rFonts w:ascii="Arial;Helvetica;Sans-Serif" w:hAnsi="Arial;Helvetica;San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 </w:t>
      </w:r>
      <w:r>
        <w:rPr>
          <w:rFonts w:ascii="Arial;Helvetica;Sans-Serif" w:hAnsi="Arial;Helvetica;Sans-Serif"/>
          <w:b w:val="false"/>
          <w:i w:val="false"/>
          <w:caps w:val="false"/>
          <w:smallCaps w:val="false"/>
          <w:sz w:val="20"/>
          <w:u w:val="single"/>
        </w:rPr>
        <w:t>Delivery of Warrant Shares Upon Exercise</w:t>
      </w:r>
      <w:r>
        <w:rPr>
          <w:rFonts w:ascii="Arial;Helvetica;Sans-Serif" w:hAnsi="Arial;Helvetica;San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Arial;Helvetica;Sans-Serif" w:hAnsi="Arial;Helvetica;Sans-Serif"/>
          <w:b w:val="false"/>
          <w:i w:val="false"/>
          <w:caps w:val="false"/>
          <w:smallCaps w:val="false"/>
          <w:sz w:val="20"/>
          <w:u w:val="single"/>
        </w:rPr>
        <w:t>DWAC</w:t>
      </w:r>
      <w:r>
        <w:rPr>
          <w:rFonts w:ascii="Arial;Helvetica;Sans-Serif" w:hAnsi="Arial;Helvetica;Sans-Serif"/>
          <w:b w:val="false"/>
          <w:i w:val="false"/>
          <w:caps w:val="false"/>
          <w:smallCaps w:val="false"/>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this Warrant),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Arial;Helvetica;Sans-Serif" w:hAnsi="Arial;Helvetica;Sans-Serif"/>
          <w:b w:val="false"/>
          <w:i w:val="false"/>
          <w:caps w:val="false"/>
          <w:smallCaps w:val="false"/>
          <w:sz w:val="20"/>
          <w:u w:val="single"/>
        </w:rPr>
        <w:t>Warrant Share Delivery Date</w:t>
      </w:r>
      <w:r>
        <w:rPr>
          <w:rFonts w:ascii="Arial;Helvetica;Sans-Serif" w:hAnsi="Arial;Helvetica;Sans-Serif"/>
          <w:b w:val="false"/>
          <w:i w:val="false"/>
          <w:caps w:val="false"/>
          <w:smallCaps w:val="false"/>
          <w:sz w:val="20"/>
        </w:rPr>
        <w:t>”), provided that payment of the aggregate Exercise Price (other than in the case of a cashless exercise) is received by the Warrant Share Delivery Date.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w:t>
      </w:r>
      <w:r>
        <w:rPr>
          <w:rFonts w:ascii="Arial;Helvetica;Sans-Serif" w:hAnsi="Arial;Helvetica;Sans-Serif"/>
          <w:b w:val="false"/>
          <w:i w:val="false"/>
          <w:caps w:val="false"/>
          <w:smallCaps w:val="false"/>
          <w:position w:val="7"/>
          <w:sz w:val="16"/>
          <w:sz w:val="20"/>
        </w:rPr>
        <w:t>rd</w:t>
      </w:r>
      <w:r>
        <w:rPr>
          <w:rFonts w:ascii="Arial;Helvetica;Sans-Serif" w:hAnsi="Arial;Helvetica;Sans-Serif"/>
          <w:b w:val="false"/>
          <w:i w:val="false"/>
          <w:caps w:val="false"/>
          <w:smallCaps w:val="false"/>
          <w:sz w:val="20"/>
        </w:rPr>
        <w:t>)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Arial;Helvetica;Sans-Serif" w:hAnsi="Arial;Helvetica;Sans-Serif"/>
          <w:b w:val="false"/>
          <w:i w:val="false"/>
          <w:caps w:val="false"/>
          <w:smallCaps w:val="false"/>
          <w:sz w:val="20"/>
          <w:u w:val="single"/>
        </w:rPr>
        <w:t>Standard Settlement Period</w:t>
      </w:r>
      <w:r>
        <w:rPr>
          <w:rFonts w:ascii="Arial;Helvetica;Sans-Serif" w:hAnsi="Arial;Helvetica;Sans-Serif"/>
          <w:b w:val="false"/>
          <w:i w:val="false"/>
          <w:caps w:val="false"/>
          <w:smallCaps w:val="false"/>
          <w:sz w:val="20"/>
        </w:rPr>
        <w:t>” means the standard settlement period, expressed in a number of Trading Days, on the Company’s primary Trading Market with respect to the Common Stock as in effect on the date of delivery of the Notice of Exercise.</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ii. </w:t>
      </w:r>
      <w:r>
        <w:rPr>
          <w:rFonts w:ascii="Arial;Helvetica;Sans-Serif" w:hAnsi="Arial;Helvetica;Sans-Serif"/>
          <w:b w:val="false"/>
          <w:i w:val="false"/>
          <w:caps w:val="false"/>
          <w:smallCaps w:val="false"/>
          <w:sz w:val="20"/>
          <w:u w:val="single"/>
        </w:rPr>
        <w:t>Reserved.</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iii. </w:t>
      </w:r>
      <w:r>
        <w:rPr>
          <w:rFonts w:ascii="Arial;Helvetica;Sans-Serif" w:hAnsi="Arial;Helvetica;Sans-Serif"/>
          <w:b w:val="false"/>
          <w:i w:val="false"/>
          <w:caps w:val="false"/>
          <w:smallCaps w:val="false"/>
          <w:sz w:val="20"/>
          <w:u w:val="single"/>
        </w:rPr>
        <w:t>Delivery of New Warrants Upon Exercise</w:t>
      </w:r>
      <w:r>
        <w:rPr>
          <w:rFonts w:ascii="Arial;Helvetica;Sans-Serif" w:hAnsi="Arial;Helvetica;San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2340" w:right="0" w:firstLine="630"/>
        <w:jc w:val="both"/>
        <w:rPr>
          <w:caps w:val="false"/>
          <w:smallCaps w:val="false"/>
        </w:rPr>
      </w:pPr>
      <w:r>
        <w:rPr>
          <w:caps w:val="false"/>
          <w:smallCaps w:val="false"/>
        </w:rPr>
        <w:t> </w:t>
      </w:r>
    </w:p>
    <w:p>
      <w:pPr>
        <w:pStyle w:val="TextBody"/>
        <w:bidi w:val="0"/>
        <w:spacing w:before="0" w:after="0"/>
        <w:ind w:left="216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iv. </w:t>
      </w:r>
      <w:r>
        <w:rPr>
          <w:rFonts w:ascii="Arial;Helvetica;Sans-Serif" w:hAnsi="Arial;Helvetica;Sans-Serif"/>
          <w:b w:val="false"/>
          <w:i w:val="false"/>
          <w:caps w:val="false"/>
          <w:smallCaps w:val="false"/>
          <w:sz w:val="20"/>
          <w:u w:val="single"/>
        </w:rPr>
        <w:t>Rescission Rights</w:t>
      </w:r>
      <w:r>
        <w:rPr>
          <w:rFonts w:ascii="Arial;Helvetica;Sans-Serif" w:hAnsi="Arial;Helvetica;Sans-Serif"/>
          <w:b w:val="false"/>
          <w:i w:val="false"/>
          <w:caps w:val="false"/>
          <w:smallCaps w:val="false"/>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v. </w:t>
      </w:r>
      <w:r>
        <w:rPr>
          <w:rFonts w:ascii="Arial;Helvetica;Sans-Serif" w:hAnsi="Arial;Helvetica;Sans-Serif"/>
          <w:b w:val="false"/>
          <w:i w:val="false"/>
          <w:caps w:val="false"/>
          <w:smallCaps w:val="false"/>
          <w:sz w:val="20"/>
          <w:u w:val="single"/>
        </w:rPr>
        <w:t>Compensation for Buy-In on Failure to Timely Deliver Warrant Shares Upon Exercise</w:t>
      </w:r>
      <w:r>
        <w:rPr>
          <w:rFonts w:ascii="Arial;Helvetica;Sans-Serif" w:hAnsi="Arial;Helvetica;Sans-Serif"/>
          <w:b w:val="false"/>
          <w:i w:val="false"/>
          <w:caps w:val="false"/>
          <w:smallCaps w:val="false"/>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Helvetica;Sans-Serif" w:hAnsi="Arial;Helvetica;Sans-Serif"/>
          <w:b w:val="false"/>
          <w:i w:val="false"/>
          <w:caps w:val="false"/>
          <w:smallCaps w:val="false"/>
          <w:sz w:val="20"/>
          <w:u w:val="single"/>
        </w:rPr>
        <w:t>Buy-In</w:t>
      </w:r>
      <w:r>
        <w:rPr>
          <w:rFonts w:ascii="Arial;Helvetica;Sans-Serif" w:hAnsi="Arial;Helvetica;Sans-Serif"/>
          <w:b w:val="false"/>
          <w:i w:val="false"/>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this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this Warrant as required pursuant to the terms hereof.</w:t>
      </w:r>
    </w:p>
    <w:p>
      <w:pPr>
        <w:pStyle w:val="TextBody"/>
        <w:bidi w:val="0"/>
        <w:spacing w:before="0" w:after="0"/>
        <w:ind w:left="234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vi. </w:t>
      </w:r>
      <w:r>
        <w:rPr>
          <w:rFonts w:ascii="Arial;Helvetica;Sans-Serif" w:hAnsi="Arial;Helvetica;Sans-Serif"/>
          <w:b w:val="false"/>
          <w:i w:val="false"/>
          <w:caps w:val="false"/>
          <w:smallCaps w:val="false"/>
          <w:sz w:val="20"/>
          <w:u w:val="single"/>
        </w:rPr>
        <w:t>No Fractional Shares or Scrip</w:t>
      </w:r>
      <w:r>
        <w:rPr>
          <w:rFonts w:ascii="Arial;Helvetica;Sans-Serif" w:hAnsi="Arial;Helvetica;San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vii. </w:t>
      </w:r>
      <w:r>
        <w:rPr>
          <w:rFonts w:ascii="Arial;Helvetica;Sans-Serif" w:hAnsi="Arial;Helvetica;Sans-Serif"/>
          <w:b w:val="false"/>
          <w:i w:val="false"/>
          <w:caps w:val="false"/>
          <w:smallCaps w:val="false"/>
          <w:sz w:val="20"/>
          <w:u w:val="single"/>
        </w:rPr>
        <w:t>Charges, Taxes and Expenses</w:t>
      </w:r>
      <w:r>
        <w:rPr>
          <w:rFonts w:ascii="Arial;Helvetica;Sans-Serif" w:hAnsi="Arial;Helvetica;San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Helvetica;Sans-Serif" w:hAnsi="Arial;Helvetica;Sans-Serif"/>
          <w:b w:val="false"/>
          <w:i w:val="false"/>
          <w:caps w:val="false"/>
          <w:smallCaps w:val="false"/>
          <w:sz w:val="20"/>
          <w:u w:val="single"/>
        </w:rPr>
        <w:t>provided</w:t>
      </w:r>
      <w:r>
        <w:rPr>
          <w:rFonts w:ascii="Arial;Helvetica;Sans-Serif" w:hAnsi="Arial;Helvetica;Sans-Serif"/>
          <w:b w:val="false"/>
          <w:i w:val="false"/>
          <w:caps w:val="false"/>
          <w:smallCaps w:val="false"/>
          <w:sz w:val="20"/>
        </w:rPr>
        <w:t xml:space="preserve">, </w:t>
      </w:r>
      <w:r>
        <w:rPr>
          <w:rFonts w:ascii="Arial;Helvetica;Sans-Serif" w:hAnsi="Arial;Helvetica;Sans-Serif"/>
          <w:b w:val="false"/>
          <w:i w:val="false"/>
          <w:caps w:val="false"/>
          <w:smallCaps w:val="false"/>
          <w:sz w:val="20"/>
          <w:u w:val="single"/>
        </w:rPr>
        <w:t>however</w:t>
      </w:r>
      <w:r>
        <w:rPr>
          <w:rFonts w:ascii="Arial;Helvetica;Sans-Serif" w:hAnsi="Arial;Helvetica;Sans-Serif"/>
          <w:b w:val="false"/>
          <w:i w:val="false"/>
          <w:caps w:val="false"/>
          <w:smallCaps w:val="false"/>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viii. </w:t>
      </w:r>
      <w:r>
        <w:rPr>
          <w:rFonts w:ascii="Arial;Helvetica;Sans-Serif" w:hAnsi="Arial;Helvetica;Sans-Serif"/>
          <w:b w:val="false"/>
          <w:i w:val="false"/>
          <w:caps w:val="false"/>
          <w:smallCaps w:val="false"/>
          <w:sz w:val="20"/>
          <w:u w:val="single"/>
        </w:rPr>
        <w:t>Closing of Books</w:t>
      </w:r>
      <w:r>
        <w:rPr>
          <w:rFonts w:ascii="Arial;Helvetica;Sans-Serif" w:hAnsi="Arial;Helvetica;San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 </w:t>
      </w:r>
      <w:r>
        <w:rPr>
          <w:rFonts w:ascii="Arial;Helvetica;Sans-Serif" w:hAnsi="Arial;Helvetica;Sans-Serif"/>
          <w:b w:val="false"/>
          <w:i w:val="false"/>
          <w:caps w:val="false"/>
          <w:smallCaps w:val="false"/>
          <w:sz w:val="20"/>
          <w:u w:val="single"/>
        </w:rPr>
        <w:t>Holder’s Exercise Limitations</w:t>
      </w:r>
      <w:r>
        <w:rPr>
          <w:rFonts w:ascii="Arial;Helvetica;Sans-Serif" w:hAnsi="Arial;Helvetica;San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Helvetica;Sans-Serif" w:hAnsi="Arial;Helvetica;Sans-Serif"/>
          <w:b w:val="false"/>
          <w:i w:val="false"/>
          <w:caps w:val="false"/>
          <w:smallCaps w:val="false"/>
          <w:sz w:val="20"/>
          <w:u w:val="single"/>
        </w:rPr>
        <w:t>Attribution Parties</w:t>
      </w:r>
      <w:r>
        <w:rPr>
          <w:rFonts w:ascii="Arial;Helvetica;Sans-Serif" w:hAnsi="Arial;Helvetica;San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and the Company shall have no obligation to verify or confirm the accuracy of such determination,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Helvetica;Sans-Serif" w:hAnsi="Arial;Helvetica;Sans-Serif"/>
          <w:b w:val="false"/>
          <w:i w:val="false"/>
          <w:caps w:val="false"/>
          <w:smallCaps w:val="false"/>
          <w:sz w:val="20"/>
          <w:u w:val="single"/>
        </w:rPr>
        <w:t>Beneficial Ownership Limitation</w:t>
      </w:r>
      <w:r>
        <w:rPr>
          <w:rFonts w:ascii="Arial;Helvetica;Sans-Serif" w:hAnsi="Arial;Helvetica;Sans-Serif"/>
          <w:b w:val="false"/>
          <w:i w:val="false"/>
          <w:caps w:val="false"/>
          <w:smallCaps w:val="false"/>
          <w:sz w:val="20"/>
        </w:rPr>
        <w:t>” shall be 4.99% (or, upon election by a Holder prior to the issuance of any Warrants, 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Arial;Helvetica;Sans-Serif" w:hAnsi="Arial;Helvetica;Sans-Serif"/>
          <w:b w:val="false"/>
          <w:i w:val="false"/>
          <w:caps w:val="false"/>
          <w:smallCaps w:val="false"/>
          <w:position w:val="7"/>
          <w:sz w:val="16"/>
          <w:sz w:val="20"/>
        </w:rPr>
        <w:t>st</w:t>
      </w:r>
      <w:r>
        <w:rPr>
          <w:rFonts w:ascii="Arial;Helvetica;Sans-Serif" w:hAnsi="Arial;Helvetica;Sans-Serif"/>
          <w:b w:val="false"/>
          <w:i w:val="false"/>
          <w:caps w:val="false"/>
          <w:smallCaps w:val="false"/>
          <w:sz w:val="20"/>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this Warrant is unexercisable as a result of the Beneficial Ownership Limitation, no alternate consideration shall be owed by the Company.</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u w:val="single"/>
        </w:rPr>
        <w:t>Section 3</w:t>
      </w:r>
      <w:r>
        <w:rPr>
          <w:rFonts w:ascii="Arial;Helvetica;Sans-Serif" w:hAnsi="Arial;Helvetica;Sans-Serif"/>
          <w:b w:val="false"/>
          <w:i w:val="false"/>
          <w:caps w:val="false"/>
          <w:smallCaps w:val="false"/>
          <w:sz w:val="20"/>
        </w:rPr>
        <w:t xml:space="preserve">. </w:t>
      </w:r>
      <w:r>
        <w:rPr>
          <w:rFonts w:ascii="Arial;Helvetica;Sans-Serif" w:hAnsi="Arial;Helvetica;Sans-Serif"/>
          <w:b w:val="false"/>
          <w:i w:val="false"/>
          <w:caps w:val="false"/>
          <w:smallCaps w:val="false"/>
          <w:sz w:val="20"/>
          <w:u w:val="single"/>
        </w:rPr>
        <w:t>Certain Adjustments</w:t>
      </w:r>
      <w:r>
        <w:rPr>
          <w:rFonts w:ascii="Arial;Helvetica;Sans-Serif" w:hAnsi="Arial;Helvetica;San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 </w:t>
      </w:r>
      <w:r>
        <w:rPr>
          <w:rFonts w:ascii="Arial;Helvetica;Sans-Serif" w:hAnsi="Arial;Helvetica;Sans-Serif"/>
          <w:b w:val="false"/>
          <w:i w:val="false"/>
          <w:caps w:val="false"/>
          <w:smallCaps w:val="false"/>
          <w:sz w:val="20"/>
          <w:u w:val="single"/>
        </w:rPr>
        <w:t>Stock Dividends and Splits</w:t>
      </w:r>
      <w:r>
        <w:rPr>
          <w:rFonts w:ascii="Arial;Helvetica;Sans-Serif" w:hAnsi="Arial;Helvetica;Sans-Serif"/>
          <w:b w:val="false"/>
          <w:i w:val="false"/>
          <w:caps w:val="false"/>
          <w:smallCaps w:val="false"/>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b) </w:t>
      </w:r>
      <w:r>
        <w:rPr>
          <w:rFonts w:ascii="Arial;Helvetica;Sans-Serif" w:hAnsi="Arial;Helvetica;Sans-Serif"/>
          <w:b w:val="false"/>
          <w:i w:val="false"/>
          <w:caps w:val="false"/>
          <w:smallCaps w:val="false"/>
          <w:sz w:val="20"/>
          <w:u w:val="single"/>
        </w:rPr>
        <w:t>Subsequent Rights Offerings</w:t>
      </w:r>
      <w:r>
        <w:rPr>
          <w:rFonts w:ascii="Arial;Helvetica;Sans-Serif" w:hAnsi="Arial;Helvetica;Sans-Serif"/>
          <w:b w:val="false"/>
          <w:i w:val="false"/>
          <w:caps w:val="false"/>
          <w:smallCaps w:val="false"/>
          <w:sz w:val="20"/>
        </w:rPr>
        <w:t>. In addition to any adjustments pursuant to Section 3(a) above, if at any time during which this Warrant is outstanding, the Company grants, issues or sells any Common Stock Equivalents or rights to purchase stock, warrants, securities or other property pro rata to the record holders of any class of shares of Common Stock (the “</w:t>
      </w:r>
      <w:r>
        <w:rPr>
          <w:rFonts w:ascii="Arial;Helvetica;Sans-Serif" w:hAnsi="Arial;Helvetica;Sans-Serif"/>
          <w:b w:val="false"/>
          <w:i w:val="false"/>
          <w:caps w:val="false"/>
          <w:smallCaps w:val="false"/>
          <w:sz w:val="20"/>
          <w:u w:val="single"/>
        </w:rPr>
        <w:t>Purchase Rights</w:t>
      </w:r>
      <w:r>
        <w:rPr>
          <w:rFonts w:ascii="Arial;Helvetica;Sans-Serif" w:hAnsi="Arial;Helvetica;San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Helvetica;Sans-Serif" w:hAnsi="Arial;Helvetica;Sans-Serif"/>
          <w:b w:val="false"/>
          <w:i w:val="false"/>
          <w:caps w:val="false"/>
          <w:smallCaps w:val="false"/>
          <w:sz w:val="20"/>
          <w:u w:val="single"/>
        </w:rPr>
        <w:t>provided</w:t>
      </w:r>
      <w:r>
        <w:rPr>
          <w:rFonts w:ascii="Arial;Helvetica;Sans-Serif" w:hAnsi="Arial;Helvetica;Sans-Serif"/>
          <w:b w:val="false"/>
          <w:i w:val="false"/>
          <w:caps w:val="false"/>
          <w:smallCaps w:val="false"/>
          <w:sz w:val="20"/>
        </w:rPr>
        <w:t xml:space="preserve">, </w:t>
      </w:r>
      <w:r>
        <w:rPr>
          <w:rFonts w:ascii="Arial;Helvetica;Sans-Serif" w:hAnsi="Arial;Helvetica;Sans-Serif"/>
          <w:b w:val="false"/>
          <w:i w:val="false"/>
          <w:caps w:val="false"/>
          <w:smallCaps w:val="false"/>
          <w:sz w:val="20"/>
          <w:u w:val="single"/>
        </w:rPr>
        <w:t>however</w:t>
      </w:r>
      <w:r>
        <w:rPr>
          <w:rFonts w:ascii="Arial;Helvetica;Sans-Serif" w:hAnsi="Arial;Helvetica;Sans-Serif"/>
          <w:b w:val="false"/>
          <w:i w:val="false"/>
          <w:caps w:val="false"/>
          <w:smallCaps w:val="false"/>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provided, that all Purchase Rights shall automatically terminate on, and shall not be held in abeyance for any period subsequent to, the Termination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 </w:t>
      </w:r>
      <w:r>
        <w:rPr>
          <w:rFonts w:ascii="Arial;Helvetica;Sans-Serif" w:hAnsi="Arial;Helvetica;Sans-Serif"/>
          <w:b w:val="false"/>
          <w:i w:val="false"/>
          <w:caps w:val="false"/>
          <w:smallCaps w:val="false"/>
          <w:sz w:val="20"/>
          <w:u w:val="single"/>
        </w:rPr>
        <w:t>Pro Rata Distributions</w:t>
      </w:r>
      <w:r>
        <w:rPr>
          <w:rFonts w:ascii="Arial;Helvetica;Sans-Serif" w:hAnsi="Arial;Helvetica;Sans-Serif"/>
          <w:b w:val="false"/>
          <w:i w:val="false"/>
          <w:caps w:val="false"/>
          <w:smallCaps w:val="false"/>
          <w:sz w:val="20"/>
        </w:rPr>
        <w:t>. During such time as this Warrant is outstanding, if the Company shall declare or make any dividend or other distribution of its assets (or rights to acquire its assets) to holders of shares of Common Stock, by way of return of capital or otherwise, other than cash (including, without limitation, any distribution of stock or other securities, property or options by way of a dividend, spin off, reclassification, corporate rearrangement, scheme of arrangement or other similar transaction) (a “</w:t>
      </w:r>
      <w:r>
        <w:rPr>
          <w:rFonts w:ascii="Arial;Helvetica;Sans-Serif" w:hAnsi="Arial;Helvetica;Sans-Serif"/>
          <w:b w:val="false"/>
          <w:i w:val="false"/>
          <w:caps w:val="false"/>
          <w:smallCaps w:val="false"/>
          <w:sz w:val="20"/>
          <w:u w:val="single"/>
        </w:rPr>
        <w:t>Distribution</w:t>
      </w:r>
      <w:r>
        <w:rPr>
          <w:rFonts w:ascii="Arial;Helvetica;Sans-Serif" w:hAnsi="Arial;Helvetica;San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Helvetica;Sans-Serif" w:hAnsi="Arial;Helvetica;Sans-Serif"/>
          <w:b w:val="false"/>
          <w:i w:val="false"/>
          <w:caps w:val="false"/>
          <w:smallCaps w:val="false"/>
          <w:sz w:val="20"/>
          <w:u w:val="single"/>
        </w:rPr>
        <w:t>provided</w:t>
      </w:r>
      <w:r>
        <w:rPr>
          <w:rFonts w:ascii="Arial;Helvetica;Sans-Serif" w:hAnsi="Arial;Helvetica;Sans-Serif"/>
          <w:b w:val="false"/>
          <w:i w:val="false"/>
          <w:caps w:val="false"/>
          <w:smallCaps w:val="false"/>
          <w:sz w:val="20"/>
        </w:rPr>
        <w:t xml:space="preserve">, </w:t>
      </w:r>
      <w:r>
        <w:rPr>
          <w:rFonts w:ascii="Arial;Helvetica;Sans-Serif" w:hAnsi="Arial;Helvetica;Sans-Serif"/>
          <w:b w:val="false"/>
          <w:i w:val="false"/>
          <w:caps w:val="false"/>
          <w:smallCaps w:val="false"/>
          <w:sz w:val="20"/>
          <w:u w:val="single"/>
        </w:rPr>
        <w:t>however</w:t>
      </w:r>
      <w:r>
        <w:rPr>
          <w:rFonts w:ascii="Arial;Helvetica;Sans-Serif" w:hAnsi="Arial;Helvetica;Sans-Serif"/>
          <w:b w:val="false"/>
          <w:i w:val="false"/>
          <w:caps w:val="false"/>
          <w:smallCaps w:val="false"/>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provided, that any right to a Distribution shall automatically terminate on, and shall not be held in abeyance for any period subsequent to, the Termination Date.</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 </w:t>
      </w:r>
      <w:r>
        <w:rPr>
          <w:rFonts w:ascii="Arial;Helvetica;Sans-Serif" w:hAnsi="Arial;Helvetica;Sans-Serif"/>
          <w:b w:val="false"/>
          <w:i w:val="false"/>
          <w:caps w:val="false"/>
          <w:smallCaps w:val="false"/>
          <w:sz w:val="20"/>
          <w:u w:val="single"/>
        </w:rPr>
        <w:t>Fundamental Transaction</w:t>
      </w:r>
      <w:r>
        <w:rPr>
          <w:rFonts w:ascii="Arial;Helvetica;Sans-Serif" w:hAnsi="Arial;Helvetica;San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Arial;Helvetica;Sans-Serif" w:hAnsi="Arial;Helvetica;Sans-Serif"/>
          <w:b w:val="false"/>
          <w:i w:val="false"/>
          <w:caps w:val="false"/>
          <w:smallCaps w:val="false"/>
          <w:sz w:val="20"/>
          <w:u w:val="single"/>
        </w:rPr>
        <w:t>Fundamental Transaction</w:t>
      </w:r>
      <w:r>
        <w:rPr>
          <w:rFonts w:ascii="Arial;Helvetica;Sans-Serif" w:hAnsi="Arial;Helvetica;San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Helvetica;Sans-Serif" w:hAnsi="Arial;Helvetica;Sans-Serif"/>
          <w:b w:val="false"/>
          <w:i w:val="false"/>
          <w:caps w:val="false"/>
          <w:smallCaps w:val="false"/>
          <w:sz w:val="20"/>
          <w:u w:val="single"/>
        </w:rPr>
        <w:t>Alternate Consideration</w:t>
      </w:r>
      <w:r>
        <w:rPr>
          <w:rFonts w:ascii="Arial;Helvetica;Sans-Serif" w:hAnsi="Arial;Helvetica;Sans-Serif"/>
          <w:b w:val="false"/>
          <w:i w:val="false"/>
          <w:caps w:val="false"/>
          <w:smallCaps w:val="false"/>
          <w:sz w:val="20"/>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Arial;Helvetica;Sans-Serif" w:hAnsi="Arial;Helvetica;Sans-Serif"/>
          <w:b w:val="false"/>
          <w:i w:val="false"/>
          <w:caps w:val="false"/>
          <w:smallCaps w:val="false"/>
          <w:sz w:val="20"/>
          <w:u w:val="single"/>
        </w:rPr>
        <w:t>Black Scholes Value</w:t>
      </w:r>
      <w:r>
        <w:rPr>
          <w:rFonts w:ascii="Arial;Helvetica;Sans-Serif" w:hAnsi="Arial;Helvetica;Sans-Serif"/>
          <w:b w:val="false"/>
          <w:i w:val="false"/>
          <w:caps w:val="false"/>
          <w:smallCaps w:val="false"/>
          <w:sz w:val="20"/>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100 day volatility obtained from the HVT function on Bloomberg (determined utilizing a 365 day annualization factor) as of the Trading Day immediately following the public announcement of the applicable Fundamental Transaction, (C) the underlying price per share used in such calculation shall be the sum of the price per share being offered in cash, if any, plus the value of any non-cash consideration, if any, being offered in such Fundamental Transaction,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Arial;Helvetica;Sans-Serif" w:hAnsi="Arial;Helvetica;Sans-Serif"/>
          <w:b w:val="false"/>
          <w:i w:val="false"/>
          <w:caps w:val="false"/>
          <w:smallCaps w:val="false"/>
          <w:sz w:val="20"/>
          <w:u w:val="single"/>
        </w:rPr>
        <w:t>Successor Entity</w:t>
      </w:r>
      <w:r>
        <w:rPr>
          <w:rFonts w:ascii="Arial;Helvetica;Sans-Serif" w:hAnsi="Arial;Helvetica;Sans-Serif"/>
          <w:b w:val="false"/>
          <w:i w:val="false"/>
          <w:caps w:val="false"/>
          <w:smallCaps w:val="false"/>
          <w:sz w:val="20"/>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 </w:t>
      </w:r>
      <w:r>
        <w:rPr>
          <w:rFonts w:ascii="Arial;Helvetica;Sans-Serif" w:hAnsi="Arial;Helvetica;Sans-Serif"/>
          <w:b w:val="false"/>
          <w:i w:val="false"/>
          <w:caps w:val="false"/>
          <w:smallCaps w:val="false"/>
          <w:sz w:val="20"/>
          <w:u w:val="single"/>
        </w:rPr>
        <w:t>Calculations</w:t>
      </w:r>
      <w:r>
        <w:rPr>
          <w:rFonts w:ascii="Arial;Helvetica;Sans-Serif" w:hAnsi="Arial;Helvetica;Sans-Serif"/>
          <w:b w:val="false"/>
          <w:i w:val="false"/>
          <w:caps w:val="false"/>
          <w:smallCaps w:val="false"/>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f) </w:t>
      </w:r>
      <w:r>
        <w:rPr>
          <w:rFonts w:ascii="Arial;Helvetica;Sans-Serif" w:hAnsi="Arial;Helvetica;Sans-Serif"/>
          <w:b w:val="false"/>
          <w:i w:val="false"/>
          <w:caps w:val="false"/>
          <w:smallCaps w:val="false"/>
          <w:sz w:val="20"/>
          <w:u w:val="single"/>
        </w:rPr>
        <w:t>Notice to Holder</w:t>
      </w:r>
      <w:r>
        <w:rPr>
          <w:rFonts w:ascii="Arial;Helvetica;Sans-Serif" w:hAnsi="Arial;Helvetica;San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 </w:t>
      </w:r>
      <w:r>
        <w:rPr>
          <w:rFonts w:ascii="Arial;Helvetica;Sans-Serif" w:hAnsi="Arial;Helvetica;Sans-Serif"/>
          <w:b w:val="false"/>
          <w:i w:val="false"/>
          <w:caps w:val="false"/>
          <w:smallCaps w:val="false"/>
          <w:sz w:val="20"/>
          <w:u w:val="single"/>
        </w:rPr>
        <w:t>Adjustment to Exercise Price</w:t>
      </w:r>
      <w:r>
        <w:rPr>
          <w:rFonts w:ascii="Arial;Helvetica;Sans-Serif" w:hAnsi="Arial;Helvetica;San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ii. </w:t>
      </w:r>
      <w:r>
        <w:rPr>
          <w:rFonts w:ascii="Arial;Helvetica;Sans-Serif" w:hAnsi="Arial;Helvetica;Sans-Serif"/>
          <w:b w:val="false"/>
          <w:i w:val="false"/>
          <w:caps w:val="false"/>
          <w:smallCaps w:val="false"/>
          <w:sz w:val="20"/>
          <w:u w:val="single"/>
        </w:rPr>
        <w:t>Notice to Allow Exercise by Holder</w:t>
      </w:r>
      <w:r>
        <w:rPr>
          <w:rFonts w:ascii="Arial;Helvetica;Sans-Serif" w:hAnsi="Arial;Helvetica;Sans-Serif"/>
          <w:b w:val="false"/>
          <w:i w:val="false"/>
          <w:caps w:val="false"/>
          <w:smallCaps w:val="false"/>
          <w:sz w:val="20"/>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the stockholders of the Company shall be required in connection with any reclassification of the Common Stock, any consolidation or merger to which the Company and all of its Subsidiaries, taken as a whole,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and provided further that no notice shall be required if the information is in a press release or document filed with the Commission. To the extent that any notice provided in this Warrant constitutes, or contains, material, non-public information regarding the Company or any of the Subsidiaries, the Company shall simultaneously report such information in a public filing with the Commission.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3060" w:right="0" w:hanging="18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3060" w:right="0" w:hanging="18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g) </w:t>
      </w:r>
      <w:r>
        <w:rPr>
          <w:rFonts w:ascii="Arial;Helvetica;Sans-Serif" w:hAnsi="Arial;Helvetica;Sans-Serif"/>
          <w:b w:val="false"/>
          <w:i w:val="false"/>
          <w:caps w:val="false"/>
          <w:smallCaps w:val="false"/>
          <w:sz w:val="20"/>
          <w:u w:val="single"/>
        </w:rPr>
        <w:t>Voluntary Adjustment By Company</w:t>
      </w:r>
      <w:r>
        <w:rPr>
          <w:rFonts w:ascii="Arial;Helvetica;Sans-Serif" w:hAnsi="Arial;Helvetica;Sans-Serif"/>
          <w:b w:val="false"/>
          <w:i w:val="false"/>
          <w:caps w:val="false"/>
          <w:smallCaps w:val="false"/>
          <w:sz w:val="20"/>
        </w:rPr>
        <w:t>.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u w:val="single"/>
        </w:rPr>
        <w:t>Section 4</w:t>
      </w:r>
      <w:r>
        <w:rPr>
          <w:rFonts w:ascii="Arial;Helvetica;Sans-Serif" w:hAnsi="Arial;Helvetica;Sans-Serif"/>
          <w:b w:val="false"/>
          <w:i w:val="false"/>
          <w:caps w:val="false"/>
          <w:smallCaps w:val="false"/>
          <w:sz w:val="20"/>
        </w:rPr>
        <w:t xml:space="preserve">. </w:t>
      </w:r>
      <w:r>
        <w:rPr>
          <w:rFonts w:ascii="Arial;Helvetica;Sans-Serif" w:hAnsi="Arial;Helvetica;Sans-Serif"/>
          <w:b w:val="false"/>
          <w:i w:val="false"/>
          <w:caps w:val="false"/>
          <w:smallCaps w:val="false"/>
          <w:sz w:val="20"/>
          <w:u w:val="single"/>
        </w:rPr>
        <w:t>Transfer of Warrant</w:t>
      </w:r>
      <w:r>
        <w:rPr>
          <w:rFonts w:ascii="Arial;Helvetica;Sans-Serif" w:hAnsi="Arial;Helvetica;San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 </w:t>
      </w:r>
      <w:r>
        <w:rPr>
          <w:rFonts w:ascii="Arial;Helvetica;Sans-Serif" w:hAnsi="Arial;Helvetica;Sans-Serif"/>
          <w:b w:val="false"/>
          <w:i w:val="false"/>
          <w:caps w:val="false"/>
          <w:smallCaps w:val="false"/>
          <w:sz w:val="20"/>
          <w:u w:val="single"/>
        </w:rPr>
        <w:t>Transferability</w:t>
      </w:r>
      <w:r>
        <w:rPr>
          <w:rFonts w:ascii="Arial;Helvetica;Sans-Serif" w:hAnsi="Arial;Helvetica;Sans-Serif"/>
          <w:b w:val="false"/>
          <w:i w:val="false"/>
          <w:caps w:val="false"/>
          <w:smallCaps w:val="false"/>
          <w:sz w:val="20"/>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This Warrant, if properly assigned in accordance herewith, may be exercised by a new holder for the purchase of Warrant Shares without having a new Warrant 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b) </w:t>
      </w:r>
      <w:r>
        <w:rPr>
          <w:rFonts w:ascii="Arial;Helvetica;Sans-Serif" w:hAnsi="Arial;Helvetica;Sans-Serif"/>
          <w:b w:val="false"/>
          <w:i w:val="false"/>
          <w:caps w:val="false"/>
          <w:smallCaps w:val="false"/>
          <w:sz w:val="20"/>
          <w:u w:val="single"/>
        </w:rPr>
        <w:t>New Warrants</w:t>
      </w:r>
      <w:r>
        <w:rPr>
          <w:rFonts w:ascii="Arial;Helvetica;Sans-Serif" w:hAnsi="Arial;Helvetica;San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this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 </w:t>
      </w:r>
      <w:r>
        <w:rPr>
          <w:rFonts w:ascii="Arial;Helvetica;Sans-Serif" w:hAnsi="Arial;Helvetica;Sans-Serif"/>
          <w:b w:val="false"/>
          <w:i w:val="false"/>
          <w:caps w:val="false"/>
          <w:smallCaps w:val="false"/>
          <w:sz w:val="20"/>
          <w:u w:val="single"/>
        </w:rPr>
        <w:t>Warrant Register</w:t>
      </w:r>
      <w:r>
        <w:rPr>
          <w:rFonts w:ascii="Arial;Helvetica;Sans-Serif" w:hAnsi="Arial;Helvetica;Sans-Serif"/>
          <w:b w:val="false"/>
          <w:i w:val="false"/>
          <w:caps w:val="false"/>
          <w:smallCaps w:val="false"/>
          <w:sz w:val="20"/>
        </w:rPr>
        <w:t>. The Company shall register this Warrant, upon records to be maintained by the Company for that purpose (the “</w:t>
      </w:r>
      <w:r>
        <w:rPr>
          <w:rFonts w:ascii="Arial;Helvetica;Sans-Serif" w:hAnsi="Arial;Helvetica;Sans-Serif"/>
          <w:b w:val="false"/>
          <w:i w:val="false"/>
          <w:caps w:val="false"/>
          <w:smallCaps w:val="false"/>
          <w:sz w:val="20"/>
          <w:u w:val="single"/>
        </w:rPr>
        <w:t>Warrant Register</w:t>
      </w:r>
      <w:r>
        <w:rPr>
          <w:rFonts w:ascii="Arial;Helvetica;Sans-Serif" w:hAnsi="Arial;Helvetica;San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 </w:t>
      </w:r>
      <w:r>
        <w:rPr>
          <w:rFonts w:ascii="Arial;Helvetica;Sans-Serif" w:hAnsi="Arial;Helvetica;Sans-Serif"/>
          <w:b w:val="false"/>
          <w:i w:val="false"/>
          <w:caps w:val="false"/>
          <w:smallCaps w:val="false"/>
          <w:sz w:val="20"/>
          <w:u w:val="single"/>
        </w:rPr>
        <w:t>Transfer Restrictions</w:t>
      </w:r>
      <w:r>
        <w:rPr>
          <w:rFonts w:ascii="Arial;Helvetica;Sans-Serif" w:hAnsi="Arial;Helvetica;Sans-Serif"/>
          <w:b w:val="false"/>
          <w:i w:val="false"/>
          <w:caps w:val="false"/>
          <w:smallCaps w:val="false"/>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 </w:t>
      </w:r>
      <w:r>
        <w:rPr>
          <w:rFonts w:ascii="Arial;Helvetica;Sans-Serif" w:hAnsi="Arial;Helvetica;Sans-Serif"/>
          <w:b w:val="false"/>
          <w:i w:val="false"/>
          <w:caps w:val="false"/>
          <w:smallCaps w:val="false"/>
          <w:sz w:val="20"/>
          <w:u w:val="single"/>
        </w:rPr>
        <w:t>Representation by the Holder</w:t>
      </w:r>
      <w:r>
        <w:rPr>
          <w:rFonts w:ascii="Arial;Helvetica;Sans-Serif" w:hAnsi="Arial;Helvetica;Sans-Serif"/>
          <w:b w:val="false"/>
          <w:i w:val="false"/>
          <w:caps w:val="false"/>
          <w:smallCaps w:val="false"/>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u w:val="single"/>
        </w:rPr>
        <w:t>Section 5</w:t>
      </w:r>
      <w:r>
        <w:rPr>
          <w:rFonts w:ascii="Arial;Helvetica;Sans-Serif" w:hAnsi="Arial;Helvetica;Sans-Serif"/>
          <w:b w:val="false"/>
          <w:i w:val="false"/>
          <w:caps w:val="false"/>
          <w:smallCaps w:val="false"/>
          <w:sz w:val="20"/>
        </w:rPr>
        <w:t xml:space="preserve">. </w:t>
      </w:r>
      <w:r>
        <w:rPr>
          <w:rFonts w:ascii="Arial;Helvetica;Sans-Serif" w:hAnsi="Arial;Helvetica;Sans-Serif"/>
          <w:b w:val="false"/>
          <w:i w:val="false"/>
          <w:caps w:val="false"/>
          <w:smallCaps w:val="false"/>
          <w:sz w:val="20"/>
          <w:u w:val="single"/>
        </w:rPr>
        <w:t>Miscellaneous</w:t>
      </w:r>
      <w:r>
        <w:rPr>
          <w:rFonts w:ascii="Arial;Helvetica;Sans-Serif" w:hAnsi="Arial;Helvetica;San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 </w:t>
      </w:r>
      <w:r>
        <w:rPr>
          <w:rFonts w:ascii="Arial;Helvetica;Sans-Serif" w:hAnsi="Arial;Helvetica;Sans-Serif"/>
          <w:b w:val="false"/>
          <w:i w:val="false"/>
          <w:caps w:val="false"/>
          <w:smallCaps w:val="false"/>
          <w:sz w:val="20"/>
          <w:u w:val="single"/>
        </w:rPr>
        <w:t>No Rights as Stockholder Until Exercise; No Settlement in Cash</w:t>
      </w:r>
      <w:r>
        <w:rPr>
          <w:rFonts w:ascii="Arial;Helvetica;Sans-Serif" w:hAnsi="Arial;Helvetica;Sans-Serif"/>
          <w:b w:val="false"/>
          <w:i w:val="false"/>
          <w:caps w:val="false"/>
          <w:smallCaps w:val="false"/>
          <w:sz w:val="20"/>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2(d)(v) herein, in no event shall the Company be required to net cash settle an exercise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b) </w:t>
      </w:r>
      <w:r>
        <w:rPr>
          <w:rFonts w:ascii="Arial;Helvetica;Sans-Serif" w:hAnsi="Arial;Helvetica;Sans-Serif"/>
          <w:b w:val="false"/>
          <w:i w:val="false"/>
          <w:caps w:val="false"/>
          <w:smallCaps w:val="false"/>
          <w:sz w:val="20"/>
          <w:u w:val="single"/>
        </w:rPr>
        <w:t>Loss, Theft, Destruction or Mutilation of Warrant</w:t>
      </w:r>
      <w:r>
        <w:rPr>
          <w:rFonts w:ascii="Arial;Helvetica;Sans-Serif" w:hAnsi="Arial;Helvetica;San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this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 </w:t>
      </w:r>
      <w:r>
        <w:rPr>
          <w:rFonts w:ascii="Arial;Helvetica;Sans-Serif" w:hAnsi="Arial;Helvetica;Sans-Serif"/>
          <w:b w:val="false"/>
          <w:i w:val="false"/>
          <w:caps w:val="false"/>
          <w:smallCaps w:val="false"/>
          <w:sz w:val="20"/>
          <w:u w:val="single"/>
        </w:rPr>
        <w:t>Saturdays, Sundays, Holidays, etc</w:t>
      </w:r>
      <w:r>
        <w:rPr>
          <w:rFonts w:ascii="Arial;Helvetica;Sans-Serif" w:hAnsi="Arial;Helvetica;Sans-Serif"/>
          <w:b w:val="false"/>
          <w:i w:val="false"/>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 </w:t>
      </w:r>
      <w:r>
        <w:rPr>
          <w:rFonts w:ascii="Arial;Helvetica;Sans-Serif" w:hAnsi="Arial;Helvetica;Sans-Serif"/>
          <w:b w:val="false"/>
          <w:i w:val="false"/>
          <w:caps w:val="false"/>
          <w:smallCaps w:val="false"/>
          <w:sz w:val="20"/>
          <w:u w:val="single"/>
        </w:rPr>
        <w:t>Authorized Shares</w:t>
      </w:r>
      <w:r>
        <w:rPr>
          <w:rFonts w:ascii="Arial;Helvetica;Sans-Serif" w:hAnsi="Arial;Helvetica;San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covenants that, during the period this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 </w:t>
      </w:r>
      <w:r>
        <w:rPr>
          <w:rFonts w:ascii="Arial;Helvetica;Sans-Serif" w:hAnsi="Arial;Helvetica;Sans-Serif"/>
          <w:b w:val="false"/>
          <w:i w:val="false"/>
          <w:caps w:val="false"/>
          <w:smallCaps w:val="false"/>
          <w:sz w:val="20"/>
          <w:u w:val="single"/>
        </w:rPr>
        <w:t>Jurisdiction</w:t>
      </w:r>
      <w:r>
        <w:rPr>
          <w:rFonts w:ascii="Arial;Helvetica;Sans-Serif" w:hAnsi="Arial;Helvetica;Sans-Serif"/>
          <w:b w:val="false"/>
          <w:i w:val="false"/>
          <w:caps w:val="false"/>
          <w:smallCaps w:val="false"/>
          <w:sz w:val="20"/>
        </w:rPr>
        <w:t>. All questions concerning the construction, validity, enforcement and interpretation of this Warrant shall be determined in accordance with the provisions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f) </w:t>
      </w:r>
      <w:r>
        <w:rPr>
          <w:rFonts w:ascii="Arial;Helvetica;Sans-Serif" w:hAnsi="Arial;Helvetica;Sans-Serif"/>
          <w:b w:val="false"/>
          <w:i w:val="false"/>
          <w:caps w:val="false"/>
          <w:smallCaps w:val="false"/>
          <w:sz w:val="20"/>
          <w:u w:val="single"/>
        </w:rPr>
        <w:t>Restrictions</w:t>
      </w:r>
      <w:r>
        <w:rPr>
          <w:rFonts w:ascii="Arial;Helvetica;Sans-Serif" w:hAnsi="Arial;Helvetica;San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g) </w:t>
      </w:r>
      <w:r>
        <w:rPr>
          <w:rFonts w:ascii="Arial;Helvetica;Sans-Serif" w:hAnsi="Arial;Helvetica;Sans-Serif"/>
          <w:b w:val="false"/>
          <w:i w:val="false"/>
          <w:caps w:val="false"/>
          <w:smallCaps w:val="false"/>
          <w:sz w:val="20"/>
          <w:u w:val="single"/>
        </w:rPr>
        <w:t>Nonwaiver and Expenses</w:t>
      </w:r>
      <w:r>
        <w:rPr>
          <w:rFonts w:ascii="Arial;Helvetica;Sans-Serif" w:hAnsi="Arial;Helvetica;San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h) </w:t>
      </w:r>
      <w:r>
        <w:rPr>
          <w:rFonts w:ascii="Arial;Helvetica;Sans-Serif" w:hAnsi="Arial;Helvetica;Sans-Serif"/>
          <w:b w:val="false"/>
          <w:i w:val="false"/>
          <w:caps w:val="false"/>
          <w:smallCaps w:val="false"/>
          <w:sz w:val="20"/>
          <w:u w:val="single"/>
        </w:rPr>
        <w:t>Notices</w:t>
      </w:r>
      <w:r>
        <w:rPr>
          <w:rFonts w:ascii="Arial;Helvetica;Sans-Serif" w:hAnsi="Arial;Helvetica;Sans-Serif"/>
          <w:b w:val="false"/>
          <w:i w:val="false"/>
          <w:caps w:val="false"/>
          <w:smallCaps w:val="false"/>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 </w:t>
      </w:r>
      <w:r>
        <w:rPr>
          <w:rFonts w:ascii="Arial;Helvetica;Sans-Serif" w:hAnsi="Arial;Helvetica;Sans-Serif"/>
          <w:b w:val="false"/>
          <w:i w:val="false"/>
          <w:caps w:val="false"/>
          <w:smallCaps w:val="false"/>
          <w:sz w:val="20"/>
          <w:u w:val="single"/>
        </w:rPr>
        <w:t>Limitation of Liability</w:t>
      </w:r>
      <w:r>
        <w:rPr>
          <w:rFonts w:ascii="Arial;Helvetica;Sans-Serif" w:hAnsi="Arial;Helvetica;San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j) </w:t>
      </w:r>
      <w:r>
        <w:rPr>
          <w:rFonts w:ascii="Arial;Helvetica;Sans-Serif" w:hAnsi="Arial;Helvetica;Sans-Serif"/>
          <w:b w:val="false"/>
          <w:i w:val="false"/>
          <w:caps w:val="false"/>
          <w:smallCaps w:val="false"/>
          <w:sz w:val="20"/>
          <w:u w:val="single"/>
        </w:rPr>
        <w:t>Remedies</w:t>
      </w:r>
      <w:r>
        <w:rPr>
          <w:rFonts w:ascii="Arial;Helvetica;Sans-Serif" w:hAnsi="Arial;Helvetica;San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k) </w:t>
      </w:r>
      <w:r>
        <w:rPr>
          <w:rFonts w:ascii="Arial;Helvetica;Sans-Serif" w:hAnsi="Arial;Helvetica;Sans-Serif"/>
          <w:b w:val="false"/>
          <w:i w:val="false"/>
          <w:caps w:val="false"/>
          <w:smallCaps w:val="false"/>
          <w:sz w:val="20"/>
          <w:u w:val="single"/>
        </w:rPr>
        <w:t>Successors and Assigns</w:t>
      </w:r>
      <w:r>
        <w:rPr>
          <w:rFonts w:ascii="Arial;Helvetica;Sans-Serif" w:hAnsi="Arial;Helvetica;San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l) </w:t>
      </w:r>
      <w:r>
        <w:rPr>
          <w:rFonts w:ascii="Arial;Helvetica;Sans-Serif" w:hAnsi="Arial;Helvetica;Sans-Serif"/>
          <w:b w:val="false"/>
          <w:i w:val="false"/>
          <w:caps w:val="false"/>
          <w:smallCaps w:val="false"/>
          <w:sz w:val="20"/>
          <w:u w:val="single"/>
        </w:rPr>
        <w:t>Amendment</w:t>
      </w:r>
      <w:r>
        <w:rPr>
          <w:rFonts w:ascii="Arial;Helvetica;Sans-Serif" w:hAnsi="Arial;Helvetica;Sans-Serif"/>
          <w:b w:val="false"/>
          <w:i w:val="false"/>
          <w:caps w:val="false"/>
          <w:smallCaps w:val="false"/>
          <w:sz w:val="20"/>
        </w:rPr>
        <w:t>. Other than Section 2(e) above and this Section 5(l), which may not be amended, modified or waived, this Warrant may be modified or amended or the provisions hereof waived with the written consent of the Company, on the one hand, and the Holder, on the other hand.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m) </w:t>
      </w:r>
      <w:r>
        <w:rPr>
          <w:rFonts w:ascii="Arial;Helvetica;Sans-Serif" w:hAnsi="Arial;Helvetica;Sans-Serif"/>
          <w:b w:val="false"/>
          <w:i w:val="false"/>
          <w:caps w:val="false"/>
          <w:smallCaps w:val="false"/>
          <w:sz w:val="20"/>
          <w:u w:val="single"/>
        </w:rPr>
        <w:t>Severability</w:t>
      </w:r>
      <w:r>
        <w:rPr>
          <w:rFonts w:ascii="Arial;Helvetica;Sans-Serif" w:hAnsi="Arial;Helvetica;San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n) </w:t>
      </w:r>
      <w:r>
        <w:rPr>
          <w:rFonts w:ascii="Arial;Helvetica;Sans-Serif" w:hAnsi="Arial;Helvetica;Sans-Serif"/>
          <w:b w:val="false"/>
          <w:i w:val="false"/>
          <w:caps w:val="false"/>
          <w:smallCaps w:val="false"/>
          <w:sz w:val="20"/>
          <w:u w:val="single"/>
        </w:rPr>
        <w:t>Headings</w:t>
      </w:r>
      <w:r>
        <w:rPr>
          <w:rFonts w:ascii="Arial;Helvetica;Sans-Serif" w:hAnsi="Arial;Helvetica;San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p>
      <w:pPr>
        <w:pStyle w:val="TextBody"/>
        <w:bidi w:val="0"/>
        <w:spacing w:before="0" w:after="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firstLine="1440"/>
        <w:jc w:val="both"/>
        <w:rPr>
          <w:caps w:val="false"/>
          <w:smallCaps w:val="false"/>
        </w:rPr>
      </w:pPr>
      <w:r>
        <w:rPr>
          <w:caps w:val="false"/>
          <w:smallCaps w:val="false"/>
        </w:rPr>
        <w:t> </w:t>
      </w:r>
    </w:p>
    <w:tbl>
      <w:tblPr>
        <w:tblW w:w="2494" w:type="dxa"/>
        <w:jc w:val="left"/>
        <w:tblInd w:w="0" w:type="dxa"/>
        <w:tblLayout w:type="fixed"/>
        <w:tblCellMar>
          <w:top w:w="0" w:type="dxa"/>
          <w:left w:w="0" w:type="dxa"/>
          <w:bottom w:w="0" w:type="dxa"/>
          <w:right w:w="0" w:type="dxa"/>
        </w:tblCellMar>
      </w:tblPr>
      <w:tblGrid>
        <w:gridCol w:w="75"/>
        <w:gridCol w:w="847"/>
        <w:gridCol w:w="157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19" w:type="dxa"/>
            <w:gridSpan w:val="2"/>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sz w:val="20"/>
              </w:rPr>
              <w:t>Daré Bioscience, Inc.</w:t>
            </w:r>
            <w:r>
              <w:rPr>
                <w:rFonts w:ascii="Arial;Helvetica;Sans-Serif" w:hAnsi="Arial;Helvetica;San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4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w:t>
            </w:r>
          </w:p>
        </w:tc>
        <w:tc>
          <w:tcPr>
            <w:tcW w:w="157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4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w:t>
            </w:r>
          </w:p>
        </w:tc>
        <w:tc>
          <w:tcPr>
            <w:tcW w:w="157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4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w:t>
            </w:r>
          </w:p>
        </w:tc>
        <w:tc>
          <w:tcPr>
            <w:tcW w:w="1572"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NOTICE OF EXERCISE</w:t>
      </w:r>
    </w:p>
    <w:p>
      <w:pPr>
        <w:pStyle w:val="TextBody"/>
        <w:bidi w:val="0"/>
        <w:spacing w:before="0" w:after="0"/>
        <w:ind w:left="0" w:right="0" w:hanging="0"/>
        <w:jc w:val="center"/>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365"/>
        <w:gridCol w:w="2360"/>
      </w:tblGrid>
      <w:tr>
        <w:trPr/>
        <w:tc>
          <w:tcPr>
            <w:tcW w:w="365" w:type="dxa"/>
            <w:tcBorders/>
            <w:vAlign w:val="center"/>
          </w:tcPr>
          <w:p>
            <w:pPr>
              <w:pStyle w:val="TableContents"/>
              <w:bidi w:val="0"/>
              <w:spacing w:before="0" w:after="283"/>
              <w:jc w:val="left"/>
              <w:rPr>
                <w:rFonts w:ascii="Arial;Helvetica;Sans-Serif" w:hAnsi="Arial;Helvetica;Sans-Serif"/>
                <w:b w:val="false"/>
                <w:i w:val="false"/>
                <w:caps/>
                <w:sz w:val="20"/>
              </w:rPr>
            </w:pPr>
            <w:r>
              <w:rPr>
                <w:rFonts w:ascii="Arial;Helvetica;Sans-Serif" w:hAnsi="Arial;Helvetica;Sans-Serif"/>
                <w:b w:val="false"/>
                <w:i w:val="false"/>
                <w:caps/>
                <w:sz w:val="20"/>
              </w:rPr>
              <w:t>To:</w:t>
            </w:r>
          </w:p>
        </w:tc>
        <w:tc>
          <w:tcPr>
            <w:tcW w:w="2360" w:type="dxa"/>
            <w:tcBorders/>
            <w:vAlign w:val="center"/>
          </w:tcPr>
          <w:p>
            <w:pPr>
              <w:pStyle w:val="TableContents"/>
              <w:bidi w:val="0"/>
              <w:spacing w:before="0" w:after="283"/>
              <w:jc w:val="both"/>
              <w:rPr>
                <w:rFonts w:ascii="Arial;Helvetica;Sans-Serif" w:hAnsi="Arial;Helvetica;Sans-Serif"/>
                <w:b w:val="false"/>
                <w:i w:val="false"/>
                <w:caps/>
                <w:sz w:val="20"/>
              </w:rPr>
            </w:pPr>
            <w:r>
              <w:rPr>
                <w:rFonts w:ascii="Arial;Helvetica;Sans-Serif" w:hAnsi="Arial;Helvetica;Sans-Serif"/>
                <w:b w:val="false"/>
                <w:i w:val="false"/>
                <w:caps/>
                <w:sz w:val="20"/>
              </w:rPr>
              <w:t>Daré Bioscience, Inc.</w:t>
            </w:r>
          </w:p>
        </w:tc>
      </w:tr>
    </w:tbl>
    <w:p>
      <w:pPr>
        <w:pStyle w:val="TextBody"/>
        <w:bidi w:val="0"/>
        <w:spacing w:before="0" w:after="0"/>
        <w:ind w:left="0" w:right="0" w:hanging="0"/>
        <w:jc w:val="both"/>
        <w:rPr>
          <w:caps/>
        </w:rPr>
      </w:pPr>
      <w:r>
        <w:rPr>
          <w:caps/>
        </w:rPr>
        <w:t> </w:t>
      </w:r>
    </w:p>
    <w:p>
      <w:pPr>
        <w:pStyle w:val="TextBody"/>
        <w:bidi w:val="0"/>
        <w:spacing w:before="0" w:after="0"/>
        <w:ind w:left="0" w:right="0" w:firstLine="144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 Payment shall take the form of (check applicable box):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 in lawful money of the United States; 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Warrant Shares shall be delivered to the following DWAC Account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 </w:t>
      </w:r>
      <w:r>
        <w:rPr>
          <w:rFonts w:ascii="Arial;Helvetica;Sans-Serif" w:hAnsi="Arial;Helvetica;Sans-Serif"/>
          <w:b w:val="false"/>
          <w:i w:val="false"/>
          <w:caps w:val="false"/>
          <w:smallCaps w:val="false"/>
          <w:sz w:val="20"/>
          <w:u w:val="single"/>
        </w:rPr>
        <w:t>Accredited Investor</w:t>
      </w:r>
      <w:r>
        <w:rPr>
          <w:rFonts w:ascii="Arial;Helvetica;Sans-Serif" w:hAnsi="Arial;Helvetica;Sans-Serif"/>
          <w:b w:val="false"/>
          <w:i w:val="false"/>
          <w:caps w:val="false"/>
          <w:smallCaps w:val="false"/>
          <w:sz w:val="20"/>
        </w:rPr>
        <w:t>. The undersigned is an “accredited investor” as defined in Regulation D promulgated under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sz w:val="20"/>
        </w:rPr>
      </w:pPr>
      <w:r>
        <w:rPr>
          <w:rFonts w:ascii="Arial;Helvetica;Sans-Serif" w:hAnsi="Arial;Helvetica;Sans-Serif"/>
          <w:b w:val="false"/>
          <w:i w:val="false"/>
          <w:caps/>
          <w:sz w:val="20"/>
        </w:rPr>
        <w:t>[SIGNATURE OF HOLDER]</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of Investing Entity: ________________________________________________________________________</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Signature of Authorized Signatory of Investing Entity</w:t>
      </w:r>
      <w:r>
        <w:rPr>
          <w:rFonts w:ascii="Arial;Helvetica;Sans-Serif" w:hAnsi="Arial;Helvetica;Sans-Serif"/>
          <w:b w:val="false"/>
          <w:i w:val="false"/>
          <w:caps w:val="false"/>
          <w:smallCaps w:val="false"/>
          <w:sz w:val="20"/>
        </w:rPr>
        <w:t>: _________________________________________________</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of Authorized Signatory: ___________________________________________________________________</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 of Authorized Signatory: ____________________________________________________________________</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 ________________________________________________________________________________________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(To assign the foregoing Warrant, execute this form and supply required information. Do not use this form to exercise the Warrant to purchase shares.)</w:t>
      </w:r>
    </w:p>
    <w:p>
      <w:pPr>
        <w:pStyle w:val="TextBody"/>
        <w:bidi w:val="0"/>
        <w:spacing w:before="0" w:after="0"/>
        <w:ind w:left="0" w:right="0" w:firstLine="210"/>
        <w:jc w:val="left"/>
        <w:rPr>
          <w:caps w:val="false"/>
          <w:smallCaps w:val="false"/>
        </w:rPr>
      </w:pPr>
      <w:r>
        <w:rPr>
          <w:caps w:val="false"/>
          <w:smallCaps w:val="false"/>
        </w:rPr>
        <w:t> </w:t>
      </w:r>
    </w:p>
    <w:p>
      <w:pPr>
        <w:pStyle w:val="TextBody"/>
        <w:bidi w:val="0"/>
        <w:spacing w:before="0" w:after="0"/>
        <w:ind w:left="0" w:right="0" w:firstLine="36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firstLine="210"/>
        <w:jc w:val="left"/>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4310"/>
        <w:gridCol w:w="60"/>
        <w:gridCol w:w="1280"/>
      </w:tblGrid>
      <w:tr>
        <w:trPr/>
        <w:tc>
          <w:tcPr>
            <w:tcW w:w="431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31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(Please Print)</w:t>
            </w:r>
          </w:p>
        </w:tc>
      </w:tr>
      <w:tr>
        <w:trPr/>
        <w:tc>
          <w:tcPr>
            <w:tcW w:w="431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Address: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31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(Please Print) </w:t>
            </w:r>
          </w:p>
        </w:tc>
      </w:tr>
      <w:tr>
        <w:trPr/>
        <w:tc>
          <w:tcPr>
            <w:tcW w:w="43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Phone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Email Address: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Dated: _______________ __, ______</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31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31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Holder’s Signature:________________________</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31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31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Holder’s Address:__________________________</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29" w:name="ex5-1.htm"/>
      <w:bookmarkStart w:id="30" w:name="ksex51"/>
      <w:bookmarkEnd w:id="29"/>
      <w:bookmarkEnd w:id="30"/>
      <w:r>
        <w:rPr>
          <w:caps w:val="false"/>
          <w:smallCaps w:val="false"/>
        </w:rPr>
        <w:t> </w:t>
      </w:r>
      <w:r>
        <w:br w:type="page"/>
      </w:r>
    </w:p>
    <w:p>
      <w:pPr>
        <w:pStyle w:val="TextBody"/>
        <w:bidi w:val="0"/>
        <w:spacing w:before="0" w:after="0"/>
        <w:ind w:left="0" w:right="0" w:hanging="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5.1</w:t>
      </w:r>
    </w:p>
    <w:p>
      <w:pPr>
        <w:pStyle w:val="TextBody"/>
        <w:bidi w:val="0"/>
        <w:spacing w:before="0" w:after="0"/>
        <w:ind w:left="0" w:right="0" w:hanging="0"/>
        <w:jc w:val="right"/>
        <w:rPr>
          <w:caps w:val="false"/>
          <w:smallCaps w:val="false"/>
        </w:rPr>
      </w:pPr>
      <w:r>
        <w:rPr>
          <w:caps w:val="false"/>
          <w:smallCaps w:val="false"/>
        </w:rPr>
        <w:t> </w:t>
      </w:r>
    </w:p>
    <w:tbl>
      <w:tblPr>
        <w:tblW w:w="7220" w:type="dxa"/>
        <w:jc w:val="left"/>
        <w:tblInd w:w="0" w:type="dxa"/>
        <w:tblLayout w:type="fixed"/>
        <w:tblCellMar>
          <w:top w:w="0" w:type="dxa"/>
          <w:left w:w="0" w:type="dxa"/>
          <w:bottom w:w="0" w:type="dxa"/>
          <w:right w:w="0" w:type="dxa"/>
        </w:tblCellMar>
      </w:tblPr>
      <w:tblGrid>
        <w:gridCol w:w="3495"/>
        <w:gridCol w:w="60"/>
        <w:gridCol w:w="3665"/>
      </w:tblGrid>
      <w:tr>
        <w:trPr/>
        <w:tc>
          <w:tcPr>
            <w:tcW w:w="349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2209800"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09800" cy="323850"/>
                          </a:xfrm>
                          <a:prstGeom prst="rect">
                            <a:avLst/>
                          </a:prstGeom>
                        </pic:spPr>
                      </pic:pic>
                    </a:graphicData>
                  </a:graphic>
                </wp:inline>
              </w:drawing>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65"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Sheppard, Mullin, Richter &amp; Hampton LLP</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12275 El Camino Real, Suite 100</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San Diego, CA 92130</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www.sheppard.com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August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u w:val="single"/>
        </w:rPr>
      </w:pPr>
      <w:r>
        <w:rPr>
          <w:rFonts w:ascii="Arial;Helvetica;Sans-Serif" w:hAnsi="Arial;Helvetica;Sans-Serif"/>
          <w:b/>
          <w:i w:val="false"/>
          <w:caps w:val="false"/>
          <w:smallCaps w:val="false"/>
          <w:sz w:val="20"/>
          <w:u w:val="single"/>
        </w:rPr>
        <w:t>VIA E-MAIL</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Daré Bioscience, Inc.</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Attn: Board of Directors</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3655 Nobel Drive, Suite 260</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San Diego, CA 92122</w:t>
      </w:r>
    </w:p>
    <w:p>
      <w:pPr>
        <w:pStyle w:val="TextBody"/>
        <w:bidi w:val="0"/>
        <w:spacing w:before="0" w:after="0"/>
        <w:ind w:left="547" w:right="0" w:hanging="547"/>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Ladies and Gentlemen: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acted as counsel to Daré Bioscience, Inc., a Delaware corporation (the “</w:t>
      </w:r>
      <w:r>
        <w:rPr>
          <w:rFonts w:ascii="Arial;Helvetica;Sans-Serif" w:hAnsi="Arial;Helvetica;Sans-Serif"/>
          <w:b/>
          <w:i/>
          <w:caps w:val="false"/>
          <w:smallCaps w:val="false"/>
          <w:sz w:val="20"/>
        </w:rPr>
        <w:t>Company</w:t>
      </w:r>
      <w:r>
        <w:rPr>
          <w:rFonts w:ascii="Arial;Helvetica;Sans-Serif" w:hAnsi="Arial;Helvetica;Sans-Serif"/>
          <w:b w:val="false"/>
          <w:i w:val="false"/>
          <w:caps w:val="false"/>
          <w:smallCaps w:val="false"/>
          <w:sz w:val="20"/>
        </w:rPr>
        <w:t>”), in connection with the issuance and sale of (i) 4,085,687 shares (the “</w:t>
      </w:r>
      <w:r>
        <w:rPr>
          <w:rFonts w:ascii="Arial;Helvetica;Sans-Serif" w:hAnsi="Arial;Helvetica;Sans-Serif"/>
          <w:b/>
          <w:i/>
          <w:caps w:val="false"/>
          <w:smallCaps w:val="false"/>
          <w:sz w:val="20"/>
        </w:rPr>
        <w:t>Shares</w:t>
      </w:r>
      <w:r>
        <w:rPr>
          <w:rFonts w:ascii="Arial;Helvetica;Sans-Serif" w:hAnsi="Arial;Helvetica;Sans-Serif"/>
          <w:b w:val="false"/>
          <w:i w:val="false"/>
          <w:caps w:val="false"/>
          <w:smallCaps w:val="false"/>
          <w:sz w:val="20"/>
        </w:rPr>
        <w:t>”) of common stock of the Company, par value $0.0001 per share (“</w:t>
      </w:r>
      <w:r>
        <w:rPr>
          <w:rFonts w:ascii="Arial;Helvetica;Sans-Serif" w:hAnsi="Arial;Helvetica;Sans-Serif"/>
          <w:b/>
          <w:i/>
          <w:caps w:val="false"/>
          <w:smallCaps w:val="false"/>
          <w:sz w:val="20"/>
        </w:rPr>
        <w:t>Common Stock</w:t>
      </w:r>
      <w:r>
        <w:rPr>
          <w:rFonts w:ascii="Arial;Helvetica;Sans-Serif" w:hAnsi="Arial;Helvetica;Sans-Serif"/>
          <w:b w:val="false"/>
          <w:i w:val="false"/>
          <w:caps w:val="false"/>
          <w:smallCaps w:val="false"/>
          <w:sz w:val="20"/>
        </w:rPr>
        <w:t>”), and (ii) pre-funded warrants to purchase up to an aggregate of 293,894 shares of Common Stock (the “</w:t>
      </w:r>
      <w:r>
        <w:rPr>
          <w:rFonts w:ascii="Arial;Helvetica;Sans-Serif" w:hAnsi="Arial;Helvetica;Sans-Serif"/>
          <w:b/>
          <w:i/>
          <w:caps w:val="false"/>
          <w:smallCaps w:val="false"/>
          <w:sz w:val="20"/>
        </w:rPr>
        <w:t>Pre-Funded Warrants</w:t>
      </w:r>
      <w:r>
        <w:rPr>
          <w:rFonts w:ascii="Arial;Helvetica;Sans-Serif" w:hAnsi="Arial;Helvetica;Sans-Serif"/>
          <w:b w:val="false"/>
          <w:i w:val="false"/>
          <w:caps w:val="false"/>
          <w:smallCaps w:val="false"/>
          <w:sz w:val="20"/>
        </w:rPr>
        <w:t>”), and the shares issuable upon exercise thereof (the “</w:t>
      </w:r>
      <w:r>
        <w:rPr>
          <w:rFonts w:ascii="Arial;Helvetica;Sans-Serif" w:hAnsi="Arial;Helvetica;Sans-Serif"/>
          <w:b/>
          <w:i/>
          <w:caps w:val="false"/>
          <w:smallCaps w:val="false"/>
          <w:sz w:val="20"/>
        </w:rPr>
        <w:t>Pre-Funded Warrant Shares</w:t>
      </w:r>
      <w:r>
        <w:rPr>
          <w:rFonts w:ascii="Arial;Helvetica;Sans-Serif" w:hAnsi="Arial;Helvetica;Sans-Serif"/>
          <w:b w:val="false"/>
          <w:i w:val="false"/>
          <w:caps w:val="false"/>
          <w:smallCaps w:val="false"/>
          <w:sz w:val="20"/>
        </w:rPr>
        <w:t>” and together with the Shares and the Pre-Funded Warrants, the “</w:t>
      </w:r>
      <w:r>
        <w:rPr>
          <w:rFonts w:ascii="Arial;Helvetica;Sans-Serif" w:hAnsi="Arial;Helvetica;Sans-Serif"/>
          <w:b/>
          <w:i/>
          <w:caps w:val="false"/>
          <w:smallCaps w:val="false"/>
          <w:sz w:val="20"/>
        </w:rPr>
        <w:t>Securities</w:t>
      </w:r>
      <w:r>
        <w:rPr>
          <w:rFonts w:ascii="Arial;Helvetica;Sans-Serif" w:hAnsi="Arial;Helvetica;Sans-Serif"/>
          <w:b w:val="false"/>
          <w:i w:val="false"/>
          <w:caps w:val="false"/>
          <w:smallCaps w:val="false"/>
          <w:sz w:val="20"/>
        </w:rPr>
        <w:t>”). The Securities are to be sold by the Company pursuant to a Registration Statement on Form S-3 (Registration Statement No. 333-278380) (the “</w:t>
      </w:r>
      <w:r>
        <w:rPr>
          <w:rFonts w:ascii="Arial;Helvetica;Sans-Serif" w:hAnsi="Arial;Helvetica;Sans-Serif"/>
          <w:b/>
          <w:i/>
          <w:caps w:val="false"/>
          <w:smallCaps w:val="false"/>
          <w:sz w:val="20"/>
        </w:rPr>
        <w:t>Registration Statement</w:t>
      </w:r>
      <w:r>
        <w:rPr>
          <w:rFonts w:ascii="Arial;Helvetica;Sans-Serif" w:hAnsi="Arial;Helvetica;Sans-Serif"/>
          <w:b w:val="false"/>
          <w:i w:val="false"/>
          <w:caps w:val="false"/>
          <w:smallCaps w:val="false"/>
          <w:sz w:val="20"/>
        </w:rPr>
        <w:t>”) filed with the Securities and Exchange Commission (the “</w:t>
      </w:r>
      <w:r>
        <w:rPr>
          <w:rFonts w:ascii="Arial;Helvetica;Sans-Serif" w:hAnsi="Arial;Helvetica;Sans-Serif"/>
          <w:b/>
          <w:i/>
          <w:caps w:val="false"/>
          <w:smallCaps w:val="false"/>
          <w:sz w:val="20"/>
        </w:rPr>
        <w:t>Commission</w:t>
      </w:r>
      <w:r>
        <w:rPr>
          <w:rFonts w:ascii="Arial;Helvetica;Sans-Serif" w:hAnsi="Arial;Helvetica;Sans-Serif"/>
          <w:b w:val="false"/>
          <w:i w:val="false"/>
          <w:caps w:val="false"/>
          <w:smallCaps w:val="false"/>
          <w:sz w:val="20"/>
        </w:rPr>
        <w:t>”) under the Securities Act of 1933, as amended (the “</w:t>
      </w:r>
      <w:r>
        <w:rPr>
          <w:rFonts w:ascii="Arial;Helvetica;Sans-Serif" w:hAnsi="Arial;Helvetica;Sans-Serif"/>
          <w:b/>
          <w:i/>
          <w:caps w:val="false"/>
          <w:smallCaps w:val="false"/>
          <w:sz w:val="20"/>
        </w:rPr>
        <w:t>Act</w:t>
      </w:r>
      <w:r>
        <w:rPr>
          <w:rFonts w:ascii="Arial;Helvetica;Sans-Serif" w:hAnsi="Arial;Helvetica;Sans-Serif"/>
          <w:b w:val="false"/>
          <w:i w:val="false"/>
          <w:caps w:val="false"/>
          <w:smallCaps w:val="false"/>
          <w:sz w:val="20"/>
        </w:rPr>
        <w:t>”), the prospectus included in the Registration Statement (the “</w:t>
      </w:r>
      <w:r>
        <w:rPr>
          <w:rFonts w:ascii="Arial;Helvetica;Sans-Serif" w:hAnsi="Arial;Helvetica;Sans-Serif"/>
          <w:b/>
          <w:i/>
          <w:caps w:val="false"/>
          <w:smallCaps w:val="false"/>
          <w:sz w:val="20"/>
        </w:rPr>
        <w:t>Base Prospectus</w:t>
      </w:r>
      <w:r>
        <w:rPr>
          <w:rFonts w:ascii="Arial;Helvetica;Sans-Serif" w:hAnsi="Arial;Helvetica;Sans-Serif"/>
          <w:b w:val="false"/>
          <w:i w:val="false"/>
          <w:caps w:val="false"/>
          <w:smallCaps w:val="false"/>
          <w:sz w:val="20"/>
        </w:rPr>
        <w:t>”), and the prospectus supplement to be filed with the Commission pursuant to Rule 424(b) of the Rules and Regulations of the Act (the “</w:t>
      </w:r>
      <w:r>
        <w:rPr>
          <w:rFonts w:ascii="Arial;Helvetica;Sans-Serif" w:hAnsi="Arial;Helvetica;Sans-Serif"/>
          <w:b/>
          <w:i/>
          <w:caps w:val="false"/>
          <w:smallCaps w:val="false"/>
          <w:sz w:val="20"/>
        </w:rPr>
        <w:t>Prospectus Supplement</w:t>
      </w:r>
      <w:r>
        <w:rPr>
          <w:rFonts w:ascii="Arial;Helvetica;Sans-Serif" w:hAnsi="Arial;Helvetica;Sans-Serif"/>
          <w:b w:val="false"/>
          <w:i w:val="false"/>
          <w:caps w:val="false"/>
          <w:smallCaps w:val="false"/>
          <w:sz w:val="20"/>
        </w:rPr>
        <w:t>”). The Base Prospectus and the Prospectus Supplement are collectively referred to as the “</w:t>
      </w:r>
      <w:r>
        <w:rPr>
          <w:rFonts w:ascii="Arial;Helvetica;Sans-Serif" w:hAnsi="Arial;Helvetica;Sans-Serif"/>
          <w:b/>
          <w:i/>
          <w:caps w:val="false"/>
          <w:smallCaps w:val="false"/>
          <w:sz w:val="20"/>
        </w:rPr>
        <w:t>Prospectus</w:t>
      </w:r>
      <w:r>
        <w:rPr>
          <w:rFonts w:ascii="Arial;Helvetica;Sans-Serif" w:hAnsi="Arial;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connection with this opinion, we have examined and relied upon the Registration Statement, the Prospectus, the form of Pre-Funded Warrant, the Company’s restated certificate of incorporation and amended and restated bylaws, each as currently in effect, and originals or copies certified to our satisfaction of such records, documents, certificates, memoranda and other instruments as in our judgment are necessary or appropriate to enable us to render the opinion expressed below. We have assumed the genuineness and authenticity of all documents submitted to us as originals, and the conformity to originals of all documents submitted to us as copies; the accuracy, completeness and authenticity of certificates of public officials; and the due execution and delivery of all documents by all persons other than the Company where due execution and delivery are a prerequisite to the effectiveness thereof. As to certain factual matters, we have relied upon a certificate of an officer of the Company and have not independently verified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opinion is expressed only with respect to the General Corporation Law of the State of Delaware and, as to the Pre-Funded Warrants constituting valid and binding obligations of the Company, with respect to the laws of the State of New York.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With regard to our opinion concerning the Pre-Funded Warrants constituting valid and binding obligations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 Our opinion is subject to, and may be limited by, (a) applicable bankruptcy, reorganization, insolvency, moratorium, fraudulent conveyance, debtor and creditor, and similar laws which relate to or affect creditors’ rights generally, and (b) general principles of equity (including, without limitation, concepts of materiality, reasonableness, good faith and fair dealing) regardless of whether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(ii) Our opinion is subject to the qualification that the availability of specific performance, an injunction or other equitable remedies is subject to the discretion of the court before which the request is brought.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(iii) We express no opinion as to any provision of the Pre-Funded Warrants that: (a) provides for liquidated damages, buy-in damages, monetary penalties, prepayment or make-whole payments or other economic remedies to the extent such provisions may constitute unlawful penalties, (b) relates to advance waivers of claims, defenses, rights granted by law, or notice, opportunity for hearing, evidentiary requirements, statutes of limitations, trial by jury, or procedural rights, (c) restricts non-written modifications and waivers, (d) provides for the payment of legal and other professional fees where such payment is contrary to law or public policy, (e) relates to exclusivity, election or accumulation of rights or remedies, (f) authorizes or validates conclusive or discretionary determinations, or (g) provides that provisions of the Pre-Funded Warrants are severable to the extent an essential part of the agreed exchange is determined to be invalid and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(iv) We express no opinion as to whether a state court outside of the State of New York or a federal court of the United States would give effect to the choice of New York law or jurisdiction provided for in the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On the basis of the foregoing, and in reliance thereon, we are of the opinion that (i) the Shares, when sold and issued in accordance with the Registration Statement and the Prospectus, will be validly issued, fully paid and non-assessable, (ii) provided that the Pre-Funded Warrants have been duly executed and delivered by the Company to the purchaser thereof against payment therefor as provided in the Registration Statement and the Prospectus, the Pre-Funded Warrants will be valid and binding obligations of the Company and (iii) the Pre-Funded Warrant Shares, when issued and paid for in accordance with the terms of the Pre-Funded </w:t>
      </w:r>
      <w:r>
        <w:rPr>
          <w:rFonts w:ascii="Arial;Helvetica;Sans-Serif" w:hAnsi="Arial;Helvetica;Sans-Serif"/>
          <w:b w:val="false"/>
          <w:i w:val="false"/>
          <w:caps w:val="false"/>
          <w:smallCaps w:val="false"/>
          <w:sz w:val="20"/>
          <w:shd w:fill="FFFFFF" w:val="clear"/>
        </w:rPr>
        <w:t>Warrants,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hereby consent to the filing of this opinion as an exhibit to a current report of the Company on Form 8-K, for incorporation by reference into the Registration Statement. We also hereby consent to the reference to our firm under the heading “Legal Matters” in the Prospectus. In giving this consent, we do not thereby admit that we are within the category of persons whose consent is required under Section 7 of the Act or the Rules and Regulations under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opinion letter is rendered as of the date first written above and we disclaim any obligation to advise you of facts, circumstances, events or developments which hereafter may be brought to our attention and which may alter, affect or modify the opinion expressed herein. Our opinion is expressly limited to the matters set forth above and we render no opinion, whether by implication or otherwise, as to any other matters relating to the Company, the Securities or any other agreements or transactions that may be related thereto or contemplated thereby. We are expressing no opinion as to any obligations that parties other than the Company may have under or in respect of the Securities or as to the effect that their performance of such obligations may have upon any of the matters referred to above. No opinion may be implied or inferred beyond the opinion expressly stated above.</w:t>
      </w:r>
    </w:p>
    <w:p>
      <w:pPr>
        <w:pStyle w:val="TextBody"/>
        <w:bidi w:val="0"/>
        <w:spacing w:before="0" w:after="0"/>
        <w:ind w:left="0" w:right="0" w:firstLine="490"/>
        <w:jc w:val="both"/>
        <w:rPr>
          <w:caps w:val="false"/>
          <w:smallCaps w:val="false"/>
        </w:rPr>
      </w:pPr>
      <w:r>
        <w:rPr>
          <w:caps w:val="false"/>
          <w:smallCaps w:val="false"/>
        </w:rPr>
        <w:t> </w:t>
      </w:r>
    </w:p>
    <w:tbl>
      <w:tblPr>
        <w:tblW w:w="4625" w:type="dxa"/>
        <w:jc w:val="left"/>
        <w:tblInd w:w="0" w:type="dxa"/>
        <w:tblLayout w:type="fixed"/>
        <w:tblCellMar>
          <w:top w:w="0" w:type="dxa"/>
          <w:left w:w="0" w:type="dxa"/>
          <w:bottom w:w="0" w:type="dxa"/>
          <w:right w:w="0" w:type="dxa"/>
        </w:tblCellMar>
      </w:tblPr>
      <w:tblGrid>
        <w:gridCol w:w="75"/>
        <w:gridCol w:w="4550"/>
      </w:tblGrid>
      <w:tr>
        <w:trPr/>
        <w:tc>
          <w:tcPr>
            <w:tcW w:w="7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Very truly yours,</w:t>
            </w:r>
          </w:p>
        </w:tc>
      </w:tr>
      <w:tr>
        <w:trPr/>
        <w:tc>
          <w:tcPr>
            <w:tcW w:w="7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rFonts w:ascii="Arial;Helvetica;Sans-Serif" w:hAnsi="Arial;Helvetica;Sans-Serif"/>
                <w:sz w:val="20"/>
                <w:u w:val="single"/>
              </w:rPr>
            </w:pPr>
            <w:r>
              <w:rPr>
                <w:rFonts w:ascii="Arial;Helvetica;Sans-Serif" w:hAnsi="Arial;Helvetica;Sans-Serif"/>
                <w:sz w:val="20"/>
                <w:u w:val="single"/>
              </w:rPr>
              <w:t>/s/ Sheppard, Mullin, Richter &amp; Hampton LLP</w:t>
            </w:r>
          </w:p>
        </w:tc>
      </w:tr>
      <w:tr>
        <w:trPr/>
        <w:tc>
          <w:tcPr>
            <w:tcW w:w="7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SHEPPARD, MULLIN, RICHTER &amp; HAMPTON LLP</w:t>
            </w:r>
          </w:p>
        </w:tc>
      </w:tr>
    </w:tbl>
    <w:p>
      <w:pPr>
        <w:pStyle w:val="TextBody"/>
        <w:bidi w:val="0"/>
        <w:spacing w:before="0" w:after="0"/>
        <w:ind w:left="0" w:right="0" w:firstLine="49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p>
      <w:pPr>
        <w:pStyle w:val="TextBody"/>
        <w:bidi w:val="0"/>
        <w:spacing w:before="0" w:after="0"/>
        <w:ind w:left="0" w:right="0" w:firstLine="4320"/>
        <w:jc w:val="center"/>
        <w:rPr>
          <w:caps w:val="false"/>
          <w:smallCaps w:val="false"/>
        </w:rPr>
      </w:pPr>
      <w:bookmarkStart w:id="31" w:name="ex10-1.htm"/>
      <w:bookmarkStart w:id="32" w:name="ksex101"/>
      <w:bookmarkEnd w:id="31"/>
      <w:bookmarkEnd w:id="32"/>
      <w:r>
        <w:rPr>
          <w:caps w:val="false"/>
          <w:smallCaps w:val="false"/>
        </w:rPr>
        <w:t> </w:t>
      </w:r>
      <w:r>
        <w:br w:type="page"/>
      </w:r>
    </w:p>
    <w:p>
      <w:pPr>
        <w:pStyle w:val="TextBody"/>
        <w:bidi w:val="0"/>
        <w:spacing w:before="0" w:after="0"/>
        <w:ind w:left="0" w:right="0" w:hanging="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10.1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sz w:val="20"/>
        </w:rPr>
      </w:pPr>
      <w:r>
        <w:rPr>
          <w:rFonts w:ascii="Arial;Helvetica;Sans-Serif" w:hAnsi="Arial;Helvetica;Sans-Serif"/>
          <w:b/>
          <w:i w:val="false"/>
          <w:caps/>
          <w:sz w:val="20"/>
        </w:rPr>
        <w:t>SECURITIES PURCHASE AGREEMENT</w:t>
      </w:r>
    </w:p>
    <w:p>
      <w:pPr>
        <w:pStyle w:val="TextBody"/>
        <w:bidi w:val="0"/>
        <w:spacing w:before="0" w:after="0"/>
        <w:jc w:val="center"/>
        <w:rPr>
          <w:caps/>
        </w:rPr>
      </w:pPr>
      <w:r>
        <w:rPr>
          <w:caps/>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Securities Purchase Agreement (this “</w:t>
      </w:r>
      <w:r>
        <w:rPr>
          <w:rFonts w:ascii="Arial;Helvetica;Sans-Serif" w:hAnsi="Arial;Helvetica;Sans-Serif"/>
          <w:b w:val="false"/>
          <w:i w:val="false"/>
          <w:caps w:val="false"/>
          <w:smallCaps w:val="false"/>
          <w:sz w:val="20"/>
          <w:u w:val="single"/>
        </w:rPr>
        <w:t>Agreement</w:t>
      </w:r>
      <w:r>
        <w:rPr>
          <w:rFonts w:ascii="Arial;Helvetica;Sans-Serif" w:hAnsi="Arial;Helvetica;Sans-Serif"/>
          <w:b w:val="false"/>
          <w:i w:val="false"/>
          <w:caps w:val="false"/>
          <w:smallCaps w:val="false"/>
          <w:sz w:val="20"/>
        </w:rPr>
        <w:t>”) is dated as of August 14, 2026, between Daré Bioscience, Inc., a Delaware corporation (the “</w:t>
      </w:r>
      <w:r>
        <w:rPr>
          <w:rFonts w:ascii="Arial;Helvetica;Sans-Serif" w:hAnsi="Arial;Helvetica;Sans-Serif"/>
          <w:b w:val="false"/>
          <w:i w:val="false"/>
          <w:caps w:val="false"/>
          <w:smallCaps w:val="false"/>
          <w:sz w:val="20"/>
          <w:u w:val="single"/>
        </w:rPr>
        <w:t>Company</w:t>
      </w:r>
      <w:r>
        <w:rPr>
          <w:rFonts w:ascii="Arial;Helvetica;Sans-Serif" w:hAnsi="Arial;Helvetica;Sans-Serif"/>
          <w:b w:val="false"/>
          <w:i w:val="false"/>
          <w:caps w:val="false"/>
          <w:smallCaps w:val="false"/>
          <w:sz w:val="20"/>
        </w:rPr>
        <w:t>”), and each purchaser identified on the signature pages hereto (each, including its successors and assigns, a “</w:t>
      </w:r>
      <w:r>
        <w:rPr>
          <w:rFonts w:ascii="Arial;Helvetica;Sans-Serif" w:hAnsi="Arial;Helvetica;Sans-Serif"/>
          <w:b w:val="false"/>
          <w:i w:val="false"/>
          <w:caps w:val="false"/>
          <w:smallCaps w:val="false"/>
          <w:sz w:val="20"/>
          <w:u w:val="single"/>
        </w:rPr>
        <w:t>Purchaser</w:t>
      </w:r>
      <w:r>
        <w:rPr>
          <w:rFonts w:ascii="Arial;Helvetica;Sans-Serif" w:hAnsi="Arial;Helvetica;Sans-Serif"/>
          <w:b w:val="false"/>
          <w:i w:val="false"/>
          <w:caps w:val="false"/>
          <w:smallCaps w:val="false"/>
          <w:sz w:val="20"/>
        </w:rPr>
        <w:t>” and collectively the “</w:t>
      </w:r>
      <w:r>
        <w:rPr>
          <w:rFonts w:ascii="Arial;Helvetica;Sans-Serif" w:hAnsi="Arial;Helvetica;Sans-Serif"/>
          <w:b w:val="false"/>
          <w:i w:val="false"/>
          <w:caps w:val="false"/>
          <w:smallCaps w:val="false"/>
          <w:sz w:val="20"/>
          <w:u w:val="single"/>
        </w:rPr>
        <w:t>Purchasers</w:t>
      </w:r>
      <w:r>
        <w:rPr>
          <w:rFonts w:ascii="Arial;Helvetica;Sans-Serif" w:hAnsi="Arial;Helvetica;San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WHEREAS, subject to the terms and conditions set forth in this Agreement and pursuant to (i) the Registration Statement (as defined below) as to the Shares, Pre-Funded Warrants and Pre-Funded Warrant Shares (as such terms are defined below) and (ii) an exemption from the registration requirements of Section 5 of the Securities Act (as defined below) contained in Section 4(a)(2) thereof and/or Regulation D thereunder as to the Common Warrants and Common Warrant Shares (as such terms are defined below), the Company desires to issue and sell to each Purchaser, and each Purchaser, severally and not jointly, desires to purchase from the Company, securities of the Company as more fully described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ARTICLE I.</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1.1 </w:t>
      </w:r>
      <w:r>
        <w:rPr>
          <w:rFonts w:ascii="Arial;Helvetica;Sans-Serif" w:hAnsi="Arial;Helvetica;Sans-Serif"/>
          <w:b w:val="false"/>
          <w:i w:val="false"/>
          <w:caps w:val="false"/>
          <w:smallCaps w:val="false"/>
          <w:sz w:val="20"/>
          <w:u w:val="single"/>
        </w:rPr>
        <w:t>Definitions</w:t>
      </w:r>
      <w:r>
        <w:rPr>
          <w:rFonts w:ascii="Arial;Helvetica;Sans-Serif" w:hAnsi="Arial;Helvetica;Sans-Serif"/>
          <w:b w:val="false"/>
          <w:i w:val="false"/>
          <w:caps w:val="false"/>
          <w:smallCaps w:val="false"/>
          <w:sz w:val="20"/>
        </w:rPr>
        <w:t>. In addition to the terms defined elsewhere in this Agreement, for all purposes of this Agreement, the following terms have the meanings set forth in this Section 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Acquiring Person</w:t>
      </w:r>
      <w:r>
        <w:rPr>
          <w:rFonts w:ascii="Arial;Helvetica;Sans-Serif" w:hAnsi="Arial;Helvetica;Sans-Serif"/>
          <w:b w:val="false"/>
          <w:i w:val="false"/>
          <w:caps w:val="false"/>
          <w:smallCaps w:val="false"/>
          <w:sz w:val="20"/>
        </w:rPr>
        <w:t>” shall have the meaning ascribed to such term in Section 4.5.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Action</w:t>
      </w:r>
      <w:r>
        <w:rPr>
          <w:rFonts w:ascii="Arial;Helvetica;Sans-Serif" w:hAnsi="Arial;Helvetica;Sans-Serif"/>
          <w:b w:val="false"/>
          <w:i w:val="false"/>
          <w:caps w:val="false"/>
          <w:smallCaps w:val="false"/>
          <w:sz w:val="20"/>
        </w:rPr>
        <w:t>” shall have the meaning ascribed to such term in Section 3.1(j).</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Affiliate</w:t>
      </w:r>
      <w:r>
        <w:rPr>
          <w:rFonts w:ascii="Arial;Helvetica;Sans-Serif" w:hAnsi="Arial;Helvetica;San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Board of Directors</w:t>
      </w:r>
      <w:r>
        <w:rPr>
          <w:rFonts w:ascii="Arial;Helvetica;Sans-Serif" w:hAnsi="Arial;Helvetica;Sans-Serif"/>
          <w:b w:val="false"/>
          <w:i w:val="false"/>
          <w:caps w:val="false"/>
          <w:smallCaps w:val="false"/>
          <w:sz w:val="20"/>
        </w:rPr>
        <w:t>” means the board of directors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Business Day</w:t>
      </w:r>
      <w:r>
        <w:rPr>
          <w:rFonts w:ascii="Arial;Helvetica;Sans-Serif" w:hAnsi="Arial;Helvetica;Sans-Serif"/>
          <w:b w:val="false"/>
          <w:i w:val="false"/>
          <w:caps w:val="false"/>
          <w:smallCaps w:val="false"/>
          <w:sz w:val="20"/>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Closing</w:t>
      </w:r>
      <w:r>
        <w:rPr>
          <w:rFonts w:ascii="Arial;Helvetica;Sans-Serif" w:hAnsi="Arial;Helvetica;Sans-Serif"/>
          <w:b w:val="false"/>
          <w:i w:val="false"/>
          <w:caps w:val="false"/>
          <w:smallCaps w:val="false"/>
          <w:sz w:val="20"/>
        </w:rPr>
        <w:t>” means the closing of the purchase and sale of the Securities pursuant to Section 2.1.</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Closing Date</w:t>
      </w:r>
      <w:r>
        <w:rPr>
          <w:rFonts w:ascii="Arial;Helvetica;Sans-Serif" w:hAnsi="Arial;Helvetica;Sans-Serif"/>
          <w:b w:val="false"/>
          <w:i w:val="false"/>
          <w:caps w:val="false"/>
          <w:smallCaps w:val="false"/>
          <w:sz w:val="20"/>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Shares and Warrants, in each case, have been satisfied or waived, but in no event later than the first (1st) Trading Day following the date hereof (or the second (2</w:t>
      </w:r>
      <w:r>
        <w:rPr>
          <w:rFonts w:ascii="Arial;Helvetica;Sans-Serif" w:hAnsi="Arial;Helvetica;Sans-Serif"/>
          <w:b w:val="false"/>
          <w:i w:val="false"/>
          <w:caps w:val="false"/>
          <w:smallCaps w:val="false"/>
          <w:position w:val="7"/>
          <w:sz w:val="16"/>
          <w:sz w:val="20"/>
        </w:rPr>
        <w:t>nd</w:t>
      </w:r>
      <w:r>
        <w:rPr>
          <w:rFonts w:ascii="Arial;Helvetica;Sans-Serif" w:hAnsi="Arial;Helvetica;Sans-Serif"/>
          <w:b w:val="false"/>
          <w:i w:val="false"/>
          <w:caps w:val="false"/>
          <w:smallCaps w:val="false"/>
          <w:sz w:val="20"/>
        </w:rPr>
        <w:t>) Trading Day following the date hereof if this Agreement is signed on a day that is not a Trading Day or after 4:00 p.m. (New York City time) and before midnight (New York City time) on a Trading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Commission</w:t>
      </w:r>
      <w:r>
        <w:rPr>
          <w:rFonts w:ascii="Arial;Helvetica;Sans-Serif" w:hAnsi="Arial;Helvetica;Sans-Serif"/>
          <w:b w:val="false"/>
          <w:i w:val="false"/>
          <w:caps w:val="false"/>
          <w:smallCaps w:val="false"/>
          <w:sz w:val="20"/>
        </w:rPr>
        <w:t>” means the United States Securities and Exchange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Common Stock</w:t>
      </w:r>
      <w:r>
        <w:rPr>
          <w:rFonts w:ascii="Arial;Helvetica;Sans-Serif" w:hAnsi="Arial;Helvetica;Sans-Serif"/>
          <w:b w:val="false"/>
          <w:i w:val="false"/>
          <w:caps w:val="false"/>
          <w:smallCaps w:val="false"/>
          <w:sz w:val="20"/>
        </w:rPr>
        <w:t>” means the common stock of the Company, par value $0.0001 per share, and any other class of securities into which such securities may hereafter be reclassified or changed.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Common Stock Equivalents</w:t>
      </w:r>
      <w:r>
        <w:rPr>
          <w:rFonts w:ascii="Arial;Helvetica;Sans-Serif" w:hAnsi="Arial;Helvetica;Sans-Serif"/>
          <w:b w:val="false"/>
          <w:i w:val="false"/>
          <w:caps w:val="false"/>
          <w:smallCaps w:val="false"/>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Common Warrants</w:t>
      </w:r>
      <w:r>
        <w:rPr>
          <w:rFonts w:ascii="Arial;Helvetica;Sans-Serif" w:hAnsi="Arial;Helvetica;Sans-Serif"/>
          <w:b w:val="false"/>
          <w:i w:val="false"/>
          <w:caps w:val="false"/>
          <w:smallCaps w:val="false"/>
          <w:sz w:val="20"/>
        </w:rPr>
        <w:t>” means, collectively, the Series A Warrants and Series B Warrants.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Common Warrant Shares</w:t>
      </w:r>
      <w:r>
        <w:rPr>
          <w:rFonts w:ascii="Arial;Helvetica;Sans-Serif" w:hAnsi="Arial;Helvetica;Sans-Serif"/>
          <w:b w:val="false"/>
          <w:i w:val="false"/>
          <w:caps w:val="false"/>
          <w:smallCaps w:val="false"/>
          <w:sz w:val="20"/>
        </w:rPr>
        <w:t>” means the shares of Common Stock issuable upon exercise of the Common Warrants.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Company Counsel</w:t>
      </w:r>
      <w:r>
        <w:rPr>
          <w:rFonts w:ascii="Arial;Helvetica;Sans-Serif" w:hAnsi="Arial;Helvetica;Sans-Serif"/>
          <w:b w:val="false"/>
          <w:i w:val="false"/>
          <w:caps w:val="false"/>
          <w:smallCaps w:val="false"/>
          <w:sz w:val="20"/>
        </w:rPr>
        <w:t>” means Sheppard, Mullin, Richter &amp; Hampton LLP, with offices located at 12275 El Camino Real, Suite 100, San Diego, California 92130.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Disclosure Schedules</w:t>
      </w:r>
      <w:r>
        <w:rPr>
          <w:rFonts w:ascii="Arial;Helvetica;Sans-Serif" w:hAnsi="Arial;Helvetica;Sans-Serif"/>
          <w:b w:val="false"/>
          <w:i w:val="false"/>
          <w:caps w:val="false"/>
          <w:smallCaps w:val="false"/>
          <w:sz w:val="20"/>
        </w:rPr>
        <w:t>” means the Disclosure Schedules of the Company delivered concurrently herewith.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Disclosure Time</w:t>
      </w:r>
      <w:r>
        <w:rPr>
          <w:rFonts w:ascii="Arial;Helvetica;Sans-Serif" w:hAnsi="Arial;Helvetica;Sans-Serif"/>
          <w:b w:val="false"/>
          <w:i w:val="false"/>
          <w:caps w:val="false"/>
          <w:smallCaps w:val="false"/>
          <w:sz w:val="20"/>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EGS</w:t>
      </w:r>
      <w:r>
        <w:rPr>
          <w:rFonts w:ascii="Arial;Helvetica;Sans-Serif" w:hAnsi="Arial;Helvetica;Sans-Serif"/>
          <w:b w:val="false"/>
          <w:i w:val="false"/>
          <w:caps w:val="false"/>
          <w:smallCaps w:val="false"/>
          <w:sz w:val="20"/>
        </w:rPr>
        <w:t>” means Ellenoff Grossman &amp; Schole LLP, with offices located at 1345 Avenue of the Americas, New York, New York 10105-0302.</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Evaluation Date</w:t>
      </w:r>
      <w:r>
        <w:rPr>
          <w:rFonts w:ascii="Arial;Helvetica;Sans-Serif" w:hAnsi="Arial;Helvetica;Sans-Serif"/>
          <w:b w:val="false"/>
          <w:i w:val="false"/>
          <w:caps w:val="false"/>
          <w:smallCaps w:val="false"/>
          <w:sz w:val="20"/>
        </w:rPr>
        <w:t>” shall have the meaning ascribed to such term in Section 3.1(s).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Exchange Act</w:t>
      </w:r>
      <w:r>
        <w:rPr>
          <w:rFonts w:ascii="Arial;Helvetica;Sans-Serif" w:hAnsi="Arial;Helvetica;San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Exempt Issuance</w:t>
      </w:r>
      <w:r>
        <w:rPr>
          <w:rFonts w:ascii="Arial;Helvetica;Sans-Serif" w:hAnsi="Arial;Helvetica;Sans-Serif"/>
          <w:b w:val="false"/>
          <w:i w:val="false"/>
          <w:caps w:val="false"/>
          <w:smallCaps w:val="false"/>
          <w:sz w:val="20"/>
        </w:rPr>
        <w:t>” means the issuance of (a) shares of Common Stock, options, or other equity awards to employees, officers, directors of, or consultants to, the Company pursuant to any equity incentive plan duly adopted for such purpose, by a majority of the non-employee members of the Board of Directors or a majority of the members of a committee of non-employee directors established for such purpose for services rendered to the Company or as inducement awards in accordance with Trading Market rules, provided that, such securities issued to consultants are issued as “restricted securities” (as defined in Rule 144) and carry no registration rights that require or permit the filing of any registration statement in connection therewith during the prohibition period in Section 4.11(a) herein, (b) securities upon the exercise or exchange of or conversion of any Securities issued hereunder, warrants to the Placement Agent in connection with the transactions pursuant to this Agreement and any securities issued upon exercise of warrants issued to the Placement Agent, (c) securities upon the exercise or exchange of or conversion of any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reverse and forward stock splits, stock dividends, stock combinations and other similar transactions) or to extend the term of such securities, and (d) securities issued pursuant to acquisitions or licensing, collaboration,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 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FCPA</w:t>
      </w:r>
      <w:r>
        <w:rPr>
          <w:rFonts w:ascii="Arial;Helvetica;Sans-Serif" w:hAnsi="Arial;Helvetica;Sans-Serif"/>
          <w:b w:val="false"/>
          <w:i w:val="false"/>
          <w:caps w:val="false"/>
          <w:smallCaps w:val="false"/>
          <w:sz w:val="20"/>
        </w:rPr>
        <w:t>” means the Foreign Corrupt Practices Act of 1977, as amended.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FDA</w:t>
      </w:r>
      <w:r>
        <w:rPr>
          <w:rFonts w:ascii="Arial;Helvetica;Sans-Serif" w:hAnsi="Arial;Helvetica;Sans-Serif"/>
          <w:b w:val="false"/>
          <w:i w:val="false"/>
          <w:caps w:val="false"/>
          <w:smallCaps w:val="false"/>
          <w:sz w:val="20"/>
        </w:rPr>
        <w:t>” shall have the meaning ascribed to such term in Section 3.1(hh).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FDCA</w:t>
      </w:r>
      <w:r>
        <w:rPr>
          <w:rFonts w:ascii="Arial;Helvetica;Sans-Serif" w:hAnsi="Arial;Helvetica;Sans-Serif"/>
          <w:b w:val="false"/>
          <w:i w:val="false"/>
          <w:caps w:val="false"/>
          <w:smallCaps w:val="false"/>
          <w:sz w:val="20"/>
        </w:rPr>
        <w:t>” shall have the meaning ascribed to such term in Section 3.1(hh).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GAAP</w:t>
      </w:r>
      <w:r>
        <w:rPr>
          <w:rFonts w:ascii="Arial;Helvetica;Sans-Serif" w:hAnsi="Arial;Helvetica;Sans-Serif"/>
          <w:b w:val="false"/>
          <w:i w:val="false"/>
          <w:caps w:val="false"/>
          <w:smallCaps w:val="false"/>
          <w:sz w:val="20"/>
        </w:rPr>
        <w:t>” shall have the meaning ascribed to such term in Section 3.1(h).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Indebtedness</w:t>
      </w:r>
      <w:r>
        <w:rPr>
          <w:rFonts w:ascii="Arial;Helvetica;Sans-Serif" w:hAnsi="Arial;Helvetica;Sans-Serif"/>
          <w:b w:val="false"/>
          <w:i w:val="false"/>
          <w:caps w:val="false"/>
          <w:smallCaps w:val="false"/>
          <w:sz w:val="20"/>
        </w:rPr>
        <w:t>” shall have the meaning ascribed to such term in Section 3.1(aa).</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Intellectual Property Rights</w:t>
      </w:r>
      <w:r>
        <w:rPr>
          <w:rFonts w:ascii="Arial;Helvetica;Sans-Serif" w:hAnsi="Arial;Helvetica;Sans-Serif"/>
          <w:b w:val="false"/>
          <w:i w:val="false"/>
          <w:caps w:val="false"/>
          <w:smallCaps w:val="false"/>
          <w:sz w:val="20"/>
        </w:rPr>
        <w:t>” shall have the meaning ascribed to such term in Section 3.1(p).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Legend Removal Date</w:t>
      </w:r>
      <w:r>
        <w:rPr>
          <w:rFonts w:ascii="Arial;Helvetica;Sans-Serif" w:hAnsi="Arial;Helvetica;Sans-Serif"/>
          <w:b w:val="false"/>
          <w:i w:val="false"/>
          <w:caps w:val="false"/>
          <w:smallCaps w:val="false"/>
          <w:sz w:val="20"/>
        </w:rPr>
        <w:t>” shall have the meaning ascribed to such term in Section 4.1(c).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Liens</w:t>
      </w:r>
      <w:r>
        <w:rPr>
          <w:rFonts w:ascii="Arial;Helvetica;Sans-Serif" w:hAnsi="Arial;Helvetica;San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Lock-Up Agreements</w:t>
      </w:r>
      <w:r>
        <w:rPr>
          <w:rFonts w:ascii="Arial;Helvetica;Sans-Serif" w:hAnsi="Arial;Helvetica;Sans-Serif"/>
          <w:b w:val="false"/>
          <w:i w:val="false"/>
          <w:caps w:val="false"/>
          <w:smallCaps w:val="false"/>
          <w:sz w:val="20"/>
        </w:rPr>
        <w:t xml:space="preserve">” means each of the Lock-Up Agreements, dated as of the date hereof, by and among the Company and the directors and officers of the Company, in the form of </w:t>
      </w:r>
      <w:r>
        <w:rPr>
          <w:rFonts w:ascii="Arial;Helvetica;Sans-Serif" w:hAnsi="Arial;Helvetica;Sans-Serif"/>
          <w:b w:val="false"/>
          <w:i w:val="false"/>
          <w:caps w:val="false"/>
          <w:smallCaps w:val="false"/>
          <w:sz w:val="20"/>
          <w:u w:val="single"/>
        </w:rPr>
        <w:t>Exhibit C</w:t>
      </w:r>
      <w:r>
        <w:rPr>
          <w:rFonts w:ascii="Arial;Helvetica;Sans-Serif" w:hAnsi="Arial;Helvetica;Sans-Serif"/>
          <w:b w:val="false"/>
          <w:i w:val="false"/>
          <w:caps w:val="false"/>
          <w:smallCaps w:val="false"/>
          <w:sz w:val="20"/>
        </w:rPr>
        <w:t xml:space="preserve"> attached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Material Adverse Effect</w:t>
      </w:r>
      <w:r>
        <w:rPr>
          <w:rFonts w:ascii="Arial;Helvetica;Sans-Serif" w:hAnsi="Arial;Helvetica;Sans-Serif"/>
          <w:b w:val="false"/>
          <w:i w:val="false"/>
          <w:caps w:val="false"/>
          <w:smallCaps w:val="false"/>
          <w:sz w:val="20"/>
        </w:rPr>
        <w:t>” shall have the meaning assigned to such term in Section 3.1(b).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Material Permits</w:t>
      </w:r>
      <w:r>
        <w:rPr>
          <w:rFonts w:ascii="Arial;Helvetica;Sans-Serif" w:hAnsi="Arial;Helvetica;Sans-Serif"/>
          <w:b w:val="false"/>
          <w:i w:val="false"/>
          <w:caps w:val="false"/>
          <w:smallCaps w:val="false"/>
          <w:sz w:val="20"/>
        </w:rPr>
        <w:t>” shall have the meaning ascribed to such term in Section 3.1(n).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Per Share Purchase Price</w:t>
      </w:r>
      <w:r>
        <w:rPr>
          <w:rFonts w:ascii="Arial;Helvetica;Sans-Serif" w:hAnsi="Arial;Helvetica;Sans-Serif"/>
          <w:b w:val="false"/>
          <w:i w:val="false"/>
          <w:caps w:val="false"/>
          <w:smallCaps w:val="false"/>
          <w:sz w:val="20"/>
        </w:rPr>
        <w:t>” equals $1.37, subject to adjustment for reverse and forward stock splits, stock dividends, stock combinations and other similar transactions affecting the Common Stock that occur after the date of this Agreement, provided that, the purchase price per Pre-funded Warrant shall be the Per Share Purchase Price minus $0.0001.</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Person</w:t>
      </w:r>
      <w:r>
        <w:rPr>
          <w:rFonts w:ascii="Arial;Helvetica;Sans-Serif" w:hAnsi="Arial;Helvetica;San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Pharmaceutical Product</w:t>
      </w:r>
      <w:r>
        <w:rPr>
          <w:rFonts w:ascii="Arial;Helvetica;Sans-Serif" w:hAnsi="Arial;Helvetica;Sans-Serif"/>
          <w:b w:val="false"/>
          <w:i w:val="false"/>
          <w:caps w:val="false"/>
          <w:smallCaps w:val="false"/>
          <w:sz w:val="20"/>
        </w:rPr>
        <w:t>” shall have the meaning ascribed to such term in Section 3.1(hh).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Placement Agent</w:t>
      </w:r>
      <w:r>
        <w:rPr>
          <w:rFonts w:ascii="Arial;Helvetica;Sans-Serif" w:hAnsi="Arial;Helvetica;Sans-Serif"/>
          <w:b w:val="false"/>
          <w:i w:val="false"/>
          <w:caps w:val="false"/>
          <w:smallCaps w:val="false"/>
          <w:sz w:val="20"/>
        </w:rPr>
        <w:t>” means Ladenburg Thalmann &amp; Co., Inc.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Pre-Funded Warrants</w:t>
      </w:r>
      <w:r>
        <w:rPr>
          <w:rFonts w:ascii="Arial;Helvetica;Sans-Serif" w:hAnsi="Arial;Helvetica;Sans-Serif"/>
          <w:b w:val="false"/>
          <w:i w:val="false"/>
          <w:caps w:val="false"/>
          <w:smallCaps w:val="false"/>
          <w:sz w:val="20"/>
        </w:rPr>
        <w:t xml:space="preserve">” means, collectively, the pre-funded Common Stock purchase warrants delivered to the Purchasers at the Closing in accordance with Section 2.2(a) hereof, which Pre-Funded Warrants shall be exercisable immediately and shall expire when exercised in full, in the form of </w:t>
      </w:r>
      <w:r>
        <w:rPr>
          <w:rFonts w:ascii="Arial;Helvetica;Sans-Serif" w:hAnsi="Arial;Helvetica;Sans-Serif"/>
          <w:b w:val="false"/>
          <w:i w:val="false"/>
          <w:caps w:val="false"/>
          <w:smallCaps w:val="false"/>
          <w:sz w:val="20"/>
          <w:u w:val="single"/>
        </w:rPr>
        <w:t>Exhibit B</w:t>
      </w:r>
      <w:r>
        <w:rPr>
          <w:rFonts w:ascii="Arial;Helvetica;Sans-Serif" w:hAnsi="Arial;Helvetica;Sans-Serif"/>
          <w:b w:val="false"/>
          <w:i w:val="false"/>
          <w:caps w:val="false"/>
          <w:smallCaps w:val="false"/>
          <w:sz w:val="20"/>
        </w:rPr>
        <w:t xml:space="preserve"> attached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Pre-Funded Warrant Shares</w:t>
      </w:r>
      <w:r>
        <w:rPr>
          <w:rFonts w:ascii="Arial;Helvetica;Sans-Serif" w:hAnsi="Arial;Helvetica;Sans-Serif"/>
          <w:b w:val="false"/>
          <w:i w:val="false"/>
          <w:caps w:val="false"/>
          <w:smallCaps w:val="false"/>
          <w:sz w:val="20"/>
        </w:rPr>
        <w:t>” means the shares of Common Stock issuable upon exercise of the Pre-Funded Warrants.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Proceeding</w:t>
      </w:r>
      <w:r>
        <w:rPr>
          <w:rFonts w:ascii="Arial;Helvetica;Sans-Serif" w:hAnsi="Arial;Helvetica;Sans-Serif"/>
          <w:b w:val="false"/>
          <w:i w:val="false"/>
          <w:caps w:val="false"/>
          <w:smallCaps w:val="false"/>
          <w:sz w:val="20"/>
        </w:rPr>
        <w:t>” means an action, claim, suit, investigation or proceeding (including, without limitation, an informal investigation or partial proceeding, such as a deposition).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Prospectus</w:t>
      </w:r>
      <w:r>
        <w:rPr>
          <w:rFonts w:ascii="Arial;Helvetica;Sans-Serif" w:hAnsi="Arial;Helvetica;Sans-Serif"/>
          <w:b w:val="false"/>
          <w:i w:val="false"/>
          <w:caps w:val="false"/>
          <w:smallCaps w:val="false"/>
          <w:sz w:val="20"/>
        </w:rPr>
        <w:t>” means the base prospectus that forms a part of the Registration Statement.</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Prospectus Supplement</w:t>
      </w:r>
      <w:r>
        <w:rPr>
          <w:rFonts w:ascii="Arial;Helvetica;Sans-Serif" w:hAnsi="Arial;Helvetica;Sans-Serif"/>
          <w:b w:val="false"/>
          <w:i w:val="false"/>
          <w:caps w:val="false"/>
          <w:smallCaps w:val="false"/>
          <w:sz w:val="20"/>
        </w:rPr>
        <w:t>” means the final prospectus supplement to the Prospectus setting forth the final terms of the offering complying with Rule 424(b) of the Securities Act that is filed with the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Purchaser Party</w:t>
      </w:r>
      <w:r>
        <w:rPr>
          <w:rFonts w:ascii="Arial;Helvetica;Sans-Serif" w:hAnsi="Arial;Helvetica;Sans-Serif"/>
          <w:b w:val="false"/>
          <w:i w:val="false"/>
          <w:caps w:val="false"/>
          <w:smallCaps w:val="false"/>
          <w:sz w:val="20"/>
        </w:rPr>
        <w:t>” shall have the meaning ascribed to such term in Section 4.8.</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Registration Statement</w:t>
      </w:r>
      <w:r>
        <w:rPr>
          <w:rFonts w:ascii="Arial;Helvetica;Sans-Serif" w:hAnsi="Arial;Helvetica;Sans-Serif"/>
          <w:b w:val="false"/>
          <w:i w:val="false"/>
          <w:caps w:val="false"/>
          <w:smallCaps w:val="false"/>
          <w:sz w:val="20"/>
        </w:rPr>
        <w:t>” means the Company’s registration statement on Form S-3 (File No. 333-278380), as amended as of the date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Regulation A Offering</w:t>
      </w:r>
      <w:r>
        <w:rPr>
          <w:rFonts w:ascii="Arial;Helvetica;Sans-Serif" w:hAnsi="Arial;Helvetica;Sans-Serif"/>
          <w:b w:val="false"/>
          <w:i w:val="false"/>
          <w:caps w:val="false"/>
          <w:smallCaps w:val="false"/>
          <w:sz w:val="20"/>
        </w:rPr>
        <w:t>” means the Company’s best efforts offering under Regulation A that was initially qualified on January 5, 2026 (File No. 024-12688).</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Required Approvals</w:t>
      </w:r>
      <w:r>
        <w:rPr>
          <w:rFonts w:ascii="Arial;Helvetica;Sans-Serif" w:hAnsi="Arial;Helvetica;Sans-Serif"/>
          <w:b w:val="false"/>
          <w:i w:val="false"/>
          <w:caps w:val="false"/>
          <w:smallCaps w:val="false"/>
          <w:sz w:val="20"/>
        </w:rPr>
        <w:t>” shall have the meaning ascribed to such term in Section 3.1(e).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Rule 144</w:t>
      </w:r>
      <w:r>
        <w:rPr>
          <w:rFonts w:ascii="Arial;Helvetica;Sans-Serif" w:hAnsi="Arial;Helvetica;Sans-Serif"/>
          <w:b w:val="false"/>
          <w:i w:val="false"/>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Rule 424</w:t>
      </w:r>
      <w:r>
        <w:rPr>
          <w:rFonts w:ascii="Arial;Helvetica;Sans-Serif" w:hAnsi="Arial;Helvetica;Sans-Serif"/>
          <w:b w:val="false"/>
          <w:i w:val="false"/>
          <w:caps w:val="false"/>
          <w:smallCaps w:val="false"/>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SEC Reports</w:t>
      </w:r>
      <w:r>
        <w:rPr>
          <w:rFonts w:ascii="Arial;Helvetica;Sans-Serif" w:hAnsi="Arial;Helvetica;Sans-Serif"/>
          <w:b w:val="false"/>
          <w:i w:val="false"/>
          <w:caps w:val="false"/>
          <w:smallCaps w:val="false"/>
          <w:sz w:val="20"/>
        </w:rPr>
        <w:t>” shall have the meaning ascribed to such term in Section 3.1(h).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Securities</w:t>
      </w:r>
      <w:r>
        <w:rPr>
          <w:rFonts w:ascii="Arial;Helvetica;Sans-Serif" w:hAnsi="Arial;Helvetica;Sans-Serif"/>
          <w:b w:val="false"/>
          <w:i w:val="false"/>
          <w:caps w:val="false"/>
          <w:smallCaps w:val="false"/>
          <w:sz w:val="20"/>
        </w:rPr>
        <w:t>” means the Shares, the Warrants and the Warrant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Securities Act</w:t>
      </w:r>
      <w:r>
        <w:rPr>
          <w:rFonts w:ascii="Arial;Helvetica;Sans-Serif" w:hAnsi="Arial;Helvetica;Sans-Serif"/>
          <w:b w:val="false"/>
          <w:i w:val="false"/>
          <w:caps w:val="false"/>
          <w:smallCaps w:val="false"/>
          <w:sz w:val="20"/>
        </w:rPr>
        <w:t>” means the Securities Act of 1933,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Series A Warrants</w:t>
      </w:r>
      <w:r>
        <w:rPr>
          <w:rFonts w:ascii="Arial;Helvetica;Sans-Serif" w:hAnsi="Arial;Helvetica;Sans-Serif"/>
          <w:b w:val="false"/>
          <w:i w:val="false"/>
          <w:caps w:val="false"/>
          <w:smallCaps w:val="false"/>
          <w:sz w:val="20"/>
        </w:rPr>
        <w:t xml:space="preserve">” means the Common Stock purchase warrants delivered to the Purchasers at the Closing in accordance with Section 2.2(a) hereof, which Series A Warrants shall be exercisable on or after the Shareholder Approval Date and have a term of exercise equal to 5 years, in the form of </w:t>
      </w:r>
      <w:r>
        <w:rPr>
          <w:rFonts w:ascii="Arial;Helvetica;Sans-Serif" w:hAnsi="Arial;Helvetica;Sans-Serif"/>
          <w:b w:val="false"/>
          <w:i w:val="false"/>
          <w:caps w:val="false"/>
          <w:smallCaps w:val="false"/>
          <w:sz w:val="20"/>
          <w:u w:val="single"/>
        </w:rPr>
        <w:t>Exhibit A-1</w:t>
      </w:r>
      <w:r>
        <w:rPr>
          <w:rFonts w:ascii="Arial;Helvetica;Sans-Serif" w:hAnsi="Arial;Helvetica;Sans-Serif"/>
          <w:b w:val="false"/>
          <w:i w:val="false"/>
          <w:caps w:val="false"/>
          <w:smallCaps w:val="false"/>
          <w:sz w:val="20"/>
        </w:rPr>
        <w:t xml:space="preserve"> attached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Series A Warrant Shares</w:t>
      </w:r>
      <w:r>
        <w:rPr>
          <w:rFonts w:ascii="Arial;Helvetica;Sans-Serif" w:hAnsi="Arial;Helvetica;Sans-Serif"/>
          <w:b w:val="false"/>
          <w:i w:val="false"/>
          <w:caps w:val="false"/>
          <w:smallCaps w:val="false"/>
          <w:sz w:val="20"/>
        </w:rPr>
        <w:t>” means the shares of Common Stock issuable upon exercise of the Series A Warrants.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Series B Warrants</w:t>
      </w:r>
      <w:r>
        <w:rPr>
          <w:rFonts w:ascii="Arial;Helvetica;Sans-Serif" w:hAnsi="Arial;Helvetica;Sans-Serif"/>
          <w:b w:val="false"/>
          <w:i w:val="false"/>
          <w:caps w:val="false"/>
          <w:smallCaps w:val="false"/>
          <w:sz w:val="20"/>
        </w:rPr>
        <w:t xml:space="preserve">” means the Common Stock purchase warrants delivered to the Purchasers at the Closing in accordance with Section 2.2(a) hereof, which Series B Warrants shall be exercisable on or after the Shareholder Approval Date and have a term of exercise equal to 2 years, in the form of </w:t>
      </w:r>
      <w:r>
        <w:rPr>
          <w:rFonts w:ascii="Arial;Helvetica;Sans-Serif" w:hAnsi="Arial;Helvetica;Sans-Serif"/>
          <w:b w:val="false"/>
          <w:i w:val="false"/>
          <w:caps w:val="false"/>
          <w:smallCaps w:val="false"/>
          <w:sz w:val="20"/>
          <w:u w:val="single"/>
        </w:rPr>
        <w:t>Exhibit A-2</w:t>
      </w:r>
      <w:r>
        <w:rPr>
          <w:rFonts w:ascii="Arial;Helvetica;Sans-Serif" w:hAnsi="Arial;Helvetica;Sans-Serif"/>
          <w:b w:val="false"/>
          <w:i w:val="false"/>
          <w:caps w:val="false"/>
          <w:smallCaps w:val="false"/>
          <w:sz w:val="20"/>
        </w:rPr>
        <w:t xml:space="preserve"> attached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Series B Warrant Shares</w:t>
      </w:r>
      <w:r>
        <w:rPr>
          <w:rFonts w:ascii="Arial;Helvetica;Sans-Serif" w:hAnsi="Arial;Helvetica;Sans-Serif"/>
          <w:b w:val="false"/>
          <w:i w:val="false"/>
          <w:caps w:val="false"/>
          <w:smallCaps w:val="false"/>
          <w:sz w:val="20"/>
        </w:rPr>
        <w:t>” means the shares of Common Stock issuable upon exercise of the Series B Warrants.</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Shares</w:t>
      </w:r>
      <w:r>
        <w:rPr>
          <w:rFonts w:ascii="Arial;Helvetica;Sans-Serif" w:hAnsi="Arial;Helvetica;Sans-Serif"/>
          <w:b w:val="false"/>
          <w:i w:val="false"/>
          <w:caps w:val="false"/>
          <w:smallCaps w:val="false"/>
          <w:sz w:val="20"/>
        </w:rPr>
        <w:t>” means the shares of Common Stock issued or issuable to each Purchaser pursuant to this Agreement at the Closing, but excluding, for the avoidance of doubt, the Warrant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Shareholder Approval</w:t>
      </w:r>
      <w:r>
        <w:rPr>
          <w:rFonts w:ascii="Arial;Helvetica;Sans-Serif" w:hAnsi="Arial;Helvetica;Sans-Serif"/>
          <w:b w:val="false"/>
          <w:i w:val="false"/>
          <w:caps w:val="false"/>
          <w:smallCaps w:val="false"/>
          <w:sz w:val="20"/>
        </w:rPr>
        <w:t>” means such approval as may be required by the applicable rules and regulations of the Nasdaq Stock Market LLC (or any successor entity) from the stockholders of the Company with respect to the issuance of all the Common Warrants and the Common Warrant Shares upon the exercise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Shareholder Approval Date</w:t>
      </w:r>
      <w:r>
        <w:rPr>
          <w:rFonts w:ascii="Arial;Helvetica;Sans-Serif" w:hAnsi="Arial;Helvetica;Sans-Serif"/>
          <w:b w:val="false"/>
          <w:i w:val="false"/>
          <w:caps w:val="false"/>
          <w:smallCaps w:val="false"/>
          <w:sz w:val="20"/>
        </w:rPr>
        <w:t>” means the date on which Shareholder Approval is received and deemed effective under Delaware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Short Sales</w:t>
      </w:r>
      <w:r>
        <w:rPr>
          <w:rFonts w:ascii="Arial;Helvetica;Sans-Serif" w:hAnsi="Arial;Helvetica;Sans-Serif"/>
          <w:b w:val="false"/>
          <w:i w:val="false"/>
          <w:caps w:val="false"/>
          <w:smallCaps w:val="false"/>
          <w:sz w:val="20"/>
        </w:rPr>
        <w:t>” means all “short sales” as defined in Rule 200 of Regulation SHO under the Exchange Act (but shall not be deemed to include locating and/or borrowing shares of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Subscription Amount</w:t>
      </w:r>
      <w:r>
        <w:rPr>
          <w:rFonts w:ascii="Arial;Helvetica;Sans-Serif" w:hAnsi="Arial;Helvetica;Sans-Serif"/>
          <w:b w:val="false"/>
          <w:i w:val="false"/>
          <w:caps w:val="false"/>
          <w:smallCaps w:val="false"/>
          <w:sz w:val="20"/>
        </w:rPr>
        <w:t>” means, as to each Purchaser, the aggregate amount to be paid for the Shares, Pre-Funded Warrants (if applicable) and Common Warrants purchased hereunder as specified below such Purchaser’s name on the signature page of this Agreement and next to the heading “Subscription Amount,” in United States dollars and in immediately available funds (excluding for the avoidance of doubt, if applicable, a Purchaser’s aggregate exercise price of the Pre-Funded Warrants, which amounts shall be paid as and when such Pre-Funded Warrants are exercised for cash).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Subsidiary</w:t>
      </w:r>
      <w:r>
        <w:rPr>
          <w:rFonts w:ascii="Arial;Helvetica;Sans-Serif" w:hAnsi="Arial;Helvetica;Sans-Serif"/>
          <w:b w:val="false"/>
          <w:i w:val="false"/>
          <w:caps w:val="false"/>
          <w:smallCaps w:val="false"/>
          <w:sz w:val="20"/>
        </w:rPr>
        <w:t xml:space="preserve">” means any subsidiary of the Company as set forth in </w:t>
      </w:r>
      <w:r>
        <w:rPr>
          <w:rFonts w:ascii="Arial;Helvetica;Sans-Serif" w:hAnsi="Arial;Helvetica;Sans-Serif"/>
          <w:b w:val="false"/>
          <w:i w:val="false"/>
          <w:caps w:val="false"/>
          <w:smallCaps w:val="false"/>
          <w:sz w:val="20"/>
          <w:u w:val="single"/>
        </w:rPr>
        <w:t>Section 3.1(a)</w:t>
      </w:r>
      <w:r>
        <w:rPr>
          <w:rFonts w:ascii="Arial;Helvetica;Sans-Serif" w:hAnsi="Arial;Helvetica;Sans-Serif"/>
          <w:b w:val="false"/>
          <w:i w:val="false"/>
          <w:caps w:val="false"/>
          <w:smallCaps w:val="false"/>
          <w:sz w:val="20"/>
        </w:rPr>
        <w:t xml:space="preserve"> of the Disclosure Schedules, and shall, where applicable, also include any direct or indirect subsidiary of the Company formed or acquired after the date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Trading Day</w:t>
      </w:r>
      <w:r>
        <w:rPr>
          <w:rFonts w:ascii="Arial;Helvetica;Sans-Serif" w:hAnsi="Arial;Helvetica;Sans-Serif"/>
          <w:b w:val="false"/>
          <w:i w:val="false"/>
          <w:caps w:val="false"/>
          <w:smallCaps w:val="false"/>
          <w:sz w:val="20"/>
        </w:rPr>
        <w:t>” means a day on which the principal Trading Market is open for trading.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Trading Market</w:t>
      </w:r>
      <w:r>
        <w:rPr>
          <w:rFonts w:ascii="Arial;Helvetica;Sans-Serif" w:hAnsi="Arial;Helvetica;San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Transaction Documents</w:t>
      </w:r>
      <w:r>
        <w:rPr>
          <w:rFonts w:ascii="Arial;Helvetica;Sans-Serif" w:hAnsi="Arial;Helvetica;Sans-Serif"/>
          <w:b w:val="false"/>
          <w:i w:val="false"/>
          <w:caps w:val="false"/>
          <w:smallCaps w:val="false"/>
          <w:sz w:val="20"/>
        </w:rPr>
        <w:t>” means this Agreement, the Warrants, the Lock-Up Agreements, all exhibits and schedules thereto and hereto and any other documents or agreements executed in connection with the transactions contemplated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Transfer Agent</w:t>
      </w:r>
      <w:r>
        <w:rPr>
          <w:rFonts w:ascii="Arial;Helvetica;Sans-Serif" w:hAnsi="Arial;Helvetica;Sans-Serif"/>
          <w:b w:val="false"/>
          <w:i w:val="false"/>
          <w:caps w:val="false"/>
          <w:smallCaps w:val="false"/>
          <w:sz w:val="20"/>
        </w:rPr>
        <w:t>” means Equiniti Trust Company, LLC, the current transfer agent of the Company and any successor transfer agent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Variable Rate Transaction</w:t>
      </w:r>
      <w:r>
        <w:rPr>
          <w:rFonts w:ascii="Arial;Helvetica;Sans-Serif" w:hAnsi="Arial;Helvetica;Sans-Serif"/>
          <w:b w:val="false"/>
          <w:i w:val="false"/>
          <w:caps w:val="false"/>
          <w:smallCaps w:val="false"/>
          <w:sz w:val="20"/>
        </w:rPr>
        <w:t>” shall have the meaning ascribed to such term in Section 4.11(b).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VWAP</w:t>
      </w:r>
      <w:r>
        <w:rPr>
          <w:rFonts w:ascii="Arial;Helvetica;Sans-Serif" w:hAnsi="Arial;Helvetica;San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then listed or quoted on the OTCQB Venture Market (“</w:t>
      </w:r>
      <w:r>
        <w:rPr>
          <w:rFonts w:ascii="Arial;Helvetica;Sans-Serif" w:hAnsi="Arial;Helvetica;Sans-Serif"/>
          <w:b w:val="false"/>
          <w:i w:val="false"/>
          <w:caps w:val="false"/>
          <w:smallCaps w:val="false"/>
          <w:sz w:val="20"/>
          <w:u w:val="single"/>
        </w:rPr>
        <w:t>OTCQB</w:t>
      </w:r>
      <w:r>
        <w:rPr>
          <w:rFonts w:ascii="Arial;Helvetica;Sans-Serif" w:hAnsi="Arial;Helvetica;Sans-Serif"/>
          <w:b w:val="false"/>
          <w:i w:val="false"/>
          <w:caps w:val="false"/>
          <w:smallCaps w:val="false"/>
          <w:sz w:val="20"/>
        </w:rPr>
        <w:t>”) or the OTCQX Best Market (“</w:t>
      </w:r>
      <w:r>
        <w:rPr>
          <w:rFonts w:ascii="Arial;Helvetica;Sans-Serif" w:hAnsi="Arial;Helvetica;Sans-Serif"/>
          <w:b w:val="false"/>
          <w:i w:val="false"/>
          <w:caps w:val="false"/>
          <w:smallCaps w:val="false"/>
          <w:sz w:val="20"/>
          <w:u w:val="single"/>
        </w:rPr>
        <w:t>OTCQX</w:t>
      </w:r>
      <w:r>
        <w:rPr>
          <w:rFonts w:ascii="Arial;Helvetica;Sans-Serif" w:hAnsi="Arial;Helvetica;Sans-Serif"/>
          <w:b w:val="false"/>
          <w:i w:val="false"/>
          <w:caps w:val="false"/>
          <w:smallCaps w:val="false"/>
          <w:sz w:val="20"/>
        </w:rPr>
        <w:t>”), the volume weighted average price of the Common Stock for such date (or the nearest preceding date) on OTCQB or OTCQX as applicable, (c) if the Common Stock is not then listed or quoted for trading on OTCQB or OTCQX and if prices for the Common Stock are then reported in the Pink Open Market operated by OTC Markets, Inc. (or a similar organization or agency succeeding to its functions of reporting prices) (“</w:t>
      </w:r>
      <w:r>
        <w:rPr>
          <w:rFonts w:ascii="Arial;Helvetica;Sans-Serif" w:hAnsi="Arial;Helvetica;Sans-Serif"/>
          <w:b w:val="false"/>
          <w:i w:val="false"/>
          <w:caps w:val="false"/>
          <w:smallCaps w:val="false"/>
          <w:sz w:val="20"/>
          <w:u w:val="single"/>
        </w:rPr>
        <w:t>Pink Market</w:t>
      </w:r>
      <w:r>
        <w:rPr>
          <w:rFonts w:ascii="Arial;Helvetica;Sans-Serif" w:hAnsi="Arial;Helvetica;Sans-Serif"/>
          <w:b w:val="false"/>
          <w:i w:val="false"/>
          <w:caps w:val="false"/>
          <w:smallCaps w:val="false"/>
          <w:sz w:val="20"/>
        </w:rPr>
        <w:t>”),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Warrants</w:t>
      </w:r>
      <w:r>
        <w:rPr>
          <w:rFonts w:ascii="Arial;Helvetica;Sans-Serif" w:hAnsi="Arial;Helvetica;Sans-Serif"/>
          <w:b w:val="false"/>
          <w:i w:val="false"/>
          <w:caps w:val="false"/>
          <w:smallCaps w:val="false"/>
          <w:sz w:val="20"/>
        </w:rPr>
        <w:t>” means, collectively, the Pre-Funded Warrants and the Common Warrants.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Arial;Helvetica;Sans-Serif" w:hAnsi="Arial;Helvetica;Sans-Serif"/>
          <w:b w:val="false"/>
          <w:i w:val="false"/>
          <w:caps w:val="false"/>
          <w:smallCaps w:val="false"/>
          <w:sz w:val="20"/>
          <w:u w:val="single"/>
        </w:rPr>
        <w:t>Warrant Shares</w:t>
      </w:r>
      <w:r>
        <w:rPr>
          <w:rFonts w:ascii="Arial;Helvetica;Sans-Serif" w:hAnsi="Arial;Helvetica;Sans-Serif"/>
          <w:b w:val="false"/>
          <w:i w:val="false"/>
          <w:caps w:val="false"/>
          <w:smallCaps w:val="false"/>
          <w:sz w:val="20"/>
        </w:rPr>
        <w:t>” means the shares of Common Stock issuable upon exercise of the Warrants.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ARTICLE II.</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PURCHASE AND SALE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2.1 </w:t>
      </w:r>
      <w:r>
        <w:rPr>
          <w:rFonts w:ascii="Arial;Helvetica;Sans-Serif" w:hAnsi="Arial;Helvetica;Sans-Serif"/>
          <w:b w:val="false"/>
          <w:i w:val="false"/>
          <w:caps w:val="false"/>
          <w:smallCaps w:val="false"/>
          <w:sz w:val="20"/>
          <w:u w:val="single"/>
        </w:rPr>
        <w:t>Closing</w:t>
      </w:r>
      <w:r>
        <w:rPr>
          <w:rFonts w:ascii="Arial;Helvetica;Sans-Serif" w:hAnsi="Arial;Helvetica;Sans-Serif"/>
          <w:b w:val="false"/>
          <w:i w:val="false"/>
          <w:caps w:val="false"/>
          <w:smallCaps w:val="false"/>
          <w:sz w:val="20"/>
        </w:rPr>
        <w:t>. On the Closing Date, upon the terms and subject to the conditions set forth herein, the Company agrees to sell, and the Purchasers, severally and not jointly, agree to purchase, up to an aggregate of $5,999,996.58 of Shares and Common Warrants; provided, however, that, to the extent that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or as such Purchaser may otherwise choose, in lieu of purchasing Shares such Purchaser may elect, by so indicating such election prior to their issuance, to purchase Pre-Funded Warrants in lieu of Shares in such manner to result in the same aggregate purchase price being paid by such Purchaser to the Company. The “</w:t>
      </w:r>
      <w:r>
        <w:rPr>
          <w:rFonts w:ascii="Arial;Helvetica;Sans-Serif" w:hAnsi="Arial;Helvetica;Sans-Serif"/>
          <w:b w:val="false"/>
          <w:i w:val="false"/>
          <w:caps w:val="false"/>
          <w:smallCaps w:val="false"/>
          <w:sz w:val="20"/>
          <w:u w:val="single"/>
        </w:rPr>
        <w:t>Beneficial Ownership Limitation</w:t>
      </w:r>
      <w:r>
        <w:rPr>
          <w:rFonts w:ascii="Arial;Helvetica;Sans-Serif" w:hAnsi="Arial;Helvetica;Sans-Serif"/>
          <w:b w:val="false"/>
          <w:i w:val="false"/>
          <w:caps w:val="false"/>
          <w:smallCaps w:val="false"/>
          <w:sz w:val="20"/>
        </w:rPr>
        <w:t>” shall be 4.99% (or, with respect to each Purchaser, at the election of such Purchaser at Closing, 9.99%) of the number of shares of the Common Stock outstanding immediately after giving effect to the issuance of the Shares on the Closing Date. Each Purchaser’s Subscription Amount as set forth on the signature page hereto executed by such Purchaser shall be made available for “Delivery Versus Payment” (“</w:t>
      </w:r>
      <w:r>
        <w:rPr>
          <w:rFonts w:ascii="Arial;Helvetica;Sans-Serif" w:hAnsi="Arial;Helvetica;Sans-Serif"/>
          <w:b w:val="false"/>
          <w:i w:val="false"/>
          <w:caps w:val="false"/>
          <w:smallCaps w:val="false"/>
          <w:sz w:val="20"/>
          <w:u w:val="single"/>
        </w:rPr>
        <w:t>DVP</w:t>
      </w:r>
      <w:r>
        <w:rPr>
          <w:rFonts w:ascii="Arial;Helvetica;Sans-Serif" w:hAnsi="Arial;Helvetica;Sans-Serif"/>
          <w:b w:val="false"/>
          <w:i w:val="false"/>
          <w:caps w:val="false"/>
          <w:smallCaps w:val="false"/>
          <w:sz w:val="20"/>
        </w:rPr>
        <w:t>”) settlement with the Company or its designee. The Company shall deliver to each Purchaser its respective Shares, Pre-Funded Warrants (if any) and Common Warrants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Notwithstanding anything herein to the contrary, if at any time on or after the time of execution of this Agreement by the Company and an applicable Purchaser, through, and including the time immediately prior to the Closing (the “</w:t>
      </w:r>
      <w:r>
        <w:rPr>
          <w:rFonts w:ascii="Arial;Helvetica;Sans-Serif" w:hAnsi="Arial;Helvetica;Sans-Serif"/>
          <w:b w:val="false"/>
          <w:i w:val="false"/>
          <w:caps w:val="false"/>
          <w:smallCaps w:val="false"/>
          <w:sz w:val="20"/>
          <w:u w:val="single"/>
        </w:rPr>
        <w:t>Pre-Settlement Period</w:t>
      </w:r>
      <w:r>
        <w:rPr>
          <w:rFonts w:ascii="Arial;Helvetica;Sans-Serif" w:hAnsi="Arial;Helvetica;Sans-Serif"/>
          <w:b w:val="false"/>
          <w:i w:val="false"/>
          <w:caps w:val="false"/>
          <w:smallCaps w:val="false"/>
          <w:sz w:val="20"/>
        </w:rPr>
        <w:t>”), such Purchaser sells to any Person all, or any portion, of the Shares to be issued hereunder to such Purchaser at the Closing (collectively, the “</w:t>
      </w:r>
      <w:r>
        <w:rPr>
          <w:rFonts w:ascii="Arial;Helvetica;Sans-Serif" w:hAnsi="Arial;Helvetica;Sans-Serif"/>
          <w:b w:val="false"/>
          <w:i w:val="false"/>
          <w:caps w:val="false"/>
          <w:smallCaps w:val="false"/>
          <w:sz w:val="20"/>
          <w:u w:val="single"/>
        </w:rPr>
        <w:t>Pre-Settlement Shares</w:t>
      </w:r>
      <w:r>
        <w:rPr>
          <w:rFonts w:ascii="Arial;Helvetica;Sans-Serif" w:hAnsi="Arial;Helvetica;Sans-Serif"/>
          <w:b w:val="false"/>
          <w:i w:val="false"/>
          <w:caps w:val="false"/>
          <w:smallCaps w:val="false"/>
          <w:sz w:val="20"/>
        </w:rPr>
        <w:t>”), such Purchaser shall, automatically hereunder (without any additional required actions by such Purchaser or the Company), be deemed to be unconditionally bound to purchase, such Pre-Settlement Shares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foregoing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 Unless otherwise directed by the Placement Agent, settlement of the Shares shall occur via DVP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anything to the contrary herein and a Purchaser’s Subscription Amount set forth on the signature pages attached hereto, the number of Shares purchased by a Purchaser (and its Affiliates) hereunder shall not, when aggregated with all other shares of Common Stock owned by such Purchaser (and its Affiliates) at such time, result in such Purchaser beneficially owning (as determined in accordance with Section 13(d) of the Exchange Act) in excess of 9.9% of the then issued and outstanding Common Stock outstanding at the Closing (the “</w:t>
      </w:r>
      <w:r>
        <w:rPr>
          <w:rFonts w:ascii="Arial;Helvetica;Sans-Serif" w:hAnsi="Arial;Helvetica;Sans-Serif"/>
          <w:b w:val="false"/>
          <w:i w:val="false"/>
          <w:caps w:val="false"/>
          <w:smallCaps w:val="false"/>
          <w:sz w:val="20"/>
          <w:u w:val="single"/>
        </w:rPr>
        <w:t>Beneficial Ownership Maximum</w:t>
      </w:r>
      <w:r>
        <w:rPr>
          <w:rFonts w:ascii="Arial;Helvetica;Sans-Serif" w:hAnsi="Arial;Helvetica;Sans-Serif"/>
          <w:b w:val="false"/>
          <w:i w:val="false"/>
          <w:caps w:val="false"/>
          <w:smallCaps w:val="false"/>
          <w:sz w:val="20"/>
        </w:rPr>
        <w:t>”), and such Purchaser’s Subscription Amount, to the extent it would otherwise exceed the Beneficial Ownership Maximum immediately prior to the Closing, shall be conditioned upon the issuance of Shares at the Closing to the other Purchasers signatory hereto. To the extent that a Purchaser’s beneficial ownership of the Shares would otherwise be deemed to exceed the Beneficial Ownership Maximum, such Purchaser’s Subscription Amount shall automatically be reduced as necessary in order to comply with this paragraph. Notwithstanding the foregoing, with respect to any Notice(s) of Exercise (as defined in the Pre-Funded Warrants) and payment of the associated exercise price, if applicable, delivered on or prior to 9:00 a.m. (New York City time) on the Closing Date, which may be delivered at any time after the time of execution of this Agreement, the Company agrees to deliver the Pre-Funded Warrant Shares subject to such notice(s) by 4:00 p.m. (New York City time) on the Closing Date and the Closing Date shall be the Warrant Share Delivery Date (as defined in the Pre-Funded Warrants) for purposes hereunder.</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2.2 </w:t>
      </w:r>
      <w:r>
        <w:rPr>
          <w:rFonts w:ascii="Arial;Helvetica;Sans-Serif" w:hAnsi="Arial;Helvetica;Sans-Serif"/>
          <w:b w:val="false"/>
          <w:i w:val="false"/>
          <w:caps w:val="false"/>
          <w:smallCaps w:val="false"/>
          <w:sz w:val="20"/>
          <w:u w:val="single"/>
        </w:rPr>
        <w:t>Deliveries</w:t>
      </w:r>
      <w:r>
        <w:rPr>
          <w:rFonts w:ascii="Arial;Helvetica;Sans-Serif" w:hAnsi="Arial;Helvetica;San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On or prior to the Closing Date (except as indicated below), the Company shall deliver or cause to be delivered to each Purchaser the following: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 this Agreement duly executed by the Company;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(ii) a legal opinion of Company Counsel, directed to the Placement Agent and the Purchasers in a form reasonably acceptable to the Placement Agent and the Purchasers;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(iii) the Company shall have provided each Purchaser with the Company’s wire instructions, on Company letterhead and executed by the Company’s Chief Executive Officer or Chief Accounting Officer;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(iv) subject to Section 2.1, a copy of the irrevocable instructions to the Transfer Agent instructing the Transfer Agent to deliver on an expedited basis via The Depository Trust Company Deposit or Withdrawal at Custodian system (“</w:t>
      </w:r>
      <w:r>
        <w:rPr>
          <w:rFonts w:ascii="Arial;Helvetica;Sans-Serif" w:hAnsi="Arial;Helvetica;Sans-Serif"/>
          <w:b w:val="false"/>
          <w:i w:val="false"/>
          <w:caps w:val="false"/>
          <w:smallCaps w:val="false"/>
          <w:sz w:val="20"/>
          <w:u w:val="single"/>
        </w:rPr>
        <w:t>DWAC</w:t>
      </w:r>
      <w:r>
        <w:rPr>
          <w:rFonts w:ascii="Arial;Helvetica;Sans-Serif" w:hAnsi="Arial;Helvetica;Sans-Serif"/>
          <w:b w:val="false"/>
          <w:i w:val="false"/>
          <w:caps w:val="false"/>
          <w:smallCaps w:val="false"/>
          <w:sz w:val="20"/>
        </w:rPr>
        <w:t>”) Shares equal to such Purchaser’s Subscription Amount divided by the Per Share Purchase Price, registered in the name of such Purchaser;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 a Series A Warrant registered in the name of such Purchaser to purchase up to a number of shares of Common Stock equal to 100% of the sum of such Purchaser’s Shares and Pre-Funded Warrant Shares, if applicable, with an exercise price equal to $1.37, subject to adjustment therein;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(vi) a Series B Warrant registered in the name of such Purchaser to purchase up to a number of shares of Common Stock and/or Pre-Funded Warrants equal to 100% of the sum of such Purchaser’s Shares and Pre-Funded Warrant Shares, if applicable, with an exercise price equal to $1.37, subject to adjustment therein;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(vii) if applicable, for each Purchaser of a Pre-Funded Warrant pursuant to Section 2.1, a Pre-Funded Warrant registered in the name of such Purchaser to purchase up to a number of shares of Common Stock equal to the portion of such Purchaser’s Subscription Amount applicable to the Pre-Funded Warrant divided by the Per Share Purchase Price minus $0.0001, with an exercise price equal to $0.0001, subject to adjustment therein;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(viii) on the date hereof, the duly executed Lock-Up Agreements;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(ix) the Prospectus and Prospectus Supplement (which may be delivered in accordance with Rule 172 under the Securities Act).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 On or prior to the Closing Date, each Purchaser shall deliver or cause to be delivered to the Company the following: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 this Agreement duly executed by such Purchaser;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(ii) such Purchaser’s Subscription Amount (less the aggregate exercise price of the Pre-Funded Warrants issuable to such Purchaser hereunder, if applicable), which shall be made available for DVP settlement with the Company or its designee.</w:t>
      </w:r>
    </w:p>
    <w:p>
      <w:pPr>
        <w:pStyle w:val="TextBody"/>
        <w:bidi w:val="0"/>
        <w:spacing w:before="0" w:after="0"/>
        <w:ind w:left="144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2.3 </w:t>
      </w:r>
      <w:r>
        <w:rPr>
          <w:rFonts w:ascii="Arial;Helvetica;Sans-Serif" w:hAnsi="Arial;Helvetica;Sans-Serif"/>
          <w:b w:val="false"/>
          <w:i w:val="false"/>
          <w:caps w:val="false"/>
          <w:smallCaps w:val="false"/>
          <w:sz w:val="20"/>
          <w:u w:val="single"/>
        </w:rPr>
        <w:t>Closing Conditions</w:t>
      </w:r>
      <w:r>
        <w:rPr>
          <w:rFonts w:ascii="Arial;Helvetica;Sans-Serif" w:hAnsi="Arial;Helvetica;San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The obligations of the Company hereunder in connection with the Closing are subject to the following conditions being met: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 the accuracy in all material respects (or, to the extent representations or warranties are qualified by materiality (including by Material Adverse Effect), in all respects) when made and on the Closing Date of the representations and warranties of the Purchasers contained herein (unless such representation or warranty is as of a specific date therein in which case they shall be accurate in all material respects (or, to the extent representations or warranties are qualified by materiality (including by Material Adverse Effect), in all respects) as of such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(ii) all obligations, covenants and agreements of each Purchaser required to be performed at or prior to the Closing Date shall have been performed;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(iii) the delivery by each Purchaser of the items set forth in Section 2.2(b) of this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 The respective obligations of the Purchasers hereunder in connection with the Closing are subject to the following conditions being met: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Company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(ii) all obligations, covenants and agreements of the Company required to be performed at or prior to the Closing Date shall have been performed;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(iii) the delivery by the Company of the items set forth in Section 2.2(a) of this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(iv) there shall have been no Material Adverse Effect with respect to the Company since the date hereof;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 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pStyle w:val="TextBody"/>
        <w:bidi w:val="0"/>
        <w:spacing w:before="0" w:after="0"/>
        <w:ind w:left="144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ARTICLE III.</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REPRESENTATIONS AND WARRANTIES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3.1 </w:t>
      </w:r>
      <w:r>
        <w:rPr>
          <w:rFonts w:ascii="Arial;Helvetica;Sans-Serif" w:hAnsi="Arial;Helvetica;Sans-Serif"/>
          <w:b w:val="false"/>
          <w:i w:val="false"/>
          <w:caps w:val="false"/>
          <w:smallCaps w:val="false"/>
          <w:sz w:val="20"/>
          <w:u w:val="single"/>
        </w:rPr>
        <w:t>Representations and Warranties of the Company</w:t>
      </w:r>
      <w:r>
        <w:rPr>
          <w:rFonts w:ascii="Arial;Helvetica;Sans-Serif" w:hAnsi="Arial;Helvetica;Sans-Serif"/>
          <w:b w:val="false"/>
          <w:i w:val="false"/>
          <w:caps w:val="false"/>
          <w:smallCaps w:val="false"/>
          <w:sz w:val="20"/>
        </w:rPr>
        <w:t>. Except as set forth in the Disclosure Schedules, which Disclosure Schedules shall be deemed a part hereof and shall qualify any representation made herein to the extent of the disclosure contained in the corresponding section of the Disclosure Schedules, the Company hereby makes the following representations and warranties to each Purchaser as of the date hereof and as of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 </w:t>
      </w:r>
      <w:r>
        <w:rPr>
          <w:rFonts w:ascii="Arial;Helvetica;Sans-Serif" w:hAnsi="Arial;Helvetica;Sans-Serif"/>
          <w:b w:val="false"/>
          <w:i w:val="false"/>
          <w:caps w:val="false"/>
          <w:smallCaps w:val="false"/>
          <w:sz w:val="20"/>
          <w:u w:val="single"/>
        </w:rPr>
        <w:t>Subsidiaries</w:t>
      </w:r>
      <w:r>
        <w:rPr>
          <w:rFonts w:ascii="Arial;Helvetica;Sans-Serif" w:hAnsi="Arial;Helvetica;Sans-Serif"/>
          <w:b w:val="false"/>
          <w:i w:val="false"/>
          <w:caps w:val="false"/>
          <w:smallCaps w:val="false"/>
          <w:sz w:val="20"/>
        </w:rPr>
        <w:t xml:space="preserve">. All of the direct and indirect Subsidiaries of the Company are listed in </w:t>
      </w:r>
      <w:r>
        <w:rPr>
          <w:rFonts w:ascii="Arial;Helvetica;Sans-Serif" w:hAnsi="Arial;Helvetica;Sans-Serif"/>
          <w:b w:val="false"/>
          <w:i w:val="false"/>
          <w:caps w:val="false"/>
          <w:smallCaps w:val="false"/>
          <w:sz w:val="20"/>
          <w:u w:val="single"/>
        </w:rPr>
        <w:t>Section 3.1(a)</w:t>
      </w:r>
      <w:r>
        <w:rPr>
          <w:rFonts w:ascii="Arial;Helvetica;Sans-Serif" w:hAnsi="Arial;Helvetica;Sans-Serif"/>
          <w:b w:val="false"/>
          <w:i w:val="false"/>
          <w:caps w:val="false"/>
          <w:smallCaps w:val="false"/>
          <w:sz w:val="20"/>
        </w:rPr>
        <w:t xml:space="preserve"> of the Disclosure Schedules.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(b) </w:t>
      </w:r>
      <w:r>
        <w:rPr>
          <w:rFonts w:ascii="Arial;Helvetica;Sans-Serif" w:hAnsi="Arial;Helvetica;Sans-Serif"/>
          <w:b w:val="false"/>
          <w:i w:val="false"/>
          <w:caps w:val="false"/>
          <w:smallCaps w:val="false"/>
          <w:sz w:val="20"/>
          <w:u w:val="single"/>
        </w:rPr>
        <w:t>Organization and Qualification</w:t>
      </w:r>
      <w:r>
        <w:rPr>
          <w:rFonts w:ascii="Arial;Helvetica;Sans-Serif" w:hAnsi="Arial;Helvetica;Sans-Serif"/>
          <w:b w:val="false"/>
          <w:i w:val="false"/>
          <w:caps w:val="false"/>
          <w:smallCaps w:val="false"/>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Arial;Helvetica;Sans-Serif" w:hAnsi="Arial;Helvetica;Sans-Serif"/>
          <w:b w:val="false"/>
          <w:i w:val="false"/>
          <w:caps w:val="false"/>
          <w:smallCaps w:val="false"/>
          <w:sz w:val="20"/>
          <w:u w:val="single"/>
        </w:rPr>
        <w:t>Material Adverse Effect</w:t>
      </w:r>
      <w:r>
        <w:rPr>
          <w:rFonts w:ascii="Arial;Helvetica;Sans-Serif" w:hAnsi="Arial;Helvetica;Sans-Serif"/>
          <w:b w:val="false"/>
          <w:i w:val="false"/>
          <w:caps w:val="false"/>
          <w:smallCaps w:val="false"/>
          <w:sz w:val="20"/>
        </w:rPr>
        <w:t>”), and no Proceeding has been instituted in any such jurisdiction revoking, limiting or curtailing or seeking to revoke, limit or curtail such power and authority or qualification; provided, however, that (a) a change in the market price or trading volume of the Common Stock shall not be deemed, in and of itself, to constitute a Material Adverse Effect, and (b) adverse effects resulting from or relating to the following shall not be taken into account in determining whether there has been a Material Adverse Effect, except to the extent the impact of the applicable event has an adverse effect on the Company taken as a whole that is materially disproportionate to the Company taken as a whole compared to other companies of similar size and stage of development operating in the same industry: (I) general economic conditions, or conditions in financial, banking or securities markets; (II) general conditions in the industry or any industry sector in which the Company operates or participates; (III) any natural disaster or any national or international political or social conditions or any act of terrorism, sabotage, military action or war or any escalation or worsening thereof; or (IV) any changes in applicable laws or governmental regulations or the interpretation thereof.</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 </w:t>
      </w:r>
      <w:r>
        <w:rPr>
          <w:rFonts w:ascii="Arial;Helvetica;Sans-Serif" w:hAnsi="Arial;Helvetica;Sans-Serif"/>
          <w:b w:val="false"/>
          <w:i w:val="false"/>
          <w:caps w:val="false"/>
          <w:smallCaps w:val="false"/>
          <w:sz w:val="20"/>
          <w:u w:val="single"/>
        </w:rPr>
        <w:t>Authorization; Enforcement</w:t>
      </w:r>
      <w:r>
        <w:rPr>
          <w:rFonts w:ascii="Arial;Helvetica;Sans-Serif" w:hAnsi="Arial;Helvetica;Sans-Serif"/>
          <w:b w:val="false"/>
          <w:i w:val="false"/>
          <w:caps w:val="false"/>
          <w:smallCaps w:val="false"/>
          <w:sz w:val="20"/>
        </w:rPr>
        <w:t>. The Company has the requisite corporate power and authority to enter into and to consummate the transactions contemplated by this Agreement and each of the other Transaction Documents to which it is a party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the Company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 </w:t>
      </w:r>
      <w:r>
        <w:rPr>
          <w:rFonts w:ascii="Arial;Helvetica;Sans-Serif" w:hAnsi="Arial;Helvetica;Sans-Serif"/>
          <w:b w:val="false"/>
          <w:i w:val="false"/>
          <w:caps w:val="false"/>
          <w:smallCaps w:val="false"/>
          <w:sz w:val="20"/>
          <w:u w:val="single"/>
        </w:rPr>
        <w:t>No Conflicts</w:t>
      </w:r>
      <w:r>
        <w:rPr>
          <w:rFonts w:ascii="Arial;Helvetica;Sans-Serif" w:hAnsi="Arial;Helvetica;Sans-Serif"/>
          <w:b w:val="false"/>
          <w:i w:val="false"/>
          <w:caps w:val="false"/>
          <w:smallCaps w:val="false"/>
          <w:sz w:val="20"/>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would not, individually or in the aggregate, have or reasonably be expected to have a Material Adverse Effect.</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 </w:t>
      </w:r>
      <w:r>
        <w:rPr>
          <w:rFonts w:ascii="Arial;Helvetica;Sans-Serif" w:hAnsi="Arial;Helvetica;Sans-Serif"/>
          <w:b w:val="false"/>
          <w:i w:val="false"/>
          <w:caps w:val="false"/>
          <w:smallCaps w:val="false"/>
          <w:sz w:val="20"/>
          <w:u w:val="single"/>
        </w:rPr>
        <w:t>Filings, Consents and Approvals</w:t>
      </w:r>
      <w:r>
        <w:rPr>
          <w:rFonts w:ascii="Arial;Helvetica;Sans-Serif" w:hAnsi="Arial;Helvetica;Sans-Serif"/>
          <w:b w:val="false"/>
          <w:i w:val="false"/>
          <w:caps w:val="false"/>
          <w:smallCaps w:val="false"/>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the notice and/or application(s) to each applicable Trading Market for the issuance and sale of the Securities and the listing of the Shares and Warrant Shares for trading thereon in the time and manner required thereby, (iv) the filing of Form D with the Commission and such filings as are required to be made under applicable state securities laws or FINRA, and (v) the Shareholder Approval (collectively, the “</w:t>
      </w:r>
      <w:r>
        <w:rPr>
          <w:rFonts w:ascii="Arial;Helvetica;Sans-Serif" w:hAnsi="Arial;Helvetica;Sans-Serif"/>
          <w:b w:val="false"/>
          <w:i w:val="false"/>
          <w:caps w:val="false"/>
          <w:smallCaps w:val="false"/>
          <w:sz w:val="20"/>
          <w:u w:val="single"/>
        </w:rPr>
        <w:t>Required Approvals</w:t>
      </w:r>
      <w:r>
        <w:rPr>
          <w:rFonts w:ascii="Arial;Helvetica;Sans-Serif" w:hAnsi="Arial;Helvetica;San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(f) </w:t>
      </w:r>
      <w:r>
        <w:rPr>
          <w:rFonts w:ascii="Arial;Helvetica;Sans-Serif" w:hAnsi="Arial;Helvetica;Sans-Serif"/>
          <w:b w:val="false"/>
          <w:i w:val="false"/>
          <w:caps w:val="false"/>
          <w:smallCaps w:val="false"/>
          <w:sz w:val="20"/>
          <w:u w:val="single"/>
        </w:rPr>
        <w:t>Issuance of the Securities; Registration</w:t>
      </w:r>
      <w:r>
        <w:rPr>
          <w:rFonts w:ascii="Arial;Helvetica;Sans-Serif" w:hAnsi="Arial;Helvetica;Sans-Serif"/>
          <w:b w:val="false"/>
          <w:i w:val="false"/>
          <w:caps w:val="false"/>
          <w:smallCaps w:val="false"/>
          <w:sz w:val="20"/>
        </w:rPr>
        <w:t>. The Securities are duly authorized and, when issued and paid for in accordance with the applicable Transaction Documents, will be duly and validly issued, fully paid and nonassessable, and free and clear of all Liens imposed by the Company. The Warrant Shares, when issued in accordance with the terms of the Warrants, will be validly issued, fully paid and nonassessable, free and clear of all Liens imposed by the Company. The Company has reserved from its duly authorized capital stock the maximum number of shares of Common Stock issuable pursuant to this Agreement and the Warrants. The Company has prepared and filed the Registration Statement in conformity with the requirements of the Securities Act, which became effective on May 10, 2024, including the Prospectus, and such amendments and supplements thereto as may have been required prior to the date of this Agreement. The Registration Statement is effective under the Securities Act and, to the Company’s knowledge, no stop order preventing or suspending the effectiveness of the Registration Statement or suspending or preventing the use of the Prospectus has been issued by the Commission and, to the Company’s knowledge,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months prior to this offering, as set forth in General Instruction I.B.6 of Form S-3.</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(g) </w:t>
      </w:r>
      <w:r>
        <w:rPr>
          <w:rFonts w:ascii="Arial;Helvetica;Sans-Serif" w:hAnsi="Arial;Helvetica;Sans-Serif"/>
          <w:b w:val="false"/>
          <w:i w:val="false"/>
          <w:caps w:val="false"/>
          <w:smallCaps w:val="false"/>
          <w:sz w:val="20"/>
          <w:u w:val="single"/>
        </w:rPr>
        <w:t>Capitalization</w:t>
      </w:r>
      <w:r>
        <w:rPr>
          <w:rFonts w:ascii="Arial;Helvetica;Sans-Serif" w:hAnsi="Arial;Helvetica;Sans-Serif"/>
          <w:b w:val="false"/>
          <w:i w:val="false"/>
          <w:caps w:val="false"/>
          <w:smallCaps w:val="false"/>
          <w:sz w:val="20"/>
        </w:rPr>
        <w:t xml:space="preserve">. The capitalization of the Company as of the date hereof is as set forth in </w:t>
      </w:r>
      <w:r>
        <w:rPr>
          <w:rFonts w:ascii="Arial;Helvetica;Sans-Serif" w:hAnsi="Arial;Helvetica;Sans-Serif"/>
          <w:b w:val="false"/>
          <w:i w:val="false"/>
          <w:caps w:val="false"/>
          <w:smallCaps w:val="false"/>
          <w:sz w:val="20"/>
          <w:u w:val="single"/>
        </w:rPr>
        <w:t>Section 3.1(g)</w:t>
      </w:r>
      <w:r>
        <w:rPr>
          <w:rFonts w:ascii="Arial;Helvetica;Sans-Serif" w:hAnsi="Arial;Helvetica;Sans-Serif"/>
          <w:b w:val="false"/>
          <w:i w:val="false"/>
          <w:caps w:val="false"/>
          <w:smallCaps w:val="false"/>
          <w:sz w:val="20"/>
        </w:rPr>
        <w:t xml:space="preserve"> of the Disclosure Schedules, which </w:t>
      </w:r>
      <w:r>
        <w:rPr>
          <w:rFonts w:ascii="Arial;Helvetica;Sans-Serif" w:hAnsi="Arial;Helvetica;Sans-Serif"/>
          <w:b w:val="false"/>
          <w:i w:val="false"/>
          <w:caps w:val="false"/>
          <w:smallCaps w:val="false"/>
          <w:sz w:val="20"/>
          <w:u w:val="single"/>
        </w:rPr>
        <w:t>Section 3.1(g)</w:t>
      </w:r>
      <w:r>
        <w:rPr>
          <w:rFonts w:ascii="Arial;Helvetica;Sans-Serif" w:hAnsi="Arial;Helvetica;Sans-Serif"/>
          <w:b w:val="false"/>
          <w:i w:val="false"/>
          <w:caps w:val="false"/>
          <w:smallCaps w:val="false"/>
          <w:sz w:val="20"/>
        </w:rPr>
        <w:t xml:space="preserve"> of the Disclosure Schedules shall also include the number of shares of Common Stock owned beneficially, and of record, by Affiliates of the Company as of the date hereof. The Company has not issued any capital stock since its most recently filed periodic report under the Exchange Act, other than pursuant to the exercise of stock options granted under the Company’s equity incentive plans, the issuance of shares of Common Stock to employees pursuant to the Company’s employee stock purchase plans, pursuant to the conversion and/or exercise of Common Stock Equivalents outstanding as of the date of the most recently filed periodic report under the Exchange Act, in the Regulation A Offering or under its equity line arrangement with Lincoln Park Capital Fund, LLC. No Person has any right of first refusal, preemptive right, right of participation, or any similar right to participate in the transactions contemplated by the Transaction Documents. Except as a result of the purchase and sale of the Securities or as set forth in </w:t>
      </w:r>
      <w:r>
        <w:rPr>
          <w:rFonts w:ascii="Arial;Helvetica;Sans-Serif" w:hAnsi="Arial;Helvetica;Sans-Serif"/>
          <w:b w:val="false"/>
          <w:i w:val="false"/>
          <w:caps w:val="false"/>
          <w:smallCaps w:val="false"/>
          <w:sz w:val="20"/>
          <w:u w:val="single"/>
        </w:rPr>
        <w:t>Section 3.1(g)</w:t>
      </w:r>
      <w:r>
        <w:rPr>
          <w:rFonts w:ascii="Arial;Helvetica;Sans-Serif" w:hAnsi="Arial;Helvetica;Sans-Serif"/>
          <w:b w:val="false"/>
          <w:i w:val="false"/>
          <w:caps w:val="false"/>
          <w:smallCaps w:val="false"/>
          <w:sz w:val="20"/>
        </w:rPr>
        <w:t xml:space="preserve"> of the Disclosure Schedules,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the capital stock of any Subsidiary. The issuance and sale of the Securities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Other than the shares of the Company’s preferred stock issued in the Regulation A Offering (which provide the Company with a right to call such shares for redemption under specified circumstances),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Other than as may be required under the Required Approvals, no further approval or authorization of any stockholder of the Company,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(h) </w:t>
      </w:r>
      <w:r>
        <w:rPr>
          <w:rFonts w:ascii="Arial;Helvetica;Sans-Serif" w:hAnsi="Arial;Helvetica;Sans-Serif"/>
          <w:b w:val="false"/>
          <w:i w:val="false"/>
          <w:caps w:val="false"/>
          <w:smallCaps w:val="false"/>
          <w:sz w:val="20"/>
          <w:u w:val="single"/>
        </w:rPr>
        <w:t>SEC Reports; Financial Statements</w:t>
      </w:r>
      <w:r>
        <w:rPr>
          <w:rFonts w:ascii="Arial;Helvetica;Sans-Serif" w:hAnsi="Arial;Helvetica;San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twelve (12) months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Arial;Helvetica;Sans-Serif" w:hAnsi="Arial;Helvetica;Sans-Serif"/>
          <w:b w:val="false"/>
          <w:i w:val="false"/>
          <w:caps w:val="false"/>
          <w:smallCaps w:val="false"/>
          <w:sz w:val="20"/>
          <w:u w:val="single"/>
        </w:rPr>
        <w:t>SEC Reports</w:t>
      </w:r>
      <w:r>
        <w:rPr>
          <w:rFonts w:ascii="Arial;Helvetica;Sans-Serif" w:hAnsi="Arial;Helvetica;Sans-Serif"/>
          <w:b w:val="false"/>
          <w:i w:val="false"/>
          <w:caps w:val="false"/>
          <w:smallCaps w:val="false"/>
          <w:sz w:val="20"/>
        </w:rPr>
        <w:t>”) on a timely basis or has received a valid extension of such time of filing and has filed any such SEC Reports prior to the expiration of any such extension, except as would not have or reasonably be expected to have a Material Adverse Effect.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Arial;Helvetica;Sans-Serif" w:hAnsi="Arial;Helvetica;Sans-Serif"/>
          <w:b w:val="false"/>
          <w:i w:val="false"/>
          <w:caps w:val="false"/>
          <w:smallCaps w:val="false"/>
          <w:sz w:val="20"/>
          <w:u w:val="single"/>
        </w:rPr>
        <w:t>GAAP</w:t>
      </w:r>
      <w:r>
        <w:rPr>
          <w:rFonts w:ascii="Arial;Helvetica;Sans-Serif" w:hAnsi="Arial;Helvetica;San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 </w:t>
      </w:r>
      <w:r>
        <w:rPr>
          <w:rFonts w:ascii="Arial;Helvetica;Sans-Serif" w:hAnsi="Arial;Helvetica;Sans-Serif"/>
          <w:b w:val="false"/>
          <w:i w:val="false"/>
          <w:caps w:val="false"/>
          <w:smallCaps w:val="false"/>
          <w:sz w:val="20"/>
          <w:u w:val="single"/>
        </w:rPr>
        <w:t>Material Changes; Undisclosed Events, Liabilities or Developments</w:t>
      </w:r>
      <w:r>
        <w:rPr>
          <w:rFonts w:ascii="Arial;Helvetica;Sans-Serif" w:hAnsi="Arial;Helvetica;Sans-Serif"/>
          <w:b w:val="false"/>
          <w:i w:val="false"/>
          <w:caps w:val="false"/>
          <w:smallCaps w:val="false"/>
          <w:sz w:val="20"/>
        </w:rPr>
        <w:t xml:space="preserve">. Since the date of the latest audited financial statements included within the SEC Reports, except as set forth in </w:t>
      </w:r>
      <w:r>
        <w:rPr>
          <w:rFonts w:ascii="Arial;Helvetica;Sans-Serif" w:hAnsi="Arial;Helvetica;Sans-Serif"/>
          <w:b w:val="false"/>
          <w:i w:val="false"/>
          <w:caps w:val="false"/>
          <w:smallCaps w:val="false"/>
          <w:sz w:val="20"/>
          <w:u w:val="single"/>
        </w:rPr>
        <w:t>Section 3.1(i)</w:t>
      </w:r>
      <w:r>
        <w:rPr>
          <w:rFonts w:ascii="Arial;Helvetica;Sans-Serif" w:hAnsi="Arial;Helvetica;Sans-Serif"/>
          <w:b w:val="false"/>
          <w:i w:val="false"/>
          <w:caps w:val="false"/>
          <w:smallCaps w:val="false"/>
          <w:sz w:val="20"/>
        </w:rPr>
        <w:t xml:space="preserve"> of the Disclosure Schedules, (i) there has been no event, occurrence or development that has had or that would reasonably be expected to have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equity incentive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(j) </w:t>
      </w:r>
      <w:r>
        <w:rPr>
          <w:rFonts w:ascii="Arial;Helvetica;Sans-Serif" w:hAnsi="Arial;Helvetica;Sans-Serif"/>
          <w:b w:val="false"/>
          <w:i w:val="false"/>
          <w:caps w:val="false"/>
          <w:smallCaps w:val="false"/>
          <w:sz w:val="20"/>
          <w:u w:val="single"/>
        </w:rPr>
        <w:t>Litigation</w:t>
      </w:r>
      <w:r>
        <w:rPr>
          <w:rFonts w:ascii="Arial;Helvetica;Sans-Serif" w:hAnsi="Arial;Helvetica;Sans-Serif"/>
          <w:b w:val="false"/>
          <w:i w:val="false"/>
          <w:caps w:val="false"/>
          <w:smallCaps w:val="false"/>
          <w:sz w:val="20"/>
        </w:rPr>
        <w:t xml:space="preserve">. Except as set forth in </w:t>
      </w:r>
      <w:r>
        <w:rPr>
          <w:rFonts w:ascii="Arial;Helvetica;Sans-Serif" w:hAnsi="Arial;Helvetica;Sans-Serif"/>
          <w:b w:val="false"/>
          <w:i w:val="false"/>
          <w:caps w:val="false"/>
          <w:smallCaps w:val="false"/>
          <w:sz w:val="20"/>
          <w:u w:val="single"/>
        </w:rPr>
        <w:t>Section 3.1(j)</w:t>
      </w:r>
      <w:r>
        <w:rPr>
          <w:rFonts w:ascii="Arial;Helvetica;Sans-Serif" w:hAnsi="Arial;Helvetica;Sans-Serif"/>
          <w:b w:val="false"/>
          <w:i w:val="false"/>
          <w:caps w:val="false"/>
          <w:smallCaps w:val="false"/>
          <w:sz w:val="20"/>
        </w:rPr>
        <w:t xml:space="preserve"> of the Disclosure Schedules,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Helvetica;Sans-Serif" w:hAnsi="Arial;Helvetica;Sans-Serif"/>
          <w:b w:val="false"/>
          <w:i w:val="false"/>
          <w:caps w:val="false"/>
          <w:smallCaps w:val="false"/>
          <w:sz w:val="20"/>
          <w:u w:val="single"/>
        </w:rPr>
        <w:t>Action</w:t>
      </w:r>
      <w:r>
        <w:rPr>
          <w:rFonts w:ascii="Arial;Helvetica;Sans-Serif" w:hAnsi="Arial;Helvetica;Sans-Serif"/>
          <w:b w:val="false"/>
          <w:i w:val="false"/>
          <w:caps w:val="false"/>
          <w:smallCaps w:val="false"/>
          <w:sz w:val="20"/>
        </w:rPr>
        <w:t>”), which (i) adversely affects or challenges the legality, validity or enforceability of any of the Transaction Documents or the issuance of the Securities or (ii) would, if there were an unfavorable decision, have or reasonably be expected to have a Material Adverse Effect. During the three (3) year period prior to the date hereof,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(k) </w:t>
      </w:r>
      <w:r>
        <w:rPr>
          <w:rFonts w:ascii="Arial;Helvetica;Sans-Serif" w:hAnsi="Arial;Helvetica;Sans-Serif"/>
          <w:b w:val="false"/>
          <w:i w:val="false"/>
          <w:caps w:val="false"/>
          <w:smallCaps w:val="false"/>
          <w:sz w:val="20"/>
          <w:u w:val="single"/>
        </w:rPr>
        <w:t>Labor Relations</w:t>
      </w:r>
      <w:r>
        <w:rPr>
          <w:rFonts w:ascii="Arial;Helvetica;Sans-Serif" w:hAnsi="Arial;Helvetica;Sans-Serif"/>
          <w:b w:val="false"/>
          <w:i w:val="false"/>
          <w:caps w:val="false"/>
          <w:smallCaps w:val="false"/>
          <w:sz w:val="20"/>
        </w:rPr>
        <w:t>. No labor dispute exists or, to the knowledge of the Company, is imminent with respect to any of the employees of the Company, which would reasonably be expected to have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(l) </w:t>
      </w:r>
      <w:r>
        <w:rPr>
          <w:rFonts w:ascii="Arial;Helvetica;Sans-Serif" w:hAnsi="Arial;Helvetica;Sans-Serif"/>
          <w:b w:val="false"/>
          <w:i w:val="false"/>
          <w:caps w:val="false"/>
          <w:smallCaps w:val="false"/>
          <w:sz w:val="20"/>
          <w:u w:val="single"/>
        </w:rPr>
        <w:t>Compliance</w:t>
      </w:r>
      <w:r>
        <w:rPr>
          <w:rFonts w:ascii="Arial;Helvetica;Sans-Serif" w:hAnsi="Arial;Helvetica;Sans-Serif"/>
          <w:b w:val="false"/>
          <w:i w:val="false"/>
          <w:caps w:val="false"/>
          <w:smallCaps w:val="false"/>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applicable statute, rule, ordinance or regulation of any governmental authority, including without limitation all applicable foreign, federal, state and local laws relating to taxes, environmental protection, occupational health and safety, product quality and safety and employment and labor matters, except in each case as would not have or reasonably be expected to have a Material Adverse Effect.</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(m) </w:t>
      </w:r>
      <w:r>
        <w:rPr>
          <w:rFonts w:ascii="Arial;Helvetica;Sans-Serif" w:hAnsi="Arial;Helvetica;Sans-Serif"/>
          <w:b w:val="false"/>
          <w:i w:val="false"/>
          <w:caps w:val="false"/>
          <w:smallCaps w:val="false"/>
          <w:sz w:val="20"/>
          <w:u w:val="single"/>
        </w:rPr>
        <w:t>Environmental Laws</w:t>
      </w:r>
      <w:r>
        <w:rPr>
          <w:rFonts w:ascii="Arial;Helvetica;Sans-Serif" w:hAnsi="Arial;Helvetica;Sans-Serif"/>
          <w:b w:val="false"/>
          <w:i w:val="false"/>
          <w:caps w:val="false"/>
          <w:smallCaps w:val="false"/>
          <w:sz w:val="20"/>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Helvetica;Sans-Serif" w:hAnsi="Arial;Helvetica;Sans-Serif"/>
          <w:b w:val="false"/>
          <w:i w:val="false"/>
          <w:caps w:val="false"/>
          <w:smallCaps w:val="false"/>
          <w:sz w:val="20"/>
          <w:u w:val="single"/>
        </w:rPr>
        <w:t>Hazardous Materials</w:t>
      </w:r>
      <w:r>
        <w:rPr>
          <w:rFonts w:ascii="Arial;Helvetica;Sans-Serif" w:hAnsi="Arial;Helvetica;Sans-Serif"/>
          <w:b w:val="false"/>
          <w:i w:val="false"/>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Helvetica;Sans-Serif" w:hAnsi="Arial;Helvetica;Sans-Serif"/>
          <w:b w:val="false"/>
          <w:i w:val="false"/>
          <w:caps w:val="false"/>
          <w:smallCaps w:val="false"/>
          <w:sz w:val="20"/>
          <w:u w:val="single"/>
        </w:rPr>
        <w:t>Environmental Laws</w:t>
      </w:r>
      <w:r>
        <w:rPr>
          <w:rFonts w:ascii="Arial;Helvetica;Sans-Serif" w:hAnsi="Arial;Helvetica;Sans-Serif"/>
          <w:b w:val="false"/>
          <w:i w:val="false"/>
          <w:caps w:val="false"/>
          <w:smallCaps w:val="false"/>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(n) </w:t>
      </w:r>
      <w:r>
        <w:rPr>
          <w:rFonts w:ascii="Arial;Helvetica;Sans-Serif" w:hAnsi="Arial;Helvetica;Sans-Serif"/>
          <w:b w:val="false"/>
          <w:i w:val="false"/>
          <w:caps w:val="false"/>
          <w:smallCaps w:val="false"/>
          <w:sz w:val="20"/>
          <w:u w:val="single"/>
        </w:rPr>
        <w:t>Regulatory Permits</w:t>
      </w:r>
      <w:r>
        <w:rPr>
          <w:rFonts w:ascii="Arial;Helvetica;Sans-Serif" w:hAnsi="Arial;Helvetica;San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would not reasonably be expected to have a Material Adverse Effect (“</w:t>
      </w:r>
      <w:r>
        <w:rPr>
          <w:rFonts w:ascii="Arial;Helvetica;Sans-Serif" w:hAnsi="Arial;Helvetica;Sans-Serif"/>
          <w:b w:val="false"/>
          <w:i w:val="false"/>
          <w:caps w:val="false"/>
          <w:smallCaps w:val="false"/>
          <w:sz w:val="20"/>
          <w:u w:val="single"/>
        </w:rPr>
        <w:t>Material Permits</w:t>
      </w:r>
      <w:r>
        <w:rPr>
          <w:rFonts w:ascii="Arial;Helvetica;Sans-Serif" w:hAnsi="Arial;Helvetica;Sans-Serif"/>
          <w:b w:val="false"/>
          <w:i w:val="false"/>
          <w:caps w:val="false"/>
          <w:smallCaps w:val="false"/>
          <w:sz w:val="20"/>
        </w:rPr>
        <w:t>”), and neither the Company nor any Subsidiary has received any notice of proceedings relating to the revocation or modification of any Material Permit.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 </w:t>
      </w:r>
      <w:r>
        <w:rPr>
          <w:rFonts w:ascii="Arial;Helvetica;Sans-Serif" w:hAnsi="Arial;Helvetica;Sans-Serif"/>
          <w:b w:val="false"/>
          <w:i w:val="false"/>
          <w:caps w:val="false"/>
          <w:smallCaps w:val="false"/>
          <w:sz w:val="20"/>
          <w:u w:val="single"/>
        </w:rPr>
        <w:t>Title to Assets</w:t>
      </w:r>
      <w:r>
        <w:rPr>
          <w:rFonts w:ascii="Arial;Helvetica;Sans-Serif" w:hAnsi="Arial;Helvetica;Sans-Serif"/>
          <w:b w:val="false"/>
          <w:i w:val="false"/>
          <w:caps w:val="false"/>
          <w:smallCaps w:val="false"/>
          <w:sz w:val="20"/>
        </w:rPr>
        <w:t>. The Company and the Subsidiaries have good and marketable title in fee simple to all real property owned by them and good and marketable title in all personal property owned by them (excluding Intellectual Property Rights which are addressed below)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except where failure to be in compliance could not reasonably be expected to have a Material Adverse Effect.</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(p) </w:t>
      </w:r>
      <w:r>
        <w:rPr>
          <w:rFonts w:ascii="Arial;Helvetica;Sans-Serif" w:hAnsi="Arial;Helvetica;Sans-Serif"/>
          <w:b w:val="false"/>
          <w:i w:val="false"/>
          <w:caps w:val="false"/>
          <w:smallCaps w:val="false"/>
          <w:sz w:val="20"/>
          <w:u w:val="single"/>
        </w:rPr>
        <w:t>Intellectual Property</w:t>
      </w:r>
      <w:r>
        <w:rPr>
          <w:rFonts w:ascii="Arial;Helvetica;Sans-Serif" w:hAnsi="Arial;Helvetica;Sans-Serif"/>
          <w:b w:val="false"/>
          <w:i w:val="false"/>
          <w:caps w:val="false"/>
          <w:smallCaps w:val="false"/>
          <w:sz w:val="20"/>
        </w:rPr>
        <w:t>. To its knowledge,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Arial;Helvetica;Sans-Serif" w:hAnsi="Arial;Helvetica;Sans-Serif"/>
          <w:b w:val="false"/>
          <w:i w:val="false"/>
          <w:caps w:val="false"/>
          <w:smallCaps w:val="false"/>
          <w:sz w:val="20"/>
          <w:u w:val="single"/>
        </w:rPr>
        <w:t>Intellectual Property Rights</w:t>
      </w:r>
      <w:r>
        <w:rPr>
          <w:rFonts w:ascii="Arial;Helvetica;Sans-Serif" w:hAnsi="Arial;Helvetica;Sans-Serif"/>
          <w:b w:val="false"/>
          <w:i w:val="false"/>
          <w:caps w:val="false"/>
          <w:smallCaps w:val="false"/>
          <w:sz w:val="20"/>
        </w:rPr>
        <w:t>”).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where the failure to possess such rights would not reasonably be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designed to protect the secrecy, confidentiality and value of all of their intellectual properties, except where failure to do so would not, individually or in the aggregate, reasonably be expected to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(q) </w:t>
      </w:r>
      <w:r>
        <w:rPr>
          <w:rFonts w:ascii="Arial;Helvetica;Sans-Serif" w:hAnsi="Arial;Helvetica;Sans-Serif"/>
          <w:b w:val="false"/>
          <w:i w:val="false"/>
          <w:caps w:val="false"/>
          <w:smallCaps w:val="false"/>
          <w:sz w:val="20"/>
          <w:u w:val="single"/>
        </w:rPr>
        <w:t>Insurance</w:t>
      </w:r>
      <w:r>
        <w:rPr>
          <w:rFonts w:ascii="Arial;Helvetica;Sans-Serif" w:hAnsi="Arial;Helvetica;Sans-Serif"/>
          <w:b w:val="false"/>
          <w:i w:val="false"/>
          <w:caps w:val="false"/>
          <w:smallCaps w:val="false"/>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(r) </w:t>
      </w:r>
      <w:r>
        <w:rPr>
          <w:rFonts w:ascii="Arial;Helvetica;Sans-Serif" w:hAnsi="Arial;Helvetica;Sans-Serif"/>
          <w:b w:val="false"/>
          <w:i w:val="false"/>
          <w:caps w:val="false"/>
          <w:smallCaps w:val="false"/>
          <w:sz w:val="20"/>
          <w:u w:val="single"/>
        </w:rPr>
        <w:t>Transactions With Affiliates and Employees</w:t>
      </w:r>
      <w:r>
        <w:rPr>
          <w:rFonts w:ascii="Arial;Helvetica;Sans-Serif" w:hAnsi="Arial;Helvetica;Sans-Serif"/>
          <w:b w:val="false"/>
          <w:i w:val="false"/>
          <w:caps w:val="false"/>
          <w:smallCaps w:val="false"/>
          <w:sz w:val="20"/>
        </w:rPr>
        <w:t xml:space="preserve">. Except as set forth in </w:t>
      </w:r>
      <w:r>
        <w:rPr>
          <w:rFonts w:ascii="Arial;Helvetica;Sans-Serif" w:hAnsi="Arial;Helvetica;Sans-Serif"/>
          <w:b w:val="false"/>
          <w:i w:val="false"/>
          <w:caps w:val="false"/>
          <w:smallCaps w:val="false"/>
          <w:sz w:val="20"/>
          <w:u w:val="single"/>
        </w:rPr>
        <w:t>Section 3.1(r)</w:t>
      </w:r>
      <w:r>
        <w:rPr>
          <w:rFonts w:ascii="Arial;Helvetica;Sans-Serif" w:hAnsi="Arial;Helvetica;Sans-Serif"/>
          <w:b w:val="false"/>
          <w:i w:val="false"/>
          <w:caps w:val="false"/>
          <w:smallCaps w:val="false"/>
          <w:sz w:val="20"/>
        </w:rPr>
        <w:t xml:space="preserve"> of the Disclosure Schedules,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equity incentive plan of the Company.</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(s) </w:t>
      </w:r>
      <w:r>
        <w:rPr>
          <w:rFonts w:ascii="Arial;Helvetica;Sans-Serif" w:hAnsi="Arial;Helvetica;Sans-Serif"/>
          <w:b w:val="false"/>
          <w:i w:val="false"/>
          <w:caps w:val="false"/>
          <w:smallCaps w:val="false"/>
          <w:sz w:val="20"/>
          <w:u w:val="single"/>
        </w:rPr>
        <w:t>Sarbanes-Oxley; Internal Accounting Controls</w:t>
      </w:r>
      <w:r>
        <w:rPr>
          <w:rFonts w:ascii="Arial;Helvetica;Sans-Serif" w:hAnsi="Arial;Helvetica;Sans-Serif"/>
          <w:b w:val="false"/>
          <w:i w:val="false"/>
          <w:caps w:val="false"/>
          <w:smallCaps w:val="false"/>
          <w:sz w:val="20"/>
        </w:rPr>
        <w:t>. The Company and the Subsidiaries are in compliance in all material respects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Arial;Helvetica;Sans-Serif" w:hAnsi="Arial;Helvetica;Sans-Serif"/>
          <w:b w:val="false"/>
          <w:i w:val="false"/>
          <w:caps w:val="false"/>
          <w:smallCaps w:val="false"/>
          <w:sz w:val="20"/>
          <w:u w:val="single"/>
        </w:rPr>
        <w:t>Evaluation Date</w:t>
      </w:r>
      <w:r>
        <w:rPr>
          <w:rFonts w:ascii="Arial;Helvetica;Sans-Serif" w:hAnsi="Arial;Helvetica;Sans-Serif"/>
          <w:b w:val="false"/>
          <w:i w:val="false"/>
          <w:caps w:val="false"/>
          <w:smallCaps w:val="false"/>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 </w:t>
      </w:r>
      <w:r>
        <w:rPr>
          <w:rFonts w:ascii="Arial;Helvetica;Sans-Serif" w:hAnsi="Arial;Helvetica;Sans-Serif"/>
          <w:b w:val="false"/>
          <w:i w:val="false"/>
          <w:caps w:val="false"/>
          <w:smallCaps w:val="false"/>
          <w:sz w:val="20"/>
          <w:u w:val="single"/>
        </w:rPr>
        <w:t>Certain Fees</w:t>
      </w:r>
      <w:r>
        <w:rPr>
          <w:rFonts w:ascii="Arial;Helvetica;Sans-Serif" w:hAnsi="Arial;Helvetica;Sans-Serif"/>
          <w:b w:val="false"/>
          <w:i w:val="false"/>
          <w:caps w:val="false"/>
          <w:smallCaps w:val="false"/>
          <w:sz w:val="20"/>
        </w:rPr>
        <w:t>. Except for compensation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(u) </w:t>
      </w:r>
      <w:r>
        <w:rPr>
          <w:rFonts w:ascii="Arial;Helvetica;Sans-Serif" w:hAnsi="Arial;Helvetica;Sans-Serif"/>
          <w:b w:val="false"/>
          <w:i w:val="false"/>
          <w:caps w:val="false"/>
          <w:smallCaps w:val="false"/>
          <w:sz w:val="20"/>
          <w:u w:val="single"/>
        </w:rPr>
        <w:t>Investment Company</w:t>
      </w:r>
      <w:r>
        <w:rPr>
          <w:rFonts w:ascii="Arial;Helvetica;Sans-Serif" w:hAnsi="Arial;Helvetica;Sans-Serif"/>
          <w:b w:val="false"/>
          <w:i w:val="false"/>
          <w:caps w:val="false"/>
          <w:smallCaps w:val="false"/>
          <w:sz w:val="20"/>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(v) </w:t>
      </w:r>
      <w:r>
        <w:rPr>
          <w:rFonts w:ascii="Arial;Helvetica;Sans-Serif" w:hAnsi="Arial;Helvetica;Sans-Serif"/>
          <w:b w:val="false"/>
          <w:i w:val="false"/>
          <w:caps w:val="false"/>
          <w:smallCaps w:val="false"/>
          <w:sz w:val="20"/>
          <w:u w:val="single"/>
        </w:rPr>
        <w:t>Registration Rights</w:t>
      </w:r>
      <w:r>
        <w:rPr>
          <w:rFonts w:ascii="Arial;Helvetica;Sans-Serif" w:hAnsi="Arial;Helvetica;Sans-Serif"/>
          <w:b w:val="false"/>
          <w:i w:val="false"/>
          <w:caps w:val="false"/>
          <w:smallCaps w:val="false"/>
          <w:sz w:val="20"/>
        </w:rPr>
        <w:t>. No Person has any right to cause the Company or any Subsidiary to effect the registration under the Securities Act of any securities of the Company or any Subsidiary that have not been satisfied.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 </w:t>
      </w:r>
      <w:r>
        <w:rPr>
          <w:rFonts w:ascii="Arial;Helvetica;Sans-Serif" w:hAnsi="Arial;Helvetica;Sans-Serif"/>
          <w:b w:val="false"/>
          <w:i w:val="false"/>
          <w:caps w:val="false"/>
          <w:smallCaps w:val="false"/>
          <w:sz w:val="20"/>
          <w:u w:val="single"/>
        </w:rPr>
        <w:t>Listing and Maintenance Requirements</w:t>
      </w:r>
      <w:r>
        <w:rPr>
          <w:rFonts w:ascii="Arial;Helvetica;Sans-Serif" w:hAnsi="Arial;Helvetica;Sans-Serif"/>
          <w:b w:val="false"/>
          <w:i w:val="false"/>
          <w:caps w:val="false"/>
          <w:smallCaps w:val="false"/>
          <w:sz w:val="20"/>
        </w:rPr>
        <w:t xml:space="preserve">.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in </w:t>
      </w:r>
      <w:r>
        <w:rPr>
          <w:rFonts w:ascii="Arial;Helvetica;Sans-Serif" w:hAnsi="Arial;Helvetica;Sans-Serif"/>
          <w:b w:val="false"/>
          <w:i w:val="false"/>
          <w:caps w:val="false"/>
          <w:smallCaps w:val="false"/>
          <w:sz w:val="20"/>
          <w:u w:val="single"/>
        </w:rPr>
        <w:t>Section 3.1(w)</w:t>
      </w:r>
      <w:r>
        <w:rPr>
          <w:rFonts w:ascii="Arial;Helvetica;Sans-Serif" w:hAnsi="Arial;Helvetica;Sans-Serif"/>
          <w:b w:val="false"/>
          <w:i w:val="false"/>
          <w:caps w:val="false"/>
          <w:smallCaps w:val="false"/>
          <w:sz w:val="20"/>
        </w:rPr>
        <w:t xml:space="preserve"> of the Disclosure Schedules,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as set forth in </w:t>
      </w:r>
      <w:r>
        <w:rPr>
          <w:rFonts w:ascii="Arial;Helvetica;Sans-Serif" w:hAnsi="Arial;Helvetica;Sans-Serif"/>
          <w:b w:val="false"/>
          <w:i w:val="false"/>
          <w:caps w:val="false"/>
          <w:smallCaps w:val="false"/>
          <w:sz w:val="20"/>
          <w:u w:val="single"/>
        </w:rPr>
        <w:t>Section 3.1(w)</w:t>
      </w:r>
      <w:r>
        <w:rPr>
          <w:rFonts w:ascii="Arial;Helvetica;Sans-Serif" w:hAnsi="Arial;Helvetica;Sans-Serif"/>
          <w:b w:val="false"/>
          <w:i w:val="false"/>
          <w:caps w:val="false"/>
          <w:smallCaps w:val="false"/>
          <w:sz w:val="20"/>
        </w:rPr>
        <w:t xml:space="preserve"> of the Disclosure Schedules,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(x) </w:t>
      </w:r>
      <w:r>
        <w:rPr>
          <w:rFonts w:ascii="Arial;Helvetica;Sans-Serif" w:hAnsi="Arial;Helvetica;Sans-Serif"/>
          <w:b w:val="false"/>
          <w:i w:val="false"/>
          <w:caps w:val="false"/>
          <w:smallCaps w:val="false"/>
          <w:sz w:val="20"/>
          <w:u w:val="single"/>
        </w:rPr>
        <w:t>Application of Takeover Protections</w:t>
      </w:r>
      <w:r>
        <w:rPr>
          <w:rFonts w:ascii="Arial;Helvetica;Sans-Serif" w:hAnsi="Arial;Helvetica;Sans-Serif"/>
          <w:b w:val="false"/>
          <w:i w:val="false"/>
          <w:caps w:val="false"/>
          <w:smallCaps w:val="false"/>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would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(y) </w:t>
      </w:r>
      <w:r>
        <w:rPr>
          <w:rFonts w:ascii="Arial;Helvetica;Sans-Serif" w:hAnsi="Arial;Helvetica;Sans-Serif"/>
          <w:b w:val="false"/>
          <w:i w:val="false"/>
          <w:caps w:val="false"/>
          <w:smallCaps w:val="false"/>
          <w:sz w:val="20"/>
          <w:u w:val="single"/>
        </w:rPr>
        <w:t>Disclosure</w:t>
      </w:r>
      <w:r>
        <w:rPr>
          <w:rFonts w:ascii="Arial;Helvetica;Sans-Serif" w:hAnsi="Arial;Helvetica;Sans-Serif"/>
          <w:b w:val="false"/>
          <w:i w:val="false"/>
          <w:caps w:val="false"/>
          <w:smallCaps w:val="false"/>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in all material respects, true and correct as of the date such statements were made,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(z) </w:t>
      </w:r>
      <w:r>
        <w:rPr>
          <w:rFonts w:ascii="Arial;Helvetica;Sans-Serif" w:hAnsi="Arial;Helvetica;Sans-Serif"/>
          <w:b w:val="false"/>
          <w:i w:val="false"/>
          <w:caps w:val="false"/>
          <w:smallCaps w:val="false"/>
          <w:sz w:val="20"/>
          <w:u w:val="single"/>
        </w:rPr>
        <w:t>No Integrated Offering</w:t>
      </w:r>
      <w:r>
        <w:rPr>
          <w:rFonts w:ascii="Arial;Helvetica;Sans-Serif" w:hAnsi="Arial;Helvetica;Sans-Serif"/>
          <w:b w:val="false"/>
          <w:i w:val="false"/>
          <w:caps w:val="false"/>
          <w:smallCaps w:val="false"/>
          <w:sz w:val="20"/>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the Warrants or Warrant Shares under the Securities Act, or (ii) any applicable shareholder approval provisions of any Trading Market on which any of the securities of the Company are listed or designated.</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(aa) </w:t>
      </w:r>
      <w:r>
        <w:rPr>
          <w:rFonts w:ascii="Arial;Helvetica;Sans-Serif" w:hAnsi="Arial;Helvetica;Sans-Serif"/>
          <w:b w:val="false"/>
          <w:i w:val="false"/>
          <w:caps w:val="false"/>
          <w:smallCaps w:val="false"/>
          <w:sz w:val="20"/>
          <w:u w:val="single"/>
        </w:rPr>
        <w:t>Solvency</w:t>
      </w:r>
      <w:r>
        <w:rPr>
          <w:rFonts w:ascii="Arial;Helvetica;Sans-Serif" w:hAnsi="Arial;Helvetica;Sans-Serif"/>
          <w:b w:val="false"/>
          <w:i w:val="false"/>
          <w:caps w:val="false"/>
          <w:smallCaps w:val="false"/>
          <w:sz w:val="20"/>
        </w:rPr>
        <w:t xml:space="preserve">. Based on the consolidated financial condition of the Company as of the Closing Date, after giving effect to the receipt by the Company of the proceeds from the sale of the Securities hereunder, (i) except as disclosed in </w:t>
      </w:r>
      <w:r>
        <w:rPr>
          <w:rFonts w:ascii="Arial;Helvetica;Sans-Serif" w:hAnsi="Arial;Helvetica;Sans-Serif"/>
          <w:b w:val="false"/>
          <w:i w:val="false"/>
          <w:caps w:val="false"/>
          <w:smallCaps w:val="false"/>
          <w:sz w:val="20"/>
          <w:u w:val="single"/>
        </w:rPr>
        <w:t>Section 3.1(aa)</w:t>
      </w:r>
      <w:r>
        <w:rPr>
          <w:rFonts w:ascii="Arial;Helvetica;Sans-Serif" w:hAnsi="Arial;Helvetica;Sans-Serif"/>
          <w:b w:val="false"/>
          <w:i w:val="false"/>
          <w:caps w:val="false"/>
          <w:smallCaps w:val="false"/>
          <w:sz w:val="20"/>
        </w:rPr>
        <w:t xml:space="preserve"> of the Disclosure Schedules,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except as disclosed in </w:t>
      </w:r>
      <w:r>
        <w:rPr>
          <w:rFonts w:ascii="Arial;Helvetica;Sans-Serif" w:hAnsi="Arial;Helvetica;Sans-Serif"/>
          <w:b w:val="false"/>
          <w:i w:val="false"/>
          <w:caps w:val="false"/>
          <w:smallCaps w:val="false"/>
          <w:sz w:val="20"/>
          <w:u w:val="single"/>
        </w:rPr>
        <w:t>Section 3.1(aa)</w:t>
      </w:r>
      <w:r>
        <w:rPr>
          <w:rFonts w:ascii="Arial;Helvetica;Sans-Serif" w:hAnsi="Arial;Helvetica;Sans-Serif"/>
          <w:b w:val="false"/>
          <w:i w:val="false"/>
          <w:caps w:val="false"/>
          <w:smallCaps w:val="false"/>
          <w:sz w:val="20"/>
        </w:rPr>
        <w:t xml:space="preserve"> of the Disclosure Schedules,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After giving effect to the receipt by the Company of the proceeds from the sale of the Securities hereunder, the Company has no knowledge of any facts or circumstances which lead it to believe that it will file for reorganization or liquidation under the bankruptcy or reorganization laws of any jurisdiction within one year from the Closing Date. </w:t>
      </w:r>
      <w:r>
        <w:rPr>
          <w:rFonts w:ascii="Arial;Helvetica;Sans-Serif" w:hAnsi="Arial;Helvetica;Sans-Serif"/>
          <w:b w:val="false"/>
          <w:i w:val="false"/>
          <w:caps w:val="false"/>
          <w:smallCaps w:val="false"/>
          <w:sz w:val="20"/>
          <w:u w:val="single"/>
        </w:rPr>
        <w:t>Section 3.1(aa)</w:t>
      </w:r>
      <w:r>
        <w:rPr>
          <w:rFonts w:ascii="Arial;Helvetica;Sans-Serif" w:hAnsi="Arial;Helvetica;Sans-Serif"/>
          <w:b w:val="false"/>
          <w:i w:val="false"/>
          <w:caps w:val="false"/>
          <w:smallCaps w:val="false"/>
          <w:sz w:val="20"/>
        </w:rPr>
        <w:t xml:space="preserve"> of the Disclosure Schedules sets forth as of the date hereof all outstanding secured and unsecured Indebtedness of the Company or any Subsidiary, or for which the Company or any Subsidiary has commitments. For the purposes of this Agreement, “Indebtedness”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(bb) </w:t>
      </w:r>
      <w:r>
        <w:rPr>
          <w:rFonts w:ascii="Arial;Helvetica;Sans-Serif" w:hAnsi="Arial;Helvetica;Sans-Serif"/>
          <w:b w:val="false"/>
          <w:i w:val="false"/>
          <w:caps w:val="false"/>
          <w:smallCaps w:val="false"/>
          <w:sz w:val="20"/>
          <w:u w:val="single"/>
        </w:rPr>
        <w:t>Tax Status</w:t>
      </w:r>
      <w:r>
        <w:rPr>
          <w:rFonts w:ascii="Arial;Helvetica;Sans-Serif" w:hAnsi="Arial;Helvetica;Sans-Serif"/>
          <w:b w:val="false"/>
          <w:i w:val="false"/>
          <w:caps w:val="false"/>
          <w:smallCaps w:val="false"/>
          <w:sz w:val="20"/>
        </w:rPr>
        <w:t>. Except for matters that would not, individually or in the aggregate, have or reasonably be expected to have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except those being contested in good faith, with respect to which adequate reserves have been set aside on the books of the Company,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(cc) </w:t>
      </w:r>
      <w:r>
        <w:rPr>
          <w:rFonts w:ascii="Arial;Helvetica;Sans-Serif" w:hAnsi="Arial;Helvetica;Sans-Serif"/>
          <w:b w:val="false"/>
          <w:i w:val="false"/>
          <w:caps w:val="false"/>
          <w:smallCaps w:val="false"/>
          <w:sz w:val="20"/>
          <w:u w:val="single"/>
        </w:rPr>
        <w:t>Foreign Corrupt Practices</w:t>
      </w:r>
      <w:r>
        <w:rPr>
          <w:rFonts w:ascii="Arial;Helvetica;Sans-Serif" w:hAnsi="Arial;Helvetica;Sans-Serif"/>
          <w:b w:val="false"/>
          <w:i w:val="false"/>
          <w:caps w:val="false"/>
          <w:smallCaps w:val="false"/>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(dd) </w:t>
      </w:r>
      <w:r>
        <w:rPr>
          <w:rFonts w:ascii="Arial;Helvetica;Sans-Serif" w:hAnsi="Arial;Helvetica;Sans-Serif"/>
          <w:b w:val="false"/>
          <w:i w:val="false"/>
          <w:caps w:val="false"/>
          <w:smallCaps w:val="false"/>
          <w:sz w:val="20"/>
          <w:u w:val="single"/>
        </w:rPr>
        <w:t>Accountants</w:t>
      </w:r>
      <w:r>
        <w:rPr>
          <w:rFonts w:ascii="Arial;Helvetica;Sans-Serif" w:hAnsi="Arial;Helvetica;Sans-Serif"/>
          <w:b w:val="false"/>
          <w:i w:val="false"/>
          <w:caps w:val="false"/>
          <w:smallCaps w:val="false"/>
          <w:sz w:val="20"/>
        </w:rPr>
        <w:t>. The Company’s independent registered public accounting firm is Haskell &amp; White LLP.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(ee) </w:t>
      </w:r>
      <w:r>
        <w:rPr>
          <w:rFonts w:ascii="Arial;Helvetica;Sans-Serif" w:hAnsi="Arial;Helvetica;Sans-Serif"/>
          <w:b w:val="false"/>
          <w:i w:val="false"/>
          <w:caps w:val="false"/>
          <w:smallCaps w:val="false"/>
          <w:sz w:val="20"/>
          <w:u w:val="single"/>
        </w:rPr>
        <w:t>Acknowledgment Regarding Purchasers’ Purchase of Securities</w:t>
      </w:r>
      <w:r>
        <w:rPr>
          <w:rFonts w:ascii="Arial;Helvetica;Sans-Serif" w:hAnsi="Arial;Helvetica;Sans-Serif"/>
          <w:b w:val="false"/>
          <w:i w:val="false"/>
          <w:caps w:val="false"/>
          <w:smallCaps w:val="false"/>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(ff) </w:t>
      </w:r>
      <w:r>
        <w:rPr>
          <w:rFonts w:ascii="Arial;Helvetica;Sans-Serif" w:hAnsi="Arial;Helvetica;Sans-Serif"/>
          <w:b w:val="false"/>
          <w:i w:val="false"/>
          <w:caps w:val="false"/>
          <w:smallCaps w:val="false"/>
          <w:sz w:val="20"/>
          <w:u w:val="single"/>
        </w:rPr>
        <w:t>Acknowledgment Regarding Purchaser’s Trading Activity</w:t>
      </w:r>
      <w:r>
        <w:rPr>
          <w:rFonts w:ascii="Arial;Helvetica;Sans-Serif" w:hAnsi="Arial;Helvetica;Sans-Serif"/>
          <w:b w:val="false"/>
          <w:i w:val="false"/>
          <w:caps w:val="false"/>
          <w:smallCaps w:val="false"/>
          <w:sz w:val="20"/>
        </w:rPr>
        <w:t>.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(gg) </w:t>
      </w:r>
      <w:r>
        <w:rPr>
          <w:rFonts w:ascii="Arial;Helvetica;Sans-Serif" w:hAnsi="Arial;Helvetica;Sans-Serif"/>
          <w:b w:val="false"/>
          <w:i w:val="false"/>
          <w:caps w:val="false"/>
          <w:smallCaps w:val="false"/>
          <w:sz w:val="20"/>
          <w:u w:val="single"/>
        </w:rPr>
        <w:t>Regulation M Compliance</w:t>
      </w:r>
      <w:r>
        <w:rPr>
          <w:rFonts w:ascii="Arial;Helvetica;Sans-Serif" w:hAnsi="Arial;Helvetica;San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in each case, in violation of Regulation M; provided, however, that for the avoidance of doubt, other than, in the case of clauses (ii) and (iii), compensation paid to the Placement Agent in connection with the placement of the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(hh) </w:t>
      </w:r>
      <w:r>
        <w:rPr>
          <w:rFonts w:ascii="Arial;Helvetica;Sans-Serif" w:hAnsi="Arial;Helvetica;Sans-Serif"/>
          <w:b w:val="false"/>
          <w:i w:val="false"/>
          <w:caps w:val="false"/>
          <w:smallCaps w:val="false"/>
          <w:sz w:val="20"/>
          <w:u w:val="single"/>
        </w:rPr>
        <w:t>FDA</w:t>
      </w:r>
      <w:r>
        <w:rPr>
          <w:rFonts w:ascii="Arial;Helvetica;Sans-Serif" w:hAnsi="Arial;Helvetica;Sans-Serif"/>
          <w:b w:val="false"/>
          <w:i w:val="false"/>
          <w:caps w:val="false"/>
          <w:smallCaps w:val="false"/>
          <w:sz w:val="20"/>
        </w:rPr>
        <w:t>. As to each product subject to the jurisdiction of the U.S. Food and Drug Administration (“</w:t>
      </w:r>
      <w:r>
        <w:rPr>
          <w:rFonts w:ascii="Arial;Helvetica;Sans-Serif" w:hAnsi="Arial;Helvetica;Sans-Serif"/>
          <w:b w:val="false"/>
          <w:i w:val="false"/>
          <w:caps w:val="false"/>
          <w:smallCaps w:val="false"/>
          <w:sz w:val="20"/>
          <w:u w:val="single"/>
        </w:rPr>
        <w:t>FDA</w:t>
      </w:r>
      <w:r>
        <w:rPr>
          <w:rFonts w:ascii="Arial;Helvetica;Sans-Serif" w:hAnsi="Arial;Helvetica;Sans-Serif"/>
          <w:b w:val="false"/>
          <w:i w:val="false"/>
          <w:caps w:val="false"/>
          <w:smallCaps w:val="false"/>
          <w:sz w:val="20"/>
        </w:rPr>
        <w:t>”) under the Federal Food, Drug and Cosmetic Act, as amended, and the regulations thereunder (“</w:t>
      </w:r>
      <w:r>
        <w:rPr>
          <w:rFonts w:ascii="Arial;Helvetica;Sans-Serif" w:hAnsi="Arial;Helvetica;Sans-Serif"/>
          <w:b w:val="false"/>
          <w:i w:val="false"/>
          <w:caps w:val="false"/>
          <w:smallCaps w:val="false"/>
          <w:sz w:val="20"/>
          <w:u w:val="single"/>
        </w:rPr>
        <w:t>FDCA</w:t>
      </w:r>
      <w:r>
        <w:rPr>
          <w:rFonts w:ascii="Arial;Helvetica;Sans-Serif" w:hAnsi="Arial;Helvetica;Sans-Serif"/>
          <w:b w:val="false"/>
          <w:i w:val="false"/>
          <w:caps w:val="false"/>
          <w:smallCaps w:val="false"/>
          <w:sz w:val="20"/>
        </w:rPr>
        <w:t>”) that is manufactured, packaged, labeled, tested, distributed, sold, and/or marketed by the Company or any of its Subsidiaries (each such product, a “</w:t>
      </w:r>
      <w:r>
        <w:rPr>
          <w:rFonts w:ascii="Arial;Helvetica;Sans-Serif" w:hAnsi="Arial;Helvetica;Sans-Serif"/>
          <w:b w:val="false"/>
          <w:i w:val="false"/>
          <w:caps w:val="false"/>
          <w:smallCaps w:val="false"/>
          <w:sz w:val="20"/>
          <w:u w:val="single"/>
        </w:rPr>
        <w:t>Pharmaceutical Product</w:t>
      </w:r>
      <w:r>
        <w:rPr>
          <w:rFonts w:ascii="Arial;Helvetica;Sans-Serif" w:hAnsi="Arial;Helvetica;Sans-Serif"/>
          <w:b w:val="false"/>
          <w:i w:val="false"/>
          <w:caps w:val="false"/>
          <w:smallCaps w:val="false"/>
          <w:sz w:val="20"/>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(y) will prohibit the marketing, sale, license or use in the United States of any product proposed to be developed, produced or marketed by the Company, or (z) has any concerns that would prohibit the FDA from approving or clearing for marketing any product currently being developed or proposed to be developed by the Company.</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(ii) </w:t>
      </w:r>
      <w:r>
        <w:rPr>
          <w:rFonts w:ascii="Arial;Helvetica;Sans-Serif" w:hAnsi="Arial;Helvetica;Sans-Serif"/>
          <w:b w:val="false"/>
          <w:i w:val="false"/>
          <w:caps w:val="false"/>
          <w:smallCaps w:val="false"/>
          <w:sz w:val="20"/>
          <w:u w:val="single"/>
        </w:rPr>
        <w:t>Equity Incentive Plans</w:t>
      </w:r>
      <w:r>
        <w:rPr>
          <w:rFonts w:ascii="Arial;Helvetica;Sans-Serif" w:hAnsi="Arial;Helvetica;Sans-Serif"/>
          <w:b w:val="false"/>
          <w:i w:val="false"/>
          <w:caps w:val="false"/>
          <w:smallCaps w:val="false"/>
          <w:sz w:val="20"/>
        </w:rPr>
        <w:t>. Each stock option or equity award granted by the Company under the Company’s equity incentive plans was granted (i) in accordance with the terms of the Company’s applicable equity incentive plan and (ii) in the case of stock options, with an exercise price at least equal to the fair market value of the Common Stock on the date such stock option would be considered granted under GAAP and applicable law. No stock option granted under the Company’s equity incentive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(jj) </w:t>
      </w:r>
      <w:r>
        <w:rPr>
          <w:rFonts w:ascii="Arial;Helvetica;Sans-Serif" w:hAnsi="Arial;Helvetica;Sans-Serif"/>
          <w:b w:val="false"/>
          <w:i w:val="false"/>
          <w:caps w:val="false"/>
          <w:smallCaps w:val="false"/>
          <w:sz w:val="20"/>
          <w:u w:val="single"/>
        </w:rPr>
        <w:t>Cybersecurity</w:t>
      </w:r>
      <w:r>
        <w:rPr>
          <w:rFonts w:ascii="Arial;Helvetica;Sans-Serif" w:hAnsi="Arial;Helvetica;Sans-Serif"/>
          <w:b w:val="false"/>
          <w:i w:val="false"/>
          <w:caps w:val="false"/>
          <w:smallCaps w:val="false"/>
          <w:sz w:val="20"/>
        </w:rPr>
        <w:t>. Except as would not reasonably be expected to result in a Material Adverse Effect, (i)(x) there has been no material security breach or other material compromise of or relating to any of the Company’s or any Subsidiary’s information technology and computer systems, networks, hardware, software, material confidential data (including any such data maintained by the Company or any Subsidiary belonging to its respective customers, employees, suppliers, vendors or any third party), equipment or technology (collectively, “</w:t>
      </w:r>
      <w:r>
        <w:rPr>
          <w:rFonts w:ascii="Arial;Helvetica;Sans-Serif" w:hAnsi="Arial;Helvetica;Sans-Serif"/>
          <w:b w:val="false"/>
          <w:i w:val="false"/>
          <w:caps w:val="false"/>
          <w:smallCaps w:val="false"/>
          <w:sz w:val="20"/>
          <w:u w:val="single"/>
        </w:rPr>
        <w:t>IT Systems and Data</w:t>
      </w:r>
      <w:r>
        <w:rPr>
          <w:rFonts w:ascii="Arial;Helvetica;Sans-Serif" w:hAnsi="Arial;Helvetica;Sans-Serif"/>
          <w:b w:val="false"/>
          <w:i w:val="false"/>
          <w:caps w:val="false"/>
          <w:smallCaps w:val="false"/>
          <w:sz w:val="20"/>
        </w:rPr>
        <w:t>”) and (y) the Company and the Subsidiaries have not been notified of, and has no knowledge of any event or condition that would reasonably be expected to result in, any material security breach or other material compromise to their IT Systems and Data; (ii) the Company and the Subsidiaries have implemented and maintain commercially reasonable safeguards designed to maintain and protect their respective material confidential data and the integrity, availability, redundancy and security of their IT Systems and Data in compliance with all applicable Privacy Laws (as defined below) in all material respects; and (iii) the Company and the Subsidiaries have implemented commercially reasonable backup and disaster recovery practices.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(kk) </w:t>
      </w:r>
      <w:r>
        <w:rPr>
          <w:rFonts w:ascii="Arial;Helvetica;Sans-Serif" w:hAnsi="Arial;Helvetica;Sans-Serif"/>
          <w:b w:val="false"/>
          <w:i w:val="false"/>
          <w:caps w:val="false"/>
          <w:smallCaps w:val="false"/>
          <w:sz w:val="20"/>
          <w:u w:val="single"/>
        </w:rPr>
        <w:t>Compliance with Data Privacy Laws</w:t>
      </w:r>
      <w:r>
        <w:rPr>
          <w:rFonts w:ascii="Arial;Helvetica;Sans-Serif" w:hAnsi="Arial;Helvetica;Sans-Serif"/>
          <w:b w:val="false"/>
          <w:i w:val="false"/>
          <w:caps w:val="false"/>
          <w:smallCaps w:val="false"/>
          <w:sz w:val="20"/>
        </w:rPr>
        <w:t>. (i) The Company and the Subsidiaries are, and at all times during the last three (3) years prior to the date hereof were, in material compliance with all applicable state, federal and foreign data privacy and security laws and regulations, including, without limitation, to the extent applicable to the Company and the Subsidiaries, the European Union General Data Protection Regulation (“</w:t>
      </w:r>
      <w:r>
        <w:rPr>
          <w:rFonts w:ascii="Arial;Helvetica;Sans-Serif" w:hAnsi="Arial;Helvetica;Sans-Serif"/>
          <w:b w:val="false"/>
          <w:i w:val="false"/>
          <w:caps w:val="false"/>
          <w:smallCaps w:val="false"/>
          <w:sz w:val="20"/>
          <w:u w:val="single"/>
        </w:rPr>
        <w:t>GDPR</w:t>
      </w:r>
      <w:r>
        <w:rPr>
          <w:rFonts w:ascii="Arial;Helvetica;Sans-Serif" w:hAnsi="Arial;Helvetica;Sans-Serif"/>
          <w:b w:val="false"/>
          <w:i w:val="false"/>
          <w:caps w:val="false"/>
          <w:smallCaps w:val="false"/>
          <w:sz w:val="20"/>
        </w:rPr>
        <w:t>”) (EU 2016/679) (collectively, “</w:t>
      </w:r>
      <w:r>
        <w:rPr>
          <w:rFonts w:ascii="Arial;Helvetica;Sans-Serif" w:hAnsi="Arial;Helvetica;Sans-Serif"/>
          <w:b w:val="false"/>
          <w:i w:val="false"/>
          <w:caps w:val="false"/>
          <w:smallCaps w:val="false"/>
          <w:sz w:val="20"/>
          <w:u w:val="single"/>
        </w:rPr>
        <w:t>Privac</w:t>
      </w:r>
      <w:r>
        <w:rPr>
          <w:rFonts w:ascii="Arial;Helvetica;Sans-Serif" w:hAnsi="Arial;Helvetica;Sans-Serif"/>
          <w:b w:val="false"/>
          <w:i w:val="false"/>
          <w:caps w:val="false"/>
          <w:smallCaps w:val="false"/>
          <w:sz w:val="20"/>
        </w:rPr>
        <w:t xml:space="preserve">y </w:t>
      </w:r>
      <w:r>
        <w:rPr>
          <w:rFonts w:ascii="Arial;Helvetica;Sans-Serif" w:hAnsi="Arial;Helvetica;Sans-Serif"/>
          <w:b w:val="false"/>
          <w:i w:val="false"/>
          <w:caps w:val="false"/>
          <w:smallCaps w:val="false"/>
          <w:sz w:val="20"/>
          <w:u w:val="single"/>
        </w:rPr>
        <w:t>Laws</w:t>
      </w:r>
      <w:r>
        <w:rPr>
          <w:rFonts w:ascii="Arial;Helvetica;Sans-Serif" w:hAnsi="Arial;Helvetica;Sans-Serif"/>
          <w:b w:val="false"/>
          <w:i w:val="false"/>
          <w:caps w:val="false"/>
          <w:smallCaps w:val="false"/>
          <w:sz w:val="20"/>
        </w:rPr>
        <w:t>”), except where the failure to do so would not have a Material Adverse Effect; (ii) the Company and the Subsidiaries have in place, comply with, and take appropriate steps reasonably designed for compliance with their written policies and procedures relating to the Company’s and the Subsidiaries’ data privacy and security and collection, storage, use, disclosure, handling and analysis of Personal Data (as defined below) (the “</w:t>
      </w:r>
      <w:r>
        <w:rPr>
          <w:rFonts w:ascii="Arial;Helvetica;Sans-Serif" w:hAnsi="Arial;Helvetica;Sans-Serif"/>
          <w:b w:val="false"/>
          <w:i w:val="false"/>
          <w:caps w:val="false"/>
          <w:smallCaps w:val="false"/>
          <w:sz w:val="20"/>
          <w:u w:val="single"/>
        </w:rPr>
        <w:t>Policies</w:t>
      </w:r>
      <w:r>
        <w:rPr>
          <w:rFonts w:ascii="Arial;Helvetica;Sans-Serif" w:hAnsi="Arial;Helvetica;Sans-Serif"/>
          <w:b w:val="false"/>
          <w:i w:val="false"/>
          <w:caps w:val="false"/>
          <w:smallCaps w:val="false"/>
          <w:sz w:val="20"/>
        </w:rPr>
        <w:t>”), except where the failure to do so would not have a Material Adverse Effect; (iii) the Company provides notice of its Policies to its customers, employees, third party vendors and representatives as and to the extent required by the Privacy Laws, except where the failure to do so would not have a Material Adverse Effect; and (iv) applicable publicly-posted Policies do not contain any material omissions of the Company’s then-current privacy practices, as and to the extent required by Privacy Laws. “</w:t>
      </w:r>
      <w:r>
        <w:rPr>
          <w:rFonts w:ascii="Arial;Helvetica;Sans-Serif" w:hAnsi="Arial;Helvetica;Sans-Serif"/>
          <w:b w:val="false"/>
          <w:i w:val="false"/>
          <w:caps w:val="false"/>
          <w:smallCaps w:val="false"/>
          <w:sz w:val="20"/>
          <w:u w:val="single"/>
        </w:rPr>
        <w:t>Personal Data</w:t>
      </w:r>
      <w:r>
        <w:rPr>
          <w:rFonts w:ascii="Arial;Helvetica;Sans-Serif" w:hAnsi="Arial;Helvetica;Sans-Serif"/>
          <w:b w:val="false"/>
          <w:i w:val="false"/>
          <w:caps w:val="false"/>
          <w:smallCaps w:val="false"/>
          <w:sz w:val="20"/>
        </w:rPr>
        <w:t>” means “personally identifying information,” “personal information,” “personal data” or other analogous term as governed by applicable Privacy Laws. To the knowledge of the Company, the execution, delivery and performance of the Transaction Documents will not result in a material breach of any applicable Privacy Laws or Policies. Neither the Company nor the Subsidiaries (x) to the knowledge of the Company, has received written notice of any actual or potential liability of the Company or the Subsidiaries under, or actual or potential violation by the Company or the Subsidiaries of, any applicable Privacy Laws; (y) is currently conducting or paying for, in whole or in part, any investigation, remediation or other corrective action pursuant to any regulatory request or demand pursuant to any applicable Privacy Law; or (z) is a party to any order, decree, or agreement by or with any court or arbitrator or governmental or regulatory authority that imposed any obligation or liability on the Company or its Subsidiaries under any applicable Privacy Law.</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(ll) </w:t>
      </w:r>
      <w:r>
        <w:rPr>
          <w:rFonts w:ascii="Arial;Helvetica;Sans-Serif" w:hAnsi="Arial;Helvetica;Sans-Serif"/>
          <w:b w:val="false"/>
          <w:i w:val="false"/>
          <w:caps w:val="false"/>
          <w:smallCaps w:val="false"/>
          <w:sz w:val="20"/>
          <w:u w:val="single"/>
        </w:rPr>
        <w:t>Office of Foreign Assets Control</w:t>
      </w:r>
      <w:r>
        <w:rPr>
          <w:rFonts w:ascii="Arial;Helvetica;Sans-Serif" w:hAnsi="Arial;Helvetica;Sans-Serif"/>
          <w:b w:val="false"/>
          <w:i w:val="false"/>
          <w:caps w:val="false"/>
          <w:smallCaps w:val="false"/>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Arial;Helvetica;Sans-Serif" w:hAnsi="Arial;Helvetica;Sans-Serif"/>
          <w:b w:val="false"/>
          <w:i w:val="false"/>
          <w:caps w:val="false"/>
          <w:smallCaps w:val="false"/>
          <w:sz w:val="20"/>
          <w:u w:val="single"/>
        </w:rPr>
        <w:t>OFAC</w:t>
      </w:r>
      <w:r>
        <w:rPr>
          <w:rFonts w:ascii="Arial;Helvetica;Sans-Serif" w:hAnsi="Arial;Helvetica;San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(mm) </w:t>
      </w:r>
      <w:r>
        <w:rPr>
          <w:rFonts w:ascii="Arial;Helvetica;Sans-Serif" w:hAnsi="Arial;Helvetica;Sans-Serif"/>
          <w:b w:val="false"/>
          <w:i w:val="false"/>
          <w:caps w:val="false"/>
          <w:smallCaps w:val="false"/>
          <w:sz w:val="20"/>
          <w:u w:val="single"/>
        </w:rPr>
        <w:t>U.S. Real Property Holding Corporation</w:t>
      </w:r>
      <w:r>
        <w:rPr>
          <w:rFonts w:ascii="Arial;Helvetica;Sans-Serif" w:hAnsi="Arial;Helvetica;Sans-Serif"/>
          <w:b w:val="false"/>
          <w:i w:val="false"/>
          <w:caps w:val="false"/>
          <w:smallCaps w:val="false"/>
          <w:sz w:val="20"/>
        </w:rPr>
        <w:t>. The Company is not and has never been a U.S. real property holding corporation within the meaning of Section 897 of the Internal Revenue Code of 1986, as amended, and the Company shall so certify upon Purchaser’s request.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(nn) </w:t>
      </w:r>
      <w:r>
        <w:rPr>
          <w:rFonts w:ascii="Arial;Helvetica;Sans-Serif" w:hAnsi="Arial;Helvetica;Sans-Serif"/>
          <w:b w:val="false"/>
          <w:i w:val="false"/>
          <w:caps w:val="false"/>
          <w:smallCaps w:val="false"/>
          <w:sz w:val="20"/>
          <w:u w:val="single"/>
        </w:rPr>
        <w:t>Bank Holding Company Act</w:t>
      </w:r>
      <w:r>
        <w:rPr>
          <w:rFonts w:ascii="Arial;Helvetica;Sans-Serif" w:hAnsi="Arial;Helvetica;Sans-Serif"/>
          <w:b w:val="false"/>
          <w:i w:val="false"/>
          <w:caps w:val="false"/>
          <w:smallCaps w:val="false"/>
          <w:sz w:val="20"/>
        </w:rPr>
        <w:t>. Neither the Company nor any of its Subsidiaries or Affiliates is subject to the Bank Holding Company Act of 1956, as amended (the “</w:t>
      </w:r>
      <w:r>
        <w:rPr>
          <w:rFonts w:ascii="Arial;Helvetica;Sans-Serif" w:hAnsi="Arial;Helvetica;Sans-Serif"/>
          <w:b w:val="false"/>
          <w:i w:val="false"/>
          <w:caps w:val="false"/>
          <w:smallCaps w:val="false"/>
          <w:sz w:val="20"/>
          <w:u w:val="single"/>
        </w:rPr>
        <w:t>BHCA</w:t>
      </w:r>
      <w:r>
        <w:rPr>
          <w:rFonts w:ascii="Arial;Helvetica;Sans-Serif" w:hAnsi="Arial;Helvetica;Sans-Serif"/>
          <w:b w:val="false"/>
          <w:i w:val="false"/>
          <w:caps w:val="false"/>
          <w:smallCaps w:val="false"/>
          <w:sz w:val="20"/>
        </w:rPr>
        <w:t>”) and to regulation by the Board of Governors of the Federal Reserve System (the “</w:t>
      </w:r>
      <w:r>
        <w:rPr>
          <w:rFonts w:ascii="Arial;Helvetica;Sans-Serif" w:hAnsi="Arial;Helvetica;Sans-Serif"/>
          <w:b w:val="false"/>
          <w:i w:val="false"/>
          <w:caps w:val="false"/>
          <w:smallCaps w:val="false"/>
          <w:sz w:val="20"/>
          <w:u w:val="single"/>
        </w:rPr>
        <w:t>Federal Reserve</w:t>
      </w:r>
      <w:r>
        <w:rPr>
          <w:rFonts w:ascii="Arial;Helvetica;Sans-Serif" w:hAnsi="Arial;Helvetica;Sans-Serif"/>
          <w:b w:val="false"/>
          <w:i w:val="false"/>
          <w:caps w:val="false"/>
          <w:smallCaps w:val="false"/>
          <w:sz w:val="20"/>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(oo) </w:t>
      </w:r>
      <w:r>
        <w:rPr>
          <w:rFonts w:ascii="Arial;Helvetica;Sans-Serif" w:hAnsi="Arial;Helvetica;Sans-Serif"/>
          <w:b w:val="false"/>
          <w:i w:val="false"/>
          <w:caps w:val="false"/>
          <w:smallCaps w:val="false"/>
          <w:sz w:val="20"/>
          <w:u w:val="single"/>
        </w:rPr>
        <w:t>Money Laundering</w:t>
      </w:r>
      <w:r>
        <w:rPr>
          <w:rFonts w:ascii="Arial;Helvetica;Sans-Serif" w:hAnsi="Arial;Helvetica;San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Helvetica;Sans-Serif" w:hAnsi="Arial;Helvetica;Sans-Serif"/>
          <w:b w:val="false"/>
          <w:i w:val="false"/>
          <w:caps w:val="false"/>
          <w:smallCaps w:val="false"/>
          <w:sz w:val="20"/>
          <w:u w:val="single"/>
        </w:rPr>
        <w:t>Money Laundering Laws</w:t>
      </w:r>
      <w:r>
        <w:rPr>
          <w:rFonts w:ascii="Arial;Helvetica;Sans-Serif" w:hAnsi="Arial;Helvetica;Sans-Serif"/>
          <w:b w:val="false"/>
          <w:i w:val="false"/>
          <w:caps w:val="false"/>
          <w:smallCaps w:val="false"/>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(pp) </w:t>
      </w:r>
      <w:r>
        <w:rPr>
          <w:rFonts w:ascii="Arial;Helvetica;Sans-Serif" w:hAnsi="Arial;Helvetica;Sans-Serif"/>
          <w:b w:val="false"/>
          <w:i w:val="false"/>
          <w:caps w:val="false"/>
          <w:smallCaps w:val="false"/>
          <w:sz w:val="20"/>
          <w:u w:val="single"/>
        </w:rPr>
        <w:t>Private Placement</w:t>
      </w:r>
      <w:r>
        <w:rPr>
          <w:rFonts w:ascii="Arial;Helvetica;Sans-Serif" w:hAnsi="Arial;Helvetica;Sans-Serif"/>
          <w:b w:val="false"/>
          <w:i w:val="false"/>
          <w:caps w:val="false"/>
          <w:smallCaps w:val="false"/>
          <w:sz w:val="20"/>
        </w:rPr>
        <w:t>. Assuming the accuracy of the Purchasers’ representations and warranties set forth in Section 3.2, no registration under the Securities Act is required for the offer and sale of the Common Warrants or the Common Warrant Shares by the Company to the Purchasers as contemplated hereby.</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(qq) </w:t>
      </w:r>
      <w:r>
        <w:rPr>
          <w:rFonts w:ascii="Arial;Helvetica;Sans-Serif" w:hAnsi="Arial;Helvetica;Sans-Serif"/>
          <w:b w:val="false"/>
          <w:i w:val="false"/>
          <w:caps w:val="false"/>
          <w:smallCaps w:val="false"/>
          <w:sz w:val="20"/>
          <w:u w:val="single"/>
        </w:rPr>
        <w:t>No General Solicitation</w:t>
      </w:r>
      <w:r>
        <w:rPr>
          <w:rFonts w:ascii="Arial;Helvetica;Sans-Serif" w:hAnsi="Arial;Helvetica;Sans-Serif"/>
          <w:b w:val="false"/>
          <w:i w:val="false"/>
          <w:caps w:val="false"/>
          <w:smallCaps w:val="false"/>
          <w:sz w:val="20"/>
        </w:rPr>
        <w:t>. Neither the Company nor any Person acting on behalf of the Company has offered or sold any of the Common Warrants or Common Warrant Shares by any form of general solicitation or general advertising. The Company has offered the Common Warrants and Common Warrant Shares for sale only to the Purchasers and certain other “accredited investors” within the meaning of Rule 501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(rr) </w:t>
      </w:r>
      <w:r>
        <w:rPr>
          <w:rFonts w:ascii="Arial;Helvetica;Sans-Serif" w:hAnsi="Arial;Helvetica;Sans-Serif"/>
          <w:b w:val="false"/>
          <w:i w:val="false"/>
          <w:caps w:val="false"/>
          <w:smallCaps w:val="false"/>
          <w:sz w:val="20"/>
          <w:u w:val="single"/>
        </w:rPr>
        <w:t>No Disqualification Events</w:t>
      </w:r>
      <w:r>
        <w:rPr>
          <w:rFonts w:ascii="Arial;Helvetica;Sans-Serif" w:hAnsi="Arial;Helvetica;Sans-Serif"/>
          <w:b w:val="false"/>
          <w:i w:val="false"/>
          <w:caps w:val="false"/>
          <w:smallCaps w:val="false"/>
          <w:sz w:val="20"/>
        </w:rPr>
        <w:t>. With respect to the Common Warrants and Common Warrant Shares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Arial;Helvetica;Sans-Serif" w:hAnsi="Arial;Helvetica;Sans-Serif"/>
          <w:b w:val="false"/>
          <w:i w:val="false"/>
          <w:caps w:val="false"/>
          <w:smallCaps w:val="false"/>
          <w:sz w:val="20"/>
          <w:u w:val="single"/>
        </w:rPr>
        <w:t>Issuer Covered Person</w:t>
      </w:r>
      <w:r>
        <w:rPr>
          <w:rFonts w:ascii="Arial;Helvetica;Sans-Serif" w:hAnsi="Arial;Helvetica;Sans-Serif"/>
          <w:b w:val="false"/>
          <w:i w:val="false"/>
          <w:caps w:val="false"/>
          <w:smallCaps w:val="false"/>
          <w:sz w:val="20"/>
        </w:rPr>
        <w:t>”) is subject to any of the “Bad Actor” disqualifications described in Rule 506(d)(1)(i) to (viii) under the Securities Act (a “</w:t>
      </w:r>
      <w:r>
        <w:rPr>
          <w:rFonts w:ascii="Arial;Helvetica;Sans-Serif" w:hAnsi="Arial;Helvetica;Sans-Serif"/>
          <w:b w:val="false"/>
          <w:i w:val="false"/>
          <w:caps w:val="false"/>
          <w:smallCaps w:val="false"/>
          <w:sz w:val="20"/>
          <w:u w:val="single"/>
        </w:rPr>
        <w:t>Disqualification Event</w:t>
      </w:r>
      <w:r>
        <w:rPr>
          <w:rFonts w:ascii="Arial;Helvetica;Sans-Serif" w:hAnsi="Arial;Helvetica;Sans-Serif"/>
          <w:b w:val="false"/>
          <w:i w:val="false"/>
          <w:caps w:val="false"/>
          <w:smallCaps w:val="false"/>
          <w:sz w:val="20"/>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(ss) </w:t>
      </w:r>
      <w:r>
        <w:rPr>
          <w:rFonts w:ascii="Arial;Helvetica;Sans-Serif" w:hAnsi="Arial;Helvetica;Sans-Serif"/>
          <w:b w:val="false"/>
          <w:i w:val="false"/>
          <w:caps w:val="false"/>
          <w:smallCaps w:val="false"/>
          <w:sz w:val="20"/>
          <w:u w:val="single"/>
        </w:rPr>
        <w:t>Other Covered Persons</w:t>
      </w:r>
      <w:r>
        <w:rPr>
          <w:rFonts w:ascii="Arial;Helvetica;Sans-Serif" w:hAnsi="Arial;Helvetica;Sans-Serif"/>
          <w:b w:val="false"/>
          <w:i w:val="false"/>
          <w:caps w:val="false"/>
          <w:smallCaps w:val="false"/>
          <w:sz w:val="20"/>
        </w:rPr>
        <w:t>. Other than the Placement Agent, the Company is not aware of any person (other than any Issuer Covered Person) that has been or will be paid (directly or indirectly) remuneration for solicitation of purchasers in connection with the sale of any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(tt) </w:t>
      </w:r>
      <w:r>
        <w:rPr>
          <w:rFonts w:ascii="Arial;Helvetica;Sans-Serif" w:hAnsi="Arial;Helvetica;Sans-Serif"/>
          <w:b w:val="false"/>
          <w:i w:val="false"/>
          <w:caps w:val="false"/>
          <w:smallCaps w:val="false"/>
          <w:sz w:val="20"/>
          <w:u w:val="single"/>
        </w:rPr>
        <w:t>Notice of Disqualification Events</w:t>
      </w:r>
      <w:r>
        <w:rPr>
          <w:rFonts w:ascii="Arial;Helvetica;Sans-Serif" w:hAnsi="Arial;Helvetica;Sans-Serif"/>
          <w:b w:val="false"/>
          <w:i w:val="false"/>
          <w:caps w:val="false"/>
          <w:smallCaps w:val="false"/>
          <w:sz w:val="20"/>
        </w:rPr>
        <w:t>. The Company will notify the Purchasers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3.2 </w:t>
      </w:r>
      <w:r>
        <w:rPr>
          <w:rFonts w:ascii="Arial;Helvetica;Sans-Serif" w:hAnsi="Arial;Helvetica;Sans-Serif"/>
          <w:b w:val="false"/>
          <w:i w:val="false"/>
          <w:caps w:val="false"/>
          <w:smallCaps w:val="false"/>
          <w:sz w:val="20"/>
          <w:u w:val="single"/>
        </w:rPr>
        <w:t>Representations and Warranties of the Purchasers</w:t>
      </w:r>
      <w:r>
        <w:rPr>
          <w:rFonts w:ascii="Arial;Helvetica;Sans-Serif" w:hAnsi="Arial;Helvetica;Sans-Serif"/>
          <w:b w:val="false"/>
          <w:i w:val="false"/>
          <w:caps w:val="false"/>
          <w:smallCaps w:val="false"/>
          <w:sz w:val="20"/>
        </w:rPr>
        <w:t>. 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 </w:t>
      </w:r>
      <w:r>
        <w:rPr>
          <w:rFonts w:ascii="Arial;Helvetica;Sans-Serif" w:hAnsi="Arial;Helvetica;Sans-Serif"/>
          <w:b w:val="false"/>
          <w:i w:val="false"/>
          <w:caps w:val="false"/>
          <w:smallCaps w:val="false"/>
          <w:sz w:val="20"/>
          <w:u w:val="single"/>
        </w:rPr>
        <w:t>Organization; Authority</w:t>
      </w:r>
      <w:r>
        <w:rPr>
          <w:rFonts w:ascii="Arial;Helvetica;Sans-Serif" w:hAnsi="Arial;Helvetica;Sans-Serif"/>
          <w:b w:val="false"/>
          <w:i w:val="false"/>
          <w:caps w:val="false"/>
          <w:smallCaps w:val="false"/>
          <w:sz w:val="20"/>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(b) </w:t>
      </w:r>
      <w:r>
        <w:rPr>
          <w:rFonts w:ascii="Arial;Helvetica;Sans-Serif" w:hAnsi="Arial;Helvetica;Sans-Serif"/>
          <w:b w:val="false"/>
          <w:i w:val="false"/>
          <w:caps w:val="false"/>
          <w:smallCaps w:val="false"/>
          <w:sz w:val="20"/>
          <w:u w:val="single"/>
        </w:rPr>
        <w:t>Understandings or Arrangements</w:t>
      </w:r>
      <w:r>
        <w:rPr>
          <w:rFonts w:ascii="Arial;Helvetica;Sans-Serif" w:hAnsi="Arial;Helvetica;Sans-Serif"/>
          <w:b w:val="false"/>
          <w:i w:val="false"/>
          <w:caps w:val="false"/>
          <w:smallCaps w:val="false"/>
          <w:sz w:val="20"/>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Such Purchaser understands that the Common Warrants and the Common Warrant Shares are “restricted securities” and have not been registered under the Securities Act or any applicable state securities law and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a registration statement or otherwise in compliance with applicable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 </w:t>
      </w:r>
      <w:r>
        <w:rPr>
          <w:rFonts w:ascii="Arial;Helvetica;Sans-Serif" w:hAnsi="Arial;Helvetica;Sans-Serif"/>
          <w:b w:val="false"/>
          <w:i w:val="false"/>
          <w:caps w:val="false"/>
          <w:smallCaps w:val="false"/>
          <w:sz w:val="20"/>
          <w:u w:val="single"/>
        </w:rPr>
        <w:t>Purchaser Status</w:t>
      </w:r>
      <w:r>
        <w:rPr>
          <w:rFonts w:ascii="Arial;Helvetica;Sans-Serif" w:hAnsi="Arial;Helvetica;Sans-Serif"/>
          <w:b w:val="false"/>
          <w:i w:val="false"/>
          <w:caps w:val="false"/>
          <w:smallCaps w:val="false"/>
          <w:sz w:val="20"/>
        </w:rPr>
        <w:t>. At the time such Purchaser was offered the Securities, it was, and as of the date hereof it is, and on each date on which it exercises any Warrants, it will be either: (i) an “accredited investor” as defined in Rule 501(a)(1), (a)(2), (a)(3), (a)(7), (a)(8), (a)(9), (a)(12), or (a)(13) under the Securities Act or (ii) a “qualified institutional buyer” as defined in Rule 144A(a)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 </w:t>
      </w:r>
      <w:r>
        <w:rPr>
          <w:rFonts w:ascii="Arial;Helvetica;Sans-Serif" w:hAnsi="Arial;Helvetica;Sans-Serif"/>
          <w:b w:val="false"/>
          <w:i w:val="false"/>
          <w:caps w:val="false"/>
          <w:smallCaps w:val="false"/>
          <w:sz w:val="20"/>
          <w:u w:val="single"/>
        </w:rPr>
        <w:t>Experience of Such Purchaser</w:t>
      </w:r>
      <w:r>
        <w:rPr>
          <w:rFonts w:ascii="Arial;Helvetica;Sans-Serif" w:hAnsi="Arial;Helvetica;Sans-Serif"/>
          <w:b w:val="false"/>
          <w:i w:val="false"/>
          <w:caps w:val="false"/>
          <w:smallCaps w:val="false"/>
          <w:sz w:val="20"/>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360" w:right="0" w:firstLine="108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 </w:t>
      </w:r>
      <w:r>
        <w:rPr>
          <w:rFonts w:ascii="Arial;Helvetica;Sans-Serif" w:hAnsi="Arial;Helvetica;Sans-Serif"/>
          <w:b w:val="false"/>
          <w:i w:val="false"/>
          <w:caps w:val="false"/>
          <w:smallCaps w:val="false"/>
          <w:sz w:val="20"/>
          <w:u w:val="single"/>
        </w:rPr>
        <w:t>Access to Information</w:t>
      </w:r>
      <w:r>
        <w:rPr>
          <w:rFonts w:ascii="Arial;Helvetica;Sans-Serif" w:hAnsi="Arial;Helvetica;Sans-Serif"/>
          <w:b w:val="false"/>
          <w:i w:val="false"/>
          <w:caps w:val="false"/>
          <w:smallCaps w:val="false"/>
          <w:sz w:val="20"/>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Such Purchaser (a) acknowledges and agrees that nothing in this Agreement or any other materials presented to the Purchaser in connection with the purchase and sale of the Securities constitutes legal, tax or investment advice, and (b) has consulted such legal, tax and investment advisors as it, in its sole discretion, deems necessary or appropriate in connection with its purchase of the Securities.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(f) </w:t>
      </w:r>
      <w:r>
        <w:rPr>
          <w:rFonts w:ascii="Arial;Helvetica;Sans-Serif" w:hAnsi="Arial;Helvetica;Sans-Serif"/>
          <w:b w:val="false"/>
          <w:i w:val="false"/>
          <w:caps w:val="false"/>
          <w:smallCaps w:val="false"/>
          <w:sz w:val="20"/>
          <w:u w:val="single"/>
        </w:rPr>
        <w:t>Certain Transactions and Confidentiality</w:t>
      </w:r>
      <w:r>
        <w:rPr>
          <w:rFonts w:ascii="Arial;Helvetica;Sans-Serif" w:hAnsi="Arial;Helvetica;Sans-Serif"/>
          <w:b w:val="false"/>
          <w:i w:val="false"/>
          <w:caps w:val="false"/>
          <w:smallCaps w:val="false"/>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the Placement Agent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(g) </w:t>
      </w:r>
      <w:r>
        <w:rPr>
          <w:rFonts w:ascii="Arial;Helvetica;Sans-Serif" w:hAnsi="Arial;Helvetica;Sans-Serif"/>
          <w:b w:val="false"/>
          <w:i w:val="false"/>
          <w:caps w:val="false"/>
          <w:smallCaps w:val="false"/>
          <w:sz w:val="20"/>
          <w:u w:val="single"/>
        </w:rPr>
        <w:t>General Solicitation</w:t>
      </w:r>
      <w:r>
        <w:rPr>
          <w:rFonts w:ascii="Arial;Helvetica;Sans-Serif" w:hAnsi="Arial;Helvetica;Sans-Serif"/>
          <w:b w:val="false"/>
          <w:i w:val="false"/>
          <w:caps w:val="false"/>
          <w:smallCaps w:val="false"/>
          <w:sz w:val="20"/>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ARTICLE IV.</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AGREEMENTS OF THE PARTIES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4.1 </w:t>
      </w:r>
      <w:r>
        <w:rPr>
          <w:rFonts w:ascii="Arial;Helvetica;Sans-Serif" w:hAnsi="Arial;Helvetica;Sans-Serif"/>
          <w:b w:val="false"/>
          <w:i w:val="false"/>
          <w:caps w:val="false"/>
          <w:smallCaps w:val="false"/>
          <w:sz w:val="20"/>
          <w:u w:val="single"/>
        </w:rPr>
        <w:t>Removal of Legends</w:t>
      </w:r>
      <w:r>
        <w:rPr>
          <w:rFonts w:ascii="Arial;Helvetica;Sans-Serif" w:hAnsi="Arial;Helvetica;San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The Common Warrants and Common Warrant Shares may only be disposed of in compliance with state and federal securities laws. In connection with any transfer of Common Warrants or Common Warrant Shares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Common Warrant and Common Warrant Shares, as applicable,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 The Purchasers agree to the imprinting, so long as is required by this Section 4.1, of a legend on any of the Common Warrants or Common Warrant Shares in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pStyle w:val="TextBody"/>
        <w:bidi w:val="0"/>
        <w:spacing w:before="0" w:after="0"/>
        <w:ind w:left="7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acknowledges and agrees that a Purchaser may from time to time pledge pursuant to a bona fide margin agreement with a registered broker-dealer or grant a security interest in some or all of the Common Warrants or Common Warrant Shares to a financial institution that is an “accredited investor” as defined in Rule 501(a) under the Securities Act and, if required under the terms of such arrangement, such Purchaser may transfer pledged or secured Common Warrants or Common Warrant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Common Warrants and Common Warrant Shares may reasonably request in connection with a pledge or transfer of the Common Warrants or Common Warrant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 Certificates evidencing the Common Warrant Shares shall not contain any legend (including the legend set forth in Section 4.1(b) hereof): (i) while a registration statement covering the resale of such security is effective under the Securities Act, or (ii) following any sale of such Common Warrant Shares pursuant to Rule 144 (assuming cashless exercise of the Common Warrants), or (iii) if such Common Warrant Shares are eligible for sale under Rule 144 (assuming cashless exercise of the Common Warrants) without restriction or limitation,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if required by the Transfer Agent to effect the removal of the legend hereunder, or if requested by a Purchaser, respectively. If all or any portion of a Common Warrant is exercised at a time when there is an effective registration statement to cover the resale of the Common Warrant Shares, or if such Common Warrant Shares may be sold under Rule 144 (assuming cashless exercise of the Common Warrants) or if such legend is not otherwise required under applicable requirements of the Securities Act (including judicial interpretations and pronouncements issued by the staff of the Commission) then such Common Warrant Shares shall be issued free of all legends. The Company agrees that following such time as such legend is no longer required under this Section 4.1(c), the Company will, no later than the earlier of (i) one (1) Trading Day and (ii) the number of Trading Days comprising the Standard Settlement Period (as defined below) following the delivery by a Purchaser to the Company or the Transfer Agent of a certificate representing Common Warrant Shares, as applicable, issued with a restrictive legend (such date, the “</w:t>
      </w:r>
      <w:r>
        <w:rPr>
          <w:rFonts w:ascii="Arial;Helvetica;Sans-Serif" w:hAnsi="Arial;Helvetica;Sans-Serif"/>
          <w:b w:val="false"/>
          <w:i w:val="false"/>
          <w:caps w:val="false"/>
          <w:smallCaps w:val="false"/>
          <w:sz w:val="20"/>
          <w:u w:val="single"/>
        </w:rPr>
        <w:t>Legend Removal Date</w:t>
      </w:r>
      <w:r>
        <w:rPr>
          <w:rFonts w:ascii="Arial;Helvetica;Sans-Serif" w:hAnsi="Arial;Helvetica;Sans-Serif"/>
          <w:b w:val="false"/>
          <w:i w:val="false"/>
          <w:caps w:val="false"/>
          <w:smallCaps w:val="false"/>
          <w:sz w:val="20"/>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Common Warrant Shares subject to legend removal hereunder shall be transmitted by the Transfer Agent to the Purchaser by crediting the account of the Purchaser’s prime broker with the Depository Trust Company System as directed by such Purchaser. As used herein, “</w:t>
      </w:r>
      <w:r>
        <w:rPr>
          <w:rFonts w:ascii="Arial;Helvetica;Sans-Serif" w:hAnsi="Arial;Helvetica;Sans-Serif"/>
          <w:b w:val="false"/>
          <w:i w:val="false"/>
          <w:caps w:val="false"/>
          <w:smallCaps w:val="false"/>
          <w:sz w:val="20"/>
          <w:u w:val="single"/>
        </w:rPr>
        <w:t>Standard Settlement Period</w:t>
      </w:r>
      <w:r>
        <w:rPr>
          <w:rFonts w:ascii="Arial;Helvetica;Sans-Serif" w:hAnsi="Arial;Helvetica;Sans-Serif"/>
          <w:b w:val="false"/>
          <w:i w:val="false"/>
          <w:caps w:val="false"/>
          <w:smallCaps w:val="false"/>
          <w:sz w:val="20"/>
        </w:rPr>
        <w:t>” means the standard settlement period, expressed in a number of Trading Days, on the Company’s primary Trading Market with respect to the Common Stock as in effect on the date of delivery of a certificate representing Common Warrant Shares issued with a restrictive legend.</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 In addition to such Purchaser’s other available remedies, the Company shall pay to a Purchaser, in cash, (i) as partial liquidated damages and not as a penalty, for each $1,000 of Common Warrant Shares (based on the VWAP of the Common Stock on the date such Securities are submitted to the Transfer Agent) delivered for removal of the restrictive legend and subject to Section 4.1(c), $5 per Trading Day (increasing to $10 per Trading Day five (5) Trading Days after the Legend Removal Date)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Arial;Helvetica;Sans-Serif" w:hAnsi="Arial;Helvetica;Sans-Serif"/>
          <w:b/>
          <w:i w:val="false"/>
          <w:caps w:val="false"/>
          <w:smallCaps w:val="false"/>
          <w:sz w:val="20"/>
          <w:u w:val="single"/>
        </w:rPr>
        <w:t>Buy-In Price</w:t>
      </w:r>
      <w:r>
        <w:rPr>
          <w:rFonts w:ascii="Arial;Helvetica;Sans-Serif" w:hAnsi="Arial;Helvetica;Sans-Serif"/>
          <w:b w:val="false"/>
          <w:i w:val="false"/>
          <w:caps w:val="false"/>
          <w:smallCaps w:val="false"/>
          <w:sz w:val="20"/>
        </w:rPr>
        <w:t>”) over the product of (A) such number of Common Warrant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Common Warrant Shares (as the case may be) and ending on the date of such delivery and payment under this Section 4.1(d); provided, however, that (y) the aggregate liquidated damages payable to any single Purchaser under clause (i) of this Section 4.1(d) with respect to any single legend removal request shall not exceed five percent (5%) of the VWAP-based value of the Common Warrant Shares submitted for legend removal, and (z) in no event shall the Company be liable under both clause (i) and clause (ii) of this Section 4.1(d) with respect to the same Common Warrant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 The Shares and Pre-Funded Warrants shall be issued free of legends. If all or any portion of a Pre-Funded Warrant is exercised at a time when there is an effective registration statement to cover the issuance or resale of the Pre-Funded Warrant Shares or if the Pre-Funded Warrant is exercised via cashless exercise, the Pre-Funded Warrant Shares issued pursuant to any such exercise shall be issued free of all legends. If at any time following the date hereof the Registration Statement (or any subsequent registration statement registering the sale or resale of the Pre-Funded Warrant Shares) is not effective or is not otherwise available for the sale or resale of the Pre-Funded Warrant Shares, the Company shall immediately notify the holders of the Pre-Funded Warrants in writing that such registration statement is not then effective and thereafter shall promptly notify such holders when the registration statement is effective again and available for the sale or resale of the Pre-Funded Warrant Shares (it being understood and agreed that the foregoing shall not limit the ability of the Company to issue, or any Purchaser to sell, any of the Pre-Funded Warrant Shares in compliance with applicable federal and state securities laws). The Company shall use commercially reasonable efforts to keep a registration statement (including the Registration Statement) registering the issuance or resale of the Pre-Funded Warrant Shares effective during the term of the Pre-Funded Warrants.</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4.2 </w:t>
      </w:r>
      <w:r>
        <w:rPr>
          <w:rFonts w:ascii="Arial;Helvetica;Sans-Serif" w:hAnsi="Arial;Helvetica;Sans-Serif"/>
          <w:b w:val="false"/>
          <w:i w:val="false"/>
          <w:caps w:val="false"/>
          <w:smallCaps w:val="false"/>
          <w:sz w:val="20"/>
          <w:u w:val="single"/>
        </w:rPr>
        <w:t>Furnishing of Information</w:t>
      </w:r>
      <w:r>
        <w:rPr>
          <w:rFonts w:ascii="Arial;Helvetica;Sans-Serif" w:hAnsi="Arial;Helvetica;San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Until the earlier of the time that (i) no Purchaser owns Securities and (ii) the Warrants have expired, the Company shall use commercially reasonable efforts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 At any time during the period commencing from the six (6) month anniversary of the date hereof and ending at such time that all of the Common Warrant Shares (assuming cashless exercise)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Arial;Helvetica;Sans-Serif" w:hAnsi="Arial;Helvetica;Sans-Serif"/>
          <w:b w:val="false"/>
          <w:i w:val="false"/>
          <w:caps w:val="false"/>
          <w:smallCaps w:val="false"/>
          <w:sz w:val="20"/>
          <w:u w:val="single"/>
        </w:rPr>
        <w:t>Public Information Failure</w:t>
      </w:r>
      <w:r>
        <w:rPr>
          <w:rFonts w:ascii="Arial;Helvetica;Sans-Serif" w:hAnsi="Arial;Helvetica;Sans-Serif"/>
          <w:b w:val="false"/>
          <w:i w:val="false"/>
          <w:caps w:val="false"/>
          <w:smallCaps w:val="false"/>
          <w:sz w:val="20"/>
        </w:rPr>
        <w:t>”) then, in addition to such Purchaser’s other available remedies, the Company shall pay to a Purchaser, in cash, as partial liquidated damages and not as a penalty, by reason of any such delay in or reduction of its ability to sell the Common Warrant Shares, an amount in cash equal to two percent (2.0%) of the aggregate Exercise Price of such Purchaser’s Common Warrants on the day of a Public Information Failure and on every thirtieth (30</w:t>
      </w:r>
      <w:r>
        <w:rPr>
          <w:rFonts w:ascii="Arial;Helvetica;Sans-Serif" w:hAnsi="Arial;Helvetica;Sans-Serif"/>
          <w:b w:val="false"/>
          <w:i w:val="false"/>
          <w:caps w:val="false"/>
          <w:smallCaps w:val="false"/>
          <w:position w:val="7"/>
          <w:sz w:val="16"/>
          <w:sz w:val="20"/>
        </w:rPr>
        <w:t>th</w:t>
      </w:r>
      <w:r>
        <w:rPr>
          <w:rFonts w:ascii="Arial;Helvetica;Sans-Serif" w:hAnsi="Arial;Helvetica;Sans-Serif"/>
          <w:b w:val="false"/>
          <w:i w:val="false"/>
          <w:caps w:val="false"/>
          <w:smallCaps w:val="false"/>
          <w:sz w:val="20"/>
        </w:rPr>
        <w:t>) day (pro rated for periods totaling less than thirty days) thereafter until the earlier of (a) the date such Public Information Failure is cured and (b) such time that such public information is no longer required for the Purchasers to transfer the Common Warrant Shares pursuant to Rule 144. The payments to which a Purchaser shall be entitled pursuant to this Section 4.2(b) are referred to herein as “</w:t>
      </w:r>
      <w:r>
        <w:rPr>
          <w:rFonts w:ascii="Arial;Helvetica;Sans-Serif" w:hAnsi="Arial;Helvetica;Sans-Serif"/>
          <w:b w:val="false"/>
          <w:i w:val="false"/>
          <w:caps w:val="false"/>
          <w:smallCaps w:val="false"/>
          <w:sz w:val="20"/>
          <w:u w:val="single"/>
        </w:rPr>
        <w:t>Public Information Failure Payments</w:t>
      </w:r>
      <w:r>
        <w:rPr>
          <w:rFonts w:ascii="Arial;Helvetica;Sans-Serif" w:hAnsi="Arial;Helvetica;Sans-Serif"/>
          <w:b w:val="false"/>
          <w:i w:val="false"/>
          <w:caps w:val="false"/>
          <w:smallCaps w:val="false"/>
          <w:sz w:val="20"/>
        </w:rPr>
        <w:t>.” Public Information Failure Payments shall be paid on the earlier of (i) the last day of the calendar month during which such Public Information Failure Payments are incurred and (ii) the third (3</w:t>
      </w:r>
      <w:r>
        <w:rPr>
          <w:rFonts w:ascii="Arial;Helvetica;Sans-Serif" w:hAnsi="Arial;Helvetica;Sans-Serif"/>
          <w:b w:val="false"/>
          <w:i w:val="false"/>
          <w:caps w:val="false"/>
          <w:smallCaps w:val="false"/>
          <w:position w:val="7"/>
          <w:sz w:val="16"/>
          <w:sz w:val="20"/>
        </w:rPr>
        <w:t>rd</w:t>
      </w:r>
      <w:r>
        <w:rPr>
          <w:rFonts w:ascii="Arial;Helvetica;Sans-Serif" w:hAnsi="Arial;Helvetica;Sans-Serif"/>
          <w:b w:val="false"/>
          <w:i w:val="false"/>
          <w:caps w:val="false"/>
          <w:smallCaps w:val="false"/>
          <w:sz w:val="20"/>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4.3 </w:t>
      </w:r>
      <w:r>
        <w:rPr>
          <w:rFonts w:ascii="Arial;Helvetica;Sans-Serif" w:hAnsi="Arial;Helvetica;Sans-Serif"/>
          <w:b w:val="false"/>
          <w:i w:val="false"/>
          <w:caps w:val="false"/>
          <w:smallCaps w:val="false"/>
          <w:sz w:val="20"/>
          <w:u w:val="single"/>
        </w:rPr>
        <w:t>Integration</w:t>
      </w:r>
      <w:r>
        <w:rPr>
          <w:rFonts w:ascii="Arial;Helvetica;Sans-Serif" w:hAnsi="Arial;Helvetica;San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Common Warrants or Common Warrant Shares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4.4 </w:t>
      </w:r>
      <w:r>
        <w:rPr>
          <w:rFonts w:ascii="Arial;Helvetica;Sans-Serif" w:hAnsi="Arial;Helvetica;Sans-Serif"/>
          <w:b w:val="false"/>
          <w:i w:val="false"/>
          <w:caps w:val="false"/>
          <w:smallCaps w:val="false"/>
          <w:sz w:val="20"/>
          <w:u w:val="single"/>
        </w:rPr>
        <w:t>Securities Laws Disclosure; Publicity</w:t>
      </w:r>
      <w:r>
        <w:rPr>
          <w:rFonts w:ascii="Arial;Helvetica;Sans-Serif" w:hAnsi="Arial;Helvetica;Sans-Serif"/>
          <w:b w:val="false"/>
          <w:i w:val="false"/>
          <w:caps w:val="false"/>
          <w:smallCaps w:val="false"/>
          <w:sz w:val="20"/>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including, without limitation, the Placement Agent,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press release nor otherwise make any similar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4.5 </w:t>
      </w:r>
      <w:r>
        <w:rPr>
          <w:rFonts w:ascii="Arial;Helvetica;Sans-Serif" w:hAnsi="Arial;Helvetica;Sans-Serif"/>
          <w:b w:val="false"/>
          <w:i w:val="false"/>
          <w:caps w:val="false"/>
          <w:smallCaps w:val="false"/>
          <w:sz w:val="20"/>
          <w:u w:val="single"/>
        </w:rPr>
        <w:t>Shareholder Rights Plan</w:t>
      </w:r>
      <w:r>
        <w:rPr>
          <w:rFonts w:ascii="Arial;Helvetica;Sans-Serif" w:hAnsi="Arial;Helvetica;Sans-Serif"/>
          <w:b w:val="false"/>
          <w:i w:val="false"/>
          <w:caps w:val="false"/>
          <w:smallCaps w:val="false"/>
          <w:sz w:val="20"/>
        </w:rPr>
        <w:t>. No claim will be made or enforced by the Company or, with the consent of the Company, any other Person, that any Purchaser is an “</w:t>
      </w:r>
      <w:r>
        <w:rPr>
          <w:rFonts w:ascii="Arial;Helvetica;Sans-Serif" w:hAnsi="Arial;Helvetica;Sans-Serif"/>
          <w:b w:val="false"/>
          <w:i w:val="false"/>
          <w:caps w:val="false"/>
          <w:smallCaps w:val="false"/>
          <w:sz w:val="20"/>
          <w:u w:val="single"/>
        </w:rPr>
        <w:t>Acquiring Person</w:t>
      </w:r>
      <w:r>
        <w:rPr>
          <w:rFonts w:ascii="Arial;Helvetica;Sans-Serif" w:hAnsi="Arial;Helvetica;Sans-Serif"/>
          <w:b w:val="false"/>
          <w:i w:val="false"/>
          <w:caps w:val="false"/>
          <w:smallCaps w:val="false"/>
          <w:sz w:val="20"/>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4.6 </w:t>
      </w:r>
      <w:r>
        <w:rPr>
          <w:rFonts w:ascii="Arial;Helvetica;Sans-Serif" w:hAnsi="Arial;Helvetica;Sans-Serif"/>
          <w:b w:val="false"/>
          <w:i w:val="false"/>
          <w:caps w:val="false"/>
          <w:smallCaps w:val="false"/>
          <w:sz w:val="20"/>
          <w:u w:val="single"/>
        </w:rPr>
        <w:t>Non-Public Information</w:t>
      </w:r>
      <w:r>
        <w:rPr>
          <w:rFonts w:ascii="Arial;Helvetica;Sans-Serif" w:hAnsi="Arial;Helvetica;Sans-Serif"/>
          <w:b w:val="false"/>
          <w:i w:val="false"/>
          <w:caps w:val="false"/>
          <w:smallCaps w:val="false"/>
          <w:sz w:val="20"/>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publicly disclose such information in a report filed with the Commission. The Company understands and confirms that each Purchaser shall be relying on the foregoing covenant in effecting transactions in securities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4.7 </w:t>
      </w:r>
      <w:r>
        <w:rPr>
          <w:rFonts w:ascii="Arial;Helvetica;Sans-Serif" w:hAnsi="Arial;Helvetica;Sans-Serif"/>
          <w:b w:val="false"/>
          <w:i w:val="false"/>
          <w:caps w:val="false"/>
          <w:smallCaps w:val="false"/>
          <w:sz w:val="20"/>
          <w:u w:val="single"/>
        </w:rPr>
        <w:t>Use of Proceeds</w:t>
      </w:r>
      <w:r>
        <w:rPr>
          <w:rFonts w:ascii="Arial;Helvetica;Sans-Serif" w:hAnsi="Arial;Helvetica;Sans-Serif"/>
          <w:b w:val="false"/>
          <w:i w:val="false"/>
          <w:caps w:val="false"/>
          <w:smallCaps w:val="false"/>
          <w:sz w:val="20"/>
        </w:rPr>
        <w:t>.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4.8 </w:t>
      </w:r>
      <w:r>
        <w:rPr>
          <w:rFonts w:ascii="Arial;Helvetica;Sans-Serif" w:hAnsi="Arial;Helvetica;Sans-Serif"/>
          <w:b w:val="false"/>
          <w:i w:val="false"/>
          <w:caps w:val="false"/>
          <w:smallCaps w:val="false"/>
          <w:sz w:val="20"/>
          <w:u w:val="single"/>
        </w:rPr>
        <w:t>Indemnification</w:t>
      </w:r>
      <w:r>
        <w:rPr>
          <w:rFonts w:ascii="Arial;Helvetica;Sans-Serif" w:hAnsi="Arial;Helvetica;San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 </w:t>
      </w:r>
      <w:r>
        <w:rPr>
          <w:rFonts w:ascii="Arial;Helvetica;Sans-Serif" w:hAnsi="Arial;Helvetica;Sans-Serif"/>
          <w:b w:val="false"/>
          <w:i w:val="false"/>
          <w:caps w:val="false"/>
          <w:smallCaps w:val="false"/>
          <w:sz w:val="20"/>
          <w:u w:val="single"/>
        </w:rPr>
        <w:t>Indemnification of Purchasers</w:t>
      </w:r>
      <w:r>
        <w:rPr>
          <w:rFonts w:ascii="Arial;Helvetica;Sans-Serif" w:hAnsi="Arial;Helvetica;Sans-Serif"/>
          <w:b w:val="false"/>
          <w:i w:val="false"/>
          <w:caps w:val="false"/>
          <w:smallCaps w:val="false"/>
          <w:sz w:val="20"/>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Arial;Helvetica;Sans-Serif" w:hAnsi="Arial;Helvetica;Sans-Serif"/>
          <w:b w:val="false"/>
          <w:i w:val="false"/>
          <w:caps w:val="false"/>
          <w:smallCaps w:val="false"/>
          <w:sz w:val="20"/>
          <w:u w:val="single"/>
        </w:rPr>
        <w:t>Purchaser Party</w:t>
      </w:r>
      <w:r>
        <w:rPr>
          <w:rFonts w:ascii="Arial;Helvetica;Sans-Serif" w:hAnsi="Arial;Helvetica;Sans-Serif"/>
          <w:b w:val="false"/>
          <w:i w:val="false"/>
          <w:caps w:val="false"/>
          <w:smallCaps w:val="false"/>
          <w:sz w:val="20"/>
        </w:rPr>
        <w:t>”) harmless from any and all losses, liabilities, obligations, claims, contingencies, damages, costs and expenses, including all judgments, amounts paid in settlements, court costs and reasonable and documented attorneys’ fees and costs of investigation that any such Purchaser Party may suffer or incur as a result of or relating to (i) any material breach of any of the representations, warranties, covenants or agreements made by the Company in this Agreement or in the other Transaction Documents or (ii)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arises primarily out of or is based solely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(b) </w:t>
      </w:r>
      <w:r>
        <w:rPr>
          <w:rFonts w:ascii="Arial;Helvetica;Sans-Serif" w:hAnsi="Arial;Helvetica;Sans-Serif"/>
          <w:b w:val="false"/>
          <w:i w:val="false"/>
          <w:caps w:val="false"/>
          <w:smallCaps w:val="false"/>
          <w:sz w:val="20"/>
          <w:u w:val="single"/>
        </w:rPr>
        <w:t>Procedure</w:t>
      </w:r>
      <w:r>
        <w:rPr>
          <w:rFonts w:ascii="Arial;Helvetica;Sans-Serif" w:hAnsi="Arial;Helvetica;Sans-Serif"/>
          <w:b w:val="false"/>
          <w:i w:val="false"/>
          <w:caps w:val="false"/>
          <w:smallCaps w:val="false"/>
          <w:sz w:val="20"/>
        </w:rPr>
        <w: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affected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following written demand,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 </w:t>
      </w:r>
      <w:r>
        <w:rPr>
          <w:rFonts w:ascii="Arial;Helvetica;Sans-Serif" w:hAnsi="Arial;Helvetica;Sans-Serif"/>
          <w:b w:val="false"/>
          <w:i w:val="false"/>
          <w:caps w:val="false"/>
          <w:smallCaps w:val="false"/>
          <w:sz w:val="20"/>
          <w:u w:val="single"/>
        </w:rPr>
        <w:t>Settlement Control</w:t>
      </w:r>
      <w:r>
        <w:rPr>
          <w:rFonts w:ascii="Arial;Helvetica;Sans-Serif" w:hAnsi="Arial;Helvetica;Sans-Serif"/>
          <w:b w:val="false"/>
          <w:i w:val="false"/>
          <w:caps w:val="false"/>
          <w:smallCaps w:val="false"/>
          <w:sz w:val="20"/>
        </w:rPr>
        <w:t>. The Company will not be liable to any Purchaser Party under this Agreement (i) for any settlement by a Purchaser Party effected without the Company’s prior written consent, which shall not be unreasonably withheld or delayed; or (ii) to the extent, but only to the extent that a loss, claim, damage or liability is attributable to any Purchaser Party’s breach of any of the representations, warranties, covenants or agreements made by such Purchaser Party in this Agreement or the other Transaction Documents or any conduct by a Purchaser Party which is finally judicially determined to constitute fraud, gross negligence or willful misconduct. The indemnification required by this Section 4.8 shall be made by periodic payments of the amount thereof during the course of the investigation or defense, as and when bills are received or are incurred.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 </w:t>
      </w:r>
      <w:r>
        <w:rPr>
          <w:rFonts w:ascii="Arial;Helvetica;Sans-Serif" w:hAnsi="Arial;Helvetica;Sans-Serif"/>
          <w:b w:val="false"/>
          <w:i w:val="false"/>
          <w:caps w:val="false"/>
          <w:smallCaps w:val="false"/>
          <w:sz w:val="20"/>
          <w:u w:val="single"/>
        </w:rPr>
        <w:t>Non-Exclusive</w:t>
      </w:r>
      <w:r>
        <w:rPr>
          <w:rFonts w:ascii="Arial;Helvetica;Sans-Serif" w:hAnsi="Arial;Helvetica;Sans-Serif"/>
          <w:b w:val="false"/>
          <w:i w:val="false"/>
          <w:caps w:val="false"/>
          <w:smallCaps w:val="false"/>
          <w:sz w:val="20"/>
        </w:rPr>
        <w:t>.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4.9 </w:t>
      </w:r>
      <w:r>
        <w:rPr>
          <w:rFonts w:ascii="Arial;Helvetica;Sans-Serif" w:hAnsi="Arial;Helvetica;Sans-Serif"/>
          <w:b w:val="false"/>
          <w:i w:val="false"/>
          <w:caps w:val="false"/>
          <w:smallCaps w:val="false"/>
          <w:sz w:val="20"/>
          <w:u w:val="single"/>
        </w:rPr>
        <w:t>Reservation of Common Stock</w:t>
      </w:r>
      <w:r>
        <w:rPr>
          <w:rFonts w:ascii="Arial;Helvetica;Sans-Serif" w:hAnsi="Arial;Helvetica;Sans-Serif"/>
          <w:b w:val="false"/>
          <w:i w:val="false"/>
          <w:caps w:val="false"/>
          <w:smallCaps w:val="false"/>
          <w:sz w:val="20"/>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4.10 </w:t>
      </w:r>
      <w:r>
        <w:rPr>
          <w:rFonts w:ascii="Arial;Helvetica;Sans-Serif" w:hAnsi="Arial;Helvetica;Sans-Serif"/>
          <w:b w:val="false"/>
          <w:i w:val="false"/>
          <w:caps w:val="false"/>
          <w:smallCaps w:val="false"/>
          <w:sz w:val="20"/>
          <w:u w:val="single"/>
        </w:rPr>
        <w:t>Listing of Common Stock</w:t>
      </w:r>
      <w:r>
        <w:rPr>
          <w:rFonts w:ascii="Arial;Helvetica;Sans-Serif" w:hAnsi="Arial;Helvetica;Sans-Serif"/>
          <w:b w:val="false"/>
          <w:i w:val="false"/>
          <w:caps w:val="false"/>
          <w:smallCaps w:val="false"/>
          <w:sz w:val="20"/>
        </w:rPr>
        <w:t>. The Company hereby agrees to use commercially reasonable efforts to maintain the listing or quotation of the Common Stock on the Trading Market on which it is currently listed, and concurrently with the Closing, the Company shall apply to list or quote all of the Shares and Warrant Shares on such Trading Market and use commercially reasonable efforts to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4.11 </w:t>
      </w:r>
      <w:r>
        <w:rPr>
          <w:rFonts w:ascii="Arial;Helvetica;Sans-Serif" w:hAnsi="Arial;Helvetica;Sans-Serif"/>
          <w:b w:val="false"/>
          <w:i w:val="false"/>
          <w:caps w:val="false"/>
          <w:smallCaps w:val="false"/>
          <w:sz w:val="20"/>
          <w:u w:val="single"/>
        </w:rPr>
        <w:t>Subsequent Equity Sales</w:t>
      </w:r>
      <w:r>
        <w:rPr>
          <w:rFonts w:ascii="Arial;Helvetica;Sans-Serif" w:hAnsi="Arial;Helvetica;San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From the date hereof until 60 days after the Closing Date (the “</w:t>
      </w:r>
      <w:r>
        <w:rPr>
          <w:rFonts w:ascii="Arial;Helvetica;Sans-Serif" w:hAnsi="Arial;Helvetica;Sans-Serif"/>
          <w:b w:val="false"/>
          <w:i w:val="false"/>
          <w:caps w:val="false"/>
          <w:smallCaps w:val="false"/>
          <w:sz w:val="20"/>
          <w:u w:val="single"/>
        </w:rPr>
        <w:t>Company Lock-Up Period</w:t>
      </w:r>
      <w:r>
        <w:rPr>
          <w:rFonts w:ascii="Arial;Helvetica;Sans-Serif" w:hAnsi="Arial;Helvetica;Sans-Serif"/>
          <w:b w:val="false"/>
          <w:i w:val="false"/>
          <w:caps w:val="false"/>
          <w:smallCaps w:val="false"/>
          <w:sz w:val="20"/>
        </w:rPr>
        <w:t>”), neither the Company nor any Subsidiary shall (i) issue, enter into any agreement to issue or announce the issuance or proposed issuance of any shares of Common Stock or Common Stock Equivalents or (ii) file any registration statement or any amendment or supplement thereto, other than (a) the Prospectus Supplement, (b) as contemplated pursuant to Section 4.17 herein, or (c) a registration statement on Form S-8 in connection with any employee benefit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 From the date hereof until 180 days following the Closing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Arial;Helvetica;Sans-Serif" w:hAnsi="Arial;Helvetica;Sans-Serif"/>
          <w:b w:val="false"/>
          <w:i w:val="false"/>
          <w:caps w:val="false"/>
          <w:smallCaps w:val="false"/>
          <w:sz w:val="20"/>
          <w:u w:val="single"/>
        </w:rPr>
        <w:t>Variable Rate Transaction</w:t>
      </w:r>
      <w:r>
        <w:rPr>
          <w:rFonts w:ascii="Arial;Helvetica;Sans-Serif" w:hAnsi="Arial;Helvetica;Sans-Serif"/>
          <w:b w:val="false"/>
          <w:i w:val="false"/>
          <w:caps w:val="false"/>
          <w:smallCaps w:val="false"/>
          <w:sz w:val="20"/>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provided, however, that, from and after 60 days after the Closing Date, the issuance of shares of Common Stock under the Company’s existing sales agreement with Stifel Nicolaus &amp; Company, Incorporated (or the entry into any successor agreement for an “at the market” offering and the issuance of shares thereunder) shall not be deemed a Variable Rate Transaction and from and after 120 days after the Closing Date, the issuance of Common Stock under the Company’s purchase agreement with Lincoln Park Capital Fund, LLC (or the entry into any successor agreement for a similar equity line arrangement and the issuance of shares thereunder) shall not be deemed a Variable Rate Transaction. Any Placement Agent shall be entitled to obtain injunctive relief against the Company to preclude any such issuance, which remedy shall be in addition to any right to collect damages.</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 Notwithstanding the foregoing, this Section 4.11 shall not apply in respect of (i) any Exempt Issuance, except that no Variable Rate Transaction shall be an Exempt Issuance or (ii) the filing of any amendment or supplement to any existing registration statement solely for the purpose of revising any required disclosure in such registration statement and not for the purpose of increasing the offering size pursuant to any such registration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4.12 </w:t>
      </w:r>
      <w:r>
        <w:rPr>
          <w:rFonts w:ascii="Arial;Helvetica;Sans-Serif" w:hAnsi="Arial;Helvetica;Sans-Serif"/>
          <w:b w:val="false"/>
          <w:i w:val="false"/>
          <w:caps w:val="false"/>
          <w:smallCaps w:val="false"/>
          <w:sz w:val="20"/>
          <w:u w:val="single"/>
        </w:rPr>
        <w:t>Equal Treatment of Purchasers</w:t>
      </w:r>
      <w:r>
        <w:rPr>
          <w:rFonts w:ascii="Arial;Helvetica;Sans-Serif" w:hAnsi="Arial;Helvetica;Sans-Serif"/>
          <w:b w:val="false"/>
          <w:i w:val="false"/>
          <w:caps w:val="false"/>
          <w:smallCaps w:val="false"/>
          <w:sz w:val="20"/>
        </w:rPr>
        <w:t>.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4.13 </w:t>
      </w:r>
      <w:r>
        <w:rPr>
          <w:rFonts w:ascii="Arial;Helvetica;Sans-Serif" w:hAnsi="Arial;Helvetica;Sans-Serif"/>
          <w:b w:val="false"/>
          <w:i w:val="false"/>
          <w:caps w:val="false"/>
          <w:smallCaps w:val="false"/>
          <w:sz w:val="20"/>
          <w:u w:val="single"/>
        </w:rPr>
        <w:t>Certain Transactions and Confidentiality</w:t>
      </w:r>
      <w:r>
        <w:rPr>
          <w:rFonts w:ascii="Arial;Helvetica;Sans-Serif" w:hAnsi="Arial;Helvetica;Sans-Serif"/>
          <w:b w:val="false"/>
          <w:i w:val="false"/>
          <w:caps w:val="false"/>
          <w:smallCaps w:val="false"/>
          <w:sz w:val="20"/>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the transactions contemplated hereby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4.14 </w:t>
      </w:r>
      <w:r>
        <w:rPr>
          <w:rFonts w:ascii="Arial;Helvetica;Sans-Serif" w:hAnsi="Arial;Helvetica;Sans-Serif"/>
          <w:b w:val="false"/>
          <w:i w:val="false"/>
          <w:caps w:val="false"/>
          <w:smallCaps w:val="false"/>
          <w:sz w:val="20"/>
          <w:u w:val="single"/>
        </w:rPr>
        <w:t>Capital Changes</w:t>
      </w:r>
      <w:r>
        <w:rPr>
          <w:rFonts w:ascii="Arial;Helvetica;Sans-Serif" w:hAnsi="Arial;Helvetica;Sans-Serif"/>
          <w:b w:val="false"/>
          <w:i w:val="false"/>
          <w:caps w:val="false"/>
          <w:smallCaps w:val="false"/>
          <w:sz w:val="20"/>
        </w:rPr>
        <w:t>. Until ninety (90) days following the Closing Date, the Company shall not effect a reverse or forward stock split or reclassification of the Common Stock without the prior written consent of the Purchasers holding a majority in interest of the Shares and Pre-Funded Warrants at the time such consent is given, other than a reverse stock split that is required, in the good faith determination of the Board of Directors, to maintain the listing of the Common Stock on the Trading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4.15 </w:t>
      </w:r>
      <w:r>
        <w:rPr>
          <w:rFonts w:ascii="Arial;Helvetica;Sans-Serif" w:hAnsi="Arial;Helvetica;Sans-Serif"/>
          <w:b w:val="false"/>
          <w:i w:val="false"/>
          <w:caps w:val="false"/>
          <w:smallCaps w:val="false"/>
          <w:sz w:val="20"/>
          <w:u w:val="single"/>
        </w:rPr>
        <w:t>Exercise Procedures</w:t>
      </w:r>
      <w:r>
        <w:rPr>
          <w:rFonts w:ascii="Arial;Helvetica;Sans-Serif" w:hAnsi="Arial;Helvetica;Sans-Serif"/>
          <w:b w:val="false"/>
          <w:i w:val="false"/>
          <w:caps w:val="false"/>
          <w:smallCaps w:val="false"/>
          <w:sz w:val="20"/>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4.16 </w:t>
      </w:r>
      <w:r>
        <w:rPr>
          <w:rFonts w:ascii="Arial;Helvetica;Sans-Serif" w:hAnsi="Arial;Helvetica;Sans-Serif"/>
          <w:b w:val="false"/>
          <w:i w:val="false"/>
          <w:caps w:val="false"/>
          <w:smallCaps w:val="false"/>
          <w:sz w:val="20"/>
          <w:u w:val="single"/>
        </w:rPr>
        <w:t>Form D; Blue Sky Filings</w:t>
      </w:r>
      <w:r>
        <w:rPr>
          <w:rFonts w:ascii="Arial;Helvetica;Sans-Serif" w:hAnsi="Arial;Helvetica;Sans-Serif"/>
          <w:b w:val="false"/>
          <w:i w:val="false"/>
          <w:caps w:val="false"/>
          <w:smallCaps w:val="false"/>
          <w:sz w:val="20"/>
        </w:rPr>
        <w:t>. The Company agrees to timely file a Form D with respect to the Common Warrants and Common Warrant Shares as required under Regulation D and to provide a copy thereof, promptly upon request of any Purchaser. The Company shall take such action as the Company shall reasonably determine is necessary in order to obtain an exemption for, or to qualify the Common Warrants and Common Warrant Shares for, sale to the Purchasers at the Closing under applicable securities or “Blue Sky” laws of the states of the United States, and shall provide evidence of such actions promptly upon request of any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4.17 </w:t>
      </w:r>
      <w:r>
        <w:rPr>
          <w:rFonts w:ascii="Arial;Helvetica;Sans-Serif" w:hAnsi="Arial;Helvetica;Sans-Serif"/>
          <w:b w:val="false"/>
          <w:i w:val="false"/>
          <w:caps w:val="false"/>
          <w:smallCaps w:val="false"/>
          <w:sz w:val="20"/>
          <w:u w:val="single"/>
        </w:rPr>
        <w:t>Registration Statement</w:t>
      </w:r>
      <w:r>
        <w:rPr>
          <w:rFonts w:ascii="Arial;Helvetica;Sans-Serif" w:hAnsi="Arial;Helvetica;Sans-Serif"/>
          <w:b w:val="false"/>
          <w:i w:val="false"/>
          <w:caps w:val="false"/>
          <w:smallCaps w:val="false"/>
          <w:sz w:val="20"/>
        </w:rPr>
        <w:t>. As soon as practicable (and in any event within thirty (30) calendar days of the date of this Agreement), the Company shall file a registration statement on Form S-1 (or other appropriate form if the Company is not then S-1 eligible) providing for the resale by the Purchasers of the Common Warrant Shares issued and issuable upon exercise of the Common Warrants. The Company shall use commercially reasonable efforts to cause such registration statement to become effective within sixty (60) calendar days (or ninety (90) calendar days in the event the Commission gives a “full review”) following the Closing Date and to keep such registration statement effective at all times until the earlier of (i) the date all Common Warrant Shares have been sold pursuant to the registration statement or Rule 144 and (ii) the date all Common Warrant Shares are eligible for sale under Rule 144 without volume or manner-of-sale restrictions.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4.18 </w:t>
      </w:r>
      <w:r>
        <w:rPr>
          <w:rFonts w:ascii="Arial;Helvetica;Sans-Serif" w:hAnsi="Arial;Helvetica;Sans-Serif"/>
          <w:b w:val="false"/>
          <w:i w:val="false"/>
          <w:caps w:val="false"/>
          <w:smallCaps w:val="false"/>
          <w:sz w:val="20"/>
          <w:u w:val="single"/>
        </w:rPr>
        <w:t>Lock-Up Agreements</w:t>
      </w:r>
      <w:r>
        <w:rPr>
          <w:rFonts w:ascii="Arial;Helvetica;Sans-Serif" w:hAnsi="Arial;Helvetica;Sans-Serif"/>
          <w:b w:val="false"/>
          <w:i w:val="false"/>
          <w:caps w:val="false"/>
          <w:smallCaps w:val="false"/>
          <w:sz w:val="20"/>
        </w:rPr>
        <w:t>.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4.19 </w:t>
      </w:r>
      <w:r>
        <w:rPr>
          <w:rFonts w:ascii="Arial;Helvetica;Sans-Serif" w:hAnsi="Arial;Helvetica;Sans-Serif"/>
          <w:b w:val="false"/>
          <w:i w:val="false"/>
          <w:caps w:val="false"/>
          <w:smallCaps w:val="false"/>
          <w:sz w:val="20"/>
          <w:u w:val="single"/>
        </w:rPr>
        <w:t>Shareholder Approval.</w:t>
      </w:r>
      <w:r>
        <w:rPr>
          <w:rFonts w:ascii="Arial;Helvetica;Sans-Serif" w:hAnsi="Arial;Helvetica;Sans-Serif"/>
          <w:b w:val="false"/>
          <w:i w:val="false"/>
          <w:caps w:val="false"/>
          <w:smallCaps w:val="false"/>
          <w:sz w:val="20"/>
        </w:rPr>
        <w:t xml:space="preserve"> In addition, the Company shall hold an annual or special meeting of stockholders on or prior to the date that is ninety (90) days following the Closing Date for the purpose of obtaining Shareholder Approval, with the recommendation of the Board of Directors that such proposals are approved, and the Company shall solicit proxies from its stockholders in connection therewith in the same manner as all other management proposals in such proxy statement and all management appointed proxyholders shall vote their proxies in favor of such proposals. If the Company does not obtain Shareholder Approval at the first meeting, the Company shall call a meeting every sixty (60) days thereafter to seek Shareholder Approval until the earlier of the date on which Shareholder Approval is obtained or the Common Warrants are no longer outstanding.</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ARTICLE V.</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5.1 </w:t>
      </w:r>
      <w:r>
        <w:rPr>
          <w:rFonts w:ascii="Arial;Helvetica;Sans-Serif" w:hAnsi="Arial;Helvetica;Sans-Serif"/>
          <w:b w:val="false"/>
          <w:i w:val="false"/>
          <w:caps w:val="false"/>
          <w:smallCaps w:val="false"/>
          <w:sz w:val="20"/>
          <w:u w:val="single"/>
        </w:rPr>
        <w:t>Termination</w:t>
      </w:r>
      <w:r>
        <w:rPr>
          <w:rFonts w:ascii="Arial;Helvetica;Sans-Serif" w:hAnsi="Arial;Helvetica;Sans-Serif"/>
          <w:b w:val="false"/>
          <w:i w:val="false"/>
          <w:caps w:val="false"/>
          <w:smallCaps w:val="false"/>
          <w:sz w:val="20"/>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Arial;Helvetica;Sans-Serif" w:hAnsi="Arial;Helvetica;Sans-Serif"/>
          <w:b w:val="false"/>
          <w:i w:val="false"/>
          <w:caps w:val="false"/>
          <w:smallCaps w:val="false"/>
          <w:position w:val="7"/>
          <w:sz w:val="16"/>
          <w:sz w:val="20"/>
        </w:rPr>
        <w:t>th</w:t>
      </w:r>
      <w:r>
        <w:rPr>
          <w:rFonts w:ascii="Arial;Helvetica;Sans-Serif" w:hAnsi="Arial;Helvetica;Sans-Serif"/>
          <w:b w:val="false"/>
          <w:i w:val="false"/>
          <w:caps w:val="false"/>
          <w:smallCaps w:val="false"/>
          <w:sz w:val="20"/>
        </w:rPr>
        <w:t>) Trading Day following the date hereof; provided, however, that no such termination will affect the right of any party to sue for any breach by any other party (or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5.2 </w:t>
      </w:r>
      <w:r>
        <w:rPr>
          <w:rFonts w:ascii="Arial;Helvetica;Sans-Serif" w:hAnsi="Arial;Helvetica;Sans-Serif"/>
          <w:b w:val="false"/>
          <w:i w:val="false"/>
          <w:caps w:val="false"/>
          <w:smallCaps w:val="false"/>
          <w:sz w:val="20"/>
          <w:u w:val="single"/>
        </w:rPr>
        <w:t>Fees and Expenses</w:t>
      </w:r>
      <w:r>
        <w:rPr>
          <w:rFonts w:ascii="Arial;Helvetica;Sans-Serif" w:hAnsi="Arial;Helvetica;Sans-Serif"/>
          <w:b w:val="false"/>
          <w:i w:val="false"/>
          <w:caps w:val="false"/>
          <w:smallCaps w:val="false"/>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5.3 </w:t>
      </w:r>
      <w:r>
        <w:rPr>
          <w:rFonts w:ascii="Arial;Helvetica;Sans-Serif" w:hAnsi="Arial;Helvetica;Sans-Serif"/>
          <w:b w:val="false"/>
          <w:i w:val="false"/>
          <w:caps w:val="false"/>
          <w:smallCaps w:val="false"/>
          <w:sz w:val="20"/>
          <w:u w:val="single"/>
        </w:rPr>
        <w:t>Entire Agreement</w:t>
      </w:r>
      <w:r>
        <w:rPr>
          <w:rFonts w:ascii="Arial;Helvetica;Sans-Serif" w:hAnsi="Arial;Helvetica;Sans-Serif"/>
          <w:b w:val="false"/>
          <w:i w:val="false"/>
          <w:caps w:val="false"/>
          <w:smallCaps w:val="false"/>
          <w:sz w:val="20"/>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5.4 </w:t>
      </w:r>
      <w:r>
        <w:rPr>
          <w:rFonts w:ascii="Arial;Helvetica;Sans-Serif" w:hAnsi="Arial;Helvetica;Sans-Serif"/>
          <w:b w:val="false"/>
          <w:i w:val="false"/>
          <w:caps w:val="false"/>
          <w:smallCaps w:val="false"/>
          <w:sz w:val="20"/>
          <w:u w:val="single"/>
        </w:rPr>
        <w:t>Notices</w:t>
      </w:r>
      <w:r>
        <w:rPr>
          <w:rFonts w:ascii="Arial;Helvetica;Sans-Serif" w:hAnsi="Arial;Helvetica;Sans-Serif"/>
          <w:b w:val="false"/>
          <w:i w:val="false"/>
          <w:caps w:val="false"/>
          <w:smallCaps w:val="false"/>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email to the email address set forth on the signature pages attached hereto at or prior to 5:30 p.m. (New York City time) on a Trading Day, (b) the next Trading Day after the time of transmission, if such notice or communication is delivered via email to the email address set forth on the signature pages attached hereto on a day that is not a Trading Day or later than 5:30 p.m. (New York City time) on any Trading Day, (c) the second (2</w:t>
      </w:r>
      <w:r>
        <w:rPr>
          <w:rFonts w:ascii="Arial;Helvetica;Sans-Serif" w:hAnsi="Arial;Helvetica;Sans-Serif"/>
          <w:b w:val="false"/>
          <w:i w:val="false"/>
          <w:caps w:val="false"/>
          <w:smallCaps w:val="false"/>
          <w:position w:val="7"/>
          <w:sz w:val="16"/>
          <w:sz w:val="20"/>
        </w:rPr>
        <w:t>nd</w:t>
      </w:r>
      <w:r>
        <w:rPr>
          <w:rFonts w:ascii="Arial;Helvetica;Sans-Serif" w:hAnsi="Arial;Helvetica;Sans-Serif"/>
          <w:b w:val="false"/>
          <w:i w:val="false"/>
          <w:caps w:val="false"/>
          <w:smallCaps w:val="false"/>
          <w:sz w:val="20"/>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5.5 </w:t>
      </w:r>
      <w:r>
        <w:rPr>
          <w:rFonts w:ascii="Arial;Helvetica;Sans-Serif" w:hAnsi="Arial;Helvetica;Sans-Serif"/>
          <w:b w:val="false"/>
          <w:i w:val="false"/>
          <w:caps w:val="false"/>
          <w:smallCaps w:val="false"/>
          <w:sz w:val="20"/>
          <w:u w:val="single"/>
        </w:rPr>
        <w:t>Amendments; Waivers</w:t>
      </w:r>
      <w:r>
        <w:rPr>
          <w:rFonts w:ascii="Arial;Helvetica;Sans-Serif" w:hAnsi="Arial;Helvetica;Sans-Serif"/>
          <w:b w:val="false"/>
          <w:i w:val="false"/>
          <w:caps w:val="false"/>
          <w:smallCaps w:val="false"/>
          <w:sz w:val="20"/>
        </w:rPr>
        <w:t>. No provision of this Agreement may be waived, modified, supplemented or amended except in a written instrument signed, in the case of an amendment, modification or supplement, by (a) the Company, on the one hand, and (b) Purchasers which purchased at least 50.1% in interest of the Shares and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multiple Purchasers), the consent of such disproportionately impacted Purchaser (or at least 50.1% in interest of such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5.6 </w:t>
      </w:r>
      <w:r>
        <w:rPr>
          <w:rFonts w:ascii="Arial;Helvetica;Sans-Serif" w:hAnsi="Arial;Helvetica;Sans-Serif"/>
          <w:b w:val="false"/>
          <w:i w:val="false"/>
          <w:caps w:val="false"/>
          <w:smallCaps w:val="false"/>
          <w:sz w:val="20"/>
          <w:u w:val="single"/>
        </w:rPr>
        <w:t>Headings</w:t>
      </w:r>
      <w:r>
        <w:rPr>
          <w:rFonts w:ascii="Arial;Helvetica;Sans-Serif" w:hAnsi="Arial;Helvetica;San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5.7 </w:t>
      </w:r>
      <w:r>
        <w:rPr>
          <w:rFonts w:ascii="Arial;Helvetica;Sans-Serif" w:hAnsi="Arial;Helvetica;Sans-Serif"/>
          <w:b w:val="false"/>
          <w:i w:val="false"/>
          <w:caps w:val="false"/>
          <w:smallCaps w:val="false"/>
          <w:sz w:val="20"/>
          <w:u w:val="single"/>
        </w:rPr>
        <w:t>Successors and Assigns</w:t>
      </w:r>
      <w:r>
        <w:rPr>
          <w:rFonts w:ascii="Arial;Helvetica;Sans-Serif" w:hAnsi="Arial;Helvetica;Sans-Serif"/>
          <w:b w:val="false"/>
          <w:i w:val="false"/>
          <w:caps w:val="false"/>
          <w:smallCaps w:val="false"/>
          <w:sz w:val="20"/>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5.8 </w:t>
      </w:r>
      <w:r>
        <w:rPr>
          <w:rFonts w:ascii="Arial;Helvetica;Sans-Serif" w:hAnsi="Arial;Helvetica;Sans-Serif"/>
          <w:b w:val="false"/>
          <w:i w:val="false"/>
          <w:caps w:val="false"/>
          <w:smallCaps w:val="false"/>
          <w:sz w:val="20"/>
          <w:u w:val="single"/>
        </w:rPr>
        <w:t>No Third-Party Beneficiaries</w:t>
      </w:r>
      <w:r>
        <w:rPr>
          <w:rFonts w:ascii="Arial;Helvetica;Sans-Serif" w:hAnsi="Arial;Helvetica;Sans-Serif"/>
          <w:b w:val="false"/>
          <w:i w:val="false"/>
          <w:caps w:val="false"/>
          <w:smallCaps w:val="false"/>
          <w:sz w:val="20"/>
        </w:rPr>
        <w:t>. The Placement Agent shall be the third-party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5.9 </w:t>
      </w:r>
      <w:r>
        <w:rPr>
          <w:rFonts w:ascii="Arial;Helvetica;Sans-Serif" w:hAnsi="Arial;Helvetica;Sans-Serif"/>
          <w:b w:val="false"/>
          <w:i w:val="false"/>
          <w:caps w:val="false"/>
          <w:smallCaps w:val="false"/>
          <w:sz w:val="20"/>
          <w:u w:val="single"/>
        </w:rPr>
        <w:t>Governing Law</w:t>
      </w:r>
      <w:r>
        <w:rPr>
          <w:rFonts w:ascii="Arial;Helvetica;Sans-Serif" w:hAnsi="Arial;Helvetica;Sans-Serif"/>
          <w:b w:val="false"/>
          <w:i w:val="false"/>
          <w:caps w:val="false"/>
          <w:smallCaps w:val="false"/>
          <w:sz w:val="20"/>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5.10 </w:t>
      </w:r>
      <w:r>
        <w:rPr>
          <w:rFonts w:ascii="Arial;Helvetica;Sans-Serif" w:hAnsi="Arial;Helvetica;Sans-Serif"/>
          <w:b w:val="false"/>
          <w:i w:val="false"/>
          <w:caps w:val="false"/>
          <w:smallCaps w:val="false"/>
          <w:sz w:val="20"/>
          <w:u w:val="single"/>
        </w:rPr>
        <w:t>Survival</w:t>
      </w:r>
      <w:r>
        <w:rPr>
          <w:rFonts w:ascii="Arial;Helvetica;Sans-Serif" w:hAnsi="Arial;Helvetica;Sans-Serif"/>
          <w:b w:val="false"/>
          <w:i w:val="false"/>
          <w:caps w:val="false"/>
          <w:smallCaps w:val="false"/>
          <w:sz w:val="20"/>
        </w:rPr>
        <w:t>. The representations and warranties contained herein shall survive the Closing and the delivery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5.11 </w:t>
      </w:r>
      <w:r>
        <w:rPr>
          <w:rFonts w:ascii="Arial;Helvetica;Sans-Serif" w:hAnsi="Arial;Helvetica;Sans-Serif"/>
          <w:b w:val="false"/>
          <w:i w:val="false"/>
          <w:caps w:val="false"/>
          <w:smallCaps w:val="false"/>
          <w:sz w:val="20"/>
          <w:u w:val="single"/>
        </w:rPr>
        <w:t>Execution</w:t>
      </w:r>
      <w:r>
        <w:rPr>
          <w:rFonts w:ascii="Arial;Helvetica;Sans-Serif" w:hAnsi="Arial;Helvetica;San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(including any electronic signature covered by the U.S. federal ESIGN Act of 2000, Uniform Electronic Transactions Act, the Electronic Signatures and Records Act or other applicable law, e.g., www.docusign.com) or other transmission method, such signature shall be deemed to have been duly and validly delivered and shall create a valid and binding obligation of the party executing (or on whose behalf such signature is executed) with the same force and effect as if such “.pdf” signature page were an original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5.12 </w:t>
      </w:r>
      <w:r>
        <w:rPr>
          <w:rFonts w:ascii="Arial;Helvetica;Sans-Serif" w:hAnsi="Arial;Helvetica;Sans-Serif"/>
          <w:b w:val="false"/>
          <w:i w:val="false"/>
          <w:caps w:val="false"/>
          <w:smallCaps w:val="false"/>
          <w:sz w:val="20"/>
          <w:u w:val="single"/>
        </w:rPr>
        <w:t>Severability</w:t>
      </w:r>
      <w:r>
        <w:rPr>
          <w:rFonts w:ascii="Arial;Helvetica;Sans-Serif" w:hAnsi="Arial;Helvetica;San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5.13 </w:t>
      </w:r>
      <w:r>
        <w:rPr>
          <w:rFonts w:ascii="Arial;Helvetica;Sans-Serif" w:hAnsi="Arial;Helvetica;Sans-Serif"/>
          <w:b w:val="false"/>
          <w:i w:val="false"/>
          <w:caps w:val="false"/>
          <w:smallCaps w:val="false"/>
          <w:sz w:val="20"/>
          <w:u w:val="single"/>
        </w:rPr>
        <w:t>Rescission and Withdrawal Right</w:t>
      </w:r>
      <w:r>
        <w:rPr>
          <w:rFonts w:ascii="Arial;Helvetica;Sans-Serif" w:hAnsi="Arial;Helvetica;Sans-Serif"/>
          <w:b w:val="false"/>
          <w:i w:val="false"/>
          <w:caps w:val="false"/>
          <w:smallCaps w:val="false"/>
          <w:sz w:val="20"/>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provided, however,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5.14 </w:t>
      </w:r>
      <w:r>
        <w:rPr>
          <w:rFonts w:ascii="Arial;Helvetica;Sans-Serif" w:hAnsi="Arial;Helvetica;Sans-Serif"/>
          <w:b w:val="false"/>
          <w:i w:val="false"/>
          <w:caps w:val="false"/>
          <w:smallCaps w:val="false"/>
          <w:sz w:val="20"/>
          <w:u w:val="single"/>
        </w:rPr>
        <w:t>Replacement of Securities</w:t>
      </w:r>
      <w:r>
        <w:rPr>
          <w:rFonts w:ascii="Arial;Helvetica;Sans-Serif" w:hAnsi="Arial;Helvetica;Sans-Serif"/>
          <w:b w:val="false"/>
          <w:i w:val="false"/>
          <w:caps w:val="false"/>
          <w:smallCaps w:val="false"/>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5.15 </w:t>
      </w:r>
      <w:r>
        <w:rPr>
          <w:rFonts w:ascii="Arial;Helvetica;Sans-Serif" w:hAnsi="Arial;Helvetica;Sans-Serif"/>
          <w:b w:val="false"/>
          <w:i w:val="false"/>
          <w:caps w:val="false"/>
          <w:smallCaps w:val="false"/>
          <w:sz w:val="20"/>
          <w:u w:val="single"/>
        </w:rPr>
        <w:t>Remedies</w:t>
      </w:r>
      <w:r>
        <w:rPr>
          <w:rFonts w:ascii="Arial;Helvetica;Sans-Serif" w:hAnsi="Arial;Helvetica;Sans-Serif"/>
          <w:b w:val="false"/>
          <w:i w:val="false"/>
          <w:caps w:val="false"/>
          <w:smallCaps w:val="false"/>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5.16 </w:t>
      </w:r>
      <w:r>
        <w:rPr>
          <w:rFonts w:ascii="Arial;Helvetica;Sans-Serif" w:hAnsi="Arial;Helvetica;Sans-Serif"/>
          <w:b w:val="false"/>
          <w:i w:val="false"/>
          <w:caps w:val="false"/>
          <w:smallCaps w:val="false"/>
          <w:sz w:val="20"/>
          <w:u w:val="single"/>
        </w:rPr>
        <w:t>Payment Set Aside</w:t>
      </w:r>
      <w:r>
        <w:rPr>
          <w:rFonts w:ascii="Arial;Helvetica;Sans-Serif" w:hAnsi="Arial;Helvetica;Sans-Serif"/>
          <w:b w:val="false"/>
          <w:i w:val="false"/>
          <w:caps w:val="false"/>
          <w:smallCaps w:val="false"/>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5.17 </w:t>
      </w:r>
      <w:r>
        <w:rPr>
          <w:rFonts w:ascii="Arial;Helvetica;Sans-Serif" w:hAnsi="Arial;Helvetica;Sans-Serif"/>
          <w:b w:val="false"/>
          <w:i w:val="false"/>
          <w:caps w:val="false"/>
          <w:smallCaps w:val="false"/>
          <w:sz w:val="20"/>
          <w:u w:val="single"/>
        </w:rPr>
        <w:t>Independent Nature of Purchasers’ Obligations and Rights</w:t>
      </w:r>
      <w:r>
        <w:rPr>
          <w:rFonts w:ascii="Arial;Helvetica;Sans-Serif" w:hAnsi="Arial;Helvetica;Sans-Serif"/>
          <w:b w:val="false"/>
          <w:i w:val="false"/>
          <w:caps w:val="false"/>
          <w:smallCaps w:val="false"/>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5.18 </w:t>
      </w:r>
      <w:r>
        <w:rPr>
          <w:rFonts w:ascii="Arial;Helvetica;Sans-Serif" w:hAnsi="Arial;Helvetica;Sans-Serif"/>
          <w:b w:val="false"/>
          <w:i w:val="false"/>
          <w:caps w:val="false"/>
          <w:smallCaps w:val="false"/>
          <w:sz w:val="20"/>
          <w:u w:val="single"/>
        </w:rPr>
        <w:t>Liquidated Damages</w:t>
      </w:r>
      <w:r>
        <w:rPr>
          <w:rFonts w:ascii="Arial;Helvetica;Sans-Serif" w:hAnsi="Arial;Helvetica;Sans-Serif"/>
          <w:b w:val="false"/>
          <w:i w:val="false"/>
          <w:caps w:val="false"/>
          <w:smallCaps w:val="false"/>
          <w:sz w:val="20"/>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5.19 </w:t>
      </w:r>
      <w:r>
        <w:rPr>
          <w:rFonts w:ascii="Arial;Helvetica;Sans-Serif" w:hAnsi="Arial;Helvetica;Sans-Serif"/>
          <w:b w:val="false"/>
          <w:i w:val="false"/>
          <w:caps w:val="false"/>
          <w:smallCaps w:val="false"/>
          <w:sz w:val="20"/>
          <w:u w:val="single"/>
        </w:rPr>
        <w:t>Saturdays, Sundays, Holidays, etc.</w:t>
      </w:r>
      <w:r>
        <w:rPr>
          <w:rFonts w:ascii="Arial;Helvetica;Sans-Serif" w:hAnsi="Arial;Helvetica;Sans-Serif"/>
          <w:b w:val="false"/>
          <w:i w:val="false"/>
          <w:caps w:val="false"/>
          <w:smallCaps w:val="false"/>
          <w:sz w:val="20"/>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5.20 </w:t>
      </w:r>
      <w:r>
        <w:rPr>
          <w:rFonts w:ascii="Arial;Helvetica;Sans-Serif" w:hAnsi="Arial;Helvetica;Sans-Serif"/>
          <w:b w:val="false"/>
          <w:i w:val="false"/>
          <w:caps w:val="false"/>
          <w:smallCaps w:val="false"/>
          <w:sz w:val="20"/>
          <w:u w:val="single"/>
        </w:rPr>
        <w:t>Construction</w:t>
      </w:r>
      <w:r>
        <w:rPr>
          <w:rFonts w:ascii="Arial;Helvetica;Sans-Serif" w:hAnsi="Arial;Helvetica;Sans-Serif"/>
          <w:b w:val="false"/>
          <w:i w:val="false"/>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5.21 </w:t>
      </w:r>
      <w:r>
        <w:rPr>
          <w:rFonts w:ascii="Arial;Helvetica;Sans-Serif" w:hAnsi="Arial;Helvetica;Sans-Serif"/>
          <w:b/>
          <w:i w:val="false"/>
          <w:caps w:val="false"/>
          <w:smallCaps w:val="false"/>
          <w:sz w:val="20"/>
          <w:u w:val="single"/>
        </w:rPr>
        <w:t>WAIVER OF JURY TRIAL</w:t>
      </w:r>
      <w:r>
        <w:rPr>
          <w:rFonts w:ascii="Arial;Helvetica;Sans-Serif" w:hAnsi="Arial;Helvetica;Sans-Serif"/>
          <w:b/>
          <w:i w:val="false"/>
          <w:caps w:val="false"/>
          <w:smallCaps w:val="false"/>
          <w:sz w:val="20"/>
        </w:rPr>
        <w:t xml:space="preserve">. </w:t>
      </w:r>
      <w:r>
        <w:rPr>
          <w:rFonts w:ascii="Arial;Helvetica;Sans-Serif" w:hAnsi="Arial;Helvetica;Sans-Serif"/>
          <w:b/>
          <w:i w:val="false"/>
          <w:caps w:val="false"/>
          <w:smallCaps w:val="false"/>
          <w:sz w:val="20"/>
          <w:u w:val="single"/>
        </w:rPr>
        <w:t>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(Signature Pages Follow)</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firstLine="720"/>
        <w:jc w:val="both"/>
        <w:rPr>
          <w:caps w:val="false"/>
          <w:smallCaps w:val="false"/>
        </w:rPr>
      </w:pPr>
      <w:r>
        <w:rPr>
          <w:caps w:val="false"/>
          <w:smallCaps w:val="false"/>
        </w:rPr>
        <w:t> </w:t>
      </w:r>
    </w:p>
    <w:tbl>
      <w:tblPr>
        <w:tblW w:w="6099" w:type="dxa"/>
        <w:jc w:val="left"/>
        <w:tblInd w:w="0" w:type="dxa"/>
        <w:tblLayout w:type="fixed"/>
        <w:tblCellMar>
          <w:top w:w="0" w:type="dxa"/>
          <w:left w:w="0" w:type="dxa"/>
          <w:bottom w:w="0" w:type="dxa"/>
          <w:right w:w="0" w:type="dxa"/>
        </w:tblCellMar>
      </w:tblPr>
      <w:tblGrid>
        <w:gridCol w:w="1552"/>
        <w:gridCol w:w="2772"/>
        <w:gridCol w:w="60"/>
        <w:gridCol w:w="1715"/>
      </w:tblGrid>
      <w:tr>
        <w:trPr/>
        <w:tc>
          <w:tcPr>
            <w:tcW w:w="4324" w:type="dxa"/>
            <w:gridSpan w:val="2"/>
            <w:tcBorders/>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DARÉ BIOSCIENCE, INC.</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rFonts w:ascii="Arial;Helvetica;Sans-Serif" w:hAnsi="Arial;Helvetica;Sans-Serif"/>
                <w:sz w:val="20"/>
                <w:u w:val="single"/>
              </w:rPr>
            </w:pPr>
            <w:r>
              <w:rPr>
                <w:rFonts w:ascii="Arial;Helvetica;Sans-Serif" w:hAnsi="Arial;Helvetica;Sans-Serif"/>
                <w:sz w:val="20"/>
                <w:u w:val="single"/>
              </w:rPr>
              <w:t>Address for Notice:</w:t>
            </w:r>
          </w:p>
        </w:tc>
      </w:tr>
      <w:tr>
        <w:trPr/>
        <w:tc>
          <w:tcPr>
            <w:tcW w:w="1552" w:type="dxa"/>
            <w:tcBorders/>
            <w:vAlign w:val="center"/>
          </w:tcPr>
          <w:p>
            <w:pPr>
              <w:pStyle w:val="TableContents"/>
              <w:bidi w:val="0"/>
              <w:spacing w:before="0" w:after="283"/>
              <w:jc w:val="left"/>
              <w:rPr/>
            </w:pPr>
            <w:r>
              <w:rPr/>
              <w:t> </w:t>
            </w:r>
          </w:p>
        </w:tc>
        <w:tc>
          <w:tcPr>
            <w:tcW w:w="27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 </w:t>
            </w:r>
          </w:p>
        </w:tc>
      </w:tr>
      <w:tr>
        <w:trPr/>
        <w:tc>
          <w:tcPr>
            <w:tcW w:w="155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By:</w:t>
            </w:r>
          </w:p>
        </w:tc>
        <w:tc>
          <w:tcPr>
            <w:tcW w:w="2772"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 </w:t>
            </w:r>
          </w:p>
        </w:tc>
      </w:tr>
      <w:tr>
        <w:trPr/>
        <w:tc>
          <w:tcPr>
            <w:tcW w:w="155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w:t>
            </w:r>
          </w:p>
        </w:tc>
        <w:tc>
          <w:tcPr>
            <w:tcW w:w="27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E-Mail:</w:t>
            </w:r>
          </w:p>
        </w:tc>
      </w:tr>
      <w:tr>
        <w:trPr/>
        <w:tc>
          <w:tcPr>
            <w:tcW w:w="155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Title:</w:t>
            </w:r>
          </w:p>
        </w:tc>
        <w:tc>
          <w:tcPr>
            <w:tcW w:w="27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 </w:t>
            </w:r>
          </w:p>
        </w:tc>
      </w:tr>
      <w:tr>
        <w:trPr/>
        <w:tc>
          <w:tcPr>
            <w:tcW w:w="1552" w:type="dxa"/>
            <w:tcBorders/>
            <w:vAlign w:val="center"/>
          </w:tcPr>
          <w:p>
            <w:pPr>
              <w:pStyle w:val="TableContents"/>
              <w:bidi w:val="0"/>
              <w:spacing w:before="0" w:after="283"/>
              <w:jc w:val="left"/>
              <w:rPr/>
            </w:pPr>
            <w:r>
              <w:rPr/>
              <w:t> </w:t>
            </w:r>
          </w:p>
        </w:tc>
        <w:tc>
          <w:tcPr>
            <w:tcW w:w="27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 </w:t>
            </w:r>
          </w:p>
        </w:tc>
      </w:tr>
      <w:tr>
        <w:trPr/>
        <w:tc>
          <w:tcPr>
            <w:tcW w:w="4324" w:type="dxa"/>
            <w:gridSpan w:val="2"/>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With a copy to (which shall not constitute notice):</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[REMAINDER OF PAGE INTENTIONALLY LEFT BLANK</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SIGNATURE PAGE FOR PURCHASER FOLLOWS]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[PURCHASER SIGNATURE PAGES TO </w:t>
      </w:r>
      <w:r>
        <w:rPr>
          <w:rFonts w:ascii="Arial;Helvetica;Sans-Serif" w:hAnsi="Arial;Helvetica;Sans-Serif"/>
          <w:b w:val="false"/>
          <w:i w:val="false"/>
          <w:caps/>
          <w:sz w:val="20"/>
        </w:rPr>
        <w:t xml:space="preserve">DARE </w:t>
      </w:r>
      <w:r>
        <w:rPr>
          <w:rFonts w:ascii="Arial;Helvetica;Sans-Serif" w:hAnsi="Arial;Helvetica;Sans-Serif"/>
          <w:b w:val="false"/>
          <w:i w:val="false"/>
          <w:caps w:val="false"/>
          <w:smallCaps w:val="false"/>
          <w:sz w:val="20"/>
        </w:rPr>
        <w:t>SECURITIES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WITNESS WHEREOF, the undersigned have caused this Securities Purchase Agreement to be duly executed by their respective authorized signatories as of the date first indicated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of Purchaser: 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Signature of Authorized Signatory of Purchaser</w:t>
      </w:r>
      <w:r>
        <w:rPr>
          <w:rFonts w:ascii="Arial;Helvetica;Sans-Serif" w:hAnsi="Arial;Helvetica;Sans-Serif"/>
          <w:b w:val="false"/>
          <w:i w:val="false"/>
          <w:caps w:val="false"/>
          <w:smallCaps w:val="false"/>
          <w:sz w:val="20"/>
        </w:rPr>
        <w:t>: 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of Authorized Signatory: 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 of Authorized Signatory: 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Email Address of Authorized Signatory:_________________________________________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Address for Notice to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Address for Delivery of Warrants to Purchaser (if not same as address for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Subscription Amount: $_________________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Shares: 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Pre-Funded Warrant Shares: __________________ Beneficial Ownership Blocker ☐ 4.99% or ☐ 9.99%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Series A Common Warrant Shares: __________________ Beneficial Ownership Blocker ☐ 4.99% or ☐ 9.99%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Series B Common Warrant Shares:_______________ Beneficial Ownership Blocker ☐ 4.99% or ☐ 9.99%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[SIGNATURE PAGES CONTINUE]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33" w:name="ex10-2.htm"/>
      <w:bookmarkStart w:id="34" w:name="ksex102"/>
      <w:bookmarkEnd w:id="33"/>
      <w:bookmarkEnd w:id="34"/>
      <w:r>
        <w:rPr>
          <w:caps w:val="false"/>
          <w:smallCaps w:val="false"/>
        </w:rPr>
        <w:t> </w:t>
      </w:r>
      <w:r>
        <w:br w:type="page"/>
      </w:r>
    </w:p>
    <w:p>
      <w:pPr>
        <w:pStyle w:val="TextBody"/>
        <w:bidi w:val="0"/>
        <w:spacing w:before="0" w:after="0"/>
        <w:ind w:left="0" w:right="0" w:hanging="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10.2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PLACEMENT AGENCY AGREEMENT</w:t>
      </w:r>
    </w:p>
    <w:p>
      <w:pPr>
        <w:pStyle w:val="TextBody"/>
        <w:bidi w:val="0"/>
        <w:spacing w:before="0" w:after="0"/>
        <w:ind w:left="0" w:right="0" w:hanging="0"/>
        <w:jc w:val="center"/>
        <w:rPr>
          <w:caps w:val="false"/>
          <w:smallCaps w:val="false"/>
        </w:rPr>
      </w:pPr>
      <w:r>
        <w:rPr>
          <w:caps w:val="false"/>
          <w:smallCaps w:val="false"/>
        </w:rPr>
        <w:t> </w:t>
      </w:r>
    </w:p>
    <w:tbl>
      <w:tblPr>
        <w:tblW w:w="1640" w:type="dxa"/>
        <w:jc w:val="left"/>
        <w:tblInd w:w="0" w:type="dxa"/>
        <w:tblLayout w:type="fixed"/>
        <w:tblCellMar>
          <w:top w:w="0" w:type="dxa"/>
          <w:left w:w="0" w:type="dxa"/>
          <w:bottom w:w="0" w:type="dxa"/>
          <w:right w:w="0" w:type="dxa"/>
        </w:tblCellMar>
      </w:tblPr>
      <w:tblGrid>
        <w:gridCol w:w="60"/>
        <w:gridCol w:w="1580"/>
      </w:tblGrid>
      <w:tr>
        <w:trPr/>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 xml:space="preserve">August </w:t>
            </w:r>
            <w:r>
              <w:rPr>
                <w:rFonts w:ascii="Arial;Helvetica;Sans-Serif" w:hAnsi="Arial;Helvetica;Sans-Serif"/>
                <w:sz w:val="20"/>
              </w:rPr>
              <w:t>14, 2026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Ladenburg Thalmann &amp; Co. Inc.</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640 Fifth Avenue, 4</w:t>
      </w:r>
      <w:r>
        <w:rPr>
          <w:rFonts w:ascii="Arial;Helvetica;Sans-Serif" w:hAnsi="Arial;Helvetica;Sans-Serif"/>
          <w:b w:val="false"/>
          <w:i w:val="false"/>
          <w:caps w:val="false"/>
          <w:smallCaps w:val="false"/>
          <w:position w:val="7"/>
          <w:sz w:val="16"/>
          <w:sz w:val="20"/>
        </w:rPr>
        <w:t>th</w:t>
      </w:r>
      <w:r>
        <w:rPr>
          <w:rFonts w:ascii="Arial;Helvetica;Sans-Serif" w:hAnsi="Arial;Helvetica;Sans-Serif"/>
          <w:b w:val="false"/>
          <w:i w:val="false"/>
          <w:caps w:val="false"/>
          <w:smallCaps w:val="false"/>
          <w:sz w:val="20"/>
        </w:rPr>
        <w:t xml:space="preserve"> Floor</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New York, NY 10019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Introduction</w:t>
      </w:r>
      <w:r>
        <w:rPr>
          <w:rFonts w:ascii="Arial;Helvetica;Sans-Serif" w:hAnsi="Arial;Helvetica;Sans-Serif"/>
          <w:b w:val="false"/>
          <w:i w:val="false"/>
          <w:caps w:val="false"/>
          <w:smallCaps w:val="false"/>
          <w:sz w:val="20"/>
        </w:rPr>
        <w:t>. Subject to the terms and conditions herein (this “</w:t>
      </w:r>
      <w:r>
        <w:rPr>
          <w:rFonts w:ascii="Arial;Helvetica;Sans-Serif" w:hAnsi="Arial;Helvetica;Sans-Serif"/>
          <w:b w:val="false"/>
          <w:i w:val="false"/>
          <w:caps w:val="false"/>
          <w:smallCaps w:val="false"/>
          <w:sz w:val="20"/>
          <w:u w:val="single"/>
        </w:rPr>
        <w:t>Agreement</w:t>
      </w:r>
      <w:r>
        <w:rPr>
          <w:rFonts w:ascii="Arial;Helvetica;Sans-Serif" w:hAnsi="Arial;Helvetica;Sans-Serif"/>
          <w:b w:val="false"/>
          <w:i w:val="false"/>
          <w:caps w:val="false"/>
          <w:smallCaps w:val="false"/>
          <w:sz w:val="20"/>
        </w:rPr>
        <w:t>”), Daré Bioscience, Inc., a Delaware corporation (the “</w:t>
      </w:r>
      <w:r>
        <w:rPr>
          <w:rFonts w:ascii="Arial;Helvetica;Sans-Serif" w:hAnsi="Arial;Helvetica;Sans-Serif"/>
          <w:b w:val="false"/>
          <w:i w:val="false"/>
          <w:caps w:val="false"/>
          <w:smallCaps w:val="false"/>
          <w:sz w:val="20"/>
          <w:u w:val="single"/>
        </w:rPr>
        <w:t>Company</w:t>
      </w:r>
      <w:r>
        <w:rPr>
          <w:rFonts w:ascii="Arial;Helvetica;Sans-Serif" w:hAnsi="Arial;Helvetica;Sans-Serif"/>
          <w:b w:val="false"/>
          <w:i w:val="false"/>
          <w:caps w:val="false"/>
          <w:smallCaps w:val="false"/>
          <w:sz w:val="20"/>
        </w:rPr>
        <w:t xml:space="preserve">”), hereby agrees to sell up to an aggregate of </w:t>
      </w:r>
      <w:r>
        <w:rPr>
          <w:rFonts w:ascii="Arial;Helvetica;Sans-Serif" w:hAnsi="Arial;Helvetica;Sans-Serif"/>
          <w:b/>
          <w:i w:val="false"/>
          <w:caps w:val="false"/>
          <w:smallCaps w:val="false"/>
          <w:sz w:val="20"/>
        </w:rPr>
        <w:t xml:space="preserve">$5,999,996.58 </w:t>
      </w:r>
      <w:r>
        <w:rPr>
          <w:rFonts w:ascii="Arial;Helvetica;Sans-Serif" w:hAnsi="Arial;Helvetica;Sans-Serif"/>
          <w:b w:val="false"/>
          <w:i w:val="false"/>
          <w:caps w:val="false"/>
          <w:smallCaps w:val="false"/>
          <w:sz w:val="20"/>
        </w:rPr>
        <w:t>of securities of the Company, including, but not limited to, registered shares (the “</w:t>
      </w:r>
      <w:r>
        <w:rPr>
          <w:rFonts w:ascii="Arial;Helvetica;Sans-Serif" w:hAnsi="Arial;Helvetica;Sans-Serif"/>
          <w:b w:val="false"/>
          <w:i w:val="false"/>
          <w:caps w:val="false"/>
          <w:smallCaps w:val="false"/>
          <w:sz w:val="20"/>
          <w:u w:val="single"/>
        </w:rPr>
        <w:t>Shares</w:t>
      </w:r>
      <w:r>
        <w:rPr>
          <w:rFonts w:ascii="Arial;Helvetica;Sans-Serif" w:hAnsi="Arial;Helvetica;Sans-Serif"/>
          <w:b w:val="false"/>
          <w:i w:val="false"/>
          <w:caps w:val="false"/>
          <w:smallCaps w:val="false"/>
          <w:sz w:val="20"/>
        </w:rPr>
        <w:t>”) of the Company’s common stock, $0.0001 par value per share (the “</w:t>
      </w:r>
      <w:r>
        <w:rPr>
          <w:rFonts w:ascii="Arial;Helvetica;Sans-Serif" w:hAnsi="Arial;Helvetica;Sans-Serif"/>
          <w:b w:val="false"/>
          <w:i w:val="false"/>
          <w:caps w:val="false"/>
          <w:smallCaps w:val="false"/>
          <w:sz w:val="20"/>
          <w:u w:val="single"/>
        </w:rPr>
        <w:t>Common Stock</w:t>
      </w:r>
      <w:r>
        <w:rPr>
          <w:rFonts w:ascii="Arial;Helvetica;Sans-Serif" w:hAnsi="Arial;Helvetica;Sans-Serif"/>
          <w:b w:val="false"/>
          <w:i w:val="false"/>
          <w:caps w:val="false"/>
          <w:smallCaps w:val="false"/>
          <w:sz w:val="20"/>
        </w:rPr>
        <w:t>”), registered pre-funded warrants exercisable for shares of Common Stock (the “</w:t>
      </w:r>
      <w:r>
        <w:rPr>
          <w:rFonts w:ascii="Arial;Helvetica;Sans-Serif" w:hAnsi="Arial;Helvetica;Sans-Serif"/>
          <w:b w:val="false"/>
          <w:i w:val="false"/>
          <w:caps w:val="false"/>
          <w:smallCaps w:val="false"/>
          <w:sz w:val="20"/>
          <w:u w:val="single"/>
        </w:rPr>
        <w:t>Pre-Funded Warrants</w:t>
      </w:r>
      <w:r>
        <w:rPr>
          <w:rFonts w:ascii="Arial;Helvetica;Sans-Serif" w:hAnsi="Arial;Helvetica;Sans-Serif"/>
          <w:b w:val="false"/>
          <w:i w:val="false"/>
          <w:caps w:val="false"/>
          <w:smallCaps w:val="false"/>
          <w:sz w:val="20"/>
        </w:rPr>
        <w:t>” and the shares of Common Stock issuable upon exercise of the Pre-Funded Warrants, the “</w:t>
      </w:r>
      <w:r>
        <w:rPr>
          <w:rFonts w:ascii="Arial;Helvetica;Sans-Serif" w:hAnsi="Arial;Helvetica;Sans-Serif"/>
          <w:b w:val="false"/>
          <w:i w:val="false"/>
          <w:caps w:val="false"/>
          <w:smallCaps w:val="false"/>
          <w:sz w:val="20"/>
          <w:u w:val="single"/>
        </w:rPr>
        <w:t>Pre-Funded Warrant Shares</w:t>
      </w:r>
      <w:r>
        <w:rPr>
          <w:rFonts w:ascii="Arial;Helvetica;Sans-Serif" w:hAnsi="Arial;Helvetica;Sans-Serif"/>
          <w:b w:val="false"/>
          <w:i w:val="false"/>
          <w:caps w:val="false"/>
          <w:smallCaps w:val="false"/>
          <w:sz w:val="20"/>
        </w:rPr>
        <w:t>”) and unregistered warrants exercisable for shares of Common Stock (the “</w:t>
      </w:r>
      <w:r>
        <w:rPr>
          <w:rFonts w:ascii="Arial;Helvetica;Sans-Serif" w:hAnsi="Arial;Helvetica;Sans-Serif"/>
          <w:b w:val="false"/>
          <w:i w:val="false"/>
          <w:caps w:val="false"/>
          <w:smallCaps w:val="false"/>
          <w:sz w:val="20"/>
          <w:u w:val="single"/>
        </w:rPr>
        <w:t>Warrants</w:t>
      </w:r>
      <w:r>
        <w:rPr>
          <w:rFonts w:ascii="Arial;Helvetica;Sans-Serif" w:hAnsi="Arial;Helvetica;Sans-Serif"/>
          <w:b w:val="false"/>
          <w:i w:val="false"/>
          <w:caps w:val="false"/>
          <w:smallCaps w:val="false"/>
          <w:sz w:val="20"/>
        </w:rPr>
        <w:t>”, and the shares of Common Stock issuable upon exercise of the Warrants, the “</w:t>
      </w:r>
      <w:r>
        <w:rPr>
          <w:rFonts w:ascii="Arial;Helvetica;Sans-Serif" w:hAnsi="Arial;Helvetica;Sans-Serif"/>
          <w:b w:val="false"/>
          <w:i w:val="false"/>
          <w:caps w:val="false"/>
          <w:smallCaps w:val="false"/>
          <w:sz w:val="20"/>
          <w:u w:val="single"/>
        </w:rPr>
        <w:t>Warrant Shares</w:t>
      </w:r>
      <w:r>
        <w:rPr>
          <w:rFonts w:ascii="Arial;Helvetica;Sans-Serif" w:hAnsi="Arial;Helvetica;Sans-Serif"/>
          <w:b w:val="false"/>
          <w:i w:val="false"/>
          <w:caps w:val="false"/>
          <w:smallCaps w:val="false"/>
          <w:sz w:val="20"/>
        </w:rPr>
        <w:t>”) (the Shares, Pre-Funded Warrants, Pre-Funded Warrant Shares, Warrants and Warrant Shares, collectively, the “</w:t>
      </w:r>
      <w:r>
        <w:rPr>
          <w:rFonts w:ascii="Arial;Helvetica;Sans-Serif" w:hAnsi="Arial;Helvetica;Sans-Serif"/>
          <w:b w:val="false"/>
          <w:i w:val="false"/>
          <w:caps w:val="false"/>
          <w:smallCaps w:val="false"/>
          <w:sz w:val="20"/>
          <w:u w:val="single"/>
        </w:rPr>
        <w:t>Securities</w:t>
      </w:r>
      <w:r>
        <w:rPr>
          <w:rFonts w:ascii="Arial;Helvetica;Sans-Serif" w:hAnsi="Arial;Helvetica;Sans-Serif"/>
          <w:b w:val="false"/>
          <w:i w:val="false"/>
          <w:caps w:val="false"/>
          <w:smallCaps w:val="false"/>
          <w:sz w:val="20"/>
        </w:rPr>
        <w:t>”) directly to various investors (each, an “</w:t>
      </w:r>
      <w:r>
        <w:rPr>
          <w:rFonts w:ascii="Arial;Helvetica;Sans-Serif" w:hAnsi="Arial;Helvetica;Sans-Serif"/>
          <w:b w:val="false"/>
          <w:i w:val="false"/>
          <w:caps w:val="false"/>
          <w:smallCaps w:val="false"/>
          <w:sz w:val="20"/>
          <w:u w:val="single"/>
        </w:rPr>
        <w:t>Investor</w:t>
      </w:r>
      <w:r>
        <w:rPr>
          <w:rFonts w:ascii="Arial;Helvetica;Sans-Serif" w:hAnsi="Arial;Helvetica;Sans-Serif"/>
          <w:b w:val="false"/>
          <w:i w:val="false"/>
          <w:caps w:val="false"/>
          <w:smallCaps w:val="false"/>
          <w:sz w:val="20"/>
        </w:rPr>
        <w:t>” and, collectively, the “</w:t>
      </w:r>
      <w:r>
        <w:rPr>
          <w:rFonts w:ascii="Arial;Helvetica;Sans-Serif" w:hAnsi="Arial;Helvetica;Sans-Serif"/>
          <w:b w:val="false"/>
          <w:i w:val="false"/>
          <w:caps w:val="false"/>
          <w:smallCaps w:val="false"/>
          <w:sz w:val="20"/>
          <w:u w:val="single"/>
        </w:rPr>
        <w:t>Investors</w:t>
      </w:r>
      <w:r>
        <w:rPr>
          <w:rFonts w:ascii="Arial;Helvetica;Sans-Serif" w:hAnsi="Arial;Helvetica;Sans-Serif"/>
          <w:b w:val="false"/>
          <w:i w:val="false"/>
          <w:caps w:val="false"/>
          <w:smallCaps w:val="false"/>
          <w:sz w:val="20"/>
        </w:rPr>
        <w:t>”) through Ladenburg Thalmann &amp; Co. Inc. (the “</w:t>
      </w:r>
      <w:r>
        <w:rPr>
          <w:rFonts w:ascii="Arial;Helvetica;Sans-Serif" w:hAnsi="Arial;Helvetica;Sans-Serif"/>
          <w:b w:val="false"/>
          <w:i w:val="false"/>
          <w:caps w:val="false"/>
          <w:smallCaps w:val="false"/>
          <w:sz w:val="20"/>
          <w:u w:val="single"/>
        </w:rPr>
        <w:t>Placement Agent</w:t>
      </w:r>
      <w:r>
        <w:rPr>
          <w:rFonts w:ascii="Arial;Helvetica;Sans-Serif" w:hAnsi="Arial;Helvetica;Sans-Serif"/>
          <w:b w:val="false"/>
          <w:i w:val="false"/>
          <w:caps w:val="false"/>
          <w:smallCaps w:val="false"/>
          <w:sz w:val="20"/>
        </w:rPr>
        <w:t>”) as placement agent. The documents executed and delivered by the Company and the Investors in connection with the Offering (as defined below), including, without limitation, a securities purchase agreement(s) (the “</w:t>
      </w:r>
      <w:r>
        <w:rPr>
          <w:rFonts w:ascii="Arial;Helvetica;Sans-Serif" w:hAnsi="Arial;Helvetica;Sans-Serif"/>
          <w:b w:val="false"/>
          <w:i w:val="false"/>
          <w:caps w:val="false"/>
          <w:smallCaps w:val="false"/>
          <w:sz w:val="20"/>
          <w:u w:val="single"/>
        </w:rPr>
        <w:t>Purchase Agreement</w:t>
      </w:r>
      <w:r>
        <w:rPr>
          <w:rFonts w:ascii="Arial;Helvetica;Sans-Serif" w:hAnsi="Arial;Helvetica;Sans-Serif"/>
          <w:b w:val="false"/>
          <w:i w:val="false"/>
          <w:caps w:val="false"/>
          <w:smallCaps w:val="false"/>
          <w:sz w:val="20"/>
        </w:rPr>
        <w:t>”), shall be collectively referred to herein as the “</w:t>
      </w:r>
      <w:r>
        <w:rPr>
          <w:rFonts w:ascii="Arial;Helvetica;Sans-Serif" w:hAnsi="Arial;Helvetica;Sans-Serif"/>
          <w:b w:val="false"/>
          <w:i w:val="false"/>
          <w:caps w:val="false"/>
          <w:smallCaps w:val="false"/>
          <w:sz w:val="20"/>
          <w:u w:val="single"/>
        </w:rPr>
        <w:t>Transaction Documents</w:t>
      </w:r>
      <w:r>
        <w:rPr>
          <w:rFonts w:ascii="Arial;Helvetica;Sans-Serif" w:hAnsi="Arial;Helvetica;Sans-Serif"/>
          <w:b w:val="false"/>
          <w:i w:val="false"/>
          <w:caps w:val="false"/>
          <w:smallCaps w:val="false"/>
          <w:sz w:val="20"/>
        </w:rPr>
        <w:t>.” The Placement Agent may retain other brokers or dealers to act as sub-agents or selected-dealers on its behalf in connection with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hereby confirms its agreement with the Placement Agent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Section 1. Agreement to Act as Placement Agent</w:t>
      </w:r>
      <w:r>
        <w:rPr>
          <w:rFonts w:ascii="Arial;Helvetica;Sans-Serif" w:hAnsi="Arial;Helvetica;San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On the basis of the representations, warranties and agreements of the Company herein contained, and subject to all the terms and conditions of this Agreement, the Placement Agent shall be the exclusive placement agent in connection with the offering and sale by the Company of the Shares, Pre-Funded Warrants and Pre-Funded Warrant Shares pursuant to the Company’s registration statement on Form S-3 (File No. 333-278380) (the “</w:t>
      </w:r>
      <w:r>
        <w:rPr>
          <w:rFonts w:ascii="Arial;Helvetica;Sans-Serif" w:hAnsi="Arial;Helvetica;Sans-Serif"/>
          <w:b w:val="false"/>
          <w:i w:val="false"/>
          <w:caps w:val="false"/>
          <w:smallCaps w:val="false"/>
          <w:sz w:val="20"/>
          <w:u w:val="single"/>
        </w:rPr>
        <w:t>Registration Statement</w:t>
      </w:r>
      <w:r>
        <w:rPr>
          <w:rFonts w:ascii="Arial;Helvetica;Sans-Serif" w:hAnsi="Arial;Helvetica;Sans-Serif"/>
          <w:b w:val="false"/>
          <w:i w:val="false"/>
          <w:caps w:val="false"/>
          <w:smallCaps w:val="false"/>
          <w:sz w:val="20"/>
        </w:rPr>
        <w:t>”) (such offering, the “</w:t>
      </w:r>
      <w:r>
        <w:rPr>
          <w:rFonts w:ascii="Arial;Helvetica;Sans-Serif" w:hAnsi="Arial;Helvetica;Sans-Serif"/>
          <w:b w:val="false"/>
          <w:i w:val="false"/>
          <w:caps w:val="false"/>
          <w:smallCaps w:val="false"/>
          <w:sz w:val="20"/>
          <w:u w:val="single"/>
        </w:rPr>
        <w:t>Registered Offering</w:t>
      </w:r>
      <w:r>
        <w:rPr>
          <w:rFonts w:ascii="Arial;Helvetica;Sans-Serif" w:hAnsi="Arial;Helvetica;Sans-Serif"/>
          <w:b w:val="false"/>
          <w:i w:val="false"/>
          <w:caps w:val="false"/>
          <w:smallCaps w:val="false"/>
          <w:sz w:val="20"/>
        </w:rPr>
        <w:t>”) and a concurrent private placement of the Warrants and Warrant Shares (such private placement, the “</w:t>
      </w:r>
      <w:r>
        <w:rPr>
          <w:rFonts w:ascii="Arial;Helvetica;Sans-Serif" w:hAnsi="Arial;Helvetica;Sans-Serif"/>
          <w:b w:val="false"/>
          <w:i w:val="false"/>
          <w:caps w:val="false"/>
          <w:smallCaps w:val="false"/>
          <w:sz w:val="20"/>
          <w:u w:val="single"/>
        </w:rPr>
        <w:t>Private Placement</w:t>
      </w:r>
      <w:r>
        <w:rPr>
          <w:rFonts w:ascii="Arial;Helvetica;Sans-Serif" w:hAnsi="Arial;Helvetica;Sans-Serif"/>
          <w:b w:val="false"/>
          <w:i w:val="false"/>
          <w:caps w:val="false"/>
          <w:smallCaps w:val="false"/>
          <w:sz w:val="20"/>
        </w:rPr>
        <w:t>” and, together with the Registered Offering, the “</w:t>
      </w:r>
      <w:r>
        <w:rPr>
          <w:rFonts w:ascii="Arial;Helvetica;Sans-Serif" w:hAnsi="Arial;Helvetica;Sans-Serif"/>
          <w:b w:val="false"/>
          <w:i w:val="false"/>
          <w:caps w:val="false"/>
          <w:smallCaps w:val="false"/>
          <w:sz w:val="20"/>
          <w:u w:val="single"/>
        </w:rPr>
        <w:t>Offering</w:t>
      </w:r>
      <w:r>
        <w:rPr>
          <w:rFonts w:ascii="Arial;Helvetica;Sans-Serif" w:hAnsi="Arial;Helvetica;Sans-Serif"/>
          <w:b w:val="false"/>
          <w:i w:val="false"/>
          <w:caps w:val="false"/>
          <w:smallCaps w:val="false"/>
          <w:sz w:val="20"/>
        </w:rPr>
        <w:t>”) with the terms of the Offering to be subject to market conditions and negotiations between the Company, the Placement Agent and the prospective Investors. The Placement Agent will act on a reasonable best efforts basis and the Company agrees and acknowledges that there is no guarantee of the successful placement of the Securities, or any portion thereof, in the prospective Offering. Under no circumstances will the Placement Agent or any of its “Affiliates” (as defined below) be obligated to underwrite or purchase any of the Securities for its own account or otherwise provide any financing. The Placement Agent shall act solely as the Company’s agent and not as principal. The Placement Agent shall have no authority to bind the Company with respect to any prospective offer to purchase Securities and the Company shall have the sole right to accept offers to purchase Securities and may reject any such offer, in whole or in part. Subject to the terms and conditions hereof, payment of the purchase price for, and delivery of, the Securities shall be made at one or more closings (each a “</w:t>
      </w:r>
      <w:r>
        <w:rPr>
          <w:rFonts w:ascii="Arial;Helvetica;Sans-Serif" w:hAnsi="Arial;Helvetica;Sans-Serif"/>
          <w:b w:val="false"/>
          <w:i w:val="false"/>
          <w:caps w:val="false"/>
          <w:smallCaps w:val="false"/>
          <w:sz w:val="20"/>
          <w:u w:val="single"/>
        </w:rPr>
        <w:t>Closing</w:t>
      </w:r>
      <w:r>
        <w:rPr>
          <w:rFonts w:ascii="Arial;Helvetica;Sans-Serif" w:hAnsi="Arial;Helvetica;Sans-Serif"/>
          <w:b w:val="false"/>
          <w:i w:val="false"/>
          <w:caps w:val="false"/>
          <w:smallCaps w:val="false"/>
          <w:sz w:val="20"/>
        </w:rPr>
        <w:t>” and the date on which each Closing occurs, a “</w:t>
      </w:r>
      <w:r>
        <w:rPr>
          <w:rFonts w:ascii="Arial;Helvetica;Sans-Serif" w:hAnsi="Arial;Helvetica;Sans-Serif"/>
          <w:b w:val="false"/>
          <w:i w:val="false"/>
          <w:caps w:val="false"/>
          <w:smallCaps w:val="false"/>
          <w:sz w:val="20"/>
          <w:u w:val="single"/>
        </w:rPr>
        <w:t>Closing Date</w:t>
      </w:r>
      <w:r>
        <w:rPr>
          <w:rFonts w:ascii="Arial;Helvetica;Sans-Serif" w:hAnsi="Arial;Helvetica;Sans-Serif"/>
          <w:b w:val="false"/>
          <w:i w:val="false"/>
          <w:caps w:val="false"/>
          <w:smallCaps w:val="false"/>
          <w:sz w:val="20"/>
        </w:rPr>
        <w:t>”). As compensation for services rendered, on each Closing Date, the Company shall pay to the Placement Agent the fees and expenses set forth below: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 A cash fee equal to 7.0% of the gross proceeds received by the Company from the sale of the Securities at the Closing.</w:t>
      </w:r>
    </w:p>
    <w:p>
      <w:pPr>
        <w:pStyle w:val="TextBody"/>
        <w:bidi w:val="0"/>
        <w:spacing w:before="0" w:after="0"/>
        <w:ind w:left="144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(ii) Such number of Common Stock purchase warrants (the “</w:t>
      </w:r>
      <w:r>
        <w:rPr>
          <w:rFonts w:ascii="Arial;Helvetica;Sans-Serif" w:hAnsi="Arial;Helvetica;Sans-Serif"/>
          <w:b w:val="false"/>
          <w:i w:val="false"/>
          <w:caps w:val="false"/>
          <w:smallCaps w:val="false"/>
          <w:sz w:val="20"/>
          <w:u w:val="single"/>
        </w:rPr>
        <w:t>Placement Agent Warrants</w:t>
      </w:r>
      <w:r>
        <w:rPr>
          <w:rFonts w:ascii="Arial;Helvetica;Sans-Serif" w:hAnsi="Arial;Helvetica;Sans-Serif"/>
          <w:b w:val="false"/>
          <w:i w:val="false"/>
          <w:caps w:val="false"/>
          <w:smallCaps w:val="false"/>
          <w:sz w:val="20"/>
        </w:rPr>
        <w:t>”) to the Placement Agent, or its designees, at each Closing to purchase shares of Common Stock equal to 4.0% of the aggregate number of Shares and Pre-Funded Warrants sold in the Offering. The Placement Agent Warrants shall be in form and substance as agreed between the Company and Placement Agent with an exercise price equal to 155% of the public offering price per share and an expiration date of 5 years from the commencement of sales of the Offering.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(iii) The Company also agrees to reimburse the Placement Agent for its documented, reasonable, out-of-pocket expenses related to the Offering in an amount up to $105,000 in the aggregate, which shall be payable at the first Closing, subject to the Closing occurring.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 The term of the Placement Agent’s exclusive engagement will be as provided in Section 2 of that certain Investment Banking Agreement dated July 18, 2026 between the Company and the Placement Agent (the “</w:t>
      </w:r>
      <w:r>
        <w:rPr>
          <w:rFonts w:ascii="Arial;Helvetica;Sans-Serif" w:hAnsi="Arial;Helvetica;Sans-Serif"/>
          <w:b w:val="false"/>
          <w:i w:val="false"/>
          <w:caps w:val="false"/>
          <w:smallCaps w:val="false"/>
          <w:sz w:val="20"/>
          <w:u w:val="single"/>
        </w:rPr>
        <w:t>Investment Banking Agreement</w:t>
      </w:r>
      <w:r>
        <w:rPr>
          <w:rFonts w:ascii="Arial;Helvetica;Sans-Serif" w:hAnsi="Arial;Helvetica;Sans-Serif"/>
          <w:b w:val="false"/>
          <w:i w:val="false"/>
          <w:caps w:val="false"/>
          <w:smallCaps w:val="false"/>
          <w:sz w:val="20"/>
        </w:rPr>
        <w:t>”). Notwithstanding anything to the contrary contained herein, the provisions concerning confidentiality, indemnification and contribution contained herein and the Company’s obligations contained in the indemnification provisions will survive any expiration or termination of this Agreement, and the Company’s obligation to pay fees actually earned and payable and to reimburse expenses actually incurred and reimbursable pursuant to Section 1 hereof and which are permitted to be reimbursed under FINRA Rule 5110(f)(2)(D)(i), will survive any expiration or termination of this Agreement. Nothing in this Agreement shall be construed to limit the ability of the Placement Agent or its Affiliates to pursue, investigate, analyze, invest in, or engage in investment banking, financial advisory or any other business relationship with Persons (as defined below) other than the Company. As used herein (i) “Persons” means an individual or corporation, partnership, trust, incorporated or unincorporated association, joint venture, limited liability company, joint stock company, government (or an agency or subdivision thereof) or other entity of any kind and (ii) “Affiliate” means any Person that, directly or indirectly through one or more intermediaries, controls or is controlled by or is under common control with a Person as such terms are used in and construed under Rule 405 under the Securities Act of 1933, as amended (the “</w:t>
      </w:r>
      <w:r>
        <w:rPr>
          <w:rFonts w:ascii="Arial;Helvetica;Sans-Serif" w:hAnsi="Arial;Helvetica;Sans-Serif"/>
          <w:b w:val="false"/>
          <w:i w:val="false"/>
          <w:caps w:val="false"/>
          <w:smallCaps w:val="false"/>
          <w:sz w:val="20"/>
          <w:u w:val="single"/>
        </w:rPr>
        <w:t>Securities Act</w:t>
      </w:r>
      <w:r>
        <w:rPr>
          <w:rFonts w:ascii="Arial;Helvetica;Sans-Serif" w:hAnsi="Arial;Helvetica;San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Section 2. Representations, Warranties and Covenants of the Company</w:t>
      </w:r>
      <w:r>
        <w:rPr>
          <w:rFonts w:ascii="Arial;Helvetica;Sans-Serif" w:hAnsi="Arial;Helvetica;Sans-Serif"/>
          <w:b w:val="false"/>
          <w:i w:val="false"/>
          <w:caps w:val="false"/>
          <w:smallCaps w:val="false"/>
          <w:sz w:val="20"/>
        </w:rPr>
        <w:t>. The Company hereby represents, warrants and covenants to the Placement Agent as of the date hereof, and as of each Closing Date,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The Company has filed with the Securities and Exchange Commission (the “</w:t>
      </w:r>
      <w:r>
        <w:rPr>
          <w:rFonts w:ascii="Arial;Helvetica;Sans-Serif" w:hAnsi="Arial;Helvetica;Sans-Serif"/>
          <w:b w:val="false"/>
          <w:i w:val="false"/>
          <w:caps w:val="false"/>
          <w:smallCaps w:val="false"/>
          <w:sz w:val="20"/>
          <w:u w:val="single"/>
        </w:rPr>
        <w:t>Commission</w:t>
      </w:r>
      <w:r>
        <w:rPr>
          <w:rFonts w:ascii="Arial;Helvetica;Sans-Serif" w:hAnsi="Arial;Helvetica;Sans-Serif"/>
          <w:b w:val="false"/>
          <w:i w:val="false"/>
          <w:caps w:val="false"/>
          <w:smallCaps w:val="false"/>
          <w:sz w:val="20"/>
        </w:rPr>
        <w:t>”) the Registration Statement under the Securities Act, which was filed on March 29, 2024 and declared effective on May 10, 2024. Following the determination of pricing among the Company and the prospective Investors introduced to the Company by the Placement Agent, the Company will file with the Commission pursuant to Rule 424(b) under the Securities Act, and the rules and regulations (the “</w:t>
      </w:r>
      <w:r>
        <w:rPr>
          <w:rFonts w:ascii="Arial;Helvetica;Sans-Serif" w:hAnsi="Arial;Helvetica;Sans-Serif"/>
          <w:b w:val="false"/>
          <w:i w:val="false"/>
          <w:caps w:val="false"/>
          <w:smallCaps w:val="false"/>
          <w:sz w:val="20"/>
          <w:u w:val="single"/>
        </w:rPr>
        <w:t>Rules and Regulations</w:t>
      </w:r>
      <w:r>
        <w:rPr>
          <w:rFonts w:ascii="Arial;Helvetica;Sans-Serif" w:hAnsi="Arial;Helvetica;Sans-Serif"/>
          <w:b w:val="false"/>
          <w:i w:val="false"/>
          <w:caps w:val="false"/>
          <w:smallCaps w:val="false"/>
          <w:sz w:val="20"/>
        </w:rPr>
        <w:t>”) of the Commission promulgated thereunder, a prospectus supplement relating to the placement of the Shares, Pre-Funded Warrants and Pre-Funded Warrant Shares, their respective pricing and the plan of distribution thereof and will advise the Placement Agent of all further information (financial and other) with respect to the Company required to be set forth therein. Such registration statement, at any given time, including the exhibits thereto filed at such time, as amended at such time, is hereinafter called the “</w:t>
      </w:r>
      <w:r>
        <w:rPr>
          <w:rFonts w:ascii="Arial;Helvetica;Sans-Serif" w:hAnsi="Arial;Helvetica;Sans-Serif"/>
          <w:b w:val="false"/>
          <w:i w:val="false"/>
          <w:caps w:val="false"/>
          <w:smallCaps w:val="false"/>
          <w:sz w:val="20"/>
          <w:u w:val="single"/>
        </w:rPr>
        <w:t>Registration Statement</w:t>
      </w:r>
      <w:r>
        <w:rPr>
          <w:rFonts w:ascii="Arial;Helvetica;Sans-Serif" w:hAnsi="Arial;Helvetica;Sans-Serif"/>
          <w:b w:val="false"/>
          <w:i w:val="false"/>
          <w:caps w:val="false"/>
          <w:smallCaps w:val="false"/>
          <w:sz w:val="20"/>
        </w:rPr>
        <w:t>”; such prospectus in the form in which it appears in the Registration Statement at the time of effectiveness, together with any preliminary prospectus supplement relating to the Offering, if any (the “</w:t>
      </w:r>
      <w:r>
        <w:rPr>
          <w:rFonts w:ascii="Arial;Helvetica;Sans-Serif" w:hAnsi="Arial;Helvetica;Sans-Serif"/>
          <w:b w:val="false"/>
          <w:i w:val="false"/>
          <w:caps w:val="false"/>
          <w:smallCaps w:val="false"/>
          <w:sz w:val="20"/>
          <w:u w:val="single"/>
        </w:rPr>
        <w:t>Preliminary Prospectus Supplement</w:t>
      </w:r>
      <w:r>
        <w:rPr>
          <w:rFonts w:ascii="Arial;Helvetica;Sans-Serif" w:hAnsi="Arial;Helvetica;Sans-Serif"/>
          <w:b w:val="false"/>
          <w:i w:val="false"/>
          <w:caps w:val="false"/>
          <w:smallCaps w:val="false"/>
          <w:sz w:val="20"/>
        </w:rPr>
        <w:t>”) is hereinafter called the “</w:t>
      </w:r>
      <w:r>
        <w:rPr>
          <w:rFonts w:ascii="Arial;Helvetica;Sans-Serif" w:hAnsi="Arial;Helvetica;Sans-Serif"/>
          <w:b w:val="false"/>
          <w:i w:val="false"/>
          <w:caps w:val="false"/>
          <w:smallCaps w:val="false"/>
          <w:sz w:val="20"/>
          <w:u w:val="single"/>
        </w:rPr>
        <w:t>Base Prospectus</w:t>
      </w:r>
      <w:r>
        <w:rPr>
          <w:rFonts w:ascii="Arial;Helvetica;Sans-Serif" w:hAnsi="Arial;Helvetica;Sans-Serif"/>
          <w:b w:val="false"/>
          <w:i w:val="false"/>
          <w:caps w:val="false"/>
          <w:smallCaps w:val="false"/>
          <w:sz w:val="20"/>
        </w:rPr>
        <w:t>”; and the final prospectus supplement, in the form in which it will be filed with the Commission pursuant to Rule 424(b) (including the Base Prospectus as it may be amended or supplemented) is hereinafter called the “</w:t>
      </w:r>
      <w:r>
        <w:rPr>
          <w:rFonts w:ascii="Arial;Helvetica;Sans-Serif" w:hAnsi="Arial;Helvetica;Sans-Serif"/>
          <w:b w:val="false"/>
          <w:i w:val="false"/>
          <w:caps w:val="false"/>
          <w:smallCaps w:val="false"/>
          <w:sz w:val="20"/>
          <w:u w:val="single"/>
        </w:rPr>
        <w:t>Final Prospectus Supplement</w:t>
      </w:r>
      <w:r>
        <w:rPr>
          <w:rFonts w:ascii="Arial;Helvetica;Sans-Serif" w:hAnsi="Arial;Helvetica;Sans-Serif"/>
          <w:b w:val="false"/>
          <w:i w:val="false"/>
          <w:caps w:val="false"/>
          <w:smallCaps w:val="false"/>
          <w:sz w:val="20"/>
        </w:rPr>
        <w:t>.” The Registration Statement at the time it originally became effective is hereinafter called the “</w:t>
      </w:r>
      <w:r>
        <w:rPr>
          <w:rFonts w:ascii="Arial;Helvetica;Sans-Serif" w:hAnsi="Arial;Helvetica;Sans-Serif"/>
          <w:b w:val="false"/>
          <w:i w:val="false"/>
          <w:caps w:val="false"/>
          <w:smallCaps w:val="false"/>
          <w:sz w:val="20"/>
          <w:u w:val="single"/>
        </w:rPr>
        <w:t>Original Registration Statement</w:t>
      </w:r>
      <w:r>
        <w:rPr>
          <w:rFonts w:ascii="Arial;Helvetica;Sans-Serif" w:hAnsi="Arial;Helvetica;Sans-Serif"/>
          <w:b w:val="false"/>
          <w:i w:val="false"/>
          <w:caps w:val="false"/>
          <w:smallCaps w:val="false"/>
          <w:sz w:val="20"/>
        </w:rPr>
        <w:t>.” Any reference in this Agreement to the Registration Statement, the Original Registration Statement, the Base Prospectus, the Preliminary Prospectus Supplement, if any, or the Final Prospectus Supplement shall be deemed to refer to and include the documents incorporated by reference therein (the “</w:t>
      </w:r>
      <w:r>
        <w:rPr>
          <w:rFonts w:ascii="Arial;Helvetica;Sans-Serif" w:hAnsi="Arial;Helvetica;Sans-Serif"/>
          <w:b w:val="false"/>
          <w:i w:val="false"/>
          <w:caps w:val="false"/>
          <w:smallCaps w:val="false"/>
          <w:sz w:val="20"/>
          <w:u w:val="single"/>
        </w:rPr>
        <w:t>Incorporated Documents</w:t>
      </w:r>
      <w:r>
        <w:rPr>
          <w:rFonts w:ascii="Arial;Helvetica;Sans-Serif" w:hAnsi="Arial;Helvetica;Sans-Serif"/>
          <w:b w:val="false"/>
          <w:i w:val="false"/>
          <w:caps w:val="false"/>
          <w:smallCaps w:val="false"/>
          <w:sz w:val="20"/>
        </w:rPr>
        <w:t>”), if any, which were or are filed under the Securities Exchange Act of 1934, as amended (the “</w:t>
      </w:r>
      <w:r>
        <w:rPr>
          <w:rFonts w:ascii="Arial;Helvetica;Sans-Serif" w:hAnsi="Arial;Helvetica;Sans-Serif"/>
          <w:b w:val="false"/>
          <w:i w:val="false"/>
          <w:caps w:val="false"/>
          <w:smallCaps w:val="false"/>
          <w:sz w:val="20"/>
          <w:u w:val="single"/>
        </w:rPr>
        <w:t>Exchange Act</w:t>
      </w:r>
      <w:r>
        <w:rPr>
          <w:rFonts w:ascii="Arial;Helvetica;Sans-Serif" w:hAnsi="Arial;Helvetica;Sans-Serif"/>
          <w:b w:val="false"/>
          <w:i w:val="false"/>
          <w:caps w:val="false"/>
          <w:smallCaps w:val="false"/>
          <w:sz w:val="20"/>
        </w:rPr>
        <w:t>”), at any given time, as the case may be; and any reference in this Agreement to the terms “amend,” “amendment” or “supplement” with respect to the Registration Statement, the Original Registration Statement, the Base Prospectus, the Preliminary Prospectus Supplement or the Final Prospectus Supplement shall be deemed to refer to and include the filing of any document under the Exchange Act after the date of this Agreement, or the issue date of the Base Prospectus, the Preliminary Prospectus Supplement or the Final Prospectus Supplement, as the case may be, deemed to be incorporated therein by reference. All references in this Agreement to financial statements and schedules and other information which is “contained,” “included,” “described,” “referenced,” “set forth” or “stated” in the Registration Statement, the Base Prospectus, the Preliminary Prospectus Supplement or the Final Prospectus Supplement (and all other references of like import) shall be deemed to mean and include all such financial statements and schedules and other information which is or is deemed to be incorporated by reference in the Registration Statement, the Base Prospectus, the Preliminary Prospectus Supplement or the Final Prospectus Supplement, as the case may be. As used in this paragraph and elsewhere in this Agreement, “</w:t>
      </w:r>
      <w:r>
        <w:rPr>
          <w:rFonts w:ascii="Arial;Helvetica;Sans-Serif" w:hAnsi="Arial;Helvetica;Sans-Serif"/>
          <w:b w:val="false"/>
          <w:i w:val="false"/>
          <w:caps w:val="false"/>
          <w:smallCaps w:val="false"/>
          <w:sz w:val="20"/>
          <w:u w:val="single"/>
        </w:rPr>
        <w:t>Time of Sale Disclosure Package</w:t>
      </w:r>
      <w:r>
        <w:rPr>
          <w:rFonts w:ascii="Arial;Helvetica;Sans-Serif" w:hAnsi="Arial;Helvetica;Sans-Serif"/>
          <w:b w:val="false"/>
          <w:i w:val="false"/>
          <w:caps w:val="false"/>
          <w:smallCaps w:val="false"/>
          <w:sz w:val="20"/>
        </w:rPr>
        <w:t>” means the Base Prospectus, any Preliminary Prospectus Supplement, any securities purchase agreement between the Company and the Investors, and any issuer free writing prospectus as defined in Rule 433 of the Act (each, an “</w:t>
      </w:r>
      <w:r>
        <w:rPr>
          <w:rFonts w:ascii="Arial;Helvetica;Sans-Serif" w:hAnsi="Arial;Helvetica;Sans-Serif"/>
          <w:b w:val="false"/>
          <w:i w:val="false"/>
          <w:caps w:val="false"/>
          <w:smallCaps w:val="false"/>
          <w:sz w:val="20"/>
          <w:u w:val="single"/>
        </w:rPr>
        <w:t>Issuer Free Writing Prospectus</w:t>
      </w:r>
      <w:r>
        <w:rPr>
          <w:rFonts w:ascii="Arial;Helvetica;Sans-Serif" w:hAnsi="Arial;Helvetica;Sans-Serif"/>
          <w:b w:val="false"/>
          <w:i w:val="false"/>
          <w:caps w:val="false"/>
          <w:smallCaps w:val="false"/>
          <w:sz w:val="20"/>
        </w:rPr>
        <w:t>”), if any, that the parties hereto shall hereafter expressly agree in writing to treat as part of the Time of Sale Disclosure Package. The term “</w:t>
      </w:r>
      <w:r>
        <w:rPr>
          <w:rFonts w:ascii="Arial;Helvetica;Sans-Serif" w:hAnsi="Arial;Helvetica;Sans-Serif"/>
          <w:b w:val="false"/>
          <w:i w:val="false"/>
          <w:caps w:val="false"/>
          <w:smallCaps w:val="false"/>
          <w:sz w:val="20"/>
          <w:u w:val="single"/>
        </w:rPr>
        <w:t>any Prospectus Supplement</w:t>
      </w:r>
      <w:r>
        <w:rPr>
          <w:rFonts w:ascii="Arial;Helvetica;Sans-Serif" w:hAnsi="Arial;Helvetica;Sans-Serif"/>
          <w:b w:val="false"/>
          <w:i w:val="false"/>
          <w:caps w:val="false"/>
          <w:smallCaps w:val="false"/>
          <w:sz w:val="20"/>
        </w:rPr>
        <w:t>” shall mean, as the context requires, the Base Prospectus, the Final Prospectus Supplement, and any supplement to either thereof. The Company has not received any notice that the Commission has issued or intends to issue a stop order suspending the effectiveness of the Registration Statement or the use of the Base Prospectus or any Prospectus Supplement or intends to commence a proceeding for any such purpose.</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(b) </w:t>
      </w:r>
      <w:r>
        <w:rPr>
          <w:rFonts w:ascii="Arial;Helvetica;Sans-Serif" w:hAnsi="Arial;Helvetica;Sans-Serif"/>
          <w:b w:val="false"/>
          <w:i w:val="false"/>
          <w:caps w:val="false"/>
          <w:smallCaps w:val="false"/>
          <w:sz w:val="20"/>
          <w:u w:val="single"/>
        </w:rPr>
        <w:t>Assurances</w:t>
      </w:r>
      <w:r>
        <w:rPr>
          <w:rFonts w:ascii="Arial;Helvetica;Sans-Serif" w:hAnsi="Arial;Helvetica;Sans-Serif"/>
          <w:b w:val="false"/>
          <w:i w:val="false"/>
          <w:caps w:val="false"/>
          <w:smallCaps w:val="false"/>
          <w:sz w:val="20"/>
        </w:rPr>
        <w:t>. The Original Registration Statement, as amended (and any further documents to be filed with the Commission), contains all exhibits and schedules as required by the Securities Act. Each of the Registration Statement and any post-effective amendment thereto, at the time it became effective, complied in all material respects with the Securities Act and the applicable Rules and Regulations and did not contain any untrue statement of a material fact or omit to state a material fact required to be stated therein or necessary to make the statements therein not misleading. The Preliminary Prospectus Supplement, and the Final Prospectus Supplement, each as of its respective date, comply or will comply in all material respects with the Securities Act and the applicable Rules and Regulations. Each of the Preliminary Prospectus Supplement and the Final Prospectus Supplement, as amended or supplemented, did not and will not contain as of the date thereof any untrue statement of a material fact or omit to state a material fact necessary in order to make the statements therein, in light of the circumstances under which they were made, not misleading. The Incorporated Documents, when they were filed with the Commission, conformed in all material respects to the requirements of the Exchange Act and the applicable Rules and Regulations promulgated thereunder, and none of such documents, when they were filed with the Commission, contained any untrue statement of a material fact or omitted to state a material fact necessary to make the statements therein (with respect to Incorporated Documents incorporated by reference in the Preliminary Prospectus Supplement or Final Prospectus Supplement), in light of the circumstances under which they were made not misleading. No post-effective amendment to the Registration Statement reflecting any facts or events arising after the date thereof which represent, individually or in the aggregate, a fundamental change in the information set forth therein is required to be filed with the Commission. There are no documents required to be filed with the Commission in connection with the transaction contemplated hereby that (x) have not been filed as required pursuant to the Securities Act or (y) will not be filed within the requisite time period. There are no contracts or other documents required to be described in the Preliminary Prospectus Supplement or Final Prospectus Supplement, or to be filed as exhibits or schedules to the Registration Statement, which have not been described or filed as required.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 </w:t>
      </w:r>
      <w:r>
        <w:rPr>
          <w:rFonts w:ascii="Arial;Helvetica;Sans-Serif" w:hAnsi="Arial;Helvetica;Sans-Serif"/>
          <w:b w:val="false"/>
          <w:i w:val="false"/>
          <w:caps w:val="false"/>
          <w:smallCaps w:val="false"/>
          <w:sz w:val="20"/>
          <w:u w:val="single"/>
        </w:rPr>
        <w:t>Offering Materials</w:t>
      </w:r>
      <w:r>
        <w:rPr>
          <w:rFonts w:ascii="Arial;Helvetica;Sans-Serif" w:hAnsi="Arial;Helvetica;Sans-Serif"/>
          <w:b w:val="false"/>
          <w:i w:val="false"/>
          <w:caps w:val="false"/>
          <w:smallCaps w:val="false"/>
          <w:sz w:val="20"/>
        </w:rPr>
        <w:t>. Neither the Company nor any of its directors and officers has distributed and none of them will distribute, prior to each Closing Date, any offering material in connection with the offering and sale of the Securities other than the Time of Sale Disclosure Package and any other materials permitted by the Securities Act.</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 </w:t>
      </w:r>
      <w:r>
        <w:rPr>
          <w:rFonts w:ascii="Arial;Helvetica;Sans-Serif" w:hAnsi="Arial;Helvetica;Sans-Serif"/>
          <w:b w:val="false"/>
          <w:i w:val="false"/>
          <w:caps w:val="false"/>
          <w:smallCaps w:val="false"/>
          <w:sz w:val="20"/>
          <w:u w:val="single"/>
        </w:rPr>
        <w:t>Authorization; Enforcement</w:t>
      </w:r>
      <w:r>
        <w:rPr>
          <w:rFonts w:ascii="Arial;Helvetica;Sans-Serif" w:hAnsi="Arial;Helvetica;Sans-Serif"/>
          <w:b w:val="false"/>
          <w:i w:val="false"/>
          <w:caps w:val="false"/>
          <w:smallCaps w:val="false"/>
          <w:sz w:val="20"/>
        </w:rPr>
        <w:t>. The Company has the requisite corporate power and authority to enter into and to consummate the transactions contemplated by this Agreement and the Time of Sale Disclosure Package and otherwise to carry out its obligations hereunder and thereunder. The execution and delivery of this Agreement by the Company and the consummation by it of the transactions contemplated hereby and thereby and under the Preliminary Prospectus Supplement have been duly authorized by all necessary action on the part of the Company and no further action is required by the Company, the Company’s Board of Directors or an authorized committee thereof (the “</w:t>
      </w:r>
      <w:r>
        <w:rPr>
          <w:rFonts w:ascii="Arial;Helvetica;Sans-Serif" w:hAnsi="Arial;Helvetica;Sans-Serif"/>
          <w:b w:val="false"/>
          <w:i w:val="false"/>
          <w:caps w:val="false"/>
          <w:smallCaps w:val="false"/>
          <w:sz w:val="20"/>
          <w:u w:val="single"/>
        </w:rPr>
        <w:t>Board of Directors</w:t>
      </w:r>
      <w:r>
        <w:rPr>
          <w:rFonts w:ascii="Arial;Helvetica;Sans-Serif" w:hAnsi="Arial;Helvetica;Sans-Serif"/>
          <w:b w:val="false"/>
          <w:i w:val="false"/>
          <w:caps w:val="false"/>
          <w:smallCaps w:val="false"/>
          <w:sz w:val="20"/>
        </w:rPr>
        <w:t>”) or the Company’s stockholders in connection therewith other than in connection with the Required Approvals (as defined in the Purchase Agreement). This Agreement has been duly executed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 </w:t>
      </w:r>
      <w:r>
        <w:rPr>
          <w:rFonts w:ascii="Arial;Helvetica;Sans-Serif" w:hAnsi="Arial;Helvetica;Sans-Serif"/>
          <w:b w:val="false"/>
          <w:i w:val="false"/>
          <w:caps w:val="false"/>
          <w:smallCaps w:val="false"/>
          <w:sz w:val="20"/>
          <w:u w:val="single"/>
        </w:rPr>
        <w:t>No Conflicts</w:t>
      </w:r>
      <w:r>
        <w:rPr>
          <w:rFonts w:ascii="Arial;Helvetica;Sans-Serif" w:hAnsi="Arial;Helvetica;Sans-Serif"/>
          <w:b w:val="false"/>
          <w:i w:val="false"/>
          <w:caps w:val="false"/>
          <w:smallCaps w:val="false"/>
          <w:sz w:val="20"/>
        </w:rPr>
        <w:t>. The execution, delivery and performance by the Company of this Agreement and the transactions contemplated pursuant to the Time of Sale Disclosure Package, the issuance and sale of the Securities and the consummation by it of the transactions contemplated hereby and thereby do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(as defined in the Purchase Agreement) upon any of the properties or assets of the Company or any subsidiary, or give to others any rights of termination, amendment,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 (as defined in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(f) </w:t>
      </w:r>
      <w:r>
        <w:rPr>
          <w:rFonts w:ascii="Arial;Helvetica;Sans-Serif" w:hAnsi="Arial;Helvetica;Sans-Serif"/>
          <w:b w:val="false"/>
          <w:i w:val="false"/>
          <w:caps w:val="false"/>
          <w:smallCaps w:val="false"/>
          <w:sz w:val="20"/>
          <w:u w:val="single"/>
        </w:rPr>
        <w:t>Certificates</w:t>
      </w:r>
      <w:r>
        <w:rPr>
          <w:rFonts w:ascii="Arial;Helvetica;Sans-Serif" w:hAnsi="Arial;Helvetica;Sans-Serif"/>
          <w:b w:val="false"/>
          <w:i w:val="false"/>
          <w:caps w:val="false"/>
          <w:smallCaps w:val="false"/>
          <w:sz w:val="20"/>
        </w:rPr>
        <w:t>. Any certificate signed by an officer of the Company and delivered to the Placement Agent or to counsel for the Placement Agent shall be deemed to be a representation and warranty by the Company to the Placement Agent as to the matters set forth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(g) </w:t>
      </w:r>
      <w:r>
        <w:rPr>
          <w:rFonts w:ascii="Arial;Helvetica;Sans-Serif" w:hAnsi="Arial;Helvetica;Sans-Serif"/>
          <w:b w:val="false"/>
          <w:i w:val="false"/>
          <w:caps w:val="false"/>
          <w:smallCaps w:val="false"/>
          <w:sz w:val="20"/>
          <w:u w:val="single"/>
        </w:rPr>
        <w:t>Reliance</w:t>
      </w:r>
      <w:r>
        <w:rPr>
          <w:rFonts w:ascii="Arial;Helvetica;Sans-Serif" w:hAnsi="Arial;Helvetica;Sans-Serif"/>
          <w:b w:val="false"/>
          <w:i w:val="false"/>
          <w:caps w:val="false"/>
          <w:smallCaps w:val="false"/>
          <w:sz w:val="20"/>
        </w:rPr>
        <w:t>. The Company acknowledges that the Placement Agent will rely upon the accuracy and truthfulness of the foregoing representations and warranties and hereby consents to such reliance.</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(h) </w:t>
      </w:r>
      <w:r>
        <w:rPr>
          <w:rFonts w:ascii="Arial;Helvetica;Sans-Serif" w:hAnsi="Arial;Helvetica;Sans-Serif"/>
          <w:b w:val="false"/>
          <w:i w:val="false"/>
          <w:caps w:val="false"/>
          <w:smallCaps w:val="false"/>
          <w:sz w:val="20"/>
          <w:u w:val="single"/>
        </w:rPr>
        <w:t>Forward-Looking Statements</w:t>
      </w:r>
      <w:r>
        <w:rPr>
          <w:rFonts w:ascii="Arial;Helvetica;Sans-Serif" w:hAnsi="Arial;Helvetica;Sans-Serif"/>
          <w:b w:val="false"/>
          <w:i w:val="false"/>
          <w:caps w:val="false"/>
          <w:smallCaps w:val="false"/>
          <w:sz w:val="20"/>
        </w:rPr>
        <w:t>. No forward-looking statements (within the meaning of Section 27A of the Securities Act and Section 21E of the Exchange Act) contained in the Time of Sale Disclosure Package has been made or reaffirmed without a reasonable basis or has been disclosed other than in good faith.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 </w:t>
      </w:r>
      <w:r>
        <w:rPr>
          <w:rFonts w:ascii="Arial;Helvetica;Sans-Serif" w:hAnsi="Arial;Helvetica;Sans-Serif"/>
          <w:b w:val="false"/>
          <w:i w:val="false"/>
          <w:caps w:val="false"/>
          <w:smallCaps w:val="false"/>
          <w:sz w:val="20"/>
          <w:u w:val="single"/>
        </w:rPr>
        <w:t>Statistical or Market-Related Data</w:t>
      </w:r>
      <w:r>
        <w:rPr>
          <w:rFonts w:ascii="Arial;Helvetica;Sans-Serif" w:hAnsi="Arial;Helvetica;Sans-Serif"/>
          <w:b w:val="false"/>
          <w:i w:val="false"/>
          <w:caps w:val="false"/>
          <w:smallCaps w:val="false"/>
          <w:sz w:val="20"/>
        </w:rPr>
        <w:t>. Any statistical, industry-related and market-related data included or incorporated by reference in the Time of Sale Disclosure Package, are based on or derived from sources that the Company reasonably and in good faith believes to be reliable and accurate.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(j) </w:t>
      </w:r>
      <w:r>
        <w:rPr>
          <w:rFonts w:ascii="Arial;Helvetica;Sans-Serif" w:hAnsi="Arial;Helvetica;Sans-Serif"/>
          <w:b w:val="false"/>
          <w:i w:val="false"/>
          <w:caps w:val="false"/>
          <w:smallCaps w:val="false"/>
          <w:sz w:val="20"/>
          <w:u w:val="single"/>
        </w:rPr>
        <w:t>FINRA Affiliations</w:t>
      </w:r>
      <w:r>
        <w:rPr>
          <w:rFonts w:ascii="Arial;Helvetica;Sans-Serif" w:hAnsi="Arial;Helvetica;Sans-Serif"/>
          <w:b w:val="false"/>
          <w:i w:val="false"/>
          <w:caps w:val="false"/>
          <w:smallCaps w:val="false"/>
          <w:sz w:val="20"/>
        </w:rPr>
        <w:t>. There are no affiliations with any FINRA member firm that is participating in the Offering among the Company’s officers or directors, or to the knowledge of the Company, any five percent (5%) or greater stockholder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(k) </w:t>
      </w:r>
      <w:r>
        <w:rPr>
          <w:rFonts w:ascii="Arial;Helvetica;Sans-Serif" w:hAnsi="Arial;Helvetica;Sans-Serif"/>
          <w:b w:val="false"/>
          <w:i w:val="false"/>
          <w:caps w:val="false"/>
          <w:smallCaps w:val="false"/>
          <w:sz w:val="20"/>
          <w:u w:val="single"/>
        </w:rPr>
        <w:t>Representations, Warranties and Covenants Incorporated by Reference</w:t>
      </w:r>
      <w:r>
        <w:rPr>
          <w:rFonts w:ascii="Arial;Helvetica;Sans-Serif" w:hAnsi="Arial;Helvetica;Sans-Serif"/>
          <w:b w:val="false"/>
          <w:i w:val="false"/>
          <w:caps w:val="false"/>
          <w:smallCaps w:val="false"/>
          <w:sz w:val="20"/>
        </w:rPr>
        <w:t>. Each of the representations, warranties and covenants (together with any related disclosure schedules thereto) made by the Company to the Investors in the Purchase Agreement is hereby incorporated herein by reference (as though fully restated herein) and is hereby made to, and in favor of, the Placement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Section 3. Delivery and Payment</w:t>
      </w:r>
      <w:r>
        <w:rPr>
          <w:rFonts w:ascii="Arial;Helvetica;Sans-Serif" w:hAnsi="Arial;Helvetica;Sans-Serif"/>
          <w:b w:val="false"/>
          <w:i w:val="false"/>
          <w:caps w:val="false"/>
          <w:smallCaps w:val="false"/>
          <w:sz w:val="20"/>
        </w:rPr>
        <w:t>. Each Closing shall occur at the offices of Ellenoff Grossman &amp; Schole LLP, 1345 Avenue of the Americas, New York, New York 10105 (“</w:t>
      </w:r>
      <w:r>
        <w:rPr>
          <w:rFonts w:ascii="Arial;Helvetica;Sans-Serif" w:hAnsi="Arial;Helvetica;Sans-Serif"/>
          <w:b w:val="false"/>
          <w:i w:val="false"/>
          <w:caps w:val="false"/>
          <w:smallCaps w:val="false"/>
          <w:sz w:val="20"/>
          <w:u w:val="single"/>
        </w:rPr>
        <w:t>Placement Agent Counsel</w:t>
      </w:r>
      <w:r>
        <w:rPr>
          <w:rFonts w:ascii="Arial;Helvetica;Sans-Serif" w:hAnsi="Arial;Helvetica;Sans-Serif"/>
          <w:b w:val="false"/>
          <w:i w:val="false"/>
          <w:caps w:val="false"/>
          <w:smallCaps w:val="false"/>
          <w:sz w:val="20"/>
        </w:rPr>
        <w:t>”) (or at such other place as shall be agreed upon by the Placement Agent and the Company). Subject to the terms and conditions hereof, at each Closing payment of the purchase price for the Securities sold on such Closing Date shall be made by Federal Funds wire transfer, against delivery of such Securities, and such Securities shall be registered in such name or names and shall be in such denominations, as the Placement Agent may request at least one business day before the time of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Deliveries of the documents with respect to the purchase of the Securities, if any, shall be made at the offices of Placement Agent Counsel. All actions taken at a Closing shall be deemed to have occurred simultaneously.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Section 4. Covenants and Agreements of the Company</w:t>
      </w:r>
      <w:r>
        <w:rPr>
          <w:rFonts w:ascii="Arial;Helvetica;Sans-Serif" w:hAnsi="Arial;Helvetica;Sans-Serif"/>
          <w:b w:val="false"/>
          <w:i w:val="false"/>
          <w:caps w:val="false"/>
          <w:smallCaps w:val="false"/>
          <w:sz w:val="20"/>
        </w:rPr>
        <w:t>. The Company further covenants and agrees with the Placement Agent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 </w:t>
      </w:r>
      <w:r>
        <w:rPr>
          <w:rFonts w:ascii="Arial;Helvetica;Sans-Serif" w:hAnsi="Arial;Helvetica;Sans-Serif"/>
          <w:b w:val="false"/>
          <w:i w:val="false"/>
          <w:caps w:val="false"/>
          <w:smallCaps w:val="false"/>
          <w:sz w:val="20"/>
          <w:u w:val="single"/>
        </w:rPr>
        <w:t>Registration Statement Matters</w:t>
      </w:r>
      <w:r>
        <w:rPr>
          <w:rFonts w:ascii="Arial;Helvetica;Sans-Serif" w:hAnsi="Arial;Helvetica;Sans-Serif"/>
          <w:b w:val="false"/>
          <w:i w:val="false"/>
          <w:caps w:val="false"/>
          <w:smallCaps w:val="false"/>
          <w:sz w:val="20"/>
        </w:rPr>
        <w:t>. The Company will advise the Placement Agent promptly after it receives notice of the time when any amendment to the Registration Statement has been filed or becomes effective or any supplement to any Prospectus Supplement or any amended Final Prospectus Supplement has been filed and will furnish the Placement Agent with copies thereof. The Company will file promptly all reports and any definitive proxy or information statements required to be filed by the Company with the Commission pursuant to Section 13(a), 14 or 15(d) of the Exchange Act subsequent to the date of any Prospectus Supplement and for so long as the delivery of a prospectus is required in connection with the Offering. The Company will advise the Placement Agent, promptly after it receives notice thereof (i) of any request by the Commission to amend the Registration Statement or to amend or supplement any Prospectus Supplement or for additional information, and (ii) of the issuance by the Commission of any stop order suspending the effectiveness of the Registration Statement or any post-effective amendment thereto or any order directed at any Incorporated Document, if any, or any amendment or supplement thereto or any order preventing or suspending the use of the Preliminary Prospectus Supplement or the Final Prospectus Supplement or any amendment or supplement thereto or any post-effective amendment to the Registration Statement, of the suspension of the qualification of the Securities for offering or sale in any jurisdiction, of the institution or threatened institution of any proceeding for any such purpose, or of any request by the Commission for the amending or supplementing of the Registration Statement or any Prospectus Supplement or for additional information. The Company shall use its best efforts to prevent the issuance of any such stop order or prevention or suspension of such use. If the Commission shall enter any such stop order or order or notice of prevention or suspension at any time prior to the completion of the Offering, the Company will use its best efforts to obtain the lifting of such order at the earliest possible moment, or will file a new registration statement and use its best efforts to have such new registration statement declared effective as soon as practicable. Additionally, the Company agrees that in connection with the Offering, it shall comply with the provisions of Rules 424(b), 430A, 430B and 430C, as applicable, under the Securities Act, including with respect to the timely filing of documents thereunder, and will use its reasonable efforts to confirm that any filings made by the Company under such Rule 424(b) are received in a timely manner by the Commission.</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(b) </w:t>
      </w:r>
      <w:r>
        <w:rPr>
          <w:rFonts w:ascii="Arial;Helvetica;Sans-Serif" w:hAnsi="Arial;Helvetica;Sans-Serif"/>
          <w:b w:val="false"/>
          <w:i w:val="false"/>
          <w:caps w:val="false"/>
          <w:smallCaps w:val="false"/>
          <w:sz w:val="20"/>
          <w:u w:val="single"/>
        </w:rPr>
        <w:t>Blue Sky Compliance</w:t>
      </w:r>
      <w:r>
        <w:rPr>
          <w:rFonts w:ascii="Arial;Helvetica;Sans-Serif" w:hAnsi="Arial;Helvetica;Sans-Serif"/>
          <w:b w:val="false"/>
          <w:i w:val="false"/>
          <w:caps w:val="false"/>
          <w:smallCaps w:val="false"/>
          <w:sz w:val="20"/>
        </w:rPr>
        <w:t>. The Company will cooperate with the Placement Agent and the Investors in endeavoring to qualify the Securities for sale under the securities laws of such jurisdictions (United States and foreign) as the Placement Agent and the Investors may reasonably request and will make such applications, file such documents, and furnish such information as may be reasonably required for that purpose, provided the Company shall not be required to qualify as a foreign corporation or to file a general consent to service of process in any jurisdiction where it is not now so qualified or required to file such a consent, and provided further that the Company shall not be required to produce any new disclosure document other than the Final Prospectus Supplement. The Company will, from time to time, prepare and file such statements, reports and other documents as are or may be required to continue such qualifications in effect for so long a period as the Placement Agent may reasonably request for distribution of the Securities. The Company will advise the Placement Agent promptly of the suspension of the qualification or registration of (or any such exemption relating to) the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 </w:t>
      </w:r>
      <w:r>
        <w:rPr>
          <w:rFonts w:ascii="Arial;Helvetica;Sans-Serif" w:hAnsi="Arial;Helvetica;Sans-Serif"/>
          <w:b w:val="false"/>
          <w:i w:val="false"/>
          <w:caps w:val="false"/>
          <w:smallCaps w:val="false"/>
          <w:sz w:val="20"/>
          <w:u w:val="single"/>
        </w:rPr>
        <w:t>Amendments and Supplements to a Prospectus and Other Matters</w:t>
      </w:r>
      <w:r>
        <w:rPr>
          <w:rFonts w:ascii="Arial;Helvetica;Sans-Serif" w:hAnsi="Arial;Helvetica;Sans-Serif"/>
          <w:b w:val="false"/>
          <w:i w:val="false"/>
          <w:caps w:val="false"/>
          <w:smallCaps w:val="false"/>
          <w:sz w:val="20"/>
        </w:rPr>
        <w:t>. The Company will comply with the Securities Act and the Exchange Act, and the rules and regulations of the Commission thereunder, so as to permit the completion of the distribution of the Securities as contemplated in this Agreement, the Incorporated Documents and any Prospectus Supplement. If during the period in which a prospectus is required by law to be delivered in connection with the distribution of Securities contemplated by the Incorporated Documents or any Prospectus Supplement (the “</w:t>
      </w:r>
      <w:r>
        <w:rPr>
          <w:rFonts w:ascii="Arial;Helvetica;Sans-Serif" w:hAnsi="Arial;Helvetica;Sans-Serif"/>
          <w:b w:val="false"/>
          <w:i w:val="false"/>
          <w:caps w:val="false"/>
          <w:smallCaps w:val="false"/>
          <w:sz w:val="20"/>
          <w:u w:val="single"/>
        </w:rPr>
        <w:t>Prospectus Delivery Period</w:t>
      </w:r>
      <w:r>
        <w:rPr>
          <w:rFonts w:ascii="Arial;Helvetica;Sans-Serif" w:hAnsi="Arial;Helvetica;Sans-Serif"/>
          <w:b w:val="false"/>
          <w:i w:val="false"/>
          <w:caps w:val="false"/>
          <w:smallCaps w:val="false"/>
          <w:sz w:val="20"/>
        </w:rPr>
        <w:t>”), any event shall occur as a result of which, in the judgment of the Company or in the reasonable opinion of the Placement Agent or counsel for the Placement Agent, it becomes necessary to amend or supplement the Incorporated Documents or any Prospectus Supplement in order to make the statements therein, in the light of the circumstances under which they were made, as the case may be, not misleading, or if it is necessary at any time to amend or supplement the Incorporated Documents or any Prospectus Supplement or to file under the Exchange Act any Incorporated Document to comply with any law, the Company will promptly prepare and file with the Commission, and furnish at its own expense to the Placement Agent and to dealers, an appropriate amendment to the Registration Statement or supplement to the Registration Statement, the Incorporated Documents or any Prospectus Supplement that is necessary in order to make the statements in the Incorporated Documents and any Prospectus Supplement as so amended or supplemented, in the light of the circumstances under which they were made, as the case may be, not misleading, or so that the Registration Statement, the Incorporated Documents or any Prospectus Supplement, as so amended or supplemented, will comply with law. Before amending the Registration Statement or supplementing the Incorporated Documents or any Prospectus Supplement in connection with the Offering, the Company will furnish the Placement Agent with a copy of such proposed amendment or supplement and will not file any such amendment or supplement to which the Placement Agent reasonably objects.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 </w:t>
      </w:r>
      <w:r>
        <w:rPr>
          <w:rFonts w:ascii="Arial;Helvetica;Sans-Serif" w:hAnsi="Arial;Helvetica;Sans-Serif"/>
          <w:b w:val="false"/>
          <w:i w:val="false"/>
          <w:caps w:val="false"/>
          <w:smallCaps w:val="false"/>
          <w:sz w:val="20"/>
          <w:u w:val="single"/>
        </w:rPr>
        <w:t>Copies of any Amendments and Supplements to a Prospectus</w:t>
      </w:r>
      <w:r>
        <w:rPr>
          <w:rFonts w:ascii="Arial;Helvetica;Sans-Serif" w:hAnsi="Arial;Helvetica;Sans-Serif"/>
          <w:b w:val="false"/>
          <w:i w:val="false"/>
          <w:caps w:val="false"/>
          <w:smallCaps w:val="false"/>
          <w:sz w:val="20"/>
        </w:rPr>
        <w:t>. The Company will furnish the Placement Agent, without charge, during the period beginning on the date hereof and ending on the last Closing Date of the Offering, as many copies of the Incorporated Documents and any Prospectus Supplement and any amendments and supplements thereto (including any Incorporated Documents, if any) as the Placement Agent may reasonably request.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 </w:t>
      </w:r>
      <w:r>
        <w:rPr>
          <w:rFonts w:ascii="Arial;Helvetica;Sans-Serif" w:hAnsi="Arial;Helvetica;Sans-Serif"/>
          <w:b w:val="false"/>
          <w:i w:val="false"/>
          <w:caps w:val="false"/>
          <w:smallCaps w:val="false"/>
          <w:sz w:val="20"/>
          <w:u w:val="single"/>
        </w:rPr>
        <w:t>Free Writing Prospectus</w:t>
      </w:r>
      <w:r>
        <w:rPr>
          <w:rFonts w:ascii="Arial;Helvetica;Sans-Serif" w:hAnsi="Arial;Helvetica;Sans-Serif"/>
          <w:b w:val="false"/>
          <w:i w:val="false"/>
          <w:caps w:val="false"/>
          <w:smallCaps w:val="false"/>
          <w:sz w:val="20"/>
        </w:rPr>
        <w:t>. The Company covenants that it will not, unless it obtains the prior written consent of the Placement Agent, make any offer relating to the Shares that would constitute a Company Free Writing Prospectus or that would otherwise constitute a “</w:t>
      </w:r>
      <w:r>
        <w:rPr>
          <w:rFonts w:ascii="Arial;Helvetica;Sans-Serif" w:hAnsi="Arial;Helvetica;Sans-Serif"/>
          <w:b w:val="false"/>
          <w:i w:val="false"/>
          <w:caps w:val="false"/>
          <w:smallCaps w:val="false"/>
          <w:sz w:val="20"/>
          <w:u w:val="single"/>
        </w:rPr>
        <w:t>free writing prospectus</w:t>
      </w:r>
      <w:r>
        <w:rPr>
          <w:rFonts w:ascii="Arial;Helvetica;Sans-Serif" w:hAnsi="Arial;Helvetica;Sans-Serif"/>
          <w:b w:val="false"/>
          <w:i w:val="false"/>
          <w:caps w:val="false"/>
          <w:smallCaps w:val="false"/>
          <w:sz w:val="20"/>
        </w:rPr>
        <w:t>” (as defined in Rule 405 of the Securities Act) required to be filed by the Company with the Commission or retained by the Company under Rule 433 of the Securities Act. In the event that the Placement Agent expressly consents in writing to any such free writing prospectus (a “</w:t>
      </w:r>
      <w:r>
        <w:rPr>
          <w:rFonts w:ascii="Arial;Helvetica;Sans-Serif" w:hAnsi="Arial;Helvetica;Sans-Serif"/>
          <w:b w:val="false"/>
          <w:i w:val="false"/>
          <w:caps w:val="false"/>
          <w:smallCaps w:val="false"/>
          <w:sz w:val="20"/>
          <w:u w:val="single"/>
        </w:rPr>
        <w:t>Permitted Free Writing Prospectus</w:t>
      </w:r>
      <w:r>
        <w:rPr>
          <w:rFonts w:ascii="Arial;Helvetica;Sans-Serif" w:hAnsi="Arial;Helvetica;Sans-Serif"/>
          <w:b w:val="false"/>
          <w:i w:val="false"/>
          <w:caps w:val="false"/>
          <w:smallCaps w:val="false"/>
          <w:sz w:val="20"/>
        </w:rPr>
        <w:t>”), the Company covenants that it shall (i) treat each Permitted Free Writing Prospectus as a Company Free Writing Prospectus, and (ii) comply with the requirements of Rule 164 and 433 of the Securities Act applicable to such Permitted Free Writing Prospectus, including in respect of timely filing with the Commission, legending and record keeping.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(f) </w:t>
      </w:r>
      <w:r>
        <w:rPr>
          <w:rFonts w:ascii="Arial;Helvetica;Sans-Serif" w:hAnsi="Arial;Helvetica;Sans-Serif"/>
          <w:b w:val="false"/>
          <w:i w:val="false"/>
          <w:caps w:val="false"/>
          <w:smallCaps w:val="false"/>
          <w:sz w:val="20"/>
          <w:u w:val="single"/>
        </w:rPr>
        <w:t>Transfer Agent</w:t>
      </w:r>
      <w:r>
        <w:rPr>
          <w:rFonts w:ascii="Arial;Helvetica;Sans-Serif" w:hAnsi="Arial;Helvetica;Sans-Serif"/>
          <w:b w:val="false"/>
          <w:i w:val="false"/>
          <w:caps w:val="false"/>
          <w:smallCaps w:val="false"/>
          <w:sz w:val="20"/>
        </w:rPr>
        <w:t>. The Company will maintain, at its expense, a registrar and transfer agent for the Common Stock.</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(g) </w:t>
      </w:r>
      <w:r>
        <w:rPr>
          <w:rFonts w:ascii="Arial;Helvetica;Sans-Serif" w:hAnsi="Arial;Helvetica;Sans-Serif"/>
          <w:b w:val="false"/>
          <w:i w:val="false"/>
          <w:caps w:val="false"/>
          <w:smallCaps w:val="false"/>
          <w:sz w:val="20"/>
          <w:u w:val="single"/>
        </w:rPr>
        <w:t>No Manipulation of Price</w:t>
      </w:r>
      <w:r>
        <w:rPr>
          <w:rFonts w:ascii="Arial;Helvetica;Sans-Serif" w:hAnsi="Arial;Helvetica;Sans-Serif"/>
          <w:b w:val="false"/>
          <w:i/>
          <w:caps w:val="false"/>
          <w:smallCaps w:val="false"/>
          <w:sz w:val="20"/>
        </w:rPr>
        <w:t xml:space="preserve">. </w:t>
      </w:r>
      <w:r>
        <w:rPr>
          <w:rFonts w:ascii="Arial;Helvetica;Sans-Serif" w:hAnsi="Arial;Helvetica;Sans-Serif"/>
          <w:b w:val="false"/>
          <w:i w:val="false"/>
          <w:caps w:val="false"/>
          <w:smallCaps w:val="false"/>
          <w:sz w:val="20"/>
        </w:rPr>
        <w:t>The Company will not take, directly or indirectly, any action designed to cause or result in, or that has constituted or might reasonably be expected to constitute, the stabilization or manipulation of the price of any securities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(h) </w:t>
      </w:r>
      <w:r>
        <w:rPr>
          <w:rFonts w:ascii="Arial;Helvetica;Sans-Serif" w:hAnsi="Arial;Helvetica;Sans-Serif"/>
          <w:b w:val="false"/>
          <w:i w:val="false"/>
          <w:caps w:val="false"/>
          <w:smallCaps w:val="false"/>
          <w:sz w:val="20"/>
          <w:u w:val="single"/>
        </w:rPr>
        <w:t>Acknowledgment</w:t>
      </w:r>
      <w:r>
        <w:rPr>
          <w:rFonts w:ascii="Arial;Helvetica;Sans-Serif" w:hAnsi="Arial;Helvetica;Sans-Serif"/>
          <w:b w:val="false"/>
          <w:i w:val="false"/>
          <w:caps w:val="false"/>
          <w:smallCaps w:val="false"/>
          <w:sz w:val="20"/>
        </w:rPr>
        <w:t>. The Company acknowledges that any advice given by the Placement Agent to the Company is solely for the benefit and use of the Board of Directors of the Company and may not be used, reproduced, disseminated, quoted or referred to, without the Placement Agent’s prior written consent.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 </w:t>
      </w:r>
      <w:r>
        <w:rPr>
          <w:rFonts w:ascii="Arial;Helvetica;Sans-Serif" w:hAnsi="Arial;Helvetica;Sans-Serif"/>
          <w:b w:val="false"/>
          <w:i w:val="false"/>
          <w:caps w:val="false"/>
          <w:smallCaps w:val="false"/>
          <w:sz w:val="20"/>
          <w:u w:val="single"/>
        </w:rPr>
        <w:t>Announcement of Offering</w:t>
      </w:r>
      <w:r>
        <w:rPr>
          <w:rFonts w:ascii="Arial;Helvetica;Sans-Serif" w:hAnsi="Arial;Helvetica;Sans-Serif"/>
          <w:b w:val="false"/>
          <w:i w:val="false"/>
          <w:caps w:val="false"/>
          <w:smallCaps w:val="false"/>
          <w:sz w:val="20"/>
        </w:rPr>
        <w:t>. The Company acknowledges and agrees that the Placement Agent may, subsequent to the Closing, make public its involvement with the Offering.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(j) </w:t>
      </w:r>
      <w:r>
        <w:rPr>
          <w:rFonts w:ascii="Arial;Helvetica;Sans-Serif" w:hAnsi="Arial;Helvetica;Sans-Serif"/>
          <w:b w:val="false"/>
          <w:i w:val="false"/>
          <w:caps w:val="false"/>
          <w:smallCaps w:val="false"/>
          <w:sz w:val="20"/>
          <w:u w:val="single"/>
        </w:rPr>
        <w:t>Reliance on Others</w:t>
      </w:r>
      <w:r>
        <w:rPr>
          <w:rFonts w:ascii="Arial;Helvetica;Sans-Serif" w:hAnsi="Arial;Helvetica;Sans-Serif"/>
          <w:b w:val="false"/>
          <w:i w:val="false"/>
          <w:caps w:val="false"/>
          <w:smallCaps w:val="false"/>
          <w:sz w:val="20"/>
        </w:rPr>
        <w:t>. The Company confirms that it will rely on its own counsel and accountants for legal and accounting advice.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(k) </w:t>
      </w:r>
      <w:r>
        <w:rPr>
          <w:rFonts w:ascii="Arial;Helvetica;Sans-Serif" w:hAnsi="Arial;Helvetica;Sans-Serif"/>
          <w:b w:val="false"/>
          <w:i w:val="false"/>
          <w:caps w:val="false"/>
          <w:smallCaps w:val="false"/>
          <w:sz w:val="20"/>
          <w:u w:val="single"/>
        </w:rPr>
        <w:t>Research Matters</w:t>
      </w:r>
      <w:r>
        <w:rPr>
          <w:rFonts w:ascii="Arial;Helvetica;Sans-Serif" w:hAnsi="Arial;Helvetica;Sans-Serif"/>
          <w:b w:val="false"/>
          <w:i w:val="false"/>
          <w:smallCaps/>
          <w:sz w:val="20"/>
        </w:rPr>
        <w:t>.</w:t>
      </w:r>
      <w:r>
        <w:rPr>
          <w:rFonts w:ascii="Arial;Helvetica;Sans-Serif" w:hAnsi="Arial;Helvetica;Sans-Serif"/>
          <w:b w:val="false"/>
          <w:i w:val="false"/>
          <w:caps w:val="false"/>
          <w:smallCaps w:val="false"/>
          <w:sz w:val="20"/>
        </w:rPr>
        <w:t xml:space="preserve"> By entering into this Agreement, the Placement Agent does not provide any promise, either explicitly or implicitly, of favorable or continued research coverage of the Company and the Company hereby acknowledges and agrees that the Placement Agent’s selection as a placement agent for the Offering was in no way conditioned, explicitly or implicitly, on the Placement Agent providing favorable or any research coverage of the Company. In accordance with FINRA Rule 2711(e), the parties acknowledge and agree that the Placement Agent has not directly or indirectly offered favorable research, a specific rating or a specific price target, or threatened to change research, a rating or a price target, to the Company or inducement for the receipt of business or compensation.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(l) </w:t>
      </w:r>
      <w:r>
        <w:rPr>
          <w:rFonts w:ascii="Arial;Helvetica;Sans-Serif" w:hAnsi="Arial;Helvetica;Sans-Serif"/>
          <w:b w:val="false"/>
          <w:i w:val="false"/>
          <w:caps w:val="false"/>
          <w:smallCaps w:val="false"/>
          <w:sz w:val="20"/>
          <w:u w:val="single"/>
        </w:rPr>
        <w:t>Subsequent Equity Sales</w:t>
      </w:r>
      <w:r>
        <w:rPr>
          <w:rFonts w:ascii="Arial;Helvetica;Sans-Serif" w:hAnsi="Arial;Helvetica;San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 From the date hereof until 60 days after the Closing Date (the “Company Lock-Up Period”), neither the Company nor any Subsidiary shall (i) issue, enter into any agreement to issue or announce the issuance or proposed issuance of any shares of Common Stock or Common Stock Equivalents or (ii) file any registration statement or any amendment or supplement thereto, other than (a) the Prospectus Supplement, (b) as contemplated pursuant to Section 4.17 in the Purchase Agreement, or (c) a registration statement on Form S-8 in connection with any employee benefit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(ii) From the date hereof until 180 days following the Closing Date, the Company shall be prohibited from effecting or entering into an agreement to effect any issuance by the Company or any of its Subsidiaries of Common Stock or Common Stock Equivalents (or a combination of units thereof) involving a Variable Rate Transaction. “Variable Rate Transaction”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provided, however, that, from and after 60 days after the Closing Date, the issuance of shares of Common Stock under the Company’s existing sales agreement with Stifel Nicolaus &amp; Company, Incorporated (or the entry into any successor agreement for an “at the market” offering and the issuance of shares thereunder) shall not be deemed a Variable Rate Transaction and from and after 120 days after the Closing Date, the issuance of Common Stock under the Company’s purchase agreement with Lincoln Park Capital Fund, LLC (or the entry into any successor agreement for a similar equity line arrangement and the issuance of shares thereunder) shall not be deemed a Variable Rate Transaction. Any Placement Agent shall be entitled to obtain injunctive relief against the Company to preclude any such issuance, which remedy shall be in addition to any right to collect damages.</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(iii) Notwithstanding the foregoing, this Section 4(l) shall not apply in respect of (i) any Exempt Issuance, except that no Variable Rate Transaction shall be an Exempt Issuance or (ii) the filing of any amendment or supplement to any existing registration statement solely for the purpose of revising any required disclosure in such registration statement and not for the purpose of increasing the offering size pursuant to any such registration statement. “</w:t>
      </w:r>
      <w:r>
        <w:rPr>
          <w:rFonts w:ascii="Arial;Helvetica;Sans-Serif" w:hAnsi="Arial;Helvetica;Sans-Serif"/>
          <w:b w:val="false"/>
          <w:i w:val="false"/>
          <w:caps w:val="false"/>
          <w:smallCaps w:val="false"/>
          <w:sz w:val="20"/>
          <w:u w:val="single"/>
        </w:rPr>
        <w:t>Exempt Issuance</w:t>
      </w:r>
      <w:r>
        <w:rPr>
          <w:rFonts w:ascii="Arial;Helvetica;Sans-Serif" w:hAnsi="Arial;Helvetica;Sans-Serif"/>
          <w:b w:val="false"/>
          <w:i w:val="false"/>
          <w:caps w:val="false"/>
          <w:smallCaps w:val="false"/>
          <w:sz w:val="20"/>
        </w:rPr>
        <w:t>” means the issuance of (a) shares of Common Stock, options, or other equity awards to employees, officers, directors of, or consultants to, the Company pursuant to any equity incentive plan duly adopted for such purpose, by a majority of the non-employee members of the Board of Directors or a majority of the members of a committee of non-employee directors established for such purpose for services rendered to the Company or as inducement awards in accordance with Trading Market rules, provided that, such securities issued to consultants are issued as “restricted securities” (as defined in Rule 144) and carry no registration rights that require or permit the filing of any registration statement in connection therewith during the prohibition period in Section 4(l)(i) herein, (b) securities upon the exercise or exchange of or conversion of any Securities issued hereunder, warrants to the Placement Agent in connection with the transactions pursuant to this Agreement and any securities issued upon exercise of warrants issued to the Placement Agent, (c) securities upon the exercise or exchange of or conversion of any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reverse and forward stock splits, stock dividends, stock combinations and other similar transactions) or to extend the term of such securities, and (d) securities issued pursuant to acquisitions or licensing, collaboration,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4(l)(i) herein, and provided that, any such issuance shall only be to a Person (or to the equity 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Section 5. Conditions of the Obligations of the Placement Agent</w:t>
      </w:r>
      <w:r>
        <w:rPr>
          <w:rFonts w:ascii="Arial;Helvetica;Sans-Serif" w:hAnsi="Arial;Helvetica;Sans-Serif"/>
          <w:b w:val="false"/>
          <w:i w:val="false"/>
          <w:caps w:val="false"/>
          <w:smallCaps w:val="false"/>
          <w:sz w:val="20"/>
        </w:rPr>
        <w:t>. The obligations of the Placement Agent hereunder shall be subject to the accuracy of the representations and warranties on the part of the Company set forth in Section 2 hereof, in each case as of the date hereof and as of each Closing Date as though then made, to the timely performance by each of the Company of its covenants and other obligations hereunder on and as of such dates, and to each of the following additional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 </w:t>
      </w:r>
      <w:r>
        <w:rPr>
          <w:rFonts w:ascii="Arial;Helvetica;Sans-Serif" w:hAnsi="Arial;Helvetica;Sans-Serif"/>
          <w:b w:val="false"/>
          <w:i w:val="false"/>
          <w:caps w:val="false"/>
          <w:smallCaps w:val="false"/>
          <w:sz w:val="20"/>
          <w:u w:val="single"/>
        </w:rPr>
        <w:t>Regulation A Offering</w:t>
      </w:r>
      <w:r>
        <w:rPr>
          <w:rFonts w:ascii="Arial;Helvetica;Sans-Serif" w:hAnsi="Arial;Helvetica;Sans-Serif"/>
          <w:b w:val="false"/>
          <w:i w:val="false"/>
          <w:caps w:val="false"/>
          <w:smallCaps w:val="false"/>
          <w:sz w:val="20"/>
        </w:rPr>
        <w:t>. The Company shall have delivered evidence to the Placement Agent of the suspension of the Company’s best efforts offering under Regulation A that was initially qualified on January 5, 2026 (File No. 024-12688). Such suspension will be in effect from the date hereof until 60 days after the Closing Date.</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(b) </w:t>
      </w:r>
      <w:r>
        <w:rPr>
          <w:rFonts w:ascii="Arial;Helvetica;Sans-Serif" w:hAnsi="Arial;Helvetica;Sans-Serif"/>
          <w:b w:val="false"/>
          <w:i w:val="false"/>
          <w:caps w:val="false"/>
          <w:smallCaps w:val="false"/>
          <w:sz w:val="20"/>
          <w:u w:val="single"/>
        </w:rPr>
        <w:t>Compliance with Registration Requirements; No Stop Order; No Objection from the FINRA.</w:t>
      </w:r>
      <w:r>
        <w:rPr>
          <w:rFonts w:ascii="Arial;Helvetica;Sans-Serif" w:hAnsi="Arial;Helvetica;Sans-Serif"/>
          <w:b w:val="false"/>
          <w:i w:val="false"/>
          <w:caps w:val="false"/>
          <w:smallCaps w:val="false"/>
          <w:sz w:val="20"/>
        </w:rPr>
        <w:t xml:space="preserve"> Each Prospectus Supplement (in accordance with Rule 424(b)) and “</w:t>
      </w:r>
      <w:r>
        <w:rPr>
          <w:rFonts w:ascii="Arial;Helvetica;Sans-Serif" w:hAnsi="Arial;Helvetica;Sans-Serif"/>
          <w:b w:val="false"/>
          <w:i w:val="false"/>
          <w:caps w:val="false"/>
          <w:smallCaps w:val="false"/>
          <w:sz w:val="20"/>
          <w:u w:val="single"/>
        </w:rPr>
        <w:t>free writing prospectus</w:t>
      </w:r>
      <w:r>
        <w:rPr>
          <w:rFonts w:ascii="Arial;Helvetica;Sans-Serif" w:hAnsi="Arial;Helvetica;Sans-Serif"/>
          <w:b w:val="false"/>
          <w:i w:val="false"/>
          <w:caps w:val="false"/>
          <w:smallCaps w:val="false"/>
          <w:sz w:val="20"/>
        </w:rPr>
        <w:t>” (as defined in Rule 405 of the Securities Act), if any, shall have been duly filed with the Commission, as appropriate; no stop order suspending the effectiveness of the Registration Statement or any part thereof shall have been issued and no proceeding for that purpose shall have been initiated or threatened by the Commission; no order preventing or suspending the use of any Prospectus Supplement shall have been issued and no proceeding for that purpose shall have been initiated or threatened by the Commission; no order having the effect of ceasing or suspending the distribution of the Securities or any other securities of the Company shall have been issued by any securities commission, securities regulatory authority or stock exchange and no proceedings for that purpose shall have been instituted or shall be pending or, to the knowledge of the Company, contemplated by any securities commission, securities regulatory authority or stock exchange; all requests for additional information on the part of the Commission shall have been complied with; and the FINRA shall have raised no objection to the fairness and reasonableness of the placement terms and arrangements.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 </w:t>
      </w:r>
      <w:r>
        <w:rPr>
          <w:rFonts w:ascii="Arial;Helvetica;Sans-Serif" w:hAnsi="Arial;Helvetica;Sans-Serif"/>
          <w:b w:val="false"/>
          <w:i w:val="false"/>
          <w:caps w:val="false"/>
          <w:smallCaps w:val="false"/>
          <w:sz w:val="20"/>
          <w:u w:val="single"/>
        </w:rPr>
        <w:t>Corporate Proceedings</w:t>
      </w:r>
      <w:r>
        <w:rPr>
          <w:rFonts w:ascii="Arial;Helvetica;Sans-Serif" w:hAnsi="Arial;Helvetica;Sans-Serif"/>
          <w:b w:val="false"/>
          <w:i w:val="false"/>
          <w:caps w:val="false"/>
          <w:smallCaps w:val="false"/>
          <w:sz w:val="20"/>
        </w:rPr>
        <w:t>. All corporate proceedings and other legal matters in connection with this Agreement, the Registration Statement and each Prospectus Supplement, and the registration of the Shares, Pre-Funded Warrants, and the Pre-Funded Warrant Shares, sale and delivery of the Securities, shall have been completed or resolved in a manner reasonably satisfactory to the Placement Agent’s counsel, and such counsel shall have been furnished with such papers and information as it may reasonably have requested to enable such counsel to pass upon the matters referred to in this Section 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 </w:t>
      </w:r>
      <w:r>
        <w:rPr>
          <w:rFonts w:ascii="Arial;Helvetica;Sans-Serif" w:hAnsi="Arial;Helvetica;Sans-Serif"/>
          <w:b w:val="false"/>
          <w:i w:val="false"/>
          <w:caps w:val="false"/>
          <w:smallCaps w:val="false"/>
          <w:sz w:val="20"/>
          <w:u w:val="single"/>
        </w:rPr>
        <w:t>No Material Adverse Effect</w:t>
      </w:r>
      <w:r>
        <w:rPr>
          <w:rFonts w:ascii="Arial;Helvetica;Sans-Serif" w:hAnsi="Arial;Helvetica;Sans-Serif"/>
          <w:b w:val="false"/>
          <w:i w:val="false"/>
          <w:caps w:val="false"/>
          <w:smallCaps w:val="false"/>
          <w:sz w:val="20"/>
        </w:rPr>
        <w:t>. Subsequent to the execution and delivery of this Agreement and prior to each Closing Date, in the Placement Agent’s sole judgment after consultation with the Company, there shall not have occurred any Material Adverse Effect (as defined in the Purchase Agreement) or development involving a prospective material adverse change in the condition or the business activities, financial or otherwise, of the Company from the latest dates as of which such condition is set forth in the Registration Statement and Prospectus.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 </w:t>
      </w:r>
      <w:r>
        <w:rPr>
          <w:rFonts w:ascii="Arial;Helvetica;Sans-Serif" w:hAnsi="Arial;Helvetica;Sans-Serif"/>
          <w:b w:val="false"/>
          <w:i w:val="false"/>
          <w:caps w:val="false"/>
          <w:smallCaps w:val="false"/>
          <w:sz w:val="20"/>
          <w:u w:val="single"/>
        </w:rPr>
        <w:t>Opinion of Counsel for the Company</w:t>
      </w:r>
      <w:r>
        <w:rPr>
          <w:rFonts w:ascii="Arial;Helvetica;Sans-Serif" w:hAnsi="Arial;Helvetica;Sans-Serif"/>
          <w:b w:val="false"/>
          <w:i w:val="false"/>
          <w:caps w:val="false"/>
          <w:smallCaps w:val="false"/>
          <w:sz w:val="20"/>
        </w:rPr>
        <w:t>. The Placement Agent shall have received on each Closing Date the favorable opinion(s) of legal counsel(s) to the Company, including the Company’s intellectual property counsel, dated as of such Closing Date, including, without limitation, a negative assurance letter addressed to the Placement Agent and in form and substance satisfactory to the Placement Agent.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(f) </w:t>
      </w:r>
      <w:r>
        <w:rPr>
          <w:rFonts w:ascii="Arial;Helvetica;Sans-Serif" w:hAnsi="Arial;Helvetica;Sans-Serif"/>
          <w:b w:val="false"/>
          <w:i w:val="false"/>
          <w:caps w:val="false"/>
          <w:smallCaps w:val="false"/>
          <w:sz w:val="20"/>
          <w:u w:val="single"/>
        </w:rPr>
        <w:t>Officers’ Certificate</w:t>
      </w:r>
      <w:r>
        <w:rPr>
          <w:rFonts w:ascii="Arial;Helvetica;Sans-Serif" w:hAnsi="Arial;Helvetica;Sans-Serif"/>
          <w:b w:val="false"/>
          <w:i w:val="false"/>
          <w:caps w:val="false"/>
          <w:smallCaps w:val="false"/>
          <w:sz w:val="20"/>
        </w:rPr>
        <w:t>. The Placement Agent shall have received on each Closing Date a certificate of the Company, dated as of such Closing Date, signed by the Chief Executive Officer and Chief Accounting Officer of the Company, to the effect that, and the Placement Agent shall be satisfied that, the signers of such certificate have reviewed the Registration Statement, the Incorporated Documents, any Prospectus Supplement, and this Agreement and to the further effect that: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 The representations and warranties of the Company in the Purchase Agreement and this Agreement are true and correct in all material respects, as if made on and as of such Closing Date, and the Company has complied in all material respects with all the agreements and satisfied in all material respects all the conditions on its part to be performed or satisfied at or prior to such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(ii) No stop order suspending the effectiveness of the Registration Statement or the use of the Base Prospectus or any Prospectus Supplement has been issued and no proceedings for that purpose have been instituted or are pending or, to the Company’s knowledge, threatened under the Securities Act; no order having the effect of ceasing or suspending the distribution of the Securities or any other securities of the Company has been issued by any securities commission, securities regulatory authority or stock exchange in the United States and no proceedings for that purpose have been instituted or are pending or, to the knowledge of the Company, contemplated by any securities commission, securities regulatory authority or stock exchange in the United States;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(iii) When the Registration Statement became effective, at the time of sale, and at all times subsequent thereto up to the delivery of such certificate, the Registration Statement and the Incorporated Documents, if any, when such documents became effective or were filed with the Commission, and any Prospectus Supplement, contained all material information required to be included therein by the Securities Act and the Exchange Act and the applicable rules and regulations of the Commission thereunder, as the case may be, and in all material respects conformed to the requirements of the Securities Act and the Exchange Act, as applicable, and the applicable rules and regulations of the Commission thereunder, as the case may be, and the Registration Statement and the Incorporated Documents, if any, and any Prospectus Supplement, did not and do not include any untrue statement of a material fact or omit to state a material fact required to be stated therein or necessary to make the statements therein, in the light of the circumstances under which they were made, not misleading (provided, however, that the preceding representations and warranties contained in this paragraph (iii) shall not apply to any statements or omissions made in reliance upon and in conformity with information furnished in writing to the Company by the Placement Agent expressly for use therein) and, since the effective date of the Registration Statement, there has occurred no event required by the Securities Act and the rules and regulations of the Commission thereunder to be set forth in the Incorporated Documents which has not been so set forth; and</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(iv) Subsequent to the respective dates as of which information is given in the Registration Statement, the Incorporated Documents and any Prospectus Supplement, there has not been: (a) any Material Adverse Effect; (b) any transaction that is material to the Company and the subsidiaries taken as a whole, except transactions entered into in the ordinary course of business; (c) any obligation, direct or contingent, that is material to the Company and the subsidiaries taken as a whole, incurred by the Company or any subsidiary, except obligations incurred in the ordinary course of business; (d) any material change in the capital stock (except changes thereto resulting from the exercise of outstanding stock options, warrants or other securities which may be convertible into capital stock) or outstanding indebtedness of the Company or any subsidiary; (e) any dividend or distribution of any kind declared, paid or made on the capital stock of the Company; or (f) any loss or damage (whether or not insured) to the property of the Company or any subsidiary which has been sustained or will have been sustained which has a Material Adverse Effect.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(g) </w:t>
      </w:r>
      <w:r>
        <w:rPr>
          <w:rFonts w:ascii="Arial;Helvetica;Sans-Serif" w:hAnsi="Arial;Helvetica;Sans-Serif"/>
          <w:b w:val="false"/>
          <w:i w:val="false"/>
          <w:caps w:val="false"/>
          <w:smallCaps w:val="false"/>
          <w:sz w:val="20"/>
          <w:u w:val="single"/>
        </w:rPr>
        <w:t>Stock Exchange Listing</w:t>
      </w:r>
      <w:r>
        <w:rPr>
          <w:rFonts w:ascii="Arial;Helvetica;Sans-Serif" w:hAnsi="Arial;Helvetica;Sans-Serif"/>
          <w:b w:val="false"/>
          <w:i w:val="false"/>
          <w:caps w:val="false"/>
          <w:smallCaps w:val="false"/>
          <w:sz w:val="20"/>
        </w:rPr>
        <w:t>. The Common Stock shall be registered under the Exchange Act and shall be listed on the Trading Market (as defined in the Purchase Agreement), and the Company shall not have taken any action designed to terminate, or likely to have the effect of terminating, the registration of the Common Stock under the Exchange Act or delisting or suspending from trading the Common Stock from the Trading Market, nor shall the Company have received any information suggesting that the Commission or the Trading Market is contemplating terminating such registration or listing, other than as may be disclosed in the Disclosure Schedules (as such term is defined in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(h) </w:t>
      </w:r>
      <w:r>
        <w:rPr>
          <w:rFonts w:ascii="Arial;Helvetica;Sans-Serif" w:hAnsi="Arial;Helvetica;Sans-Serif"/>
          <w:b w:val="false"/>
          <w:i w:val="false"/>
          <w:caps w:val="false"/>
          <w:smallCaps w:val="false"/>
          <w:sz w:val="20"/>
          <w:u w:val="single"/>
        </w:rPr>
        <w:t>Additional Documents</w:t>
      </w:r>
      <w:r>
        <w:rPr>
          <w:rFonts w:ascii="Arial;Helvetica;Sans-Serif" w:hAnsi="Arial;Helvetica;Sans-Serif"/>
          <w:b w:val="false"/>
          <w:i w:val="false"/>
          <w:caps w:val="false"/>
          <w:smallCaps w:val="false"/>
          <w:sz w:val="20"/>
        </w:rPr>
        <w:t>. On or before each Closing Date, the Placement Agent and counsel for the Placement Agent shall have received such information and documents as they may reasonably require for the purposes of enabling them to pass upon the issuance and sale of the Securities as contemplated herein, or in order to evidence the accuracy of any of the representations and warranties, or the satisfaction of any of the conditions or agreements, herein contained.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any condition specified in this Section 5 is not satisfied when and as required to be satisfied, this Agreement may be terminated by the Placement Agent by notice to the Company at any time on or prior to a Closing Date, which termination shall be without liability on the part of any party to any other party, except that Section 6 (Payment of Expenses), Section 7 (Indemnification and Contribution) and Section 8 (Representations and Indemnities to Survive Delivery) shall at all times be effective and shall survive such termination.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Section 6. Payment of Expenses</w:t>
      </w:r>
      <w:r>
        <w:rPr>
          <w:rFonts w:ascii="Arial;Helvetica;Sans-Serif" w:hAnsi="Arial;Helvetica;Sans-Serif"/>
          <w:b w:val="false"/>
          <w:i w:val="false"/>
          <w:caps w:val="false"/>
          <w:smallCaps w:val="false"/>
          <w:sz w:val="20"/>
        </w:rPr>
        <w:t>. The Company agrees to pay all costs, fees and expenses incurred by the Company in connection with the performance of its obligations hereunder and in connection with the transactions contemplated hereby, including, without limitation: (i) all expenses incident to the issuance, delivery and qualification of the Securities (including all printing and engraving costs); (ii) all fees and expenses of the registrar and transfer agent of the Common Stock; (iii) all necessary issue, transfer and other stamp taxes in connection with the issuance and sale of the Securities;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Preliminary Prospectus Supplement, the Final Prospectus Supplement, and all amendments and supplements thereto, and this Agreement; (vi) all filing fees, reasonable attorneys’ fees and expenses incurred by the Company in connection with qualifying or registering (or obtaining exemptions from the qualification or registration of) all or any part of the Securities for offer and sale under the state securities or blue sky laws or the securities laws of any other country, and, if requested by the Placement Agent, preparing and printing a “</w:t>
      </w:r>
      <w:r>
        <w:rPr>
          <w:rFonts w:ascii="Arial;Helvetica;Sans-Serif" w:hAnsi="Arial;Helvetica;Sans-Serif"/>
          <w:b w:val="false"/>
          <w:i w:val="false"/>
          <w:caps w:val="false"/>
          <w:smallCaps w:val="false"/>
          <w:sz w:val="20"/>
          <w:u w:val="single"/>
        </w:rPr>
        <w:t>Blue Sky Survey</w:t>
      </w:r>
      <w:r>
        <w:rPr>
          <w:rFonts w:ascii="Arial;Helvetica;Sans-Serif" w:hAnsi="Arial;Helvetica;Sans-Serif"/>
          <w:b w:val="false"/>
          <w:i w:val="false"/>
          <w:caps w:val="false"/>
          <w:smallCaps w:val="false"/>
          <w:sz w:val="20"/>
        </w:rPr>
        <w:t>,” an “</w:t>
      </w:r>
      <w:r>
        <w:rPr>
          <w:rFonts w:ascii="Arial;Helvetica;Sans-Serif" w:hAnsi="Arial;Helvetica;Sans-Serif"/>
          <w:b w:val="false"/>
          <w:i w:val="false"/>
          <w:caps w:val="false"/>
          <w:smallCaps w:val="false"/>
          <w:sz w:val="20"/>
          <w:u w:val="single"/>
        </w:rPr>
        <w:t>International Blue Sky Survey</w:t>
      </w:r>
      <w:r>
        <w:rPr>
          <w:rFonts w:ascii="Arial;Helvetica;Sans-Serif" w:hAnsi="Arial;Helvetica;Sans-Serif"/>
          <w:b w:val="false"/>
          <w:i w:val="false"/>
          <w:caps w:val="false"/>
          <w:smallCaps w:val="false"/>
          <w:sz w:val="20"/>
        </w:rPr>
        <w:t>” or other memorandum, and any supplements thereto, advising the Placement Agent of such qualifications, registrations and exemptions; (vii) if applicable, the filing fees incident to the review and approval by the FINRA of the Placement Agent’s participation in the offering and distribution of the Securities; (viii) the fees and expenses associated with including the Shares and the Warrant Shares on the Trading Market; (ix) all costs and expenses incident to the travel and accommodation of the Company’s employees on the “</w:t>
      </w:r>
      <w:r>
        <w:rPr>
          <w:rFonts w:ascii="Arial;Helvetica;Sans-Serif" w:hAnsi="Arial;Helvetica;Sans-Serif"/>
          <w:b w:val="false"/>
          <w:i w:val="false"/>
          <w:caps w:val="false"/>
          <w:smallCaps w:val="false"/>
          <w:sz w:val="20"/>
          <w:u w:val="single"/>
        </w:rPr>
        <w:t>roadshow</w:t>
      </w:r>
      <w:r>
        <w:rPr>
          <w:rFonts w:ascii="Arial;Helvetica;Sans-Serif" w:hAnsi="Arial;Helvetica;Sans-Serif"/>
          <w:b w:val="false"/>
          <w:i w:val="false"/>
          <w:caps w:val="false"/>
          <w:smallCaps w:val="false"/>
          <w:sz w:val="20"/>
        </w:rPr>
        <w:t>,” if any; and (x) all other fees, costs and expenses incurred by the Company related to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Section 7. Indemnification and Contribution.</w:t>
      </w:r>
      <w:r>
        <w:rPr>
          <w:rFonts w:ascii="Arial;Helvetica;Sans-Serif" w:hAnsi="Arial;Helvetica;Sans-Serif"/>
          <w:b w:val="false"/>
          <w:i w:val="false"/>
          <w:caps w:val="false"/>
          <w:smallCaps w:val="false"/>
          <w:sz w:val="20"/>
        </w:rPr>
        <w:t xml:space="preserve"> The Company agrees to indemnify the Placement Agent in accordance with the provisions of </w:t>
      </w:r>
      <w:r>
        <w:rPr>
          <w:rFonts w:ascii="Arial;Helvetica;Sans-Serif" w:hAnsi="Arial;Helvetica;Sans-Serif"/>
          <w:b w:val="false"/>
          <w:i w:val="false"/>
          <w:caps w:val="false"/>
          <w:smallCaps w:val="false"/>
          <w:sz w:val="20"/>
          <w:u w:val="single"/>
        </w:rPr>
        <w:t>Exhibit A</w:t>
      </w:r>
      <w:r>
        <w:rPr>
          <w:rFonts w:ascii="Arial;Helvetica;Sans-Serif" w:hAnsi="Arial;Helvetica;Sans-Serif"/>
          <w:b w:val="false"/>
          <w:i w:val="false"/>
          <w:caps w:val="false"/>
          <w:smallCaps w:val="false"/>
          <w:sz w:val="20"/>
        </w:rPr>
        <w:t xml:space="preserve"> to the Investment Banking Agreement, which is incorporated by reference herein and made a part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Section 8. Representations and Indemnities to Survive Delivery</w:t>
      </w:r>
      <w:r>
        <w:rPr>
          <w:rFonts w:ascii="Arial;Helvetica;Sans-Serif" w:hAnsi="Arial;Helvetica;Sans-Serif"/>
          <w:b w:val="false"/>
          <w:i w:val="false"/>
          <w:caps w:val="false"/>
          <w:smallCaps w:val="false"/>
          <w:sz w:val="20"/>
        </w:rPr>
        <w:t>. The respective indemnities, agreements, representations, warranties and other statements of the Company or any person controlling the Company, of its officers, and of the Placement Agent set forth in or made pursuant to this Agreement will remain in full force and effect, regardless of any investigation made by or on behalf of the Placement Agent, the Company, or any of its or their partners, officers or directors or any controlling person, as the case may be, and will survive delivery of and payment for the Securities sold hereunder and any termination of this Agreement. A successor to a Placement Agent, or to the Company, its directors or officers or any person controlling the Company, shall be entitled to the benefits of the indemnity, contribution and reimbursement agreements contained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Section 9. Notices</w:t>
      </w:r>
      <w:r>
        <w:rPr>
          <w:rFonts w:ascii="Arial;Helvetica;Sans-Serif" w:hAnsi="Arial;Helvetica;Sans-Serif"/>
          <w:b w:val="false"/>
          <w:i w:val="false"/>
          <w:caps w:val="false"/>
          <w:smallCaps w:val="false"/>
          <w:sz w:val="20"/>
        </w:rPr>
        <w:t>. All communications hereunder shall be in writing and shall be mailed, hand delivered, telecopied or e-mailed and confirmed to the parties hereto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to the Placement Agent to the address set forth above, attention: General Counsel, facsimile: (305) 572-4220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 xml:space="preserve">With a copy to: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Ellenoff Grossman &amp; Schole LLP</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1345 Avenue of the Americas, 11th Floor</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New York, New York 10105</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E-Mail: capmkts@egsllp.com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to the Company, 3655 Nobel Drive, Suite 260, San Diego, CA 92122</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Attn: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 xml:space="preserve">With a copy to: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Sheppard, Mullin, Richter &amp; Hampton LLP</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12275 El Camino Real, Suite 100</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San Diego, CA 92130</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Attn: Edwin Astudillo, Esq.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party hereto may change the address for receipt of communications by giving written notice to the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Section 10. Successors</w:t>
      </w:r>
      <w:r>
        <w:rPr>
          <w:rFonts w:ascii="Arial;Helvetica;Sans-Serif" w:hAnsi="Arial;Helvetica;Sans-Serif"/>
          <w:b w:val="false"/>
          <w:i w:val="false"/>
          <w:caps w:val="false"/>
          <w:smallCaps w:val="false"/>
          <w:sz w:val="20"/>
        </w:rPr>
        <w:t>. This Agreement will inure to the benefit of and be binding upon the parties hereto, and to the benefit of the employees, officers and directors and controlling persons referred to in Section 7 hereof, and to their respective successors, and personal representative, and no other person will have any right or obligation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Section 11. Partial Unenforceability</w:t>
      </w:r>
      <w:r>
        <w:rPr>
          <w:rFonts w:ascii="Arial;Helvetica;Sans-Serif" w:hAnsi="Arial;Helvetica;Sans-Serif"/>
          <w:b w:val="false"/>
          <w:i w:val="false"/>
          <w:caps w:val="false"/>
          <w:smallCaps w:val="false"/>
          <w:sz w:val="20"/>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Section 12. Governing Law Provisions</w:t>
      </w:r>
      <w:r>
        <w:rPr>
          <w:rFonts w:ascii="Arial;Helvetica;Sans-Serif" w:hAnsi="Arial;Helvetica;Sans-Serif"/>
          <w:b w:val="false"/>
          <w:i w:val="false"/>
          <w:caps w:val="false"/>
          <w:smallCaps w:val="false"/>
          <w:sz w:val="20"/>
        </w:rPr>
        <w:t>. This Agreement shall be deemed to have been made and delivered in New York City and both this Agreement and the transactions contemplated hereby shall be governed as to validity, interpretation, construction, effect and in all other respects by the internal laws of the State of New York, without regard to the conflict of laws principles thereof. Each of the Placement Agent and the Company: (i) agrees that any legal suit, action or proceeding arising out of or relating to this Agreement and/or the transactions contemplated hereby shall be instituted exclusively in New York Supreme Court, County of New York, or in the United States District Court for the Southern District of New York, (ii) waives any objection which it may have or hereafter to the venue of any such suit, action or proceeding, and (iii) irrevocably consents to the jurisdiction of the New York Supreme Court, County of New York, and the United States District Court for the Southern District of New York in any such suit, action or proceeding. Each of the Placement Agent and the Company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mailed by certified mail to the Company’s address shall be deemed in every respect effective service of process upon the Company, in any such suit, action or proceeding, and service of process upon the Placement Agent mailed by certified mail to the Placement Agent’s address shall be deemed in every respect effective service process upon the Placement Agent, in any such suit, action or proceeding. Notwithstanding any provision of this Agreement to the contrary, the Company agrees that neither the Placement Agent nor its affiliates, and the respective officers, directors, employees, agents and representatives of the Placement Agent, its affiliates and each other person, if any, controlling the Placement Agent or any of its affiliates, shall have any liability (whether direct or indirect, in contract or tort or otherwise) to the Company for or in connection with the engagement and transaction described herein except for any such liability for losses, claims, damages or liabilities incurred by us that are finally judicially determined to have resulted from the willful misconduct or gross negligence of such individuals or entities. If either party shall commence an action or proceeding to enforce any provision of this Agreement, then the prevailing party in such action or proceeding shall be reimbursed by the other party for its reasonable attorney’s fees and other costs and expenses incurred with the investigation, preparation and prosecution of such action or proceeding.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Section 13. General Provisions</w:t>
      </w:r>
      <w:r>
        <w:rPr>
          <w:rFonts w:ascii="Arial;Helvetica;Sans-Serif" w:hAnsi="Arial;Helvetica;San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This Agreement constitutes the entire agreement of the parties to this Agreement and supersedes all prior written or oral and all contemporaneous oral agreements, understandings and negotiations with respect to the subject matter hereof. Notwithstanding anything herein to the contrary, the Investment Banking Agreement between the Company and the Placement Agent, shall continue to be effective and the terms therein shall continue to survive and be enforceable by the parties in accordance with its terms.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Section headings herein are for the convenience of the parties only and shall not affect the construction or interpretation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 The Company acknowledges that in connection with the offering of the Securities: (i) the Placement Agent has acted at arms length, is not an agent of, and owes no fiduciary duties to the Company or any other person, (ii) the Placement Agent owes the Company only those duties and obligations set forth in this Agreement and (iii) the Placement Agent may have interests that differ from those of the Company. The Company waives to the full extent permitted by applicable law any claims it may have against the Placement Agent arising from an alleged breach of fiduciary duty in connection with the offering of the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r>
        <w:rPr>
          <w:rFonts w:ascii="Arial;Helvetica;Sans-Serif" w:hAnsi="Arial;Helvetica;Sans-Serif"/>
          <w:b w:val="false"/>
          <w:i/>
          <w:caps w:val="false"/>
          <w:smallCaps w:val="false"/>
          <w:sz w:val="20"/>
        </w:rPr>
        <w:t>The remainder of this page has been intentionally left blank.</w:t>
      </w:r>
      <w:r>
        <w:rPr>
          <w:rFonts w:ascii="Arial;Helvetica;Sans-Serif" w:hAnsi="Arial;Helvetica;San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the foregoing is in accordance with your understanding of our agreement, please sign below whereupon this instrument, along with all counterparts hereof, shall become a binding agreement in accordance with its terms.</w:t>
      </w:r>
    </w:p>
    <w:p>
      <w:pPr>
        <w:pStyle w:val="TextBody"/>
        <w:bidi w:val="0"/>
        <w:spacing w:before="0" w:after="0"/>
        <w:jc w:val="center"/>
        <w:rPr>
          <w:caps w:val="false"/>
          <w:smallCaps w:val="false"/>
        </w:rPr>
      </w:pPr>
      <w:r>
        <w:rPr>
          <w:caps w:val="false"/>
          <w:smallCaps w:val="false"/>
        </w:rPr>
        <w:t> </w:t>
      </w:r>
    </w:p>
    <w:tbl>
      <w:tblPr>
        <w:tblW w:w="2494" w:type="dxa"/>
        <w:jc w:val="left"/>
        <w:tblInd w:w="0" w:type="dxa"/>
        <w:tblLayout w:type="fixed"/>
        <w:tblCellMar>
          <w:top w:w="0" w:type="dxa"/>
          <w:left w:w="0" w:type="dxa"/>
          <w:bottom w:w="0" w:type="dxa"/>
          <w:right w:w="0" w:type="dxa"/>
        </w:tblCellMar>
      </w:tblPr>
      <w:tblGrid>
        <w:gridCol w:w="75"/>
        <w:gridCol w:w="988"/>
        <w:gridCol w:w="1431"/>
      </w:tblGrid>
      <w:tr>
        <w:trPr/>
        <w:tc>
          <w:tcPr>
            <w:tcW w:w="75" w:type="dxa"/>
            <w:tcBorders/>
            <w:vAlign w:val="center"/>
          </w:tcPr>
          <w:p>
            <w:pPr>
              <w:pStyle w:val="TableContents"/>
              <w:bidi w:val="0"/>
              <w:spacing w:before="0" w:after="283"/>
              <w:jc w:val="left"/>
              <w:rPr/>
            </w:pPr>
            <w:r>
              <w:rPr/>
              <w:t> </w:t>
            </w:r>
          </w:p>
        </w:tc>
        <w:tc>
          <w:tcPr>
            <w:tcW w:w="2419" w:type="dxa"/>
            <w:gridSpan w:val="2"/>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Very truly yours,</w:t>
            </w:r>
          </w:p>
        </w:tc>
      </w:tr>
      <w:tr>
        <w:trPr/>
        <w:tc>
          <w:tcPr>
            <w:tcW w:w="75"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left"/>
              <w:rPr/>
            </w:pPr>
            <w:r>
              <w:rPr/>
              <w:t> </w:t>
            </w:r>
          </w:p>
        </w:tc>
        <w:tc>
          <w:tcPr>
            <w:tcW w:w="14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19" w:type="dxa"/>
            <w:gridSpan w:val="2"/>
            <w:tcBorders/>
            <w:vAlign w:val="center"/>
          </w:tcPr>
          <w:p>
            <w:pPr>
              <w:pStyle w:val="TableContents"/>
              <w:bidi w:val="0"/>
              <w:spacing w:before="0" w:after="283"/>
              <w:jc w:val="left"/>
              <w:rPr>
                <w:rFonts w:ascii="Arial;Helvetica;Sans-Serif" w:hAnsi="Arial;Helvetica;Sans-Serif"/>
                <w:caps/>
                <w:sz w:val="20"/>
              </w:rPr>
            </w:pPr>
            <w:r>
              <w:rPr>
                <w:rFonts w:ascii="Arial;Helvetica;Sans-Serif" w:hAnsi="Arial;Helvetica;Sans-Serif"/>
                <w:b/>
                <w:caps/>
                <w:sz w:val="20"/>
              </w:rPr>
              <w:t>DARÉ BIOSCIENCE, INC.</w:t>
            </w:r>
            <w:r>
              <w:rPr>
                <w:rFonts w:ascii="Arial;Helvetica;Sans-Serif" w:hAnsi="Arial;Helvetica;Sans-Serif"/>
                <w:caps/>
                <w:sz w:val="20"/>
              </w:rPr>
              <w:t>,</w:t>
            </w:r>
          </w:p>
        </w:tc>
      </w:tr>
      <w:tr>
        <w:trPr/>
        <w:tc>
          <w:tcPr>
            <w:tcW w:w="75" w:type="dxa"/>
            <w:tcBorders/>
            <w:vAlign w:val="center"/>
          </w:tcPr>
          <w:p>
            <w:pPr>
              <w:pStyle w:val="TableContents"/>
              <w:bidi w:val="0"/>
              <w:spacing w:before="0" w:after="283"/>
              <w:jc w:val="left"/>
              <w:rPr/>
            </w:pPr>
            <w:r>
              <w:rPr/>
              <w:t> </w:t>
            </w:r>
          </w:p>
        </w:tc>
        <w:tc>
          <w:tcPr>
            <w:tcW w:w="2419" w:type="dxa"/>
            <w:gridSpan w:val="2"/>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 Delaware corporation</w:t>
            </w:r>
          </w:p>
        </w:tc>
      </w:tr>
      <w:tr>
        <w:trPr/>
        <w:tc>
          <w:tcPr>
            <w:tcW w:w="75"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left"/>
              <w:rPr/>
            </w:pPr>
            <w:r>
              <w:rPr/>
              <w:t> </w:t>
            </w:r>
          </w:p>
        </w:tc>
        <w:tc>
          <w:tcPr>
            <w:tcW w:w="14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By:</w:t>
            </w:r>
          </w:p>
        </w:tc>
        <w:tc>
          <w:tcPr>
            <w:tcW w:w="143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w:t>
            </w:r>
          </w:p>
        </w:tc>
        <w:tc>
          <w:tcPr>
            <w:tcW w:w="14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Title:</w:t>
            </w:r>
          </w:p>
        </w:tc>
        <w:tc>
          <w:tcPr>
            <w:tcW w:w="1431"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foregoing Placement Agency Agreement is hereby confirmed and accepted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3514" w:type="dxa"/>
        <w:jc w:val="left"/>
        <w:tblInd w:w="0" w:type="dxa"/>
        <w:tblLayout w:type="fixed"/>
        <w:tblCellMar>
          <w:top w:w="0" w:type="dxa"/>
          <w:left w:w="0" w:type="dxa"/>
          <w:bottom w:w="0" w:type="dxa"/>
          <w:right w:w="0" w:type="dxa"/>
        </w:tblCellMar>
      </w:tblPr>
      <w:tblGrid>
        <w:gridCol w:w="1827"/>
        <w:gridCol w:w="1612"/>
        <w:gridCol w:w="75"/>
      </w:tblGrid>
      <w:tr>
        <w:trPr/>
        <w:tc>
          <w:tcPr>
            <w:tcW w:w="3439" w:type="dxa"/>
            <w:gridSpan w:val="2"/>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LADENBURG THALMANN &amp; CO. INC.</w:t>
            </w:r>
          </w:p>
        </w:tc>
        <w:tc>
          <w:tcPr>
            <w:tcW w:w="75" w:type="dxa"/>
            <w:tcBorders/>
            <w:vAlign w:val="center"/>
          </w:tcPr>
          <w:p>
            <w:pPr>
              <w:pStyle w:val="TableContents"/>
              <w:bidi w:val="0"/>
              <w:spacing w:before="0" w:after="283"/>
              <w:jc w:val="left"/>
              <w:rPr/>
            </w:pPr>
            <w:r>
              <w:rPr/>
              <w:t> </w:t>
            </w:r>
          </w:p>
        </w:tc>
      </w:tr>
      <w:tr>
        <w:trPr/>
        <w:tc>
          <w:tcPr>
            <w:tcW w:w="1827"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By:</w:t>
            </w:r>
          </w:p>
        </w:tc>
        <w:tc>
          <w:tcPr>
            <w:tcW w:w="1612"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w:t>
            </w:r>
          </w:p>
        </w:tc>
        <w:tc>
          <w:tcPr>
            <w:tcW w:w="161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Title:</w:t>
            </w:r>
          </w:p>
        </w:tc>
        <w:tc>
          <w:tcPr>
            <w:tcW w:w="161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5" w:name="ex99-1.htm"/>
      <w:bookmarkStart w:id="36" w:name="ksex991"/>
      <w:bookmarkEnd w:id="35"/>
      <w:bookmarkEnd w:id="36"/>
      <w:r>
        <w:rPr>
          <w:caps w:val="false"/>
          <w:smallCaps w:val="false"/>
        </w:rPr>
        <w:t> </w:t>
      </w:r>
      <w:r>
        <w:br w:type="page"/>
      </w:r>
    </w:p>
    <w:p>
      <w:pPr>
        <w:pStyle w:val="TextBody"/>
        <w:bidi w:val="0"/>
        <w:spacing w:before="0" w:after="0"/>
        <w:ind w:left="0" w:right="0" w:hanging="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Daré Bioscience Announces Pricing of $6.0 Million Registered Direct Offering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Priced At-The-Market Under Nasdaq Rules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San Diego, August 14, 2026 (GLOBE NEWSWIRE) — Daré Bioscience, Inc. (Nasdaq: DARE), a purpose-driven health biotech company solely focused on closing the gap in women’s health between promising science and real-world solutions, </w:t>
      </w:r>
      <w:r>
        <w:rPr>
          <w:rFonts w:ascii="Arial;Helvetica;Sans-Serif" w:hAnsi="Arial;Helvetica;Sans-Serif"/>
          <w:b w:val="false"/>
          <w:i w:val="false"/>
          <w:caps w:val="false"/>
          <w:smallCaps w:val="false"/>
          <w:sz w:val="20"/>
          <w:shd w:fill="FFFFFF" w:val="clear"/>
        </w:rPr>
        <w:t xml:space="preserve">today announced that it has entered into a definitive securities purchase agreement with institutional investors for the purchase and sale of 4,379,581 shares of the Company’s common stock (or pre-funded warrants to purchase shares of common stock in lieu thereof), at a price </w:t>
      </w:r>
      <w:r>
        <w:rPr>
          <w:rFonts w:ascii="Arial;Helvetica;Sans-Serif" w:hAnsi="Arial;Helvetica;Sans-Serif"/>
          <w:b w:val="false"/>
          <w:i w:val="false"/>
          <w:caps w:val="false"/>
          <w:smallCaps w:val="false"/>
          <w:sz w:val="20"/>
        </w:rPr>
        <w:t xml:space="preserve">of $1.37 </w:t>
      </w:r>
      <w:r>
        <w:rPr>
          <w:rFonts w:ascii="Arial;Helvetica;Sans-Serif" w:hAnsi="Arial;Helvetica;Sans-Serif"/>
          <w:b w:val="false"/>
          <w:i w:val="false"/>
          <w:caps w:val="false"/>
          <w:smallCaps w:val="false"/>
          <w:sz w:val="20"/>
          <w:shd w:fill="FFFFFF" w:val="clear"/>
        </w:rPr>
        <w:t xml:space="preserve">per share of common stock (or </w:t>
      </w:r>
      <w:r>
        <w:rPr>
          <w:rFonts w:ascii="Arial;Helvetica;Sans-Serif" w:hAnsi="Arial;Helvetica;Sans-Serif"/>
          <w:b w:val="false"/>
          <w:i w:val="false"/>
          <w:caps w:val="false"/>
          <w:smallCaps w:val="false"/>
          <w:sz w:val="20"/>
        </w:rPr>
        <w:t xml:space="preserve">$1.3699 </w:t>
      </w:r>
      <w:r>
        <w:rPr>
          <w:rFonts w:ascii="Arial;Helvetica;Sans-Serif" w:hAnsi="Arial;Helvetica;Sans-Serif"/>
          <w:b w:val="false"/>
          <w:i w:val="false"/>
          <w:caps w:val="false"/>
          <w:smallCaps w:val="false"/>
          <w:sz w:val="20"/>
          <w:shd w:fill="FFFFFF" w:val="clear"/>
        </w:rPr>
        <w:t>per pre-funded warrant) in a registered direct offering priced at-the-market under Nasdaq rules. Each pre-funded warrant will be exercisable upon issuance at an exercise price of $0.0001 per share and will expire when exercised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In addition, in a concurrent private placement, the Company will issue to the investors Series A warrants to purchase in the aggregate up to 4,379,581 shares of common stock, and Series B warrants to purchase in the aggregate up to 4,379,581 shares of common stock (or pre-funded warrants to purchase shares of common stock in lieu thereof). The exercisability of both the Series A warrants and the Series B warrants will be subject to obtaining stockholder approval as may be required under Nasdaq rules. The Series A warrants will have an exercise price of $1.37 per share, will be exercisable on or after stockholder approval, and will have a term of five years from the initial exercise date. The Series B warrants will have an exercise price of $1.37 per share, will be exercisable on or after stockholder approval, and will have a term of two years from the initial exercise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 xml:space="preserve">The aggregate gross proceeds to the Company from the registered direct offering at the closing are expected to be $6.0 million before deducting placement agent fees and estimated offering expenses payable by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closing of the registered direct offering and the concurrent private placement is expected to occur on or about August 17, 2026, subject to the satisfaction of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Ladenburg Thalmann &amp; Co. Inc. is acting as exclusive placement agent for the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securities described above (excluding the Series A warrants, Series B warrants, and the shares of common stock underlying the Series A warrants and Series B warrants) are being offered pursuant to a shelf registration statement on Form S-3 (File No. 333-278380), which was declared effective by the United States Securities and Exchange Commission (“SEC”) on May 10, 2024. The registered direct offering is being made only by means of a prospectus, including a prospectus supplement, which is part of the effective registration statement, that will be filed with the SEC. </w:t>
      </w:r>
      <w:r>
        <w:rPr>
          <w:rFonts w:ascii="Arial;Helvetica;Sans-Serif" w:hAnsi="Arial;Helvetica;Sans-Serif"/>
          <w:b w:val="false"/>
          <w:i w:val="false"/>
          <w:caps w:val="false"/>
          <w:smallCaps w:val="false"/>
          <w:sz w:val="20"/>
          <w:shd w:fill="FFFFFF" w:val="clear"/>
        </w:rPr>
        <w:t xml:space="preserve">Electronic copies of the final prospectus supplement and accompanying prospectus may be obtained, when available, on the SEC’s website at </w:t>
      </w:r>
      <w:r>
        <w:rPr>
          <w:rFonts w:ascii="Arial;Helvetica;Sans-Serif" w:hAnsi="Arial;Helvetica;Sans-Serif"/>
          <w:b w:val="false"/>
          <w:i w:val="false"/>
          <w:caps w:val="false"/>
          <w:smallCaps w:val="false"/>
          <w:sz w:val="20"/>
          <w:u w:val="single"/>
          <w:bdr w:val="single" w:sz="8" w:space="1" w:color="000000"/>
          <w:shd w:fill="FFFFFF" w:val="clear"/>
        </w:rPr>
        <w:t>http://www.sec.gov</w:t>
      </w:r>
      <w:r>
        <w:rPr>
          <w:rFonts w:ascii="Arial;Helvetica;Sans-Serif" w:hAnsi="Arial;Helvetica;Sans-Serif"/>
          <w:b w:val="false"/>
          <w:i w:val="false"/>
          <w:caps w:val="false"/>
          <w:smallCaps w:val="false"/>
          <w:sz w:val="20"/>
        </w:rPr>
        <w:t xml:space="preserve"> </w:t>
      </w:r>
      <w:r>
        <w:rPr>
          <w:rFonts w:ascii="Arial;Helvetica;Sans-Serif" w:hAnsi="Arial;Helvetica;Sans-Serif"/>
          <w:b w:val="false"/>
          <w:i w:val="false"/>
          <w:caps w:val="false"/>
          <w:smallCaps w:val="false"/>
          <w:sz w:val="20"/>
          <w:shd w:fill="FFFFFF" w:val="clear"/>
        </w:rPr>
        <w:t>or by contacting Ladenburg Thalmann &amp; Co. Inc., Prospectus Department, 640 Fifth Avenue, 4th Floor, New York, New York 10019 or by email at prospectus@ladenburg.com</w:t>
      </w:r>
      <w:r>
        <w:rPr>
          <w:rFonts w:ascii="Arial;Helvetica;Sans-Serif" w:hAnsi="Arial;Helvetica;San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Series A warrants and Series B warrants, along with the shares of common stock underlying such warrants, are being offered in a private placement under Section 4(a)(2) of the Securities Act of 1933, as amended (the “Act”), and Regulation D promulgated thereunder and have not been registered under the Act, or applicable state securities laws. Accordingly, the Series A warrants and Series B warrants and the underlying shares of common stock may not be offered or sold in the United States except pursuant to an effective registration statement or an applicable exemption from the registration requirements of the Act and such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press release shall not constitute an offer to sell or the solicitation of an offer to buy any of the securities described herein, nor shall there be any sales of these securities in any jurisdiction in which such offer, solicitation or sale would be unlawful prior to registration or qualification under the securities laws of such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DARÉ BIOSCIENCE,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Daré Bioscience (NASDAQ: DARE) is a purpose-driven health biotech company solely focused on closing the gap in women’s health between promising science and real-world solutions. Every innovation Daré advances is based in advanced science and backed by rigorous, peer-reviewed research. From contraception to menopause, sexual health to fertility, vaginal health to infectious disease, Daré is working to close critical gaps in care using science that serves her needs. For decades, women have been told to “wait it out” or “live with it,” while innovations that could improve their quality of life languish in the regulatory or funding pipeline. With growing awareness around menopause, sexual health, and vaginal health, the conversation is shifting. However, access to proven solutions is lagging. Daré is working to change that. Learn more at </w:t>
      </w:r>
      <w:r>
        <w:rPr>
          <w:rFonts w:ascii="Arial;Helvetica;Sans-Serif" w:hAnsi="Arial;Helvetica;Sans-Serif"/>
          <w:b w:val="false"/>
          <w:i w:val="false"/>
          <w:caps w:val="false"/>
          <w:smallCaps w:val="false"/>
          <w:sz w:val="20"/>
          <w:u w:val="single"/>
        </w:rPr>
        <w:t>darebioscience.com</w:t>
      </w:r>
      <w:r>
        <w:rPr>
          <w:rFonts w:ascii="Arial;Helvetica;Sans-Serif" w:hAnsi="Arial;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Daré cautions you that all statements, other than statements of historical facts, contained in this press release, are forward-looking statements. Forward-looking statements, in some cases, can be identified by terms such as “believe,” “may,” “will,” “estimate,” “continue,” “anticipate,” “design,” “intend,” “expect,” “could,” “plan,” “potential,” “predict,” “seek,” “should,” “would,” “contemplate,” “project,” “target,” “objective,” or the negative version of these words and similar expressions. In this press release, forward-looking statements include, but are not limited to, statements relating to timing, size, terms and completion of the offerings. Forward-looking statements involve known and unknown risks, uncertainties and other factors that may cause Daré’s actual results, performance or achievements to be materially different from future results, performance or achievements expressed or implied by the forward-looking statements in this press release, including, without limitation, risks and uncertainties related to the timing, size, terms and completion of the offerings. Daré’s forward-looking statements are based upon its current expectations and involve assumptions that may never materialize or may prove to be incorrect. All forward-looking statements are expressly qualified in their entirety by these cautionary statements. For a detailed description of Daré’s risks and uncertainties, you are encouraged to review its documents filed with the SEC including Daré’s recent filings on Form 8-K, Form 10-K and Form 10-Q. You are cautioned not to place undue reliance on forward-looking statements, which speak only as of the date on which they were made. Daré undertakes no obligation to update such statements to reflect events that occur or circumstances that exist after the date on which they were made,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further information,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Daré Bioscience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innovations@darebioscience.com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Source: Daré Bioscience, Inc.</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72</Pages>
  <Words>64917</Words>
  <Characters>341213</Characters>
  <CharactersWithSpaces>406547</CharactersWithSpaces>
  <Paragraphs>2058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