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5"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ind w:left="4020"/>
        <w:spacing w:after="0"/>
        <w:rPr>
          <w:sz w:val="20"/>
          <w:szCs w:val="20"/>
          <w:color w:val="auto"/>
        </w:rPr>
      </w:pPr>
      <w:r>
        <w:rPr>
          <w:rFonts w:ascii="Arial" w:cs="Arial" w:eastAsia="Arial" w:hAnsi="Arial"/>
          <w:sz w:val="22"/>
          <w:szCs w:val="22"/>
          <w:b w:val="1"/>
          <w:bCs w:val="1"/>
          <w:color w:val="auto"/>
        </w:rPr>
        <w:t>Pursuant to Section 13 or 15(d)</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May 14, 2026</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DARÉ BIOSCIENCE, INC.</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83" w:lineRule="exact"/>
        <w:rPr>
          <w:sz w:val="24"/>
          <w:szCs w:val="24"/>
          <w:color w:val="auto"/>
        </w:rPr>
      </w:pPr>
    </w:p>
    <w:tbl>
      <w:tblPr>
        <w:tblLayout w:type="fixed"/>
        <w:tblInd w:w="1540" w:type="dxa"/>
        <w:tblCellMar>
          <w:top w:w="0" w:type="dxa"/>
          <w:left w:w="0" w:type="dxa"/>
          <w:bottom w:w="0" w:type="dxa"/>
          <w:right w:w="0" w:type="dxa"/>
        </w:tblCellMar>
      </w:tblPr>
      <w:tr>
        <w:trPr>
          <w:trHeight w:val="239"/>
        </w:trPr>
        <w:tc>
          <w:tcPr>
            <w:tcW w:w="2000" w:type="dxa"/>
            <w:vAlign w:val="bottom"/>
          </w:tcPr>
          <w:p>
            <w:pPr>
              <w:jc w:val="center"/>
              <w:ind w:right="282"/>
              <w:spacing w:after="0"/>
              <w:rPr>
                <w:sz w:val="20"/>
                <w:szCs w:val="20"/>
                <w:color w:val="auto"/>
              </w:rPr>
            </w:pPr>
            <w:r>
              <w:rPr>
                <w:rFonts w:ascii="Arial" w:cs="Arial" w:eastAsia="Arial" w:hAnsi="Arial"/>
                <w:sz w:val="18"/>
                <w:szCs w:val="18"/>
                <w:b w:val="1"/>
                <w:bCs w:val="1"/>
                <w:color w:val="auto"/>
              </w:rPr>
              <w:t>Delaware</w:t>
            </w:r>
          </w:p>
        </w:tc>
        <w:tc>
          <w:tcPr>
            <w:tcW w:w="4320" w:type="dxa"/>
            <w:vAlign w:val="bottom"/>
          </w:tcPr>
          <w:p>
            <w:pPr>
              <w:ind w:left="1680"/>
              <w:spacing w:after="0"/>
              <w:rPr>
                <w:sz w:val="20"/>
                <w:szCs w:val="20"/>
                <w:color w:val="auto"/>
              </w:rPr>
            </w:pPr>
            <w:r>
              <w:rPr>
                <w:rFonts w:ascii="Arial" w:cs="Arial" w:eastAsia="Arial" w:hAnsi="Arial"/>
                <w:sz w:val="18"/>
                <w:szCs w:val="18"/>
                <w:b w:val="1"/>
                <w:bCs w:val="1"/>
                <w:color w:val="auto"/>
              </w:rPr>
              <w:t>001-36395</w:t>
            </w:r>
          </w:p>
        </w:tc>
        <w:tc>
          <w:tcPr>
            <w:tcW w:w="1660" w:type="dxa"/>
            <w:vAlign w:val="bottom"/>
          </w:tcPr>
          <w:p>
            <w:pPr>
              <w:jc w:val="center"/>
              <w:ind w:left="462"/>
              <w:spacing w:after="0"/>
              <w:rPr>
                <w:sz w:val="20"/>
                <w:szCs w:val="20"/>
                <w:color w:val="auto"/>
              </w:rPr>
            </w:pPr>
            <w:r>
              <w:rPr>
                <w:rFonts w:ascii="Arial" w:cs="Arial" w:eastAsia="Arial" w:hAnsi="Arial"/>
                <w:sz w:val="18"/>
                <w:szCs w:val="18"/>
                <w:b w:val="1"/>
                <w:bCs w:val="1"/>
                <w:color w:val="auto"/>
                <w:w w:val="99"/>
              </w:rPr>
              <w:t>20-4139823</w:t>
            </w:r>
          </w:p>
        </w:tc>
      </w:tr>
      <w:tr>
        <w:trPr>
          <w:trHeight w:val="144"/>
        </w:trPr>
        <w:tc>
          <w:tcPr>
            <w:tcW w:w="2000" w:type="dxa"/>
            <w:vAlign w:val="bottom"/>
          </w:tcPr>
          <w:p>
            <w:pPr>
              <w:jc w:val="center"/>
              <w:ind w:right="282"/>
              <w:spacing w:after="0" w:line="145" w:lineRule="exact"/>
              <w:rPr>
                <w:sz w:val="20"/>
                <w:szCs w:val="20"/>
                <w:color w:val="auto"/>
              </w:rPr>
            </w:pPr>
            <w:r>
              <w:rPr>
                <w:rFonts w:ascii="Arial" w:cs="Arial" w:eastAsia="Arial" w:hAnsi="Arial"/>
                <w:sz w:val="14"/>
                <w:szCs w:val="14"/>
                <w:color w:val="auto"/>
              </w:rPr>
              <w:t>(State or other jurisdiction</w:t>
            </w:r>
          </w:p>
        </w:tc>
        <w:tc>
          <w:tcPr>
            <w:tcW w:w="4320" w:type="dxa"/>
            <w:vAlign w:val="bottom"/>
          </w:tcPr>
          <w:p>
            <w:pPr>
              <w:ind w:left="1700"/>
              <w:spacing w:after="0" w:line="145" w:lineRule="exact"/>
              <w:rPr>
                <w:sz w:val="20"/>
                <w:szCs w:val="20"/>
                <w:color w:val="auto"/>
              </w:rPr>
            </w:pPr>
            <w:r>
              <w:rPr>
                <w:rFonts w:ascii="Arial" w:cs="Arial" w:eastAsia="Arial" w:hAnsi="Arial"/>
                <w:sz w:val="14"/>
                <w:szCs w:val="14"/>
                <w:color w:val="auto"/>
              </w:rPr>
              <w:t>(Commission</w:t>
            </w:r>
          </w:p>
        </w:tc>
        <w:tc>
          <w:tcPr>
            <w:tcW w:w="1660" w:type="dxa"/>
            <w:vAlign w:val="bottom"/>
          </w:tcPr>
          <w:p>
            <w:pPr>
              <w:jc w:val="center"/>
              <w:ind w:left="442"/>
              <w:spacing w:after="0" w:line="145" w:lineRule="exact"/>
              <w:rPr>
                <w:sz w:val="20"/>
                <w:szCs w:val="20"/>
                <w:color w:val="auto"/>
              </w:rPr>
            </w:pPr>
            <w:r>
              <w:rPr>
                <w:rFonts w:ascii="Arial" w:cs="Arial" w:eastAsia="Arial" w:hAnsi="Arial"/>
                <w:sz w:val="14"/>
                <w:szCs w:val="14"/>
                <w:color w:val="auto"/>
              </w:rPr>
              <w:t>(I.R.S. Employer</w:t>
            </w:r>
          </w:p>
        </w:tc>
      </w:tr>
      <w:tr>
        <w:trPr>
          <w:trHeight w:val="190"/>
        </w:trPr>
        <w:tc>
          <w:tcPr>
            <w:tcW w:w="2000" w:type="dxa"/>
            <w:vAlign w:val="bottom"/>
          </w:tcPr>
          <w:p>
            <w:pPr>
              <w:jc w:val="center"/>
              <w:ind w:right="282"/>
              <w:spacing w:after="0"/>
              <w:rPr>
                <w:sz w:val="20"/>
                <w:szCs w:val="20"/>
                <w:color w:val="auto"/>
              </w:rPr>
            </w:pPr>
            <w:r>
              <w:rPr>
                <w:rFonts w:ascii="Arial" w:cs="Arial" w:eastAsia="Arial" w:hAnsi="Arial"/>
                <w:sz w:val="14"/>
                <w:szCs w:val="14"/>
                <w:color w:val="auto"/>
              </w:rPr>
              <w:t>of incorporation)</w:t>
            </w:r>
          </w:p>
        </w:tc>
        <w:tc>
          <w:tcPr>
            <w:tcW w:w="4320" w:type="dxa"/>
            <w:vAlign w:val="bottom"/>
          </w:tcPr>
          <w:p>
            <w:pPr>
              <w:ind w:left="1700"/>
              <w:spacing w:after="0"/>
              <w:rPr>
                <w:sz w:val="20"/>
                <w:szCs w:val="20"/>
                <w:color w:val="auto"/>
              </w:rPr>
            </w:pPr>
            <w:r>
              <w:rPr>
                <w:rFonts w:ascii="Arial" w:cs="Arial" w:eastAsia="Arial" w:hAnsi="Arial"/>
                <w:sz w:val="14"/>
                <w:szCs w:val="14"/>
                <w:color w:val="auto"/>
              </w:rPr>
              <w:t>File Number)</w:t>
            </w:r>
          </w:p>
        </w:tc>
        <w:tc>
          <w:tcPr>
            <w:tcW w:w="1660" w:type="dxa"/>
            <w:vAlign w:val="bottom"/>
          </w:tcPr>
          <w:p>
            <w:pPr>
              <w:jc w:val="center"/>
              <w:ind w:left="462"/>
              <w:spacing w:after="0"/>
              <w:rPr>
                <w:sz w:val="20"/>
                <w:szCs w:val="20"/>
                <w:color w:val="auto"/>
              </w:rPr>
            </w:pPr>
            <w:r>
              <w:rPr>
                <w:rFonts w:ascii="Arial" w:cs="Arial" w:eastAsia="Arial" w:hAnsi="Arial"/>
                <w:sz w:val="14"/>
                <w:szCs w:val="14"/>
                <w:color w:val="auto"/>
              </w:rPr>
              <w:t>Identification No.)</w:t>
            </w:r>
          </w:p>
        </w:tc>
      </w:tr>
      <w:tr>
        <w:trPr>
          <w:trHeight w:val="574"/>
        </w:trPr>
        <w:tc>
          <w:tcPr>
            <w:tcW w:w="2000" w:type="dxa"/>
            <w:vAlign w:val="bottom"/>
          </w:tcPr>
          <w:p>
            <w:pPr>
              <w:spacing w:after="0"/>
              <w:rPr>
                <w:sz w:val="24"/>
                <w:szCs w:val="24"/>
                <w:color w:val="auto"/>
              </w:rPr>
            </w:pPr>
          </w:p>
        </w:tc>
        <w:tc>
          <w:tcPr>
            <w:tcW w:w="4320" w:type="dxa"/>
            <w:vAlign w:val="bottom"/>
          </w:tcPr>
          <w:p>
            <w:pPr>
              <w:jc w:val="center"/>
              <w:ind w:right="59"/>
              <w:spacing w:after="0"/>
              <w:rPr>
                <w:sz w:val="20"/>
                <w:szCs w:val="20"/>
                <w:color w:val="auto"/>
              </w:rPr>
            </w:pPr>
            <w:r>
              <w:rPr>
                <w:rFonts w:ascii="Arial" w:cs="Arial" w:eastAsia="Arial" w:hAnsi="Arial"/>
                <w:sz w:val="18"/>
                <w:szCs w:val="18"/>
                <w:b w:val="1"/>
                <w:bCs w:val="1"/>
                <w:color w:val="auto"/>
                <w:w w:val="99"/>
              </w:rPr>
              <w:t>3655 Nobel Drive, Suite 260</w:t>
            </w:r>
          </w:p>
        </w:tc>
        <w:tc>
          <w:tcPr>
            <w:tcW w:w="1660" w:type="dxa"/>
            <w:vAlign w:val="bottom"/>
          </w:tcPr>
          <w:p>
            <w:pPr>
              <w:spacing w:after="0"/>
              <w:rPr>
                <w:sz w:val="24"/>
                <w:szCs w:val="24"/>
                <w:color w:val="auto"/>
              </w:rPr>
            </w:pPr>
          </w:p>
        </w:tc>
      </w:tr>
      <w:tr>
        <w:trPr>
          <w:trHeight w:val="226"/>
        </w:trPr>
        <w:tc>
          <w:tcPr>
            <w:tcW w:w="2000" w:type="dxa"/>
            <w:vAlign w:val="bottom"/>
          </w:tcPr>
          <w:p>
            <w:pPr>
              <w:spacing w:after="0"/>
              <w:rPr>
                <w:sz w:val="19"/>
                <w:szCs w:val="19"/>
                <w:color w:val="auto"/>
              </w:rPr>
            </w:pPr>
          </w:p>
        </w:tc>
        <w:tc>
          <w:tcPr>
            <w:tcW w:w="4320" w:type="dxa"/>
            <w:vAlign w:val="bottom"/>
          </w:tcPr>
          <w:p>
            <w:pPr>
              <w:jc w:val="center"/>
              <w:ind w:right="79"/>
              <w:spacing w:after="0"/>
              <w:rPr>
                <w:sz w:val="20"/>
                <w:szCs w:val="20"/>
                <w:color w:val="auto"/>
              </w:rPr>
            </w:pPr>
            <w:r>
              <w:rPr>
                <w:rFonts w:ascii="Arial" w:cs="Arial" w:eastAsia="Arial" w:hAnsi="Arial"/>
                <w:sz w:val="18"/>
                <w:szCs w:val="18"/>
                <w:b w:val="1"/>
                <w:bCs w:val="1"/>
                <w:color w:val="auto"/>
              </w:rPr>
              <w:t>San Diego, CA 92122</w:t>
            </w:r>
          </w:p>
        </w:tc>
        <w:tc>
          <w:tcPr>
            <w:tcW w:w="1660" w:type="dxa"/>
            <w:vAlign w:val="bottom"/>
          </w:tcPr>
          <w:p>
            <w:pPr>
              <w:spacing w:after="0"/>
              <w:rPr>
                <w:sz w:val="19"/>
                <w:szCs w:val="19"/>
                <w:color w:val="auto"/>
              </w:rPr>
            </w:pPr>
          </w:p>
        </w:tc>
      </w:tr>
      <w:tr>
        <w:trPr>
          <w:trHeight w:val="190"/>
        </w:trPr>
        <w:tc>
          <w:tcPr>
            <w:tcW w:w="2000" w:type="dxa"/>
            <w:vAlign w:val="bottom"/>
          </w:tcPr>
          <w:p>
            <w:pPr>
              <w:spacing w:after="0"/>
              <w:rPr>
                <w:sz w:val="16"/>
                <w:szCs w:val="16"/>
                <w:color w:val="auto"/>
              </w:rPr>
            </w:pPr>
          </w:p>
        </w:tc>
        <w:tc>
          <w:tcPr>
            <w:tcW w:w="4320" w:type="dxa"/>
            <w:vAlign w:val="bottom"/>
          </w:tcPr>
          <w:p>
            <w:pPr>
              <w:jc w:val="center"/>
              <w:ind w:right="59"/>
              <w:spacing w:after="0"/>
              <w:rPr>
                <w:sz w:val="20"/>
                <w:szCs w:val="20"/>
                <w:color w:val="auto"/>
              </w:rPr>
            </w:pPr>
            <w:r>
              <w:rPr>
                <w:rFonts w:ascii="Arial" w:cs="Arial" w:eastAsia="Arial" w:hAnsi="Arial"/>
                <w:sz w:val="14"/>
                <w:szCs w:val="14"/>
                <w:color w:val="auto"/>
              </w:rPr>
              <w:t>(Address of Principal Executive Offices and Zip Code)</w:t>
            </w:r>
          </w:p>
        </w:tc>
        <w:tc>
          <w:tcPr>
            <w:tcW w:w="1660" w:type="dxa"/>
            <w:vAlign w:val="bottom"/>
          </w:tcPr>
          <w:p>
            <w:pPr>
              <w:spacing w:after="0"/>
              <w:rPr>
                <w:sz w:val="16"/>
                <w:szCs w:val="16"/>
                <w:color w:val="auto"/>
              </w:rPr>
            </w:pPr>
          </w:p>
        </w:tc>
      </w:tr>
    </w:tbl>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926-7655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07" w:lineRule="exact"/>
        <w:rPr>
          <w:sz w:val="24"/>
          <w:szCs w:val="24"/>
          <w:color w:val="auto"/>
        </w:rPr>
      </w:pPr>
    </w:p>
    <w:p>
      <w:pPr>
        <w:ind w:right="14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93"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60" w:right="22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 w:lineRule="exact"/>
        <w:rPr>
          <w:rFonts w:ascii="MS PGothic" w:cs="MS PGothic" w:eastAsia="MS PGothic" w:hAnsi="MS PGothic"/>
          <w:sz w:val="18"/>
          <w:szCs w:val="18"/>
          <w:color w:val="auto"/>
        </w:rPr>
      </w:pPr>
    </w:p>
    <w:p>
      <w:pPr>
        <w:ind w:left="460" w:right="22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4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1070" w:right="339" w:bottom="1440" w:gutter="0" w:footer="0" w:header="0"/>
        </w:sectPr>
      </w:pPr>
    </w:p>
    <w:p>
      <w:pPr>
        <w:spacing w:after="0" w:line="135" w:lineRule="exact"/>
        <w:rPr>
          <w:sz w:val="24"/>
          <w:szCs w:val="24"/>
          <w:color w:val="auto"/>
        </w:rPr>
      </w:pPr>
    </w:p>
    <w:p>
      <w:pPr>
        <w:ind w:left="1500"/>
        <w:spacing w:after="0"/>
        <w:rPr>
          <w:sz w:val="20"/>
          <w:szCs w:val="20"/>
          <w:color w:val="auto"/>
        </w:rPr>
      </w:pPr>
      <w:r>
        <w:rPr>
          <w:rFonts w:ascii="Arial" w:cs="Arial" w:eastAsia="Arial" w:hAnsi="Arial"/>
          <w:sz w:val="15"/>
          <w:szCs w:val="15"/>
          <w:color w:val="auto"/>
        </w:rPr>
        <w:t>Title of each class</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32" w:lineRule="exact"/>
        <w:rPr>
          <w:sz w:val="24"/>
          <w:szCs w:val="24"/>
          <w:color w:val="auto"/>
        </w:rPr>
      </w:pPr>
    </w:p>
    <w:p>
      <w:pPr>
        <w:sectPr>
          <w:pgSz w:w="11900" w:h="16838" w:orient="portrait"/>
          <w:cols w:equalWidth="0" w:num="3">
            <w:col w:w="4220" w:space="720"/>
            <w:col w:w="1820" w:space="720"/>
            <w:col w:w="3760"/>
          </w:cols>
          <w:pgMar w:left="320" w:top="1070" w:right="339" w:bottom="1440" w:gutter="0" w:footer="0" w:header="0"/>
          <w:type w:val="continuous"/>
        </w:sectPr>
      </w:pPr>
    </w:p>
    <w:p>
      <w:pPr>
        <w:ind w:left="1560"/>
        <w:spacing w:after="0"/>
        <w:rPr>
          <w:sz w:val="20"/>
          <w:szCs w:val="20"/>
          <w:color w:val="auto"/>
        </w:rPr>
      </w:pPr>
      <w:r>
        <w:rPr>
          <w:rFonts w:ascii="Arial" w:cs="Arial" w:eastAsia="Arial" w:hAnsi="Arial"/>
          <w:sz w:val="16"/>
          <w:szCs w:val="16"/>
          <w:b w:val="1"/>
          <w:bCs w:val="1"/>
          <w:color w:val="auto"/>
        </w:rPr>
        <w:t>Common stock</w:t>
      </w:r>
    </w:p>
    <w:p>
      <w:pPr>
        <w:spacing w:after="0" w:line="20" w:lineRule="exact"/>
        <w:rPr>
          <w:sz w:val="24"/>
          <w:szCs w:val="24"/>
          <w:color w:val="auto"/>
        </w:rPr>
      </w:pPr>
      <w:r>
        <w:rPr>
          <w:sz w:val="24"/>
          <w:szCs w:val="24"/>
          <w:color w:val="auto"/>
        </w:rPr>
        <w:br w:type="column"/>
      </w:r>
    </w:p>
    <w:p>
      <w:pPr>
        <w:jc w:val="center"/>
        <w:ind w:right="1680"/>
        <w:spacing w:after="0"/>
        <w:rPr>
          <w:sz w:val="20"/>
          <w:szCs w:val="20"/>
          <w:color w:val="auto"/>
        </w:rPr>
      </w:pPr>
      <w:r>
        <w:rPr>
          <w:rFonts w:ascii="Arial" w:cs="Arial" w:eastAsia="Arial" w:hAnsi="Arial"/>
          <w:sz w:val="16"/>
          <w:szCs w:val="16"/>
          <w:b w:val="1"/>
          <w:bCs w:val="1"/>
          <w:color w:val="auto"/>
        </w:rPr>
        <w:t>DARE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Nasdaq Capital Market</w:t>
      </w:r>
    </w:p>
    <w:p>
      <w:pPr>
        <w:spacing w:after="0" w:line="200" w:lineRule="exact"/>
        <w:rPr>
          <w:sz w:val="24"/>
          <w:szCs w:val="24"/>
          <w:color w:val="auto"/>
        </w:rPr>
      </w:pPr>
    </w:p>
    <w:p>
      <w:pPr>
        <w:sectPr>
          <w:pgSz w:w="11900" w:h="16838" w:orient="portrait"/>
          <w:cols w:equalWidth="0" w:num="3">
            <w:col w:w="4640" w:space="720"/>
            <w:col w:w="2140" w:space="720"/>
            <w:col w:w="3020"/>
          </w:cols>
          <w:pgMar w:left="320" w:top="1070" w:right="339" w:bottom="1440" w:gutter="0" w:footer="0" w:header="0"/>
          <w:type w:val="continuous"/>
        </w:sectPr>
      </w:pPr>
    </w:p>
    <w:p>
      <w:pPr>
        <w:spacing w:after="0" w:line="16" w:lineRule="exact"/>
        <w:rPr>
          <w:sz w:val="24"/>
          <w:szCs w:val="24"/>
          <w:color w:val="auto"/>
        </w:rPr>
      </w:pPr>
    </w:p>
    <w:p>
      <w:pPr>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9" w:lineRule="exact"/>
        <w:rPr>
          <w:sz w:val="24"/>
          <w:szCs w:val="24"/>
          <w:color w:val="auto"/>
        </w:rPr>
      </w:pPr>
    </w:p>
    <w:p>
      <w:pPr>
        <w:ind w:left="5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8"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527685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type w:val="continuous"/>
        </w:sectPr>
      </w:pPr>
    </w:p>
    <w:bookmarkStart w:id="1" w:name="page2"/>
    <w:bookmarkEnd w:id="1"/>
    <w:p>
      <w:pPr>
        <w:ind w:left="20"/>
        <w:spacing w:after="0"/>
        <w:tabs>
          <w:tab w:leader="none" w:pos="108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7"/>
          <w:szCs w:val="17"/>
          <w:b w:val="1"/>
          <w:bCs w:val="1"/>
          <w:color w:val="auto"/>
        </w:rPr>
        <w:t>Unregistered Sales of Equity Securities.</w:t>
      </w:r>
    </w:p>
    <w:p>
      <w:pPr>
        <w:spacing w:after="0" w:line="3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Daré Bioscience, Inc. (“Daré” “we,” “us,” or “our”) completed closings of its previously announced Regulation A offering of up to 4,854,000 units (each, an “Investor Unit” and collectively the “Investor Units”), each consisting of one share of Series A Convertible Preferred Stock (the “Series A Preferred Stock”) and two warrants, each to purchase one share of our common stock (“Investor Warrants”), with each Investor Unit being offered at an offering price of $5.00 (the “Offering”). The closings occurred on May 14, 2026. In connection therewith, we issued an aggregate of 50,000 Investor Units consisting of 50,000 shares of Series A Preferred Stock and Investor Warrants to purchase up to 100,000 shares of our common stock.</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offering of the Investor Units is being conducted pursuant to our offering statement on Form 1 -A (File No. 024-12688), as amended, which was most recently qualified by the U.S. Securities and Exchange Commission (the “SEC”) on April 1, 2026, and the offering circular dated January 6, 2026, and the offering circular supplements dated March 26, 2026, and May 14, 2026, which form a part thereof. Additional information regarding the Offering and the terms of conversion and exercise of the Series A Preferred Stock and Investor warrants was previously reported in our Current Report on Form 8-K filed with the SEC on January 29, 2026,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860" w:type="dxa"/>
            <w:vAlign w:val="bottom"/>
          </w:tcPr>
          <w:p>
            <w:pPr>
              <w:spacing w:after="0"/>
              <w:rPr>
                <w:sz w:val="21"/>
                <w:szCs w:val="21"/>
                <w:color w:val="auto"/>
              </w:rPr>
            </w:pPr>
          </w:p>
        </w:tc>
        <w:tc>
          <w:tcPr>
            <w:tcW w:w="7340" w:type="dxa"/>
            <w:vAlign w:val="bottom"/>
            <w:gridSpan w:val="2"/>
          </w:tcPr>
          <w:p>
            <w:pPr>
              <w:ind w:left="2160"/>
              <w:spacing w:after="0"/>
              <w:rPr>
                <w:sz w:val="20"/>
                <w:szCs w:val="20"/>
                <w:color w:val="auto"/>
              </w:rPr>
            </w:pPr>
            <w:r>
              <w:rPr>
                <w:rFonts w:ascii="Arial" w:cs="Arial" w:eastAsia="Arial" w:hAnsi="Arial"/>
                <w:sz w:val="18"/>
                <w:szCs w:val="18"/>
                <w:b w:val="1"/>
                <w:bCs w:val="1"/>
                <w:color w:val="auto"/>
              </w:rPr>
              <w:t>DARÉ BIOSCIENCE, INC.</w:t>
            </w:r>
          </w:p>
        </w:tc>
      </w:tr>
      <w:tr>
        <w:trPr>
          <w:trHeight w:val="434"/>
        </w:trPr>
        <w:tc>
          <w:tcPr>
            <w:tcW w:w="3860" w:type="dxa"/>
            <w:vAlign w:val="bottom"/>
          </w:tcPr>
          <w:p>
            <w:pPr>
              <w:spacing w:after="0"/>
              <w:rPr>
                <w:sz w:val="20"/>
                <w:szCs w:val="20"/>
                <w:color w:val="auto"/>
              </w:rPr>
            </w:pPr>
            <w:r>
              <w:rPr>
                <w:rFonts w:ascii="Arial" w:cs="Arial" w:eastAsia="Arial" w:hAnsi="Arial"/>
                <w:sz w:val="18"/>
                <w:szCs w:val="18"/>
                <w:color w:val="auto"/>
              </w:rPr>
              <w:t>Dated: May 18, 2026</w:t>
            </w:r>
          </w:p>
        </w:tc>
        <w:tc>
          <w:tcPr>
            <w:tcW w:w="3400" w:type="dxa"/>
            <w:vAlign w:val="bottom"/>
          </w:tcPr>
          <w:p>
            <w:pPr>
              <w:ind w:left="2160"/>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Sabrina Martucci Johnson</w:t>
            </w:r>
          </w:p>
        </w:tc>
      </w:tr>
      <w:tr>
        <w:trPr>
          <w:trHeight w:val="218"/>
        </w:trPr>
        <w:tc>
          <w:tcPr>
            <w:tcW w:w="3860" w:type="dxa"/>
            <w:vAlign w:val="bottom"/>
          </w:tcPr>
          <w:p>
            <w:pPr>
              <w:spacing w:after="0"/>
              <w:rPr>
                <w:sz w:val="18"/>
                <w:szCs w:val="18"/>
                <w:color w:val="auto"/>
              </w:rPr>
            </w:pPr>
          </w:p>
        </w:tc>
        <w:tc>
          <w:tcPr>
            <w:tcW w:w="3400" w:type="dxa"/>
            <w:vAlign w:val="bottom"/>
          </w:tcPr>
          <w:p>
            <w:pPr>
              <w:ind w:left="2160"/>
              <w:spacing w:after="0"/>
              <w:rPr>
                <w:sz w:val="20"/>
                <w:szCs w:val="20"/>
                <w:color w:val="auto"/>
              </w:rPr>
            </w:pPr>
            <w:r>
              <w:rPr>
                <w:rFonts w:ascii="Arial" w:cs="Arial" w:eastAsia="Arial" w:hAnsi="Arial"/>
                <w:sz w:val="18"/>
                <w:szCs w:val="18"/>
                <w:color w:val="auto"/>
              </w:rPr>
              <w:t>Name:</w:t>
            </w:r>
          </w:p>
        </w:tc>
        <w:tc>
          <w:tcPr>
            <w:tcW w:w="3940" w:type="dxa"/>
            <w:vAlign w:val="bottom"/>
          </w:tcPr>
          <w:p>
            <w:pPr>
              <w:ind w:left="20"/>
              <w:spacing w:after="0"/>
              <w:rPr>
                <w:sz w:val="20"/>
                <w:szCs w:val="20"/>
                <w:color w:val="auto"/>
              </w:rPr>
            </w:pPr>
            <w:r>
              <w:rPr>
                <w:rFonts w:ascii="Arial" w:cs="Arial" w:eastAsia="Arial" w:hAnsi="Arial"/>
                <w:sz w:val="18"/>
                <w:szCs w:val="18"/>
                <w:color w:val="auto"/>
              </w:rPr>
              <w:t>Sabrina Martucci Johnson</w:t>
            </w:r>
          </w:p>
        </w:tc>
      </w:tr>
      <w:tr>
        <w:trPr>
          <w:trHeight w:val="239"/>
        </w:trPr>
        <w:tc>
          <w:tcPr>
            <w:tcW w:w="3860" w:type="dxa"/>
            <w:vAlign w:val="bottom"/>
          </w:tcPr>
          <w:p>
            <w:pPr>
              <w:spacing w:after="0"/>
              <w:rPr>
                <w:sz w:val="20"/>
                <w:szCs w:val="20"/>
                <w:color w:val="auto"/>
              </w:rPr>
            </w:pPr>
          </w:p>
        </w:tc>
        <w:tc>
          <w:tcPr>
            <w:tcW w:w="3400" w:type="dxa"/>
            <w:vAlign w:val="bottom"/>
          </w:tcPr>
          <w:p>
            <w:pPr>
              <w:ind w:left="2160"/>
              <w:spacing w:after="0"/>
              <w:rPr>
                <w:sz w:val="20"/>
                <w:szCs w:val="20"/>
                <w:color w:val="auto"/>
              </w:rPr>
            </w:pPr>
            <w:r>
              <w:rPr>
                <w:rFonts w:ascii="Arial" w:cs="Arial" w:eastAsia="Arial" w:hAnsi="Arial"/>
                <w:sz w:val="18"/>
                <w:szCs w:val="18"/>
                <w:color w:val="auto"/>
              </w:rPr>
              <w:t>Title:</w:t>
            </w:r>
          </w:p>
        </w:tc>
        <w:tc>
          <w:tcPr>
            <w:tcW w:w="39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1" w:lineRule="exact"/>
        <w:rPr>
          <w:sz w:val="20"/>
          <w:szCs w:val="20"/>
          <w:color w:val="auto"/>
        </w:rPr>
      </w:pPr>
    </w:p>
    <w:sectPr>
      <w:pgSz w:w="11900" w:h="16838" w:orient="portrait"/>
      <w:cols w:equalWidth="0" w:num="1">
        <w:col w:w="11220"/>
      </w:cols>
      <w:pgMar w:left="320" w:top="113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2026-05-18T15:41:19Z</dcterms:created>
  <dcterms:modified xsi:type="dcterms:W3CDTF">2026-05-18T15:41:19Z</dcterms:modified>
</cp:coreProperties>
</file>