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June 30, 2016</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99"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580"/>
        <w:spacing w:after="0"/>
        <w:tabs>
          <w:tab w:leader="none" w:pos="6700" w:val="left"/>
          <w:tab w:leader="none" w:pos="77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-10160</wp:posOffset>
            </wp:positionV>
            <wp:extent cx="1289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CERULEAN PHARMA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20-4139823</w:t>
            </w:r>
          </w:p>
        </w:tc>
      </w:tr>
      <w:tr>
        <w:trPr>
          <w:trHeight w:val="149"/>
        </w:trPr>
        <w:tc>
          <w:tcPr>
            <w:tcW w:w="4480" w:type="dxa"/>
            <w:vAlign w:val="bottom"/>
          </w:tcPr>
          <w:p>
            <w:pPr>
              <w:jc w:val="center"/>
              <w:ind w:right="19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89"/>
              </w:rPr>
              <w:t>35 Gatehouse Drive</w:t>
            </w:r>
          </w:p>
        </w:tc>
        <w:tc>
          <w:tcPr>
            <w:tcW w:w="3120" w:type="dxa"/>
            <w:vAlign w:val="bottom"/>
          </w:tcPr>
          <w:p>
            <w:pPr>
              <w:spacing w:after="0"/>
              <w:rPr>
                <w:sz w:val="24"/>
                <w:szCs w:val="24"/>
                <w:color w:val="auto"/>
              </w:rPr>
            </w:pPr>
          </w:p>
        </w:tc>
      </w:tr>
      <w:tr>
        <w:trPr>
          <w:trHeight w:val="225"/>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996-4300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7" w:lineRule="exact"/>
        <w:rPr>
          <w:sz w:val="24"/>
          <w:szCs w:val="24"/>
          <w:color w:val="auto"/>
        </w:rPr>
      </w:pPr>
    </w:p>
    <w:p>
      <w:pPr>
        <w:jc w:val="both"/>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312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38"/>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60"/>
              <w:spacing w:after="0"/>
              <w:rPr>
                <w:sz w:val="20"/>
                <w:szCs w:val="20"/>
                <w:color w:val="auto"/>
              </w:rPr>
            </w:pPr>
            <w:r>
              <w:rPr>
                <w:rFonts w:ascii="Arial" w:cs="Arial" w:eastAsia="Arial" w:hAnsi="Arial"/>
                <w:sz w:val="18"/>
                <w:szCs w:val="18"/>
                <w:color w:val="auto"/>
              </w:rPr>
              <w:t>(Do not check if a smaller reporting company)</w:t>
            </w:r>
          </w:p>
        </w:tc>
        <w:tc>
          <w:tcPr>
            <w:tcW w:w="312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432"/>
        </w:trPr>
        <w:tc>
          <w:tcPr>
            <w:tcW w:w="10580" w:type="dxa"/>
            <w:vAlign w:val="bottom"/>
            <w:gridSpan w:val="4"/>
          </w:tcPr>
          <w:p>
            <w:pPr>
              <w:ind w:left="520"/>
              <w:spacing w:after="0" w:line="207" w:lineRule="exact"/>
              <w:rPr>
                <w:sz w:val="20"/>
                <w:szCs w:val="20"/>
                <w:color w:val="auto"/>
              </w:rPr>
            </w:pPr>
            <w:r>
              <w:rPr>
                <w:rFonts w:ascii="Arial" w:cs="Arial" w:eastAsia="Arial" w:hAnsi="Arial"/>
                <w:sz w:val="18"/>
                <w:szCs w:val="18"/>
                <w:color w:val="auto"/>
                <w:w w:val="98"/>
              </w:rPr>
              <w:t xml:space="preserve">Indicate by check mark whether the registrant is a shell company (as defined in Rule 12b-2 of the Exchange Act).  Yes o  No  </w:t>
            </w:r>
            <w:r>
              <w:rPr>
                <w:rFonts w:ascii="MS PGothic" w:cs="MS PGothic" w:eastAsia="MS PGothic" w:hAnsi="MS PGothic"/>
                <w:sz w:val="18"/>
                <w:szCs w:val="18"/>
                <w:color w:val="auto"/>
                <w:w w:val="98"/>
              </w:rPr>
              <w: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0580" w:type="dxa"/>
            <w:vAlign w:val="bottom"/>
            <w:gridSpan w:val="4"/>
          </w:tcPr>
          <w:p>
            <w:pPr>
              <w:ind w:left="520"/>
              <w:spacing w:after="0"/>
              <w:rPr>
                <w:sz w:val="20"/>
                <w:szCs w:val="20"/>
                <w:color w:val="auto"/>
              </w:rPr>
            </w:pPr>
            <w:r>
              <w:rPr>
                <w:rFonts w:ascii="Arial" w:cs="Arial" w:eastAsia="Arial" w:hAnsi="Arial"/>
                <w:sz w:val="18"/>
                <w:szCs w:val="18"/>
                <w:color w:val="auto"/>
              </w:rPr>
              <w:t>Number of shares of the registrant’s Common Stock, $ 0.0001 par value, outstanding on August 1, 2016: 27,384,492</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4"/>
        </w:trPr>
        <w:tc>
          <w:tcPr>
            <w:tcW w:w="2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CERULEAN PHARMA INC.</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291"/>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56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7960" w:type="dxa"/>
            <w:vAlign w:val="bottom"/>
            <w:gridSpan w:val="11"/>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2016 and December 31, 2015 (unaudited)</w:t>
              </w:r>
            </w:hyperlink>
          </w:p>
        </w:tc>
        <w:tc>
          <w:tcPr>
            <w:tcW w:w="2560" w:type="dxa"/>
            <w:vAlign w:val="bottom"/>
            <w:gridSpan w:val="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4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2016</w:t>
              </w:r>
            </w:hyperlink>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2015 (unaudited)</w:t>
              </w:r>
            </w:hyperlink>
          </w:p>
        </w:tc>
        <w:tc>
          <w:tcPr>
            <w:tcW w:w="8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6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for the Six Months Ended June 30, 2016</w:t>
              </w:r>
            </w:hyperlink>
          </w:p>
        </w:tc>
        <w:tc>
          <w:tcPr>
            <w:tcW w:w="286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2015 (unaudited)</w:t>
              </w:r>
            </w:hyperlink>
          </w:p>
        </w:tc>
        <w:tc>
          <w:tcPr>
            <w:tcW w:w="800" w:type="dxa"/>
            <w:vAlign w:val="bottom"/>
          </w:tcPr>
          <w:p>
            <w:pPr>
              <w:jc w:val="center"/>
              <w:ind w:left="91"/>
              <w:spacing w:after="0" w:line="196" w:lineRule="exact"/>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4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4700" w:type="dxa"/>
            <w:vAlign w:val="bottom"/>
            <w:gridSpan w:val="5"/>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11">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gridSpan w:val="3"/>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99"/>
              </w:rPr>
              <w:t>9</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Quantitative and Qualitative Disclosures About Market Risk</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8"/>
              </w:rPr>
            </w:pPr>
            <w:hyperlink w:anchor="page22">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6"/>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24"/>
                <w:szCs w:val="24"/>
                <w:color w:val="auto"/>
              </w:rPr>
            </w:pPr>
          </w:p>
        </w:tc>
      </w:tr>
      <w:tr>
        <w:trPr>
          <w:trHeight w:val="318"/>
        </w:trPr>
        <w:tc>
          <w:tcPr>
            <w:tcW w:w="28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78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Risk Factors</w:t>
              </w:r>
            </w:hyperlink>
          </w:p>
        </w:tc>
        <w:tc>
          <w:tcPr>
            <w:tcW w:w="8600" w:type="dxa"/>
            <w:vAlign w:val="bottom"/>
            <w:gridSpan w:val="1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21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9"/>
          </w:tcPr>
          <w:p>
            <w:pPr>
              <w:spacing w:after="0"/>
              <w:rPr>
                <w:rFonts w:ascii="Arial" w:cs="Arial" w:eastAsia="Arial" w:hAnsi="Arial"/>
                <w:sz w:val="18"/>
                <w:szCs w:val="18"/>
                <w:b w:val="1"/>
                <w:bCs w:val="1"/>
                <w:color w:val="0000EE"/>
                <w:w w:val="87"/>
              </w:rPr>
            </w:pPr>
            <w:hyperlink w:anchor="page58">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7"/>
          </w:tcPr>
          <w:p>
            <w:pPr>
              <w:spacing w:after="0"/>
              <w:rPr>
                <w:sz w:val="24"/>
                <w:szCs w:val="24"/>
                <w:color w:val="auto"/>
              </w:rPr>
            </w:pPr>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56</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80" w:type="dxa"/>
            <w:vAlign w:val="bottom"/>
            <w:gridSpan w:val="16"/>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Exhibits</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56</w:t>
            </w: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Signatures</w:t>
              </w:r>
            </w:hyperlink>
          </w:p>
        </w:tc>
        <w:tc>
          <w:tcPr>
            <w:tcW w:w="800" w:type="dxa"/>
            <w:vAlign w:val="bottom"/>
          </w:tcPr>
          <w:p>
            <w:pPr>
              <w:jc w:val="center"/>
              <w:ind w:left="91"/>
              <w:spacing w:after="0"/>
              <w:rPr>
                <w:sz w:val="20"/>
                <w:szCs w:val="20"/>
                <w:color w:val="auto"/>
              </w:rPr>
            </w:pPr>
            <w:r>
              <w:rPr>
                <w:rFonts w:ascii="Arial" w:cs="Arial" w:eastAsia="Arial" w:hAnsi="Arial"/>
                <w:sz w:val="18"/>
                <w:szCs w:val="18"/>
                <w:color w:val="auto"/>
                <w:w w:val="89"/>
              </w:rPr>
              <w:t>57</w:t>
            </w:r>
          </w:p>
        </w:tc>
        <w:tc>
          <w:tcPr>
            <w:tcW w:w="40" w:type="dxa"/>
            <w:vAlign w:val="bottom"/>
          </w:tcPr>
          <w:p>
            <w:pPr>
              <w:spacing w:after="0"/>
              <w:rPr>
                <w:sz w:val="24"/>
                <w:szCs w:val="24"/>
                <w:color w:val="auto"/>
              </w:rPr>
            </w:pPr>
          </w:p>
        </w:tc>
      </w:tr>
      <w:tr>
        <w:trPr>
          <w:trHeight w:val="352"/>
        </w:trPr>
        <w:tc>
          <w:tcPr>
            <w:tcW w:w="106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760" w:type="dxa"/>
            <w:vAlign w:val="bottom"/>
          </w:tcPr>
          <w:p>
            <w:pPr>
              <w:ind w:left="306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CERULEAN PHARMA INC.</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(in thousands except share data and par value)</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1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47,193</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Accounts receivable, prepaid expenses, and 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7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67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49,892</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78,225</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loan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6,459</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Loan payable, net of current portion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12,672</w:t>
            </w:r>
          </w:p>
        </w:tc>
        <w:tc>
          <w:tcPr>
            <w:tcW w:w="100" w:type="dxa"/>
            <w:vAlign w:val="bottom"/>
          </w:tcPr>
          <w:p>
            <w:pPr>
              <w:spacing w:after="0"/>
              <w:rPr>
                <w:sz w:val="19"/>
                <w:szCs w:val="19"/>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5,000,000 shares authorized, no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issued or outstanding</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Common stock, $0.0001 par value; 120,000,000 shares authorized,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gridSpan w:val="2"/>
          </w:tcPr>
          <w:p>
            <w:pPr>
              <w:ind w:left="480"/>
              <w:spacing w:after="0"/>
              <w:rPr>
                <w:sz w:val="20"/>
                <w:szCs w:val="20"/>
                <w:color w:val="auto"/>
              </w:rPr>
            </w:pPr>
            <w:r>
              <w:rPr>
                <w:rFonts w:ascii="Arial" w:cs="Arial" w:eastAsia="Arial" w:hAnsi="Arial"/>
                <w:sz w:val="18"/>
                <w:szCs w:val="18"/>
                <w:color w:val="auto"/>
              </w:rPr>
              <w:t>27,363,965 and 27,346,780 shares issued and outstanding at June 30, 2016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gridSpan w:val="2"/>
          </w:tcPr>
          <w:p>
            <w:pPr>
              <w:ind w:left="480"/>
              <w:spacing w:after="0"/>
              <w:rPr>
                <w:sz w:val="20"/>
                <w:szCs w:val="20"/>
                <w:color w:val="auto"/>
              </w:rPr>
            </w:pPr>
            <w:r>
              <w:rPr>
                <w:rFonts w:ascii="Arial" w:cs="Arial" w:eastAsia="Arial" w:hAnsi="Arial"/>
                <w:sz w:val="18"/>
                <w:szCs w:val="18"/>
                <w:color w:val="auto"/>
              </w:rPr>
              <w:t>December 31, 2015,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210,115</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(185,776)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(161,375)</w:t>
            </w:r>
          </w:p>
        </w:tc>
      </w:tr>
      <w:tr>
        <w:trPr>
          <w:trHeight w:val="223"/>
        </w:trPr>
        <w:tc>
          <w:tcPr>
            <w:tcW w:w="788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Total</w:t>
            </w:r>
          </w:p>
        </w:tc>
        <w:tc>
          <w:tcPr>
            <w:tcW w:w="67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78,225</w:t>
            </w:r>
          </w:p>
        </w:tc>
        <w:tc>
          <w:tcPr>
            <w:tcW w:w="10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and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(0.37)</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(0.89)</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27,363,965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26,690,673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27,363,304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23,504,303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jc w:val="right"/>
              <w:ind w:right="8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(24,401)</w:t>
            </w:r>
          </w:p>
        </w:tc>
        <w:tc>
          <w:tcPr>
            <w:tcW w:w="980" w:type="dxa"/>
            <w:vAlign w:val="bottom"/>
            <w:gridSpan w:val="2"/>
          </w:tcPr>
          <w:p>
            <w:pPr>
              <w:jc w:val="right"/>
              <w:ind w:right="85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(18,335)</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rent expense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discount and deferred financing costs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740"/>
              <w:spacing w:after="0"/>
              <w:rPr>
                <w:sz w:val="20"/>
                <w:szCs w:val="20"/>
                <w:color w:val="auto"/>
              </w:rPr>
            </w:pPr>
            <w:r>
              <w:rPr>
                <w:rFonts w:ascii="Arial" w:cs="Arial" w:eastAsia="Arial" w:hAnsi="Arial"/>
                <w:sz w:val="18"/>
                <w:szCs w:val="18"/>
                <w:color w:val="auto"/>
              </w:rPr>
              <w:t>Accounts receivable, prepaid expenses and other current assets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(458)</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(1,272)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(24,501)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(15,738)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Decrease (increase) in restricted cash</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common stock</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Proceeds from public stock offering, net of issuance costs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loans payable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Payments on loans payable</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(3,900)</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debt issuance costs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provided by financing activities</w:t>
            </w:r>
          </w:p>
        </w:tc>
        <w:tc>
          <w:tcPr>
            <w:tcW w:w="12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(3,859)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50,377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(28,715)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 Beginning of period</w:t>
            </w:r>
          </w:p>
        </w:tc>
        <w:tc>
          <w:tcPr>
            <w:tcW w:w="1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75,908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51,174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End of period</w:t>
            </w:r>
          </w:p>
        </w:tc>
        <w:tc>
          <w:tcPr>
            <w:tcW w:w="1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47,193</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85,476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 Interest paid</w:t>
            </w:r>
          </w:p>
        </w:tc>
        <w:tc>
          <w:tcPr>
            <w:tcW w:w="2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5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OPERATIONS</w:t>
      </w:r>
    </w:p>
    <w:p>
      <w:pPr>
        <w:spacing w:after="0" w:line="121"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Nature of Business — Cerulean Pharma Inc. (the “Company”) was incorporated on November 28, 2005, as a Delaware corporation and is located in Waltham, Massachusetts. The Company was formed to develop novel, nanotechnology-based therapeutics in the areas of oncology and other diseases.</w:t>
      </w:r>
    </w:p>
    <w:p>
      <w:pPr>
        <w:spacing w:after="0" w:line="124"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Basis of Presentation — The condensed consolidated financial statements include the accounts of the Company and its subsidiary, Cerulean Pharma Australia Pty Ltd, a wholly owned Australian-based proprietary limited company. All intercompany accounts and transactions have been eliminated. The consolidated interim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condensed consolidated financial statements should be read in conjunction with the Company’s audited financial statements as of and for the year ended December 31, 2015, and notes thereto, included in the Company’s Annual Report on Form 10-K, which was filed with the SEC on March 10, 2016 (the “2015 10-K”).</w:t>
      </w:r>
    </w:p>
    <w:p>
      <w:pPr>
        <w:spacing w:after="0" w:line="179"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unaudited condensed consolidated financial statements have been prepared on the same basis as the audited consolidated financial statements. In the opinion of the Company’s management, the accompanying unaudited interim condensed consolidated financial statements contain all adjustments that are necessary to present fairly the Company’s financial position as of June 30, 2016 and the results of its operations for the three and six months ended June 30, 2016 and 2015 and cash flows for the six months ended June 30, 2016 and 2015. Such adjustments are of a normal and recurring nature. The results for the three and six months ended June 30, 2016, are not indicative of the results for the year ending December 31, 2016, or for any future period.</w:t>
      </w:r>
    </w:p>
    <w:p>
      <w:pPr>
        <w:spacing w:after="0" w:line="15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As a clinical stage entity, the Company has incurred historical operating losses resulting in an accumulated deficit of $185.8 million at June 30, 2016. The Company expects to continue to incur significant expenses and increasing operating losses for at least several years. To date, the Company has financed its operations primarily through private placements of its preferred stock, proceeds from borrowings, an initial public offering completed in 2014 and a follow-on offering completed in 2015. The Company has not completed development of any product candidate and has devoted substantially all of its financial resources and efforts to research and development, including preclinical and clinical development. Accordingly, the Company will continue to depend on its ability to raise capital through equity and debt issuances and/or through strategic partnerships. The Company believes its cash and cash equivalents of approximately $47.2 million at June 30, 2016, are sufficient to fund its planned operations into the second quarter of 2017 and it has the ability to reduce or defer operating expenses as may be needed to fund its operations into the third quarter of 2017. The Company will need to raise additional capital to continue to fund its long-term operations. Should its operating plan change further, or prove to be inaccurate, then the Company will be required to reassess its operating capital needs. However, there can be no assurance that the Company will have the cash resources to fund its operating plan or that additional funding will be available on terms acceptable to it, or at all.</w:t>
      </w:r>
    </w:p>
    <w:p>
      <w:pPr>
        <w:spacing w:after="0" w:line="179"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There have been no material changes to the significant accounting policies previously disclosed in the 2015 10-K.</w:t>
      </w:r>
    </w:p>
    <w:p>
      <w:pPr>
        <w:spacing w:after="0" w:line="221"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In March 2016, the Financial Accounting Standards Board (the “FASB”) issued Accounting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Update 2016-09, “Improvements to Employee Share-Based Payment Accounting” (“ASU 2016-09”). ASU 2016-09 is intended to simplify various aspects of how share-based payments are accounted for and presented in financial statements. The standard is effective prospectively for fiscal years, and interim periods within those fiscal years, beginning after December 15, 2016, with early adoption permitted. The Company is currently evaluating the effect this standard will have on its consolidated financial statements and related disclosures.</w:t>
      </w:r>
    </w:p>
    <w:p>
      <w:pPr>
        <w:spacing w:after="0" w:line="18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February 2016, the FASB issued Accounting Standards Update 2016-02, “Leases” (“ASU 2016-02”), which provides new accounting guidance on leases. ASU 2016-02 requires lessees to recognize leases on their balance sheets, and leaves 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The Company is currently evaluating the impact of this new standard on its consolidated financial statements and related disclosures.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 w:name="page7"/>
    <w:bookmarkEnd w:id="6"/>
    <w:p>
      <w:pPr>
        <w:ind w:right="60" w:firstLine="518"/>
        <w:spacing w:after="0" w:line="257" w:lineRule="auto"/>
        <w:rPr>
          <w:sz w:val="20"/>
          <w:szCs w:val="20"/>
          <w:color w:val="auto"/>
        </w:rPr>
      </w:pPr>
      <w:r>
        <w:rPr>
          <w:rFonts w:ascii="Arial" w:cs="Arial" w:eastAsia="Arial" w:hAnsi="Arial"/>
          <w:sz w:val="18"/>
          <w:szCs w:val="18"/>
          <w:color w:val="auto"/>
        </w:rPr>
        <w:t>In August 2014, the FASB issued Accounting Standards Update 2014-15, “Disclosure of Uncertainties About an Entity’s Ability to Continue as a Going Concern” (“ASU 2014-15”).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is not expected to have a material impact on the Company’s consolidated financial statements.</w:t>
      </w:r>
    </w:p>
    <w:p>
      <w:pPr>
        <w:spacing w:after="0" w:line="184"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The Company computes diluted loss per common share after giving effect to the dilutive effect of stock options, warrants and shares of unvested restricted stock that are outstanding during the period, except where the inclusion of such securities would be antidilutive.</w:t>
      </w:r>
    </w:p>
    <w:p>
      <w:pPr>
        <w:spacing w:after="0" w:line="14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Company has reported a net loss for all periods presented and, therefore, diluted net loss per common share is the same as basic net loss per common share.</w:t>
      </w:r>
    </w:p>
    <w:p>
      <w:pPr>
        <w:spacing w:after="0" w:line="170"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following potentially dilutive securities that were outstanding prior to the use of the treasury stock method have been excluded from the computation of diluted weighted-average shares outstanding, because the inclusion of such securities would have an antidilutive impact due to the losses reported (in common stock equivalent shares):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32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As of June 30,</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4,145,988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2,989,627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300,564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300,564</w:t>
            </w:r>
          </w:p>
        </w:tc>
        <w:tc>
          <w:tcPr>
            <w:tcW w:w="100" w:type="dxa"/>
            <w:vAlign w:val="bottom"/>
          </w:tcPr>
          <w:p>
            <w:pPr>
              <w:spacing w:after="0"/>
              <w:rPr>
                <w:sz w:val="20"/>
                <w:szCs w:val="20"/>
                <w:color w:val="auto"/>
              </w:rPr>
            </w:pPr>
          </w:p>
        </w:tc>
      </w:tr>
    </w:tbl>
    <w:p>
      <w:pPr>
        <w:spacing w:after="0" w:line="19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trial costs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Accrued contract manufacturing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LOAN AGREEMENTS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On January 8, 2015, the Company entered into a loan and security agreement with Hercules Technology Growth Capital, Inc. (“Hercules”) to borrow up to $26.0 million (the “Hercules Loan Agreement”). The proceeds were used to repay the Company’s then-existing term loan facility with Lighthouse Capital Partners VI, L.P. (“Lighthouse Capital”) and for general corporate and working capital purposes. At June 30, 2016 and December 31, 2015, the Company had $17.1 million and $21.0 million, respectively, outstanding under the Hercules Loan Agreement.</w:t>
      </w:r>
    </w:p>
    <w:p>
      <w:pPr>
        <w:spacing w:after="0" w:line="17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Hercules Loan Agreement will mature on July 1, 2018. Each advance under the Hercules Loan Agreement accrues interest at a floating per annum rate equal to the greater of (i) 7.30% or (ii) the sum of 7.30% plus the prime rate minus 5.75%. The Hercules Loan Agreement provided for interest-only payments on a monthly basis until December 31, 2015. Thereafter, payments are payable monthly in equal installments of principal and interest to fully amortize the outstanding principal over the remaining term of the loan, subject to recalculation upon a change in the prime rate. Failure to make payments or comply with other covenants as stated in the Hercules Loan Agreement could result in an event of default and acceleration of amounts due. In such case, the Company may not be able to make accelerated payments, and Hercules could seek to enforce security interests in the collateral securing such indebtedness, which includes substantially all of the Company’s assets other than its intellectual property. At the end of the loan term (whether at maturity, by prepayment in full or otherwise), the Company shall pay a final end of term charge to Hercules in the amount of 6.7% of the aggregate original principal amount advanced by Hercules. The amount of the end of term charge is being accrued over the loan term as interest expense.</w:t>
      </w:r>
    </w:p>
    <w:p>
      <w:pPr>
        <w:spacing w:after="0" w:line="16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 connection with the Hercules Loan Agreement, the Company issued to Hercules a warrant to purchase shares of the common stock of the Company at an exercise price of $6.05 per share. The warrant is exercisable for 171,901 shares of common stock. The warrant is exercisable until January 8, 2020. The Company estimated the fair value of the warrant for shares exercisable on the issue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460"/>
        <w:spacing w:after="0" w:line="277" w:lineRule="auto"/>
        <w:rPr>
          <w:sz w:val="20"/>
          <w:szCs w:val="20"/>
          <w:color w:val="auto"/>
        </w:rPr>
      </w:pPr>
      <w:r>
        <w:rPr>
          <w:rFonts w:ascii="Arial" w:cs="Arial" w:eastAsia="Arial" w:hAnsi="Arial"/>
          <w:sz w:val="18"/>
          <w:szCs w:val="18"/>
          <w:color w:val="auto"/>
        </w:rPr>
        <w:t>date in January 2015 to be $824,000. The value of the warrant was recorded as a discount to the loan and will be amortized to interest expense using the effective interest method over the term of the loan.</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December 2011, the Company entered into a loan and security agreement with Lighthouse Capital to borrow up to $10.0 million in one or more advances by December 31, 2012. In both March 2012 and August 2012, the Company borrowed $5.0 million under the loan and security agreement, for a total of $10.0 million. This amount was being repaid over 36 months beginning on December 1, 2012, at an interest rate of 8.25%. In addition, the Company was required to make an additional payment in the amount of $600,000 at the end of the loan term. The amount was accrued over the loan term as interest expense. In January 2015, the Company repaid in full the amount outstanding under the Lighthouse Capital loan, or $3.6 million, with the proceeds from the Hercules Loan Agreement.</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connection with the loan and security agreement with Lighthouse Capital, the Company issued Lighthouse Capital a warrant to purchase a maximum of 66,436 shares of the Company’s Series D Preferred Stock, at an exercise price of $12.04 per share and with an expiration date 10 years from the date of issue (December 2021). The Company determined the fair value of the warrant at the end of each reporting period using the Black-Scholes option pricing model until the warrant converted to a warrant to purchase 66,436 shares of common stock upon the completion of the Company’s initial public offering. The value of the warrant was recorded as a discount to the loan and was being amortized as interest expense using the effective interest method over the 36-month repayment term. The unamortized discount relating to the warrants, or $0.2 million, was expensed as interest expense upon repayment of the loan in January 2015.</w:t>
      </w:r>
    </w:p>
    <w:p>
      <w:pPr>
        <w:spacing w:after="0" w:line="18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March 2014, the Company’s board of directors adopted and its stockholders approved the 2014 Stock Incentive Plan (the “2014 Plan”) and the 2014 Employee Stock Purchase Plan (the “ESPP”), which became effective in April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2014 Plan provides for the grant of incentive stock options, nonstatutory stock options, stock appreciation rights, restricted stock, restricted stock units and other stock-based awards. A summary of stock option activity for employee, director and nonemployee awards under all stock option plans during the six months ended June 30, 2016 is presented below (Aggregate Intrinsic Value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840" w:type="dxa"/>
            <w:vAlign w:val="bottom"/>
          </w:tcPr>
          <w:p>
            <w:pPr>
              <w:jc w:val="center"/>
              <w:ind w:left="217"/>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40" w:type="dxa"/>
            <w:vAlign w:val="bottom"/>
          </w:tcPr>
          <w:p>
            <w:pPr>
              <w:jc w:val="center"/>
              <w:ind w:left="237"/>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jc w:val="center"/>
              <w:ind w:left="237"/>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January 1, 2016</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3,454,926</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5.39</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707,070</w:t>
            </w:r>
          </w:p>
        </w:tc>
        <w:tc>
          <w:tcPr>
            <w:tcW w:w="240" w:type="dxa"/>
            <w:vAlign w:val="bottom"/>
          </w:tcPr>
          <w:p>
            <w:pPr>
              <w:spacing w:after="0"/>
              <w:rPr>
                <w:sz w:val="19"/>
                <w:szCs w:val="19"/>
                <w:color w:val="auto"/>
              </w:rPr>
            </w:pPr>
          </w:p>
        </w:tc>
        <w:tc>
          <w:tcPr>
            <w:tcW w:w="840" w:type="dxa"/>
            <w:vAlign w:val="bottom"/>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2.78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(16,008)</w:t>
            </w:r>
          </w:p>
        </w:tc>
        <w:tc>
          <w:tcPr>
            <w:tcW w:w="840" w:type="dxa"/>
            <w:vAlign w:val="bottom"/>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4.46</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June 30, 2016</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4,145,988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4.95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42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expected to vest — June 30, 2016</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79"/>
              </w:rPr>
              <w:t>4.57</w:t>
            </w:r>
          </w:p>
        </w:tc>
        <w:tc>
          <w:tcPr>
            <w:tcW w:w="2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4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2,619,425</w:t>
            </w:r>
          </w:p>
        </w:tc>
        <w:tc>
          <w:tcPr>
            <w:tcW w:w="240" w:type="dxa"/>
            <w:vAlign w:val="bottom"/>
            <w:tcBorders>
              <w:bottom w:val="single" w:sz="8" w:color="CFF0FC"/>
            </w:tcBorders>
          </w:tcPr>
          <w:p>
            <w:pPr>
              <w:spacing w:after="0"/>
              <w:rPr>
                <w:sz w:val="21"/>
                <w:szCs w:val="21"/>
                <w:color w:val="auto"/>
              </w:rPr>
            </w:pPr>
          </w:p>
        </w:tc>
        <w:tc>
          <w:tcPr>
            <w:tcW w:w="8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gridSpan w:val="2"/>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 June 30, 2016</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1,394,581</w:t>
            </w: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5.68</w:t>
            </w: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420" w:type="dxa"/>
            <w:vAlign w:val="bottom"/>
            <w:tcBorders>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weighted-average per share grant date fair value of options granted during the six months ended June 30, 2016 and 2015 was $1.31 and $2.44, respectively.</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and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17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has recorded stock-based compensation expense related to the issuance of stock option awards to employees of $690,000 and $403,000 for the three months ended June 30, 2016 and 2015, respectively, and $1.4 million and $823,000 for the six months ended June 30, 2016 and 2015, respectively. The assumptions used in the Black-Scholes option-pricing model for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options granted to employees and to directors in respect of board services during the three and six months ended June 30, 2016 and 2015 are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760" w:type="dxa"/>
            <w:vAlign w:val="bottom"/>
            <w:gridSpan w:val="4"/>
          </w:tcPr>
          <w:p>
            <w:pPr>
              <w:ind w:left="880"/>
              <w:spacing w:after="0"/>
              <w:rPr>
                <w:sz w:val="20"/>
                <w:szCs w:val="20"/>
                <w:color w:val="auto"/>
              </w:rPr>
            </w:pPr>
            <w:r>
              <w:rPr>
                <w:rFonts w:ascii="Arial" w:cs="Arial" w:eastAsia="Arial" w:hAnsi="Arial"/>
                <w:sz w:val="14"/>
                <w:szCs w:val="14"/>
                <w:b w:val="1"/>
                <w:bCs w:val="1"/>
                <w:color w:val="auto"/>
              </w:rPr>
              <w:t>Three Months Ended June 30,</w:t>
            </w:r>
          </w:p>
        </w:tc>
        <w:tc>
          <w:tcPr>
            <w:tcW w:w="3560" w:type="dxa"/>
            <w:vAlign w:val="bottom"/>
            <w:gridSpan w:val="3"/>
          </w:tcPr>
          <w:p>
            <w:pPr>
              <w:jc w:val="right"/>
              <w:ind w:right="854"/>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100" w:type="dxa"/>
            <w:vAlign w:val="bottom"/>
            <w:tcBorders>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73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2015</w:t>
            </w: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7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5.5 years</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 years</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5.5-6.1 years</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 years</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Company recorded stock-based compensation expense related to nonemployee awards of $14,000 and $53,000 for the three months ended June 30, 2016 and 2015, respectively and $52,000 and $73,000 for the six months ended June 30, 2016 and 2015, respectively. The compensation expense related to nonemployee awards is included in the total stock-based compensation each year and is subject to re-measurement until the options vest. The fair value of the grants is being expensed over the vesting period of the options on a straight-line basis as the services are being provided. The Black-Scholes assumptions used to estimate fair value for the three and six months ended June 30, 2016 and 2015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78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Three Months Ended June 30,</w:t>
            </w:r>
          </w:p>
        </w:tc>
        <w:tc>
          <w:tcPr>
            <w:tcW w:w="3600" w:type="dxa"/>
            <w:vAlign w:val="bottom"/>
            <w:gridSpan w:val="3"/>
          </w:tcPr>
          <w:p>
            <w:pPr>
              <w:jc w:val="right"/>
              <w:ind w:right="974"/>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040" w:type="dxa"/>
            <w:vAlign w:val="bottom"/>
            <w:tcBorders>
              <w:bottom w:val="single" w:sz="8" w:color="CFF0FC"/>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73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FF0FC"/>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754"/>
              <w:spacing w:after="0" w:line="155" w:lineRule="exact"/>
              <w:rPr>
                <w:sz w:val="20"/>
                <w:szCs w:val="20"/>
                <w:color w:val="auto"/>
              </w:rPr>
            </w:pPr>
            <w:r>
              <w:rPr>
                <w:rFonts w:ascii="Arial" w:cs="Arial" w:eastAsia="Arial" w:hAnsi="Arial"/>
                <w:sz w:val="14"/>
                <w:szCs w:val="14"/>
                <w:b w:val="1"/>
                <w:bCs w:val="1"/>
                <w:color w:val="auto"/>
              </w:rPr>
              <w:t>2015</w:t>
            </w: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7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9.0-9.6 years</w:t>
            </w: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years</w:t>
            </w: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6.9-9.7 years</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10 years</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right"/>
              <w:ind w:right="96"/>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2.2%-2.3%</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19"/>
                <w:szCs w:val="19"/>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2.2%-2.3%</w:t>
            </w: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were no nonemployee stock option awards granted during the six months ended June 30, 2016. During the six months ended June 30, 2015, the Company granted nonemployee stock options to purchase 180,000 shares of the Company’s common stock. The weighted-average exercise price and the weighted-average grant date fair value of nonemployee stock options granted for the six months ended June 30, 2015 was $5.30 per share and $3.07 per share,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the last day of the offering period, whichever is lower. Purchase dates under the ESPP occur on or about June 30 and December 31 of each year. The first offering period under the ESPP opened on July 1, 2015. During the six months ended June 30, 2016, 17,185 shares of common stock were purchased under the ESPP at a price of $2.38 per share. The stock-based compensation expense related to the ESPP for the three and six months ended June 30, 2016 was $12,000 and $24,000, respectively. There was no stock-based compensation related to the ESPP recorded for the three and six months ended June 30, 2015.</w:t>
      </w:r>
    </w:p>
    <w:p>
      <w:pPr>
        <w:spacing w:after="0" w:line="16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Company’s financial instruments consist of cash equivalents, accounts payable, accrued expenses, and debt obligations. The carrying amount of accounts payable and accrued expenses are considered a reasonable estimate of their fair value, due to the short-term maturity of these instruments. The carrying amount of debt is also considered to be a reasonable estimate of its fair value based on the short term nature of the debt and because the debt bears interest at the prevailing market rate for instruments with similar characteristics.</w:t>
      </w:r>
    </w:p>
    <w:p>
      <w:pPr>
        <w:spacing w:after="0" w:line="187"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 — Quoted prices (unadjusted) in active markets that are accessible at the market date for identical unrestricted assets or liabilities.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both"/>
        <w:ind w:right="460" w:firstLine="518"/>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 summary of the financial assets and liabilities that are measured on a recurring basis at fair value as of June 30, 2016 and December 31, 2015,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center"/>
              <w:ind w:left="924"/>
              <w:spacing w:after="0"/>
              <w:rPr>
                <w:sz w:val="20"/>
                <w:szCs w:val="20"/>
                <w:color w:val="auto"/>
              </w:rPr>
            </w:pPr>
            <w:r>
              <w:rPr>
                <w:rFonts w:ascii="Arial" w:cs="Arial" w:eastAsia="Arial" w:hAnsi="Arial"/>
                <w:sz w:val="14"/>
                <w:szCs w:val="14"/>
                <w:b w:val="1"/>
                <w:bCs w:val="1"/>
                <w:color w:val="auto"/>
                <w:w w:val="93"/>
              </w:rPr>
              <w:t>Fair Value Measurements Using</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1"/>
                <w:szCs w:val="11"/>
                <w:color w:val="auto"/>
              </w:rPr>
            </w:pPr>
          </w:p>
        </w:tc>
        <w:tc>
          <w:tcPr>
            <w:tcW w:w="13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June 30, 2016</w:t>
            </w: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46,616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46,616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75,325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75,325</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believes that its debt obligations bear interest at rates which approximate prevailing market rates for instruments with similar characteristics and, accordingly, the carrying values for these instruments approximate fair value. The Company’s debt obligations are Level 2 measurements in the fair value hierarchy.</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transfers between levels occurred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are a clinical-stage, oncology-focused company applying our proprietary Dynamic Tumor Targeting™ Platform to develop differentiated therapies. We were incorporated under the laws of the State of Delaware on November 28, 2005, under the name Tempo Pharmaceuticals, Inc. In October 2008, we changed our name to Cerulean Pharma Inc.</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Dynamic Tumor Targeting Platform is designed to create nanoparticle-drug conjugates, or NDCs, with the aim of providing safer and more effective therapies for patients living with cancer. NDCs consist of anti-cancer therapeutics, or payloads, covalently linked to a proprietary polymer. We believe our NDCs concentrate their anti-cancer payloads inside tumor cells while sparing normal tissue because they are small enough to pass through the leaky pores of new blood vessels in tumors as an entry portal into tumor tissue, but are too large to pass through the pores of healthy blood vessels. Once inside tumors, we believe our NDCs are actively taken up into tumor cells where they slowly release their anti-cancer payloads, providing a durable inhibition of their targets.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ability to combine our NDCs with other agents, either approved or experimental, is a key differentiating feature of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platform. Based on their properties and design, our NDCs have the potential to enable synergistic combination therapies that can offer better tolerability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efficacy. We believe that better tolerability can be achieved through the preferential accumulation of the NDC in the tumor cells while better efficacy can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achieved by combining drugs that have different and complementary mechanisms of action.</w:t>
      </w:r>
    </w:p>
    <w:p>
      <w:pPr>
        <w:spacing w:after="0" w:line="21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platform has generated two clinical-stage NDCs. Our first platform-generated clinical candidate, CRLX101, is in Phase 2 clinical development in patients with relapsed renal cell carcinoma, or RCC, and in relapsed ovarian cancer, and in other earlier stage clinical trials. In April 2015, the United States Food and Drug Administration, or FDA, granted CRLX101 fast track designation in combination with Avastin in metastatic RCC, and in July 2016 the FDA granted CRLX101 fast track designation in combination with paclitaxel for the treatment of platinum-resistant ovarian carcinoma, fallopian tube or primary peritoneal cancer. In May 2015, the FDA also granted CRLX101 orphan drug designation for the treatment of ovarian cancer. Our second platform-generated clinical candidate, CRLX301, is currently in Phase 1/2a clinical development. We intend to generate additional candidates, alone and potentially in collaboration with partners.</w:t>
      </w:r>
    </w:p>
    <w:p>
      <w:pPr>
        <w:spacing w:after="0" w:line="189"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We are pursuing development of CRLX101 in combination with anti-cancer therapies in multiple ongoing clinical development programs that include company-sponsored trials and investigator-sponsored trials, or ISTs. Our two lead indications are relapsed RCC and relapsed ovarian cancer. In relapsed RCC, we are conducting a Phase 2 randomized, controlled, company-sponsored trial comparing CRLX101 administered in combination with Avastin to investigator’s choice of standard of care in patients with RCC who have received two or three prior lines of therapy. We refer to this trial as the RCC Trial. We completed enrollment in October 2015 and expect to announce top-line data from the RCC Trial in the third quarter of 2016. In July 2016, we decided to amend the primary endpoint of the RCC Trial, so that progression free survival, or PFS, is assessed by independent radiologic review. Before this amendment, the primary endpoint of the RCC Trial was PFS as assessed by investigators, according to Response Evaluation Criteria In Solid Tumors, or RECIST, version 1.1. The amendment makes investigator-assessed PFS a secondary endpoint.</w:t>
      </w:r>
    </w:p>
    <w:p>
      <w:pPr>
        <w:spacing w:after="0" w:line="179"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We have two ongoing trials in relapsed ovarian cancer. We are conducting a Phase 1b/2 company-sponsored trial of CRLX101 in combination with weekly paclitaxel in patients with relapsed ovarian cancer in collaboration with the GOG Foundation, Inc. (formerly known as the Gynecologic Oncology Group), or GOG. This Phase 1b/2 multi-center, open-label study combines CRLX101 with weekly paclitaxel in approximately 40 patients with recurrent or persistent epithelial ovarian, fallopian tube or primary peritoneal cancer. The Phase 1b portion of this clinical trial was designed to identify the maximum tolerated dose, or MTD, as well as pharmacokinetics, safety, tolerability and preliminary signals of efficacy of CRLX101 in combination with weekly paclitaxel. In April 2016, we announced the determination of the MTD and recommended Phase 2 dose for this combination to be 15 mg/m2 for CRLX101 administered every other week and 80 mg/m2 for weekly paclitaxel administered three weeks on and one week off. The Phase 2 expansion portion of this clinical trial is ongoing and will assess the overall response rate in patients with recurrent platinum resistant epithelial ovarian, fallopian tube or primary peritoneal cancer who previously received Avastin. We began enrolling patients into the Phase 2 expansion portion of this trial in July 2016.</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ind w:firstLine="518"/>
        <w:spacing w:after="0" w:line="257" w:lineRule="auto"/>
        <w:rPr>
          <w:sz w:val="20"/>
          <w:szCs w:val="20"/>
          <w:color w:val="auto"/>
        </w:rPr>
      </w:pPr>
      <w:r>
        <w:rPr>
          <w:rFonts w:ascii="Arial" w:cs="Arial" w:eastAsia="Arial" w:hAnsi="Arial"/>
          <w:sz w:val="18"/>
          <w:szCs w:val="18"/>
          <w:color w:val="auto"/>
        </w:rPr>
        <w:t>A Phase 2 single-arm IST of CRLX101 as monotherapy and in combination with Avastin in patients with relapsed ovarian cancer is being conducted at Massachusetts General Hospital and affiliated Harvard University teaching hospitals. The monotherapy arm of the trial, in which 29 patients were enrolled, met its primary endpoint. The results from the monotherapy arm led to the combination arm of this trial, which employs a two-stage design. The first stage enrolled 18 patients and achieved the pre-defined criterion for advancement into the second stage, which showed improved activity relative to the monotherapy arm. The second stage of this trial is ongoing.</w:t>
      </w:r>
    </w:p>
    <w:p>
      <w:pPr>
        <w:spacing w:after="0" w:line="188"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We are also evaluating the combination of CRLX101 with Poly ADP ribose polymerase inhibitors, or PARP inhibitors. PARP inhibitors, such as LYNPARZA™ (olaparib), hinder a cell’s ability to repair single-strand DNA breaks. Topo 1 inhibitors, such as CRLX101, create persistent single-strand DNA breaks, and preclinical experiments have shown that PARP inhibition potentiates the DNA damage resulting from topo 1 inhibition. PARP-topo 1 combinations have traditionally been limited by toxicity. However, we believe our NDC platform may enable a therapeutic PARP-topo 1 combination because NDC’s are designed to concentrate anti-cancer payloads inside tumor cells and spare healthy tissue. Preclinical data generated by AstraZeneca AB, or AstraZeneca, with a LYNPARZA-CRLX101 combination demonstrated a synergistic anti-tumor effect from targeting two validated pathways. Based on this data, in November 2015, we entered into a collaboration agreement with the National Cancer Institute, or the NCI, and AstraZeneca to study the LYNPARZA-CRLX101 combination in human clinical trials.</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May 2016, we announced that the first patient was dosed in an open-label, single center Phase 1/2 clinical trial of CRLX101 in combination with LYNPARZA in patients with advanced solid tumors. This trial is being conducted by the NCI. We believe that with our NDC and the work AstraZeneca has done to define a clinical dose and schedule, we may be able to develop an effective and tolerable LYNPARZA-CRLX101 combination. The Phase 1 portion of this clinical trial will enroll up to 30 patients with advanced solid tumors that are resistant or refractory to standard therapy. The trial is designed to identify the MTD, or recommended Phase 2 dose, of CRLX101 when combined with LYNPARZA, and to provide additional data on pharmacokinetics, pharmacodynamics and safety. The Phase 2a portion will evaluate the efficacy of this combination in relapsed small cell lung cancer patients dosed at the identified recommended Phase 2 dose and schedule.</w:t>
      </w:r>
    </w:p>
    <w:p>
      <w:pPr>
        <w:spacing w:after="0" w:line="18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Our second platform-generated NDC clinical candidate, CRLX301, is an NDC with docetaxel as its anti-cancer payload. CRLX301 is designed to concentrate in tumors and slowly release docetaxel inside tumor cells. We are studying CRLX301 in a Phase 1/2a trial in patients with advanced solid tumor malignancies in order to evaluate the safety of the drug and establish an MTD for two dosing schedules. In the Phase 1 stage of the clinical trial we explored tolerability of dose ranges when the drug candidate was administered once every three weeks and have determined an MTD for this dosing schedule. We are also exploring a weekly dosing schedule as part of the Phase 1 stage to determine the MTD for that regimen. These parallel paths will allow us to determine the recommended Phase 2 dose with the preferred dosing schedule.</w:t>
      </w:r>
    </w:p>
    <w:p>
      <w:pPr>
        <w:spacing w:after="0" w:line="178"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In June 2016, we announced that we had dosed the first patient in the Phase 2a stage of this clinical trial, evaluating a once every three weeks dosing schedule. The Phase 2a expansion includes two stages. In Stage 1 we plan to enroll up to eight patients in each dosing schedule. This stage of the trial is designed to further establish the safety and tolerability of each dosing schedule and to provide additional data on pharmacokinetics, pharmacodynamics and antitumor activity. In Stage 2 we plan to enroll up to 36 additional patients with specific tumor types using the optimal dosing schedule.</w:t>
      </w:r>
    </w:p>
    <w:p>
      <w:pPr>
        <w:spacing w:after="0" w:line="154"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To date, we have devoted substantially all of our resources to our drug discovery and development efforts, including conducting clinical trials of our product candidates, protecting our intellectual property and the general and administrative support of our operations. We have generated no revenue from product sales. We expect that it will be several years before we commercialize a product candidate, if ever. Through June 30, 2016, we have funded our operations primarily through $84.2 million in proceeds from the sale of shares of our convertible preferred stock in private placements, net proceeds of $59.9 million from sales of shares of our common stock in our initial public offering, or IPO, net proceeds of $37.2 million from the sale of shares of our common stock in April 2015 in an underwritten public offering, or Secondary Offering, $17.3 million in proceeds from our sale of convertible promissory notes, $10.0 million in proceeds from a loan and security agreement with Lighthouse Capital Partners VI, L.P., or Lighthouse Capital, and $21.0 million in proceeds from a loan and security agreement with Hercules Technology Growth Capital, Inc., or Hercules. We refer to our loan and security agreements with Lighthouse Capital and Hercules as the Lighthouse Loan Agreement and the Hercules Loan Agreement, respectively.</w:t>
      </w:r>
    </w:p>
    <w:p>
      <w:pPr>
        <w:spacing w:after="0" w:line="16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We have never been profitable and have incurred significant operating losses since our incorporation. As of June 30, 2016, we had an accumulated deficit of $185.8 million. We incurred net losses of approximately $24.4 million and $18.3 million for the six months ended June 30, 2016 and 2015, respectively.</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expect to continue to incur significant and increasing expenses and operating losses for the foreseeable future, as we advance our product candidates through preclinical studies and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7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To date, our only revenue has consisted of a government tax credit that we received in 2010 and payments in each of the years from 2011 through 2014 from material transfer agreements and/or a research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Research and development expense consists of costs incurred in connection with the discovery and development of our Dynamic Tumor Targeting Platform and our NDCs. These expenses consist primarily of:</w:t>
      </w:r>
    </w:p>
    <w:p>
      <w:pPr>
        <w:ind w:left="1040" w:hanging="519"/>
        <w:spacing w:after="0" w:line="210" w:lineRule="auto"/>
        <w:tabs>
          <w:tab w:leader="none" w:pos="10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employee-related expenses, including salaries, benefits and stock-based compensation expense;</w:t>
      </w:r>
    </w:p>
    <w:p>
      <w:pPr>
        <w:spacing w:after="0" w:line="110" w:lineRule="exact"/>
        <w:rPr>
          <w:rFonts w:ascii="Arial" w:cs="Arial" w:eastAsia="Arial" w:hAnsi="Arial"/>
          <w:sz w:val="29"/>
          <w:szCs w:val="29"/>
          <w:color w:val="auto"/>
          <w:vertAlign w:val="superscript"/>
        </w:rPr>
      </w:pPr>
    </w:p>
    <w:p>
      <w:pPr>
        <w:ind w:left="1040" w:right="540" w:hanging="519"/>
        <w:spacing w:after="0" w:line="191" w:lineRule="auto"/>
        <w:tabs>
          <w:tab w:leader="none" w:pos="10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expenses incurred under agreements with contract research organizations, or CROs, investigative sites that conduct our clinical trials and consultants that conduct a portion of our preclinical studies;</w:t>
      </w:r>
    </w:p>
    <w:p>
      <w:pPr>
        <w:ind w:left="1040" w:hanging="519"/>
        <w:spacing w:after="0" w:line="233" w:lineRule="auto"/>
        <w:tabs>
          <w:tab w:leader="none" w:pos="10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expenses relating to scientific and medical consultants and advisors;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the cost of acquiring and manufacturing clinical trial materials;</w:t>
      </w:r>
    </w:p>
    <w:p>
      <w:pPr>
        <w:spacing w:after="0" w:line="110" w:lineRule="exact"/>
        <w:rPr>
          <w:rFonts w:ascii="Arial" w:cs="Arial" w:eastAsia="Arial" w:hAnsi="Arial"/>
          <w:sz w:val="24"/>
          <w:szCs w:val="24"/>
          <w:color w:val="auto"/>
          <w:vertAlign w:val="superscript"/>
        </w:rPr>
      </w:pPr>
    </w:p>
    <w:p>
      <w:pPr>
        <w:ind w:left="1040" w:right="660" w:hanging="519"/>
        <w:spacing w:after="0" w:line="191" w:lineRule="auto"/>
        <w:tabs>
          <w:tab w:leader="none" w:pos="10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facilities, depreciation of fixed assets and other allocated expenses, including direct and allocated expenses for rent and maintenance of facilities and equipment;</w:t>
      </w:r>
    </w:p>
    <w:p>
      <w:pPr>
        <w:spacing w:after="0" w:line="25" w:lineRule="exact"/>
        <w:rPr>
          <w:rFonts w:ascii="Arial" w:cs="Arial" w:eastAsia="Arial" w:hAnsi="Arial"/>
          <w:sz w:val="29"/>
          <w:szCs w:val="29"/>
          <w:color w:val="auto"/>
          <w:vertAlign w:val="superscript"/>
        </w:rPr>
      </w:pPr>
    </w:p>
    <w:p>
      <w:pPr>
        <w:ind w:left="1040" w:hanging="519"/>
        <w:spacing w:after="0"/>
        <w:tabs>
          <w:tab w:leader="none" w:pos="10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lab supplies, reagents, active pharmaceutical ingredients and other direct and indirect costs in support of our preclinical and clinical activities;</w:t>
      </w:r>
    </w:p>
    <w:p>
      <w:pPr>
        <w:spacing w:after="0" w:line="109" w:lineRule="exact"/>
        <w:rPr>
          <w:rFonts w:ascii="Arial" w:cs="Arial" w:eastAsia="Arial" w:hAnsi="Arial"/>
          <w:sz w:val="26"/>
          <w:szCs w:val="26"/>
          <w:color w:val="auto"/>
          <w:vertAlign w:val="superscript"/>
        </w:rPr>
      </w:pPr>
    </w:p>
    <w:p>
      <w:pPr>
        <w:ind w:left="1040" w:hanging="519"/>
        <w:spacing w:after="0" w:line="186" w:lineRule="auto"/>
        <w:tabs>
          <w:tab w:leader="none" w:pos="10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license fees related to in-licensed products and technology;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costs associated with non-clinical activities and regulatory approvals.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expense research and development costs as incurred.</w:t>
      </w:r>
    </w:p>
    <w:p>
      <w:pPr>
        <w:spacing w:after="0" w:line="225"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support multiple clinical trials of CRLX101 and CRLX301, and advance our earlier-stage research and development projects.</w:t>
      </w:r>
    </w:p>
    <w:p>
      <w:pPr>
        <w:spacing w:after="0" w:line="17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 summary of our research and development expenses for the three and six months ended June 30, 2016 and 2015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58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r>
      <w:tr>
        <w:trPr>
          <w:trHeight w:val="156"/>
        </w:trPr>
        <w:tc>
          <w:tcPr>
            <w:tcW w:w="4860" w:type="dxa"/>
            <w:vAlign w:val="bottom"/>
          </w:tcPr>
          <w:p>
            <w:pPr>
              <w:spacing w:after="0"/>
              <w:rPr>
                <w:sz w:val="13"/>
                <w:szCs w:val="13"/>
                <w:color w:val="auto"/>
              </w:rPr>
            </w:pPr>
          </w:p>
        </w:tc>
        <w:tc>
          <w:tcPr>
            <w:tcW w:w="960" w:type="dxa"/>
            <w:vAlign w:val="bottom"/>
            <w:tcBorders>
              <w:top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CRLX101</w:t>
            </w:r>
          </w:p>
        </w:tc>
        <w:tc>
          <w:tcPr>
            <w:tcW w:w="960" w:type="dxa"/>
            <w:vAlign w:val="bottom"/>
            <w:tcBorders>
              <w:top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5,378</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12,133</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CRLX301</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1,116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Dynamic Tumor Targeting Platform</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Overhead</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7,522</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6,678</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17,292</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8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summarizes our research and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CRLX101</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Our lead product candidate, CRLX101, is an NDC in Phase 2 clinical development in our two lead indications, relapsed RCC and relapsed ovarian cancer. We are also pursuing development of CRLX101 in combination with anti-cancer therapies in other earlier stage clinical trials that include company-sponsored trials and ISTs.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leading CRLX101 development programs are:</w:t>
      </w:r>
    </w:p>
    <w:p>
      <w:pPr>
        <w:spacing w:after="0" w:line="117" w:lineRule="exact"/>
        <w:rPr>
          <w:sz w:val="20"/>
          <w:szCs w:val="20"/>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Relapsed RCC:</w:t>
      </w:r>
    </w:p>
    <w:p>
      <w:pPr>
        <w:spacing w:after="0" w:line="117" w:lineRule="exact"/>
        <w:rPr>
          <w:rFonts w:ascii="Arial" w:cs="Arial" w:eastAsia="Arial" w:hAnsi="Arial"/>
          <w:sz w:val="18"/>
          <w:szCs w:val="18"/>
          <w:color w:val="auto"/>
        </w:rPr>
      </w:pPr>
    </w:p>
    <w:p>
      <w:pPr>
        <w:ind w:left="1280" w:right="400" w:hanging="381"/>
        <w:spacing w:after="0" w:line="323" w:lineRule="auto"/>
        <w:tabs>
          <w:tab w:leader="none" w:pos="1280" w:val="left"/>
        </w:tabs>
        <w:numPr>
          <w:ilvl w:val="1"/>
          <w:numId w:val="11"/>
        </w:numPr>
        <w:rPr>
          <w:rFonts w:ascii="Courier New" w:cs="Courier New" w:eastAsia="Courier New" w:hAnsi="Courier New"/>
          <w:sz w:val="16"/>
          <w:szCs w:val="16"/>
          <w:color w:val="auto"/>
        </w:rPr>
      </w:pPr>
      <w:r>
        <w:rPr>
          <w:rFonts w:ascii="Arial" w:cs="Arial" w:eastAsia="Arial" w:hAnsi="Arial"/>
          <w:sz w:val="16"/>
          <w:szCs w:val="16"/>
          <w:color w:val="auto"/>
        </w:rPr>
        <w:t>We are conducting a Phase 2 randomized, controlled, company-sponsored trial comparing CRLX101 administered in combination with Avastin to investigator’s choice of standard of care in patients with RCC who have received two or three prior lines of therapy.</w:t>
      </w:r>
    </w:p>
    <w:p>
      <w:pPr>
        <w:spacing w:after="0" w:line="25" w:lineRule="exact"/>
        <w:rPr>
          <w:rFonts w:ascii="Courier New" w:cs="Courier New" w:eastAsia="Courier New" w:hAnsi="Courier New"/>
          <w:sz w:val="16"/>
          <w:szCs w:val="16"/>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Relapsed ovarian cancer:</w:t>
      </w:r>
    </w:p>
    <w:p>
      <w:pPr>
        <w:spacing w:after="0" w:line="117" w:lineRule="exact"/>
        <w:rPr>
          <w:rFonts w:ascii="Arial" w:cs="Arial" w:eastAsia="Arial" w:hAnsi="Arial"/>
          <w:sz w:val="18"/>
          <w:szCs w:val="18"/>
          <w:color w:val="auto"/>
        </w:rPr>
      </w:pPr>
    </w:p>
    <w:p>
      <w:pPr>
        <w:ind w:left="1280" w:right="420" w:hanging="381"/>
        <w:spacing w:after="0" w:line="259" w:lineRule="auto"/>
        <w:tabs>
          <w:tab w:leader="none" w:pos="128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We are conducting a Phase 1b/2 company-sponsored trial of CRLX101 in combination with weekly paclitaxel in patients with relapsed ovarian cancer in collaboration with the GOG.</w:t>
      </w:r>
    </w:p>
    <w:p>
      <w:pPr>
        <w:spacing w:after="0" w:line="76" w:lineRule="exact"/>
        <w:rPr>
          <w:rFonts w:ascii="Courier New" w:cs="Courier New" w:eastAsia="Courier New" w:hAnsi="Courier New"/>
          <w:sz w:val="18"/>
          <w:szCs w:val="18"/>
          <w:color w:val="auto"/>
        </w:rPr>
      </w:pPr>
    </w:p>
    <w:p>
      <w:pPr>
        <w:ind w:left="1280" w:right="240" w:hanging="381"/>
        <w:spacing w:after="0" w:line="259" w:lineRule="auto"/>
        <w:tabs>
          <w:tab w:leader="none" w:pos="128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We are also conducting a Phase 2 single-arm IST of CRLX101 as monotherapy and in combination with Avastin in patients with relapsed ovarian cancer at Massachusetts General Hospital and affiliated Harvard University teaching hospitals.</w:t>
      </w:r>
    </w:p>
    <w:p>
      <w:pPr>
        <w:spacing w:after="0" w:line="184" w:lineRule="exact"/>
        <w:rPr>
          <w:sz w:val="20"/>
          <w:szCs w:val="20"/>
          <w:color w:val="auto"/>
        </w:rPr>
      </w:pPr>
    </w:p>
    <w:p>
      <w:pPr>
        <w:jc w:val="both"/>
        <w:ind w:right="640" w:firstLine="518"/>
        <w:spacing w:after="0" w:line="286" w:lineRule="auto"/>
        <w:rPr>
          <w:sz w:val="20"/>
          <w:szCs w:val="20"/>
          <w:color w:val="auto"/>
        </w:rPr>
      </w:pPr>
      <w:r>
        <w:rPr>
          <w:rFonts w:ascii="Arial" w:cs="Arial" w:eastAsia="Arial" w:hAnsi="Arial"/>
          <w:sz w:val="17"/>
          <w:szCs w:val="17"/>
          <w:color w:val="auto"/>
        </w:rPr>
        <w:t>Additional trials involving CRLX101 are also ongoing, including a Phase 1b company-sponsored trial exploring a dose-intensive schedule for CRLX101 in patients with solid tumors, a Phase 1/2 clinical trial sponsored by the NCI, evaluating the combination of CRLX101 and LYNPARZA™ (olaparib) in patients with advanced solid tumors, and a Phase 1b/2 IST in patients with locally advanced rectal cancer.</w:t>
      </w:r>
    </w:p>
    <w:p>
      <w:pPr>
        <w:spacing w:after="0" w:line="166"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8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Under our license agreement with Calando Pharmaceuticals, Inc., or Calando, pursuant to which we obtained rights to CRLX101, or the CRLX101 Agreement, we are obligated to pay milestone payments which could total, in the aggregate, $32.8 million, if we achieve certain development and sales events with CRLX101.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CRLX301</w:t>
      </w:r>
    </w:p>
    <w:p>
      <w:pPr>
        <w:spacing w:after="0" w:line="22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We are studying CRLX301 in a Phase 1/2a trial in patients with advanced solid tumor malignancies in order to evaluate the safety of the drug and establish an MTD for two dosing schedules. In the Phase 1 stage of the clinical trial we explored tolerability of dose ranges when the drug candidate was administered once every three weeks and have determined an MTD for this dosing schedule. We are also exploring a weekly dosing schedule as part of the Phase 1 stage of the trial to determine the MTD for that regimen. These parallel paths will allow us to determine the recommended Phase 2 dose with the preferred dosing schedule. The Phase 2a expansion of this clinical trial includes two stages. Stage 1 is designed to further establish the safety and tolerability of each dosing schedule and to provide additional data on pharmacokinetics, pharmacodynamics and antitumor activity. Stage 2 will enroll additional patients with specific tumor types using the optimal dosing schedule.</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Under our license agreement with Calando pursuant to which we obtained rights to Calando’s cyclodextrin system for purposes of conjugating or complexing certain other therapeutic agents to the system, or the Platform Agreement, we paid a $250,000 clinical development milestone to Calando in January 2015 in connection with the initiation of our Phase 1/2a clinical trial of CRLX301 in December 2014. We are also required to make milestone payments in an aggregate amount of up to approximately $18.0 million to Calando if we achieve certain development and sales events with respect to CRLX301. Further, under the Platform Agreement, if we, or one of our affiliates, sell CRLX301 we are required to pay tiered royalty payments ranging from low- to mid-single digits, as 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right="20"/>
        <w:spacing w:after="0" w:line="259" w:lineRule="auto"/>
        <w:rPr>
          <w:sz w:val="20"/>
          <w:szCs w:val="20"/>
          <w:color w:val="auto"/>
        </w:rPr>
      </w:pPr>
      <w:r>
        <w:rPr>
          <w:rFonts w:ascii="Arial" w:cs="Arial" w:eastAsia="Arial" w:hAnsi="Arial"/>
          <w:sz w:val="18"/>
          <w:szCs w:val="18"/>
          <w:color w:val="auto"/>
        </w:rPr>
        <w:t>percentage of worldwide net sales, depending on whether there is patent protection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low-double digits.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Dynamic Tumor Targeting Platform</w:t>
      </w:r>
    </w:p>
    <w:p>
      <w:pPr>
        <w:spacing w:after="0" w:line="225" w:lineRule="exact"/>
        <w:rPr>
          <w:sz w:val="20"/>
          <w:szCs w:val="20"/>
          <w:color w:val="auto"/>
        </w:rPr>
      </w:pPr>
    </w:p>
    <w:p>
      <w:pPr>
        <w:ind w:right="360" w:firstLine="518"/>
        <w:spacing w:after="0" w:line="312" w:lineRule="auto"/>
        <w:rPr>
          <w:sz w:val="20"/>
          <w:szCs w:val="20"/>
          <w:color w:val="auto"/>
        </w:rPr>
      </w:pPr>
      <w:r>
        <w:rPr>
          <w:rFonts w:ascii="Arial" w:cs="Arial" w:eastAsia="Arial" w:hAnsi="Arial"/>
          <w:sz w:val="16"/>
          <w:szCs w:val="16"/>
          <w:color w:val="auto"/>
        </w:rPr>
        <w:t>We expect that the expenses related to our NDCs and the development of our platform will continue to increase as we seek to identify additional targets for preclinical research and add personnel to these projects. We cannot accurately predict future research and development expenses for our NDCs because such costs are dependent on a number of variables, including the success of preclinical studies on any such NDC.</w:t>
      </w:r>
    </w:p>
    <w:p>
      <w:pPr>
        <w:spacing w:after="0" w:line="14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successful development of any of our NDCs is highly uncertain. As such, at this time, we cannot reasonably predict with certainty the duration and costs of the current or future preclinical studies or clinical trials of any of our NDCs or if, when or to what extent we will generate revenues from any commercialization and sale of any of our NDCs that obtain marketing approval. We may never succeed in achieving regulatory approval for any of our NDCs. The duration, costs and timing of development of our NDCs will depend on a variety of factors, including:</w:t>
      </w:r>
    </w:p>
    <w:p>
      <w:pPr>
        <w:ind w:left="1040" w:hanging="519"/>
        <w:spacing w:after="0" w:line="211" w:lineRule="auto"/>
        <w:tabs>
          <w:tab w:leader="none" w:pos="10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the scope and rate of progress of our ongoing clinical trials;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a continued acceptable safety profile of any product candidate once approved;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the scope, progress, timing, results and costs of researching and developing our NDCs and conducting preclinical and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results from ongoing as well as any future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significant and changing government regulation in the United States and abroad;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the costs, timing and outcome of regulatory review or approval of our NDCs in the United States and abroad;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our ability to establish and maintain strategic partnerships, licensing or other arrangements and the financial terms of such agreements;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our ability to raise additional capital, as and when needed;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establishment of arrangements with third party suppliers of raw materials and third party manufacturers of finished drug product;</w:t>
      </w:r>
    </w:p>
    <w:p>
      <w:pPr>
        <w:spacing w:after="0" w:line="110" w:lineRule="exact"/>
        <w:rPr>
          <w:rFonts w:ascii="Arial" w:cs="Arial" w:eastAsia="Arial" w:hAnsi="Arial"/>
          <w:sz w:val="24"/>
          <w:szCs w:val="24"/>
          <w:color w:val="auto"/>
          <w:vertAlign w:val="superscript"/>
        </w:rPr>
      </w:pPr>
    </w:p>
    <w:p>
      <w:pPr>
        <w:ind w:left="1040" w:right="120" w:hanging="519"/>
        <w:spacing w:after="0" w:line="191" w:lineRule="auto"/>
        <w:tabs>
          <w:tab w:leader="none" w:pos="10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our ability to manufacture, market, commercialize and achieve market acceptance for any of our NDCs that we are developing or may develop in the future;</w:t>
      </w:r>
    </w:p>
    <w:p>
      <w:pPr>
        <w:ind w:left="1040" w:hanging="519"/>
        <w:spacing w:after="0" w:line="233" w:lineRule="auto"/>
        <w:tabs>
          <w:tab w:leader="none" w:pos="104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the emergence of competing technologies and products and other adverse market developments; and</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the cost of preparing, filing and prosecuting patent applications and maintaining, enforcing and defending intellectual property-related claims.</w:t>
      </w:r>
    </w:p>
    <w:p>
      <w:pPr>
        <w:spacing w:after="0" w:line="202"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Any change in the outcome of any of these variables with respect to the development of an NDC could mean a significant change in the cost and timing associated with the development of that NDC. For example, if the FDA, or a comparable non-U.S. regulatory authority were to require us to conduct clinical trials beyond those that we currently anticipate will be required for the marketing authorization of an NDC, or if we experience significant delays in enrollment in any of our clinical trials, we could be required to expend significant additional financial resources and time to obtain marketing authorization.</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As a result of the uncertainties discussed above, we are unable to determine when, or to what extent, we will generate revenues from the commercialization and sale of any of our NDCs. We anticipate that we will make determinations as to which additional programs to pursue and how much funding to direct to each program on an ongoing basis in response to the scientific and clinical data with respect to each NDC, our current financial condition, as well as our ongoing assessment of the NDCs’ commercial potential. We will need to raise additional capital in the future in order to complete the development and commercialization of CRLX101 and CRLX301 and to fund the development of our other NDCs, if 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General and administrative expenses consist principally of salaries and related costs for personnel in our executive, finance, business development, marketing, legal, information technology and human resources functions. Other general and administrative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320"/>
        <w:spacing w:after="0" w:line="277" w:lineRule="auto"/>
        <w:rPr>
          <w:sz w:val="20"/>
          <w:szCs w:val="20"/>
          <w:color w:val="auto"/>
        </w:rPr>
      </w:pPr>
      <w:r>
        <w:rPr>
          <w:rFonts w:ascii="Arial" w:cs="Arial" w:eastAsia="Arial" w:hAnsi="Arial"/>
          <w:sz w:val="18"/>
          <w:szCs w:val="18"/>
          <w:color w:val="auto"/>
        </w:rPr>
        <w:t>expenses include patent filing, patent prosecution, professional fees for legal, insurance, consulting, information technology, auditing and tax services and facility costs not otherwise included in research and development expenses.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anticipate that our general and administrative expenses will increase in the future for, among others, the following reasons:</w:t>
      </w:r>
    </w:p>
    <w:p>
      <w:pPr>
        <w:spacing w:after="0" w:line="117" w:lineRule="exact"/>
        <w:rPr>
          <w:sz w:val="20"/>
          <w:szCs w:val="20"/>
          <w:color w:val="auto"/>
        </w:rPr>
      </w:pPr>
    </w:p>
    <w:p>
      <w:pPr>
        <w:ind w:left="900" w:right="10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to incur increased general and administrative expenses to support our research and development activities, which we expect to expand as we continue to pursue the development of our NDCs;</w:t>
      </w:r>
    </w:p>
    <w:p>
      <w:pPr>
        <w:spacing w:after="0" w:line="62" w:lineRule="exact"/>
        <w:rPr>
          <w:rFonts w:ascii="Arial" w:cs="Arial" w:eastAsia="Arial" w:hAnsi="Arial"/>
          <w:sz w:val="18"/>
          <w:szCs w:val="18"/>
          <w:color w:val="auto"/>
        </w:rPr>
      </w:pPr>
    </w:p>
    <w:p>
      <w:pPr>
        <w:ind w:left="900" w:right="380" w:hanging="379"/>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our general and administrative expenses will continue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73"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begin to incur expenses related to sales and marketing of our NDCs in anticipation of commercial launch before we receive regulatory approval of an NDC.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income consists of interest earned on our cash and cash equivalents. The primary objective of our investment policy is capital preservation.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Interest expense consists primarily of interest, amortization of debt discount and amortization of deferred financing costs associated with the Hercules Loan Agreement. Interest expense in 2015 also included the write off of debt discount and deferred financing costs associated with the repayment of the debt incurred under the Lighthouse Loan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2016 and 2015 (Unaudited)</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three months ended June 30, 2016 and 2015, together with the changes in those items in dollars and as a percentage (in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Dollar</w:t>
            </w:r>
          </w:p>
        </w:tc>
        <w:tc>
          <w:tcPr>
            <w:tcW w:w="80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4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for the three months ended June 30, 2016, was $7.5 million compared to $6.7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June 30, 2015, an increase of $0.8 million, or 13%. The following table summarizes our research and development expense by program for the three months ended June 30, 2016 and 2015, together with the change in spending by program in dollars and as a percentage (in thousands, except percentages):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CRLX101</w:t>
            </w:r>
          </w:p>
        </w:tc>
        <w:tc>
          <w:tcPr>
            <w:tcW w:w="16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5,378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CRLX301</w:t>
            </w: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Dynamic Tumor Targeting Platform</w:t>
            </w:r>
          </w:p>
        </w:tc>
        <w:tc>
          <w:tcPr>
            <w:tcW w:w="16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Overhead</w:t>
            </w: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160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7,522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6" w:name="page17"/>
    <w:bookmarkEnd w:id="16"/>
    <w:p>
      <w:pPr>
        <w:ind w:left="520"/>
        <w:spacing w:after="0"/>
        <w:rPr>
          <w:sz w:val="20"/>
          <w:szCs w:val="20"/>
          <w:color w:val="auto"/>
        </w:rPr>
      </w:pPr>
      <w:r>
        <w:rPr>
          <w:rFonts w:ascii="Arial" w:cs="Arial" w:eastAsia="Arial" w:hAnsi="Arial"/>
          <w:sz w:val="16"/>
          <w:szCs w:val="16"/>
          <w:color w:val="auto"/>
        </w:rPr>
        <w:t>For the three months ended June 30, 2016, CRLX101 program expenses increased by $0.4 million, or 7%, to $5.4 million compared to $5.0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June 30, 2015. The increase in CRLX101 program expenses was primarily attributable to chemistry, manufacturing, and controls,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CMC, for which costs increased $1.2 million, reflecting increased production and activity to support current and future clinical development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CRLX101. Salary and benefits expenses also increased $0.5 million, reflecting increased headcount, and consulting and other operating costs increased $0.2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to support the CRLX101 program and the CRLX101 clinical trials. These increases were partially offset by a decrease of $1.6 million in clinical trial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reflecting lower CRO fees, investigator fees and costs associated with clinical sites and laboratories primarily attributable to our RCC Trial.</w:t>
      </w:r>
    </w:p>
    <w:p>
      <w:pPr>
        <w:spacing w:after="0" w:line="222"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For the three months ended June 30, 2016, CRLX301 program expenses increased $0.3 million, or 35%, to $1.1 million compared to $0.8 million for the three months ended June 30, 2015. The increase in CRLX301 program expense was primarily attributable to an increase of $0.2 million in CMC costs to support current and future clinical development of CRLX301and an increase of $0.1 million in salary and benefits expenses reflecting increased headcount to support the CRLX301 program and the CRLX301 clinical trials.</w:t>
      </w:r>
    </w:p>
    <w:p>
      <w:pPr>
        <w:spacing w:after="0" w:line="18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Expenses associated with our Dynamic Tumor Targeting Platform were $0.7 million for the three months ended June 30, 2016, an increase of $0.2 million, or 53%, compared to $0.5 million for the three months ended June 30, 2015. The increase was primarily due to increased salary and benefits expenses combined with increases in consulting and external lab costs. Overhead costs decreased $51,000, or 15%, to $0.3 million for the three months ended June 30, 2016 as compared to the three months ended June 30, 2015. The decrease was primarily attributable to a decrease in facility costs.</w:t>
      </w:r>
    </w:p>
    <w:p>
      <w:pPr>
        <w:spacing w:after="0" w:line="15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for the three months ended June 30, 2016, was $2.8 million compared to $2.7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June 30, 2015, an increase of $0.1 million, or 2%. The increase in general and administrative costs was primarily attributable to an increase in salary and benefits expenses of $0.2 million, partially offset by a decrease of $0.1 million in facility costs and other general and administrative costs.</w:t>
      </w:r>
    </w:p>
    <w:p>
      <w:pPr>
        <w:spacing w:after="0" w:line="187"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June 30, 2016, was $0.6 million, an increase of $0.1 million, or 10%,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$0.5 million for the three months ended June 30, 2015. For the three months ended June 30, 2016 and 2015, other expense, net, was primarily interest expense associated with the Hercules Loan Agreement, including $0.1 million for the amortization of debt discount and deferred financing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2016 and 2015 (Unaudited)</w:t>
      </w:r>
    </w:p>
    <w:p>
      <w:pPr>
        <w:spacing w:after="0" w:line="22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six months ended June 30, 2016 and 2015, together with the changes in those items in dollars and as a percentage (in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4"/>
                <w:szCs w:val="14"/>
                <w:color w:val="auto"/>
              </w:rPr>
            </w:pPr>
          </w:p>
        </w:tc>
        <w:tc>
          <w:tcPr>
            <w:tcW w:w="1180" w:type="dxa"/>
            <w:vAlign w:val="bottom"/>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Dollar</w:t>
            </w:r>
          </w:p>
        </w:tc>
        <w:tc>
          <w:tcPr>
            <w:tcW w:w="80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9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r>
      <w:tr>
        <w:trPr>
          <w:trHeight w:val="230"/>
        </w:trPr>
        <w:tc>
          <w:tcPr>
            <w:tcW w:w="4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9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(1,218)</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(1,238)</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r>
      <w:tr>
        <w:trPr>
          <w:trHeight w:val="20"/>
        </w:trPr>
        <w:tc>
          <w:tcPr>
            <w:tcW w:w="4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 for the six months ended June 30, 2016, was $17.3 million compared to $11.7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six months ended June 30, 2015, an increase of $5.6 million, or 48%. The increase was primarily attributable to an increase in costs associated with the CRLX101 program. The following table summarizes our research and development expense by program for the six months ended June 30, 2016 and 2015, together with the change in spending by program in dollars and as a percentage (in thousands, except percentages):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6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CRLX101</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CRLX301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Dynamic Tumor Targeting Platform</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Overhead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For the six months ended June 30, 2016, CRLX101 program expenses increased by $3.7 million, or 45%, to $12.1 million compared to $8.4 million for the six months ended June 30, 2015. The increase in CRLX101 program expenses was primarily attributable to CMC, for which costs increased $3.2 million, reflecting increased production and activity to support current and future clinical development of CRLX101. Salary and benefits expenses also increased $0.6 million, reflecting increased headcount to support the CRLX101 program and the CRLX101 clinical trials. These increases were partially offset by a decrease of $0.3 million in clinical trial expenses, reflecting a decrease in CRO fees, investigator fees and costs associated with clinical sites and laboratories.</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For the six months ended June 30, 2016, CRLX301 program expenses increased $1.5 million, or 88%, to $3.2 million compared to $1.7 million for the six months ended June 30, 2015. The increase in CRLX301 program expense was attributable to an increase of $0.7 million in salary and benefits expenses reflecting increased headcount to support the CRLX301 program and the CRLX301 clinical trials, an increase of $0.4 million in CMC costs to support current and future clinical development of CRLX301 and an increase of $0.2 million in clinical trial expenses, consisting primarily of increases in CRO and laboratory costs.</w:t>
      </w:r>
    </w:p>
    <w:p>
      <w:pPr>
        <w:spacing w:after="0" w:line="188"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Expenses associated with our Dynamic Tumor Targeting Platform were $1.4 million for the six months ended June 30, 2016, an increase of $0.5 million, or 46%, compared to $0.9 million for the six months ended June 30, 2015. The increase was primarily due to increased salary and benefits expenses combined with increases in consulting and external lab costs. Overhead costs decreased $0.1 million, or 15%, to $0.6 million for the six months ended June 30, 2016 compared to $0.7 million for the six months ended June 30, 2015. The decrease was primarily attributable to a decrease in facility costs.</w:t>
      </w:r>
    </w:p>
    <w:p>
      <w:pPr>
        <w:spacing w:after="0" w:line="154"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for the six months ended June 30, 2016, was $5.9 million compared to $5.4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2015, an increase of $0.5 million, or 9%. The increase in general and administrative costs was primarily due to the growth in our corporate infrastructure to support a larger public company. Salaries and benefits, including stock-based compensation, increased $0.4 million for the six months ended June 30, 2016, reflecting increases in finance and accounting, legal, information technology and corporate communications. Professional and consulting fees increased $0.2 million and facility and other general and administrative expenses decreased $0.1 million for the six months ended June 30, 2016, compared to the prior year.</w:t>
      </w:r>
    </w:p>
    <w:p>
      <w:pPr>
        <w:spacing w:after="0" w:line="193"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b w:val="1"/>
          <w:bCs w:val="1"/>
          <w:i w:val="1"/>
          <w:iCs w:val="1"/>
          <w:color w:val="auto"/>
        </w:rPr>
        <w:t xml:space="preserve">Other expense, net. </w:t>
      </w:r>
      <w:r>
        <w:rPr>
          <w:rFonts w:ascii="Arial" w:cs="Arial" w:eastAsia="Arial" w:hAnsi="Arial"/>
          <w:sz w:val="17"/>
          <w:szCs w:val="17"/>
          <w:color w:val="auto"/>
        </w:rPr>
        <w:t>Other expense, net was $1.2 million for each of the six months ended June 30, 2016 and 2015. For the six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and 2015, other expense, net, was primarily interest expense associated with the Hercules Loan Agreement, including $0.3 million in each period for the amortization of debt discount and deferred financing costs. For the six months ended June 30, 2015, interest expense included $0.2 million for the write off of debt discount and deferred financing costs associated with the repayment of the Lighthouse Loan Agreement.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From our incorporation through June 30, 2016, we raised an aggregate of $230.6 million to fund our operations, of which $84.2 million was from the sale of preferred stock in private placements, $59.9 million was from the IPO, $37.2 million was from the Secondary Offering, $17.3 million was from the sale of convertible promissory notes, $31.0 million was from borrowings under loan and security agreements and $1.0 million was from the private placement of our common stock to Hercules. As of June 30, 2016, we had cash and cash equivalents of approximately $47.2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On January 8, 2015, we entered into the Hercules Loan Agreement and borrowed $15.0 million from Hercules. We used a portion of those proceeds to repay our outstanding indebtedness under the Lighthouse Loan Agreement.</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Hercules Loan Agreement provided for up to three separate tranches of borrowings, the first of which was funded in the amount of $15.0 million on January 8, 2015. On November 24, 2015, we drew a second tranche in the amount of $6.0 million. We elected not to commence a randomized Phase 2 clinical trial of CRLX101 in combination with chemoradiotherapy on or prior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8" w:name="page19"/>
    <w:bookmarkEnd w:id="18"/>
    <w:p>
      <w:pPr>
        <w:ind w:right="300"/>
        <w:spacing w:after="0" w:line="277" w:lineRule="auto"/>
        <w:rPr>
          <w:sz w:val="20"/>
          <w:szCs w:val="20"/>
          <w:color w:val="auto"/>
        </w:rPr>
      </w:pPr>
      <w:r>
        <w:rPr>
          <w:rFonts w:ascii="Arial" w:cs="Arial" w:eastAsia="Arial" w:hAnsi="Arial"/>
          <w:sz w:val="18"/>
          <w:szCs w:val="18"/>
          <w:color w:val="auto"/>
        </w:rPr>
        <w:t>December 15, 2015, which was a condition of obtaining an additional tranche in an amount of up to $5.0 million. As a result, we are no longer eligible to borrow this amount under the Hercules Loan Agreement.</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indebtedness under the Hercules Loan Agreement will mature on July 1, 2018. Each advance under the Hercules Loan Agreement accrues interest at a floating per annum rate equal to the greater of (i) 7.30% or (ii) the sum of 7.30% plus the prime rate minus 5.75%. The Hercules Loan Agreement provided for interest-only payments on a monthly basis until December 31, 2015. Thereafter, payments are payable monthly in equal installments of principal and interest to fully amortize the outstanding principal over the remaining term of the loan, subject to recalculation upon a change in the prime rate. We may prepay the indebtedness under the Hercules Loan Agreement in whole or in part upon seven business days’ prior written notice to Hercules. Any such prepayment is subject to a prepayment charge of 2.0% if such prepayment occurs after January 8, 2016, but on or before January 8, 2017, or 1.0% if such prepayment occurs after January 8, 2017. Amounts outstanding during an event of default are payable upon Hercules’ demand and shall accrue interest at an additional rate of 5.0% per annum of the past due amount outstanding. At the end of the loan term (whether at maturity, by prepayment in full or otherwise), we shall pay a final end of term charge to Hercules in the amount of 6.7% of the aggregate original principal amount advanced by Hercules.</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Hercules Loan Agreement is secured by substantially all of our assets other than our intellectual property. We have also granted Hercules a negative pledge with respect to our intellectual property, which, among other things, restricts our ability to sell, transfer, assign, mortgage, pledge, lease, grant a security interest in or otherwise encumber our intellectual property, subject to certain exceptions. The Hercules Loan Agreement includes restrictive covenants that may restrict our ability to obtain further debt or equity financing.</w:t>
      </w:r>
    </w:p>
    <w:p>
      <w:pPr>
        <w:spacing w:after="0" w:line="187"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i w:val="1"/>
          <w:iCs w:val="1"/>
          <w:color w:val="auto"/>
        </w:rPr>
        <w:t xml:space="preserve">Lighthouse Loan Agreement. </w:t>
      </w:r>
      <w:r>
        <w:rPr>
          <w:rFonts w:ascii="Arial" w:cs="Arial" w:eastAsia="Arial" w:hAnsi="Arial"/>
          <w:sz w:val="17"/>
          <w:szCs w:val="17"/>
          <w:color w:val="auto"/>
        </w:rPr>
        <w:t>In 2011, we entered into the Lighthouse Loan Agreement which permitted us to borrow up to an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$10.0 million. We borrowed $5.0 million in March 2012 and an additional $5.0 million in August 2012. Interest accrued under the Lighthouse Loan Agreement at an annual rate of 8.25%. We repaid in full our outstanding indebtedness under the Lighthouse Loan Agreement and terminated the agreement on January 8, 2015. There were no prepayment charges associated with the early repayment of the loan.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25"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clinical trial costs, contract manufacturing services, third-party clinical research and development services, laboratory and related supplies, legal and other regulatory expenses and general overhead costs, as well as debt service requirements.</w:t>
      </w:r>
    </w:p>
    <w:p>
      <w:pPr>
        <w:spacing w:after="0" w:line="18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believe our cash and cash equivalents of approximately $47.2 million at June 30, 2016, are sufficient to fund our planned operations into the second quarter of 2017 and that we have the ability to reduce or defer operating expenses as may be needed to fund our operations into the third quarter of 2017. We will need to raise additional capital to continue to fund our long-term operations. Should our operating plan change further, or prove to be inaccurate, then we will be required to reassess our operating capital needs. However, there can be no assurance that we will have the cash resources to fund our operating plan or that additional funding will be available on terms acceptable to us, or at all.</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number and development requirements of the NDCs we pursue;</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scope, progress, timing, results and costs of researching and developing our NDCs, and conducting preclinical studies and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costs, timing and outcome of regulatory review of our NDCs;</w:t>
      </w:r>
    </w:p>
    <w:p>
      <w:pPr>
        <w:spacing w:after="0" w:line="110" w:lineRule="exact"/>
        <w:rPr>
          <w:rFonts w:ascii="Arial" w:cs="Arial" w:eastAsia="Arial" w:hAnsi="Arial"/>
          <w:sz w:val="24"/>
          <w:szCs w:val="24"/>
          <w:color w:val="auto"/>
          <w:vertAlign w:val="superscript"/>
        </w:rPr>
      </w:pPr>
    </w:p>
    <w:p>
      <w:pPr>
        <w:ind w:left="1040" w:right="280" w:hanging="519"/>
        <w:spacing w:after="0" w:line="191" w:lineRule="auto"/>
        <w:tabs>
          <w:tab w:leader="none" w:pos="10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cost and timing of future commercialization activities, including product manufacturing, marketing, sales and distribution, for any of our NDCs for which we receive marketing approval;</w:t>
      </w:r>
    </w:p>
    <w:p>
      <w:pPr>
        <w:ind w:left="1040" w:hanging="519"/>
        <w:spacing w:after="0" w:line="233" w:lineRule="auto"/>
        <w:tabs>
          <w:tab w:leader="none" w:pos="10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revenue, if any, received from commercial sales of any NDCs for which we receive marketing approval;</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our ability to establish and maintain strategic partnerships, licensing or other arrangements and the financial terms of such agreements;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scope, costs and timing of the manufacture, supply and distribution of our drug candidates for preclinical studies and clinical trials;</w:t>
      </w:r>
    </w:p>
    <w:p>
      <w:pPr>
        <w:spacing w:after="0" w:line="110" w:lineRule="exact"/>
        <w:rPr>
          <w:rFonts w:ascii="Arial" w:cs="Arial" w:eastAsia="Arial" w:hAnsi="Arial"/>
          <w:sz w:val="24"/>
          <w:szCs w:val="24"/>
          <w:color w:val="auto"/>
          <w:vertAlign w:val="superscript"/>
        </w:rPr>
      </w:pPr>
    </w:p>
    <w:p>
      <w:pPr>
        <w:ind w:left="1040" w:right="400" w:hanging="519"/>
        <w:spacing w:after="0" w:line="191" w:lineRule="auto"/>
        <w:tabs>
          <w:tab w:leader="none" w:pos="10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ind w:left="1040" w:hanging="519"/>
        <w:spacing w:after="0" w:line="233" w:lineRule="auto"/>
        <w:tabs>
          <w:tab w:leader="none" w:pos="10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extent to which we acquire or in-license other medicines and technology;</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our headcount growth and associated costs;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the costs of operating as a public company.</w:t>
      </w:r>
    </w:p>
    <w:p>
      <w:pPr>
        <w:spacing w:after="0" w:line="20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Identifying potential NDCs and conducting preclinical testing and clinical trials is a time-consuming, expensive and uncertain process that takes years to complete, and we may never generate the necessary data or results required to obtain regulatory approval and achieve product sales. In addition, our NDCs,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period set forth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(24,501)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(15,738)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(3,859)</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50,377</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(28,715)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34,302</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net use of cash in each period resulted primarily from our net losses adjusted for non-cash charges and changes in components of working capital.</w:t>
      </w:r>
    </w:p>
    <w:p>
      <w:pPr>
        <w:spacing w:after="0" w:line="248"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Net cash used in operating activities was $24.5 million for the six months ended June 30, 2016, compared to $15.7 million for the six months ended June 30, 2015, an increase of $8.8 million, or 56%. The increase in net cash used in operating activities resulted primarily from an increase in operating expenses of $6.1 million, an increase in cash paid for interest of $0.3 million and components of working capital of $3.1 million, partially offset by an increase in stock compensation expense of $0.6 million and an increase in deferred rent of $0.1 million.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Net cash used in investing activities was $0.4 million for the six months ended June 30, 2016, compared to $0.3 million for the six months ended June 30, 2015. For the six months ended June 30, 2016, cash used in investing activities included $0.5 million for purchases of property and equipment, primarily lab equipment, partially offset by a $0.1 million decrease in restricted cash used to collateralize a stand-by letter of credit issued as a security deposit on our former facility lease. Cash used in investing activities for the six months ended June 30, 2015, included $0.1 million for purchases of property and equipment and a $0.2 million increase in restricted cash used to collateralize a stand-by letter of credit issued as a security deposit on our new facility lease.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Net cash used in financing activities was $3.9 million for the six months ended June 30, 2016, compared to net cash provided by financing activities of $50.4 million for the six months ended June 30, 2015. Net cash used in financing activities for the six months ended June 30, 2016 was due to the principal payments of $3.9 million under the Hercules Loan Agreement. Net cash provided by financing activities for the six months ended June 30, 2015, was primarily due to net proceeds of $37.2 million from our Secondary Offering, proceeds of $15.0 million from our initial borrowing under the Hercules Loan Agreement, proceeds of $1.0 million from the sale of our common stock in a private placement to Hercules and proceeds of $1.5 million from the exercise of stock options. Net cash provided by financing activities for the six months ended June 30, 2015, was reduced by $3.9 million paid to repay in full the Lighthouse Loan Agreement and cash paid for debt issuance costs of $0.4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22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June 30, 2016, there were no material changes, outside of the ordinary course of business, in our outstanding contractual obligations from those disclosed in our Annual Report on Form 10-K for the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March 2016, the Financial Accounting Standards Board, or FASB issued Accounting Standards Update 2016-09, “Improvements to Employee Share-Based Payment Accounting” or, ASU 2016-09. ASU 2016-09 is intended to simplify various aspects of how share-based payments are accounted for and presented in financial statements. The standard is effective prospectively for fiscal years, and interim periods within those fiscal years, beginning after December 15, 2016, with early adoption permitted. We are currently evaluating the effect this standard will have on our consolidated financial statements and related disclosures.</w:t>
      </w:r>
    </w:p>
    <w:p>
      <w:pPr>
        <w:spacing w:after="0" w:line="18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In February 2016, the FASB issued Accounting Standards Update 2016-02, “Leases” or, ASU 2016-02, which provides new accounting guidance on leases. ASU 2016-02 requires lessees to recognize leases on their balance sheets, and leaves 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We are currently evaluating the effect this standard will have on our consolidated financial statements and related disclosures.</w:t>
      </w:r>
    </w:p>
    <w:p>
      <w:pPr>
        <w:spacing w:after="0" w:line="193"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August 2014, the FASB issued Accounting Standards Update 2014-15, “Disclosure of Uncertainties About an Entity’s Ability to Continue as a Going Concern”, or ASU 2014-15.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is not expected to have a material impact on our consolidated financial statements.</w:t>
      </w:r>
    </w:p>
    <w:p>
      <w:pPr>
        <w:spacing w:after="0" w:line="1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are exposed to market risk related to changes in interest rates. As of June 30, 2016, we had cash and cash equivalents, including restricted cash, of approximately $47.4 million, consisting primarily of investments in money market funds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7"/>
          <w:szCs w:val="17"/>
          <w:color w:val="auto"/>
        </w:rPr>
        <w:t>effect on the fair market value of our investment portfolio. As of June 30, 2016, we were also subject to interest rate risk from our indebtedness under the Hercules Loan Agreement that accrues interest at a floating per annum rate equal to the greater of (i) 7.30% or (ii) the sum of 7.30% plus the prime rate minus 5.75%. A 10% increase in interest rates at June 30, 2016, would not have a material effect on our annual interest expense.</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management, under the supervision and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w:t>
      </w:r>
    </w:p>
    <w:p>
      <w:pPr>
        <w:spacing w:after="0" w:line="5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June 30,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June 30, 2016,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We will need to raise additional capital to fund any Phase 3 clinical trial of CRLX101 or other clinical trials of CRLX301. We also expect that our expenses will increase in connection with our ongoing activities, particularly as we advance the clinical development of CRLX101 and CRLX301 and continue research and development and initiate additional clinical trials of, and seek regulatory approval for, these and other future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relative to previous years when we operated as a private company, we expect to incur significant additional costs associated with operating as a public company. Accordingly, we will need to obtain substantial additional funding to advance the development of our product candidates and to fund our continuing operations. We may be unable to raise capital when needed or on attractive terms, and if so we could be forced to delay, reduce or eliminate our ongoing research and development programs, including CRLX101 and CRLX301, or any future commercialization efforts.</w:t>
      </w:r>
    </w:p>
    <w:p>
      <w:pPr>
        <w:spacing w:after="0" w:line="18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plan to use our current cash and cash equivalents to fund our ongoing research and development efforts. We will be required to expend significant funds in order to advance development of CRLX101, CRLX301 and our other potential product candidates. Our existing cash and cash equivalents will not be sufficient to fund all of the efforts that we plan to undertake, such as additional randomized trials of CRLX101 or CRLX301. Accordingly, we will be required to obtain further funding through public or private equity offerings, debt financings, collaborations or licensing arrangements or other sources. Adequate and additional funding may not be available to us on acceptable terms or at all.</w:t>
      </w:r>
    </w:p>
    <w:p>
      <w:pPr>
        <w:spacing w:after="0" w:line="173"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On January 8, 2015 we entered into a loan and security agreement, which we refer to as the Hercules Loan Agreement, with Hercules Technology Growth Capital, Inc., or Hercules, and drew the first tranche of $15.0 million under the Hercules Loan Agreement. On November 24, 2015, we drew a second tranche of $6.0 million under the Hercules Loan Agreement. We elected not to commence a randomized Phase 2 clinical trial of CRLX101 in combination with chemoradiotherapy on or prior to December 15, 2015, which was a condition of obtaining an additional tranche in an amount of up to $5.0 million. As a result, we are no longer eligible to borrow this amount under the Hercules Loan Agreement.</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we elect to obtain any additional debt financing, our ability to do so may be limited by covenants we have made under the Hercules Loan Agreement and our pledge to Hercules of substantially all of our assets, other than our intellectual property, as collateral. We have also granted Hercules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93"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On April 10, 2015 we closed an underwritten public offering, or the Secondary Offering, of 6,716,000 shares of common stock, including 876,000 shares sold pursuant to the full exercise of the underwriters’ option to purchase additional shares, at a public offering price of $6.00 per share. The gross proceeds to us from the Secondary Offering were approximately $40.3 million, before deducting underwriting discounts and commissions and offering expenses payable by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right="100" w:firstLine="518"/>
        <w:spacing w:after="0" w:line="276" w:lineRule="auto"/>
        <w:rPr>
          <w:sz w:val="20"/>
          <w:szCs w:val="20"/>
          <w:color w:val="auto"/>
        </w:rPr>
      </w:pPr>
      <w:r>
        <w:rPr>
          <w:rFonts w:ascii="Arial" w:cs="Arial" w:eastAsia="Arial" w:hAnsi="Arial"/>
          <w:sz w:val="17"/>
          <w:szCs w:val="17"/>
          <w:color w:val="auto"/>
        </w:rPr>
        <w:t>We believe our cash and cash equivalents of approximately $47.2 million at June 30, 2016, are sufficient to fund our planned operations into the second quarter of 2017 and that we have the ability to reduce or defer operating expenses as may be needed to fund our operations into the third quarter of 2017. We will need to raise additional capital to continue to fund our long-term operations. Should our operating plan change further, or prove to be inaccurate, then we will be required to reassess our operating capital needs. However, there can be no assurance that we will have the cash resources to fund our operating plan or that additional funding will be available on terms acceptable to us, or at all.</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4"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number and development requirements of the product candidates we pursue;</w:t>
      </w:r>
    </w:p>
    <w:p>
      <w:pPr>
        <w:spacing w:after="0" w:line="109" w:lineRule="exact"/>
        <w:rPr>
          <w:rFonts w:ascii="Arial" w:cs="Arial" w:eastAsia="Arial" w:hAnsi="Arial"/>
          <w:sz w:val="29"/>
          <w:szCs w:val="29"/>
          <w:color w:val="auto"/>
          <w:vertAlign w:val="superscript"/>
        </w:rPr>
      </w:pPr>
    </w:p>
    <w:p>
      <w:pPr>
        <w:ind w:left="1040" w:right="380" w:hanging="519"/>
        <w:spacing w:after="0" w:line="191" w:lineRule="auto"/>
        <w:tabs>
          <w:tab w:leader="none" w:pos="10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scope, progress, timing, results and costs of researching and developing our product candidates, and conducting preclinical and clinical trials;</w:t>
      </w:r>
    </w:p>
    <w:p>
      <w:pPr>
        <w:ind w:left="1040" w:hanging="519"/>
        <w:spacing w:after="0" w:line="233" w:lineRule="auto"/>
        <w:tabs>
          <w:tab w:leader="none" w:pos="10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costs, timing and outcome of regulatory review of our product candidates;</w:t>
      </w:r>
    </w:p>
    <w:p>
      <w:pPr>
        <w:spacing w:after="0" w:line="110" w:lineRule="exact"/>
        <w:rPr>
          <w:rFonts w:ascii="Arial" w:cs="Arial" w:eastAsia="Arial" w:hAnsi="Arial"/>
          <w:sz w:val="29"/>
          <w:szCs w:val="29"/>
          <w:color w:val="auto"/>
          <w:vertAlign w:val="superscript"/>
        </w:rPr>
      </w:pPr>
    </w:p>
    <w:p>
      <w:pPr>
        <w:ind w:left="1040" w:right="260" w:hanging="519"/>
        <w:spacing w:after="0" w:line="191" w:lineRule="auto"/>
        <w:tabs>
          <w:tab w:leader="none" w:pos="10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cost and timing of future commercialization activities, including product manufacturing, marketing, sales and distribution, for any of our product candidates for which we receive marketing approval;</w:t>
      </w:r>
    </w:p>
    <w:p>
      <w:pPr>
        <w:ind w:left="1040" w:hanging="519"/>
        <w:spacing w:after="0" w:line="233" w:lineRule="auto"/>
        <w:tabs>
          <w:tab w:leader="none" w:pos="10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revenue, if any, received from commercial sales of any product candidates for which we receive marketing approval;</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our ability to establish and maintain strategic partnerships, licensing or other arrangements and the financial terms of such agreements;</w:t>
      </w:r>
    </w:p>
    <w:p>
      <w:pPr>
        <w:spacing w:after="0" w:line="110" w:lineRule="exact"/>
        <w:rPr>
          <w:rFonts w:ascii="Arial" w:cs="Arial" w:eastAsia="Arial" w:hAnsi="Arial"/>
          <w:sz w:val="24"/>
          <w:szCs w:val="24"/>
          <w:color w:val="auto"/>
          <w:vertAlign w:val="superscript"/>
        </w:rPr>
      </w:pPr>
    </w:p>
    <w:p>
      <w:pPr>
        <w:ind w:left="1040" w:right="380" w:hanging="519"/>
        <w:spacing w:after="0" w:line="191" w:lineRule="auto"/>
        <w:tabs>
          <w:tab w:leader="none" w:pos="10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ind w:left="1040" w:hanging="519"/>
        <w:spacing w:after="0" w:line="233" w:lineRule="auto"/>
        <w:tabs>
          <w:tab w:leader="none" w:pos="104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the extent to which we acquire or in-license other medicines and technology;</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our headcount growth and associated costs;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the costs of operating as a public company.</w:t>
      </w:r>
    </w:p>
    <w:p>
      <w:pPr>
        <w:spacing w:after="0" w:line="20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7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70"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public or private equity offerings, debt financings, license and development agreements with collaboration partners or other sources.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9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existing and any future indebtedness could adversely affect our ability to operate our business.</w:t>
      </w:r>
    </w:p>
    <w:p>
      <w:pPr>
        <w:spacing w:after="0" w:line="225"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On January 8, 2015, we entered into the Hercules Loan Agreement and drew the first tranche of $15.0 million. We used $3.6 million of the proceeds from our draw under the Hercules Loan Agreement to repay in full our outstanding indebtedness under our loan and security agreement with Lighthouse Capital Partners VI, L.P. On November 24, 2015 we drew an additional tranche of $6.0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right="100"/>
        <w:spacing w:after="0" w:line="277" w:lineRule="auto"/>
        <w:rPr>
          <w:sz w:val="20"/>
          <w:szCs w:val="20"/>
          <w:color w:val="auto"/>
        </w:rPr>
      </w:pPr>
      <w:r>
        <w:rPr>
          <w:rFonts w:ascii="Arial" w:cs="Arial" w:eastAsia="Arial" w:hAnsi="Arial"/>
          <w:sz w:val="18"/>
          <w:szCs w:val="18"/>
          <w:color w:val="auto"/>
        </w:rPr>
        <w:t>million under the Hercules Loan Agreement. As of June 30, 2016, we had approximately $18.6 million in outstanding indebtedness under the Hercules Loan Agreement.</w:t>
      </w:r>
    </w:p>
    <w:p>
      <w:pPr>
        <w:spacing w:after="0" w:line="170"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Our outstanding indebtedness combined with current and future financial obligations and contractual commitments, including any additional indebtedness beyond our borrowings from Hercules, could have significant adverse consequences, including:</w:t>
      </w:r>
    </w:p>
    <w:p>
      <w:pPr>
        <w:spacing w:after="0" w:line="62" w:lineRule="exact"/>
        <w:rPr>
          <w:sz w:val="20"/>
          <w:szCs w:val="20"/>
          <w:color w:val="auto"/>
        </w:rPr>
      </w:pPr>
    </w:p>
    <w:p>
      <w:pPr>
        <w:ind w:left="1040" w:right="300" w:hanging="519"/>
        <w:spacing w:after="0" w:line="212" w:lineRule="auto"/>
        <w:tabs>
          <w:tab w:leader="none" w:pos="10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2" w:lineRule="exact"/>
        <w:rPr>
          <w:rFonts w:ascii="Arial" w:cs="Arial" w:eastAsia="Arial" w:hAnsi="Arial"/>
          <w:sz w:val="29"/>
          <w:szCs w:val="29"/>
          <w:color w:val="auto"/>
          <w:vertAlign w:val="superscript"/>
        </w:rPr>
      </w:pPr>
    </w:p>
    <w:p>
      <w:pPr>
        <w:ind w:left="1040" w:hanging="519"/>
        <w:spacing w:after="0" w:line="233" w:lineRule="auto"/>
        <w:tabs>
          <w:tab w:leader="none" w:pos="10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increasing our vulnerability to adverse changes in general economic, industry and market conditions;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subjecting us to restrictive covenants that may reduce our ability to take certain corporate actions or obtain further debt or equity financing;</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limiting our flexibility in planning for, or reacting to, changes in our business and the industry in which we compete;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placing us at a competitive disadvantage compared to our competitors that have less debt or better debt servicing options.</w:t>
      </w:r>
    </w:p>
    <w:p>
      <w:pPr>
        <w:spacing w:after="0" w:line="20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instruments. Failure to make payments or comply with other covenants under our existing debt instruments could result in an event of default and acceleration of amounts due. If an event of default occurs and Hercules accelerates the amounts due, we may not be able to make accelerated payments, and Hercules could seek to enforce security interests in the collateral securing such indebtedness, which includes substantially all of our assets other than our intellectual property.</w:t>
      </w:r>
    </w:p>
    <w:p>
      <w:pPr>
        <w:spacing w:after="0" w:line="2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Since incorporation, we have incurred significant operating losses. As of June 30, 2016, we had an accumulated deficit of $185.8 million. We do not know whether or when we will become profitable. We have not generated any revenues to date from product sales and have financed our operations primarily through public offerings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59" w:lineRule="exact"/>
        <w:rPr>
          <w:sz w:val="20"/>
          <w:szCs w:val="20"/>
          <w:color w:val="auto"/>
        </w:rPr>
      </w:pPr>
    </w:p>
    <w:p>
      <w:pPr>
        <w:ind w:left="1040" w:right="360" w:hanging="519"/>
        <w:spacing w:after="0" w:line="198" w:lineRule="auto"/>
        <w:tabs>
          <w:tab w:leader="none" w:pos="10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initiate and continue company-sponsored clinical trials of CRLX101, our most advanced product candidate, including single-arm trials and randomized controlled trials, alone or in combination with other agents;</w:t>
      </w:r>
    </w:p>
    <w:p>
      <w:pPr>
        <w:ind w:left="1040" w:hanging="519"/>
        <w:spacing w:after="0" w:line="233" w:lineRule="auto"/>
        <w:tabs>
          <w:tab w:leader="none" w:pos="10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support ongoing and any new investigator-sponsored clinical trials, or ISTs, of CRLX101;</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continue our Phase 1/2a clinical trial of CRLX301, our second most advanced product candidate, as well as subsequent studies of CRLX301;</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meet corresponding manufacturing, shipping and storage requirements;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elect to expand, amend or redesign any current trial of CRLX101 or CRLX301;</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continue our research and preclinical development of additional product candidates utilizing our Dynamic Tumor Targeting Platform;</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seek regulatory approvals for any product candidates that successfully complete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in the future, establish a sales, marketing and distribution infrastructure in the United States;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scale up external manufacturing capabilities to commercialize any products for which we may obtain regulatory approval;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maintain, expand and protect our intellectual property portfolio;</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add equipment and physical infrastructure to support our research and development;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hire additional personnel and/or incur severance costs associated with the termination of employment of any existing personnel.</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right="80" w:firstLine="518"/>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6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to perform studies in addition to those currently expected, or if there are any delays in completing our clinical trials or the development of any of our product candidates, our expenses could increase.</w:t>
      </w:r>
    </w:p>
    <w:p>
      <w:pPr>
        <w:spacing w:after="0" w:line="17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our stockholders to lose all or part of their investment.</w:t>
      </w:r>
    </w:p>
    <w:p>
      <w:pPr>
        <w:spacing w:after="0" w:line="187"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Given our planned expenditures, including, without limitation, expenditures in connection with our clinical trials of CRLX101 and CRLX301, our independent registered public accounting firm may conclude that there is substantial doubt regarding our ability to continue as a going concern.</w:t>
      </w:r>
    </w:p>
    <w:p>
      <w:pPr>
        <w:spacing w:after="0" w:line="14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5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22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7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therapies.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9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addition, we have never had a product candidate receive approval or clearance from the FDA or a non-U.S. regulatory authority. While the FDA has approved nanoparticles such as Doxil® (doxorubicin hydrochloride liposome injection) and Abraxane® (nab-paclitaxel),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380"/>
        <w:spacing w:after="0" w:line="277" w:lineRule="auto"/>
        <w:rPr>
          <w:sz w:val="20"/>
          <w:szCs w:val="20"/>
          <w:color w:val="auto"/>
        </w:rPr>
      </w:pPr>
      <w:r>
        <w:rPr>
          <w:rFonts w:ascii="Arial" w:cs="Arial" w:eastAsia="Arial" w:hAnsi="Arial"/>
          <w:sz w:val="18"/>
          <w:szCs w:val="18"/>
          <w:color w:val="auto"/>
        </w:rPr>
        <w:t>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170"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b w:val="1"/>
          <w:bCs w:val="1"/>
          <w:i w:val="1"/>
          <w:iCs w:val="1"/>
          <w:color w:val="auto"/>
        </w:rPr>
        <w:t>We are particularly dependent on the success of our lead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4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The clinical trial process is uncertain, and failure of one or more clinical trials can occur at any stage of testing. For example, in 2011, we initiated an open-label, randomized Phase 2 clinical trial of CRLX101 as monotherapy in patients with advanced NSCLC who had progressed through one or two prior regimens of chemotherapy. In this Phase 2 clinical trial, CRLX101 failed to meet its primary endpoint of improvement in overall survival of the CRLX101-treated group as compared to the control arm of the study, which was best supportive care.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to the successful completion of clinical trials, the success of CRLX101 will also depend on several other factors, including the following:</w:t>
      </w:r>
    </w:p>
    <w:p>
      <w:pPr>
        <w:spacing w:after="0" w:line="3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receipt of marketing approvals from the FDA or other applicable regulatory authorities;</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the performance of our future collaborators for CRLX101, if any;</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the extent of any required post-marketing approval commitments to applicable regulatory authorities;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establishment and management of supply arrangements with third party raw materials suppliers and manufacturers;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establishment and management of supply arrangements for the delivery of our product candidates both in the United States and internationally;</w:t>
      </w:r>
    </w:p>
    <w:p>
      <w:pPr>
        <w:spacing w:after="0" w:line="110" w:lineRule="exact"/>
        <w:rPr>
          <w:rFonts w:ascii="Arial" w:cs="Arial" w:eastAsia="Arial" w:hAnsi="Arial"/>
          <w:sz w:val="24"/>
          <w:szCs w:val="24"/>
          <w:color w:val="auto"/>
          <w:vertAlign w:val="superscript"/>
        </w:rPr>
      </w:pPr>
    </w:p>
    <w:p>
      <w:pPr>
        <w:ind w:left="1040" w:right="300" w:hanging="519"/>
        <w:spacing w:after="0" w:line="191" w:lineRule="auto"/>
        <w:tabs>
          <w:tab w:leader="none" w:pos="10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establishment and coordination of supply arrangements for the delivery of combination agents and/or standard of care drugs internationally, depending on the jurisdiction;</w:t>
      </w:r>
    </w:p>
    <w:p>
      <w:pPr>
        <w:ind w:left="1040" w:hanging="519"/>
        <w:spacing w:after="0" w:line="233" w:lineRule="auto"/>
        <w:tabs>
          <w:tab w:leader="none" w:pos="10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protection of our rights in our intellectual property portfolio;</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launch of commercial sales if and when approved;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a continued acceptable safety profile of CRLX101 following any marketing approval;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commercial acceptance, if and when approved, by patients, the medical community and third party payors;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establishment of arrangements with third party manufacturers to obtain finished drug products that are appropriately packaged for sale;</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establishing and maintaining pricing sufficient to realize a meaningful return on our investment;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competition with other therapies.</w:t>
      </w:r>
    </w:p>
    <w:p>
      <w:pPr>
        <w:spacing w:after="0" w:line="20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70" w:lineRule="exact"/>
        <w:rPr>
          <w:sz w:val="20"/>
          <w:szCs w:val="20"/>
          <w:color w:val="auto"/>
        </w:rPr>
      </w:pPr>
    </w:p>
    <w:p>
      <w:pPr>
        <w:ind w:right="780" w:firstLine="518"/>
        <w:spacing w:after="0" w:line="342"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2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ind w:left="1040" w:hanging="519"/>
        <w:spacing w:after="0" w:line="218" w:lineRule="auto"/>
        <w:tabs>
          <w:tab w:leader="none" w:pos="104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the size and nature of the patient population;</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the severity of the disease under investigation;</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unexpected or serious adverse events that occur in the trials;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 w:name="page28"/>
    <w:bookmarkEnd w:id="27"/>
    <w:p>
      <w:pPr>
        <w:ind w:left="1040" w:hanging="519"/>
        <w:spacing w:after="0"/>
        <w:tabs>
          <w:tab w:leader="none" w:pos="104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the proximity of patients to sites;</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the eligibility criteria for the trial;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the design of the trial;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efforts to facilitate timely enrollment;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investigators’ engagement with, or enthusiasm about, the trial;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complexity of initiating or expanding trials with sites outside the United States;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competing trials; and</w:t>
      </w:r>
    </w:p>
    <w:p>
      <w:pPr>
        <w:spacing w:after="0" w:line="110" w:lineRule="exact"/>
        <w:rPr>
          <w:rFonts w:ascii="Arial" w:cs="Arial" w:eastAsia="Arial" w:hAnsi="Arial"/>
          <w:sz w:val="24"/>
          <w:szCs w:val="24"/>
          <w:color w:val="auto"/>
          <w:vertAlign w:val="superscript"/>
        </w:rPr>
      </w:pPr>
    </w:p>
    <w:p>
      <w:pPr>
        <w:ind w:left="1040" w:right="260" w:hanging="519"/>
        <w:spacing w:after="0" w:line="191" w:lineRule="auto"/>
        <w:tabs>
          <w:tab w:leader="none" w:pos="104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20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pacing w:after="0" w:line="19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may require more extensive or expensive trials for our combination product candidates than may be required for single agent pharmaceuticals.</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To obtain regulatory approval for a combination product candidate, the FDA typically requires an applicant to show that each active ingredient in an investigational combination drug candidate makes a contribution to the combined investigational drug candidate’s claimed effects and that the dosage of each component, including amount, frequency and duration, is such that the combination is safe and effective for a significant patient population requiring such concurrent therapy. This could require us to conduct more extensive and more expensive clinical trials than would be the case for a single agent pharmaceutical. As a result, the need to conduct such trials could make it more difficult and costly to obtain regulatory approval of our combination drug product candidate than of a new drug containing only a single active pharmaceutical ingredient.</w:t>
      </w:r>
    </w:p>
    <w:p>
      <w:pPr>
        <w:spacing w:after="0" w:line="178"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b w:val="1"/>
          <w:bCs w:val="1"/>
          <w:i w:val="1"/>
          <w:iCs w:val="1"/>
          <w:color w:val="auto"/>
        </w:rPr>
        <w:t>We are currently pursuing the clinical development of CRLX101 in combinations with other drugs. For example, we are exploring combinations with Avastin in relapsed renal cell carcinoma and relapsed ovarian cancer, and with paclitaxel in relapsed ovarian cancer. If the FDA revokes its approval of, or if safety, efficacy, manufacturing or supply issues arise with, Avastin, paclitaxel or any other drug that we use in combination with CRLX101, we may be unable to market CRLX101 or may experience significant regulatory delays or supply shortages, and our business could be materially harmed.</w:t>
      </w:r>
    </w:p>
    <w:p>
      <w:pPr>
        <w:spacing w:after="0" w:line="188"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If the FDA revokes its approval of Avastin, paclitaxel, or any other approved therapeutic that we use in combination therapy with CRLX101, then we will not be able to market CRLX101 in combination with that agent. If safety or efficacy issues arise with such combination agent, we may experience significant regulatory delays, and the FDA may require us to redesign or terminate the applicable clinical trials. Moreover, if Avastin, paclitaxel, or another potential combination agent for CRLX101, for instance,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such agent. In addition, if manufacturing, cost or other issues result in a supply shortage of Avastin, paclitaxel or any other combination agent, we may not be able to complete clinical development of CRLX101 on our current timeline or at all.</w:t>
      </w:r>
    </w:p>
    <w:p>
      <w:pPr>
        <w:spacing w:after="0" w:line="16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Even if CRLX101 were to receive regulatory approval and be commercialized for use in combination with an approved combination agent, we would continue to be subject to the risk that the FDA could revoke its approval of such agent, that safety, efficacy, manufacturing, cost or supply issues could arise with one of these therapeutic agents. This could result in CRLX101 being removed from the market or being less successful commercially.</w:t>
      </w:r>
    </w:p>
    <w:p>
      <w:pPr>
        <w:spacing w:after="0" w:line="14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If our hypothesis regarding the role of hypoxia inducible factor, or HIF, in cancer cells proves incorrect, it may adversely affect our ability to commercialize and market CRLX101.</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believe that the anti-cancer activity shown by CRLX101 in preclinical tumor models is due in part to its inhibition of HIF, and we have prioritized the clinical development of CRLX101, among other criteria, on HIF-driven tumor types. In support of this hypothesis in November 2015 we announced at the AACR-NCI-EORTC International Conference on Molecular Targets and Cancer Therapeutics that we have shown that CRLX101 inhibits carbonic anhydrase 9 in patient tumors, considered to be a sensor of HIF-1α.</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 w:right="259" w:bottom="1440" w:gutter="0" w:footer="0" w:header="0"/>
        </w:sectPr>
      </w:pPr>
    </w:p>
    <w:bookmarkStart w:id="28" w:name="page29"/>
    <w:bookmarkEnd w:id="28"/>
    <w:p>
      <w:pPr>
        <w:ind w:right="100"/>
        <w:spacing w:after="0" w:line="276" w:lineRule="auto"/>
        <w:rPr>
          <w:sz w:val="20"/>
          <w:szCs w:val="20"/>
          <w:color w:val="auto"/>
        </w:rPr>
      </w:pPr>
      <w:r>
        <w:rPr>
          <w:rFonts w:ascii="Arial" w:cs="Arial" w:eastAsia="Arial" w:hAnsi="Arial"/>
          <w:sz w:val="17"/>
          <w:szCs w:val="17"/>
          <w:color w:val="auto"/>
        </w:rPr>
        <w:t>This clinical evidence is consistent with our preclinical data. While HIF-1α has become a target of increasing interest in cancer research and recent research suggests that HIF-1α is a master regulator for many cancer cell survival pathways, the science underlying HIF-1α is based on recent discoveries and not fully understood. Moreover, the exact role of HIF-2α is less well described and 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73"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24"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Two of our product candidates are in clinical development, all of our other potential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have a sufficient quantity of our product candidate available when needed,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dose, dosing schedule,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7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NSCLC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For example, although the results of the Phase 1b/2 single-arm IST of CRLX101 in patients with relapsed RCC supported our hypothesis that CRLX101 in combination with Avastin may be effective in this setting, there is no assurance that the RCC Trial will meet its endpoint or further support our registration strategy for CRLX101 in relapsed RCC. Moreover, there are currently multiple open-label ISTs of CRLX101 ongoing, including a Phase 2 open-label IST in patients with relapsed ovarian cancer, consisting of a single-arm trial of CRLX101 as monotherapy and a single-arm combination trial of CRLX101 and Avastin; and a Phase 1b/2 open-label IST of CRLX101 in combination with chemoradiotherapy in patients with locally advanced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85"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The design of a clinical trial can determine whether its results will support approval of a product, and flaws in the design of a clinical trial may not become apparent until the clinical trial is well advanced or completed and protocol amendments, if any, to address such flaws may not be sufficiently timely or corrective. We have limited experience in designing clinical trials and may be unable to design and execute a clinical trial to support marketing approval. For example, we believe that a significant increase in pathologic complete response may be a clinically meaningful endpoint for the treatment of locally advanced rectal cancer, but there can be no assurance that the FDA will agree. Moreover, no drug has yet been approved in this setting.</w:t>
      </w:r>
    </w:p>
    <w:p>
      <w:pPr>
        <w:spacing w:after="0" w:line="158"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addition, for several reasons it may become more challenging to design a timely, successful Phase 3 clinical trial for CRLX101 for patients with relapsed RCC. These factors include differences in the design requirements for a Phase 3 trial as compared to a Phase 2 trial and recent product approvals in this indication, which are significantly impacting the standard of care, as well as the regulatory thresholds for approval in relapsed RCC.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40" w:firstLine="518"/>
        <w:spacing w:after="0" w:line="259" w:lineRule="auto"/>
        <w:rPr>
          <w:sz w:val="20"/>
          <w:szCs w:val="20"/>
          <w:color w:val="auto"/>
        </w:rPr>
      </w:pPr>
      <w:r>
        <w:rPr>
          <w:rFonts w:ascii="Arial" w:cs="Arial" w:eastAsia="Arial" w:hAnsi="Arial"/>
          <w:sz w:val="18"/>
          <w:szCs w:val="18"/>
          <w:color w:val="auto"/>
        </w:rPr>
        <w:t>Another challenge is that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18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type and disease progression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8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marketing approval of our product candidates, including:</w:t>
      </w:r>
    </w:p>
    <w:p>
      <w:pPr>
        <w:spacing w:after="0" w:line="62" w:lineRule="exact"/>
        <w:rPr>
          <w:sz w:val="20"/>
          <w:szCs w:val="20"/>
          <w:color w:val="auto"/>
        </w:rPr>
      </w:pPr>
    </w:p>
    <w:p>
      <w:pPr>
        <w:ind w:left="1040" w:right="160" w:hanging="519"/>
        <w:spacing w:after="0" w:line="221" w:lineRule="auto"/>
        <w:tabs>
          <w:tab w:leader="none" w:pos="104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clinical trials of our product candidates may produce unfavorable, incomplete or inconclusive results, such as with our Phase 2 clinical trial of CRLX101 as monotherapy for patients with advanced NSCLC who had progressed through one or two prior regimens of chemotherapy;</w:t>
      </w:r>
    </w:p>
    <w:p>
      <w:pPr>
        <w:spacing w:after="0" w:line="95" w:lineRule="exact"/>
        <w:rPr>
          <w:rFonts w:ascii="Arial" w:cs="Arial" w:eastAsia="Arial" w:hAnsi="Arial"/>
          <w:sz w:val="26"/>
          <w:szCs w:val="26"/>
          <w:color w:val="auto"/>
          <w:vertAlign w:val="superscript"/>
        </w:rPr>
      </w:pPr>
    </w:p>
    <w:p>
      <w:pPr>
        <w:ind w:left="1040" w:right="340" w:hanging="519"/>
        <w:spacing w:after="0" w:line="198"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we may decide, or regulators may advise us, to conduct additional clinical trials or we may decide to abandon an indication or development program following changes in the regulatory environment or competitive landscape;</w:t>
      </w:r>
    </w:p>
    <w:p>
      <w:pPr>
        <w:ind w:left="1040" w:hanging="519"/>
        <w:spacing w:after="0" w:line="233"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we may decide to add or to change a dosing schedule for any given clinical trial based on relevant data;</w:t>
      </w:r>
    </w:p>
    <w:p>
      <w:pPr>
        <w:spacing w:after="0" w:line="110" w:lineRule="exact"/>
        <w:rPr>
          <w:rFonts w:ascii="Arial" w:cs="Arial" w:eastAsia="Arial" w:hAnsi="Arial"/>
          <w:sz w:val="29"/>
          <w:szCs w:val="29"/>
          <w:color w:val="auto"/>
          <w:vertAlign w:val="superscript"/>
        </w:rPr>
      </w:pPr>
    </w:p>
    <w:p>
      <w:pPr>
        <w:ind w:left="1040" w:right="40" w:hanging="519"/>
        <w:spacing w:after="0" w:line="199" w:lineRule="auto"/>
        <w:tabs>
          <w:tab w:leader="none" w:pos="104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95" w:lineRule="exact"/>
        <w:rPr>
          <w:rFonts w:ascii="Arial" w:cs="Arial" w:eastAsia="Arial" w:hAnsi="Arial"/>
          <w:sz w:val="28"/>
          <w:szCs w:val="28"/>
          <w:color w:val="auto"/>
          <w:vertAlign w:val="superscript"/>
        </w:rPr>
      </w:pPr>
    </w:p>
    <w:p>
      <w:pPr>
        <w:ind w:left="1040" w:hanging="519"/>
        <w:spacing w:after="0" w:line="198"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our supply of product candidates may be insufficient to complete our clinical trials as planned due to a batch failure, a lack of funds, a change in priorities, planning errors or other reasons;</w:t>
      </w:r>
    </w:p>
    <w:p>
      <w:pPr>
        <w:spacing w:after="0" w:line="94" w:lineRule="exact"/>
        <w:rPr>
          <w:rFonts w:ascii="Arial" w:cs="Arial" w:eastAsia="Arial" w:hAnsi="Arial"/>
          <w:sz w:val="29"/>
          <w:szCs w:val="29"/>
          <w:color w:val="auto"/>
          <w:vertAlign w:val="superscript"/>
        </w:rPr>
      </w:pPr>
    </w:p>
    <w:p>
      <w:pPr>
        <w:ind w:left="1040" w:right="200" w:hanging="519"/>
        <w:spacing w:after="0" w:line="207" w:lineRule="auto"/>
        <w:tabs>
          <w:tab w:leader="none" w:pos="104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our third party contractors, including those manufacturing our product candidates or components or ingredients thereof or conducting clinical trials on our behalf, may fail to comply with regulatory requirements or meet our expectations in a timely manner or at all;</w:t>
      </w:r>
    </w:p>
    <w:p>
      <w:pPr>
        <w:spacing w:after="0" w:line="93" w:lineRule="exact"/>
        <w:rPr>
          <w:rFonts w:ascii="Arial" w:cs="Arial" w:eastAsia="Arial" w:hAnsi="Arial"/>
          <w:sz w:val="28"/>
          <w:szCs w:val="28"/>
          <w:color w:val="auto"/>
          <w:vertAlign w:val="superscript"/>
        </w:rPr>
      </w:pPr>
    </w:p>
    <w:p>
      <w:pPr>
        <w:ind w:left="1040" w:right="500" w:hanging="519"/>
        <w:spacing w:after="0" w:line="198"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we may decide to make changes to a trial protocol and fail to receive timely approval for the amendment from the applicable institutional review board(s) or ethics committee(s);</w:t>
      </w:r>
    </w:p>
    <w:p>
      <w:pPr>
        <w:spacing w:after="0" w:line="94" w:lineRule="exact"/>
        <w:rPr>
          <w:rFonts w:ascii="Arial" w:cs="Arial" w:eastAsia="Arial" w:hAnsi="Arial"/>
          <w:sz w:val="29"/>
          <w:szCs w:val="29"/>
          <w:color w:val="auto"/>
          <w:vertAlign w:val="superscript"/>
        </w:rPr>
      </w:pPr>
    </w:p>
    <w:p>
      <w:pPr>
        <w:ind w:left="1040" w:right="320" w:hanging="519"/>
        <w:spacing w:after="0" w:line="198"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25" w:lineRule="exact"/>
        <w:rPr>
          <w:rFonts w:ascii="Arial" w:cs="Arial" w:eastAsia="Arial" w:hAnsi="Arial"/>
          <w:sz w:val="29"/>
          <w:szCs w:val="29"/>
          <w:color w:val="auto"/>
          <w:vertAlign w:val="superscript"/>
        </w:rPr>
      </w:pPr>
    </w:p>
    <w:p>
      <w:pPr>
        <w:ind w:left="1040" w:hanging="519"/>
        <w:spacing w:after="0"/>
        <w:tabs>
          <w:tab w:leader="none" w:pos="104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investigators may deviate from the trial protocol, fail to conduct the trial in accordance with regulatory requirements or misreport study data;</w:t>
      </w:r>
    </w:p>
    <w:p>
      <w:pPr>
        <w:spacing w:after="0" w:line="109" w:lineRule="exact"/>
        <w:rPr>
          <w:rFonts w:ascii="Arial" w:cs="Arial" w:eastAsia="Arial" w:hAnsi="Arial"/>
          <w:sz w:val="26"/>
          <w:szCs w:val="26"/>
          <w:color w:val="auto"/>
          <w:vertAlign w:val="superscript"/>
        </w:rPr>
      </w:pPr>
    </w:p>
    <w:p>
      <w:pPr>
        <w:ind w:left="1040" w:right="60" w:hanging="519"/>
        <w:spacing w:after="0" w:line="191"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94" w:lineRule="exact"/>
        <w:rPr>
          <w:rFonts w:ascii="Arial" w:cs="Arial" w:eastAsia="Arial" w:hAnsi="Arial"/>
          <w:sz w:val="29"/>
          <w:szCs w:val="29"/>
          <w:color w:val="auto"/>
          <w:vertAlign w:val="superscript"/>
        </w:rPr>
      </w:pPr>
    </w:p>
    <w:p>
      <w:pPr>
        <w:ind w:left="1040" w:right="220" w:hanging="519"/>
        <w:spacing w:after="0" w:line="198"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94" w:lineRule="exact"/>
        <w:rPr>
          <w:rFonts w:ascii="Arial" w:cs="Arial" w:eastAsia="Arial" w:hAnsi="Arial"/>
          <w:sz w:val="29"/>
          <w:szCs w:val="29"/>
          <w:color w:val="auto"/>
          <w:vertAlign w:val="superscript"/>
        </w:rPr>
      </w:pPr>
    </w:p>
    <w:p>
      <w:pPr>
        <w:ind w:left="1040" w:right="160" w:hanging="519"/>
        <w:spacing w:after="0" w:line="212"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enrollment size for the clinical trial or extend the clinical trial’s duration;</w:t>
      </w:r>
    </w:p>
    <w:p>
      <w:pPr>
        <w:spacing w:after="0" w:line="2" w:lineRule="exact"/>
        <w:rPr>
          <w:rFonts w:ascii="Arial" w:cs="Arial" w:eastAsia="Arial" w:hAnsi="Arial"/>
          <w:sz w:val="29"/>
          <w:szCs w:val="29"/>
          <w:color w:val="auto"/>
          <w:vertAlign w:val="superscript"/>
        </w:rPr>
      </w:pPr>
    </w:p>
    <w:p>
      <w:pPr>
        <w:ind w:left="1040" w:hanging="519"/>
        <w:spacing w:after="0" w:line="233" w:lineRule="auto"/>
        <w:tabs>
          <w:tab w:leader="none" w:pos="104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for any given trial we may find it necessary to open more clinical trial sites than originally planned;</w:t>
      </w:r>
    </w:p>
    <w:p>
      <w:pPr>
        <w:spacing w:after="0" w:line="110" w:lineRule="exact"/>
        <w:rPr>
          <w:rFonts w:ascii="Arial" w:cs="Arial" w:eastAsia="Arial" w:hAnsi="Arial"/>
          <w:sz w:val="29"/>
          <w:szCs w:val="29"/>
          <w:color w:val="auto"/>
          <w:vertAlign w:val="superscript"/>
        </w:rPr>
      </w:pPr>
    </w:p>
    <w:p>
      <w:pPr>
        <w:ind w:left="1040" w:right="100" w:hanging="519"/>
        <w:spacing w:after="0" w:line="244" w:lineRule="auto"/>
        <w:tabs>
          <w:tab w:leader="none" w:pos="104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we may have to suspend or terminate one or more clinical trials of our product candidates for various reasons, including unfavorable, incomplete or inconclusive data, unexpected delays, a change in priorities, a determination that the path to commercialization is too difficult or uncertain, a lack of sufficient funding, changes in the competitive or regulatory landscape, a finding that the participants are being exposed to unacceptable health risks, unexpected or serious adverse events or other unexpected characteristics of a product candidate;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left="1040" w:hanging="519"/>
        <w:spacing w:after="0" w:line="226"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our clinical trials or findings of undesirable effects caused by a chemically or mechanistically similar drug or drug candidate;</w:t>
      </w:r>
    </w:p>
    <w:p>
      <w:pPr>
        <w:spacing w:after="0" w:line="94" w:lineRule="exact"/>
        <w:rPr>
          <w:rFonts w:ascii="Arial" w:cs="Arial" w:eastAsia="Arial" w:hAnsi="Arial"/>
          <w:sz w:val="29"/>
          <w:szCs w:val="29"/>
          <w:color w:val="auto"/>
          <w:vertAlign w:val="superscript"/>
        </w:rPr>
      </w:pPr>
    </w:p>
    <w:p>
      <w:pPr>
        <w:jc w:val="both"/>
        <w:ind w:left="1040" w:right="80" w:hanging="519"/>
        <w:spacing w:after="0" w:line="212"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the FDA or comparable non-U.S.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96" w:lineRule="exact"/>
        <w:rPr>
          <w:rFonts w:ascii="Arial" w:cs="Arial" w:eastAsia="Arial" w:hAnsi="Arial"/>
          <w:sz w:val="29"/>
          <w:szCs w:val="29"/>
          <w:color w:val="auto"/>
          <w:vertAlign w:val="superscript"/>
        </w:rPr>
      </w:pPr>
    </w:p>
    <w:p>
      <w:pPr>
        <w:ind w:left="1040" w:right="400" w:hanging="519"/>
        <w:spacing w:after="0" w:line="198"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94" w:lineRule="exact"/>
        <w:rPr>
          <w:rFonts w:ascii="Arial" w:cs="Arial" w:eastAsia="Arial" w:hAnsi="Arial"/>
          <w:sz w:val="29"/>
          <w:szCs w:val="29"/>
          <w:color w:val="auto"/>
          <w:vertAlign w:val="superscript"/>
        </w:rPr>
      </w:pPr>
    </w:p>
    <w:p>
      <w:pPr>
        <w:jc w:val="both"/>
        <w:ind w:left="1040" w:right="140" w:hanging="519"/>
        <w:spacing w:after="0" w:line="212"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the supply or quality of raw materials or manufactured product candidates or drugs (whether provided by us or third parties) or other materials necessary to conduct clinical trials of our product candidates may be insufficient, inadequate or not available at an acceptable cost, or we may experience interruptions in supply; and</w:t>
      </w:r>
    </w:p>
    <w:p>
      <w:pPr>
        <w:spacing w:after="0" w:line="96" w:lineRule="exact"/>
        <w:rPr>
          <w:rFonts w:ascii="Arial" w:cs="Arial" w:eastAsia="Arial" w:hAnsi="Arial"/>
          <w:sz w:val="29"/>
          <w:szCs w:val="29"/>
          <w:color w:val="auto"/>
          <w:vertAlign w:val="superscript"/>
        </w:rPr>
      </w:pPr>
    </w:p>
    <w:p>
      <w:pPr>
        <w:ind w:left="1040" w:right="140" w:hanging="519"/>
        <w:spacing w:after="0" w:line="198" w:lineRule="auto"/>
        <w:tabs>
          <w:tab w:leader="none" w:pos="10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20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65" w:lineRule="exact"/>
        <w:rPr>
          <w:sz w:val="20"/>
          <w:szCs w:val="20"/>
          <w:color w:val="auto"/>
        </w:rPr>
      </w:pPr>
    </w:p>
    <w:p>
      <w:pPr>
        <w:ind w:right="140" w:firstLine="518"/>
        <w:spacing w:after="0" w:line="381" w:lineRule="auto"/>
        <w:rPr>
          <w:sz w:val="20"/>
          <w:szCs w:val="20"/>
          <w:color w:val="auto"/>
        </w:rPr>
      </w:pPr>
      <w:r>
        <w:rPr>
          <w:rFonts w:ascii="Arial" w:cs="Arial" w:eastAsia="Arial" w:hAnsi="Arial"/>
          <w:sz w:val="15"/>
          <w:szCs w:val="15"/>
          <w:b w:val="1"/>
          <w:bCs w:val="1"/>
          <w:i w:val="1"/>
          <w:iCs w:val="1"/>
          <w:color w:val="auto"/>
        </w:rPr>
        <w:t>We have conducted and intend to conduct additional clinical trials for certain of our product candidates at sites outside the United States, and the FDA may not accept data from trials conducted in such locations or the complexity of regulatory burdens may otherwise adversely impact us.</w:t>
      </w:r>
    </w:p>
    <w:p>
      <w:pPr>
        <w:spacing w:after="0" w:line="10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have conducted, currently are conducting and intend in the future to conduct, clinical trials outside the United States. Opening trial sites outside the United States may involve additional regulatory, administrative and financial burdens, including compliance with foreign and local requirements relating to regulatory submission and clinical trial practices. For example, in late 2014, we commenced in Australia the Phase 1 portion of a Phase 1/2a clinical trial of CRLX301 in patients with advanced solid tumor malignancies. In addition, in the first half of 2015, we expanded the RCC Trial to South Korea where we opened five additional clinical sites. We expect to continue to conduct clinical trials of our product candidates at sites outside the U.S.</w:t>
      </w:r>
    </w:p>
    <w:p>
      <w:pPr>
        <w:spacing w:after="0" w:line="15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CRLX101, CRLX301 or any future product candidates.</w:t>
      </w:r>
    </w:p>
    <w:p>
      <w:pPr>
        <w:spacing w:after="0" w:line="17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ind w:left="1040" w:hanging="519"/>
        <w:spacing w:after="0" w:line="210" w:lineRule="auto"/>
        <w:tabs>
          <w:tab w:leader="none" w:pos="10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foreign regulatory requirements that could burden or limit our ability to conduct our clinical trials;</w:t>
      </w:r>
    </w:p>
    <w:p>
      <w:pPr>
        <w:spacing w:after="0" w:line="110" w:lineRule="exact"/>
        <w:rPr>
          <w:rFonts w:ascii="Arial" w:cs="Arial" w:eastAsia="Arial" w:hAnsi="Arial"/>
          <w:sz w:val="29"/>
          <w:szCs w:val="29"/>
          <w:color w:val="auto"/>
          <w:vertAlign w:val="superscript"/>
        </w:rPr>
      </w:pPr>
    </w:p>
    <w:p>
      <w:pPr>
        <w:ind w:left="1040" w:right="220" w:hanging="519"/>
        <w:spacing w:after="0" w:line="191" w:lineRule="auto"/>
        <w:tabs>
          <w:tab w:leader="none" w:pos="10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ind w:left="1040" w:hanging="519"/>
        <w:spacing w:after="0" w:line="233" w:lineRule="auto"/>
        <w:tabs>
          <w:tab w:leader="none" w:pos="10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administrative burdens of conducting clinical trials under multiple foreign regulatory schema;</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foreign exchange fluctuations;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left="1040" w:hanging="519"/>
        <w:spacing w:after="0"/>
        <w:tabs>
          <w:tab w:leader="none" w:pos="104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more burdensome manufacturing, customs, shipment and storage requirements;</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cultural differences in medical practice and clinical research;</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lack of consistency in standard of care from country to country;</w:t>
      </w:r>
    </w:p>
    <w:p>
      <w:pPr>
        <w:spacing w:after="0" w:line="110" w:lineRule="exact"/>
        <w:rPr>
          <w:rFonts w:ascii="Arial" w:cs="Arial" w:eastAsia="Arial" w:hAnsi="Arial"/>
          <w:sz w:val="24"/>
          <w:szCs w:val="24"/>
          <w:color w:val="auto"/>
          <w:vertAlign w:val="superscript"/>
        </w:rPr>
      </w:pPr>
    </w:p>
    <w:p>
      <w:pPr>
        <w:ind w:left="1020" w:hanging="499"/>
        <w:spacing w:after="0" w:line="186" w:lineRule="auto"/>
        <w:tabs>
          <w:tab w:leader="none" w:pos="102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diminished protection of intellectual property in some countries; and</w:t>
      </w:r>
    </w:p>
    <w:p>
      <w:pPr>
        <w:spacing w:after="0" w:line="110" w:lineRule="exact"/>
        <w:rPr>
          <w:rFonts w:ascii="Arial" w:cs="Arial" w:eastAsia="Arial" w:hAnsi="Arial"/>
          <w:sz w:val="24"/>
          <w:szCs w:val="24"/>
          <w:color w:val="auto"/>
          <w:vertAlign w:val="superscript"/>
        </w:rPr>
      </w:pPr>
    </w:p>
    <w:p>
      <w:pPr>
        <w:ind w:left="1020" w:hanging="499"/>
        <w:spacing w:after="0" w:line="186" w:lineRule="auto"/>
        <w:tabs>
          <w:tab w:leader="none" w:pos="102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changes in country or regional regulatory requirements.</w:t>
      </w:r>
    </w:p>
    <w:p>
      <w:pPr>
        <w:spacing w:after="0" w:line="20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18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or different clinical trials or preclinical testing of our product candidates beyond the trials and testing that we contemplate, (2) we are unable to successfully complete clinical trials or preclinical testing of our product candidates, (3) the results of these trials or tests are unfavorable, incomplete or inconclusive, or (4) there are unacceptable safety concerns associated with our product candidates, we, in addition to incurring additional costs, may:</w:t>
      </w:r>
    </w:p>
    <w:p>
      <w:pPr>
        <w:ind w:left="1040" w:hanging="519"/>
        <w:spacing w:after="0" w:line="212" w:lineRule="auto"/>
        <w:tabs>
          <w:tab w:leader="none" w:pos="10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be delayed in obtaining marketing approval for our product candidates;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not obtain marketing approval at all;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obtain approval for indications or patient populations that are not as broad as we intended or desired;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obtain approval with labeling that includes significant use or distribution restrictions or significant safety warnings, including boxed warnings;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be subject to additional post-marketing testing or other requirements; or</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be required to remove the product from the market after obtaining marketing approval.</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July 2016 we received a second fast track designation for CRLX101 in combination with paclitaxel for the treatment of platinum-resistant ovarian carcinoma, fallopian tube or primary peritoneal cancer. In April 2015 we received our first fast track designation for CRLX101 for the treatment of metastatic RCC following progression through two or three prior lines of therapy. We may seek fast track designation for other indications or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the FDA may still decide not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or stated intentions of our clinical development program.</w:t>
      </w:r>
    </w:p>
    <w:p>
      <w:pPr>
        <w:spacing w:after="0" w:line="166"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4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trial can help to identify the most efficient path for clinical development while minimizing the number of patients placed in ineffective control regimens.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Drugs designated as breakthrough therapies by the FDA are also eligible for accelerated approval.</w:t>
      </w:r>
    </w:p>
    <w:p>
      <w:pPr>
        <w:spacing w:after="0" w:line="211"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qualifies as a breakthrough therapy, the FDA may later decide that the product no longer meets the conditions for qualification or decide that the time period for FDA review or approval will not be shortened.</w:t>
      </w:r>
    </w:p>
    <w:p>
      <w:pPr>
        <w:spacing w:after="0" w:line="178" w:lineRule="exact"/>
        <w:rPr>
          <w:sz w:val="20"/>
          <w:szCs w:val="20"/>
          <w:color w:val="auto"/>
        </w:rPr>
      </w:pPr>
    </w:p>
    <w:p>
      <w:pPr>
        <w:ind w:right="640" w:firstLine="518"/>
        <w:spacing w:after="0" w:line="381" w:lineRule="auto"/>
        <w:rPr>
          <w:sz w:val="20"/>
          <w:szCs w:val="20"/>
          <w:color w:val="auto"/>
        </w:rPr>
      </w:pPr>
      <w:r>
        <w:rPr>
          <w:rFonts w:ascii="Arial" w:cs="Arial" w:eastAsia="Arial" w:hAnsi="Arial"/>
          <w:sz w:val="15"/>
          <w:szCs w:val="15"/>
          <w:b w:val="1"/>
          <w:bCs w:val="1"/>
          <w:i w:val="1"/>
          <w:iCs w:val="1"/>
          <w:color w:val="auto"/>
        </w:rPr>
        <w:t>If we fail to obtain or maintain orphan drug exclusivity for some of our product candidates, we will miss out on certain valuable incentives including a period of marketing exclusivity as well as federal grants, tax credits and a waiver of Prescription Drug User Fee Act filing fees.</w:t>
      </w:r>
    </w:p>
    <w:p>
      <w:pPr>
        <w:spacing w:after="0" w:line="10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intend to develop some product candidates that may be eligible for orphan drug designation from the FDA. Under the Orphan Drug Act, the FDA has discretion to designate a product as an orphan drug if it is designed to treat a rare disease or condition, which is defined as a patient population of less than 200,000 in the United States. The applicant that first obtains FDA approval for a designated orphan drug receives marketing exclusivity for use of that drug for the stated condition or disease for a period of seven years and becomes eligible for certain federal grants, tax credits and a waiver of Prescription Drug User Fee Act filing fees.</w:t>
      </w:r>
    </w:p>
    <w:p>
      <w:pPr>
        <w:spacing w:after="0" w:line="188"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For our product candidates that are eligible, we plan to rely on the exclusivity period under the Orphan Drug Act to attain a competitive position. If we do not obtain orphan drug exclusivity for our drug products that do not have broad patent protection, our competitors may then sell the same drug to treat the same condition and our revenues will be reduced. In May 2015, the FDA granted orphan drug designation to CRLX101 for the treatment of ovarian cancer.</w:t>
      </w:r>
    </w:p>
    <w:p>
      <w:pPr>
        <w:spacing w:after="0" w:line="14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Even though we have obtained orphan drug designation for CRLX101 for the treatment of ovarian cancer, we still may not be the first to obtain marketing approval for any particular orphan indication. Further, even if we obtain orphan drug exclusivity for a product candidate, that exclusivity may not effectively protect it from competition because different drugs can be approved for the same condition. Even after an orphan drug is approved and granted orphan drug exclusivity, the FDA can subsequently approve the same drug for the same condition. Orphan drug designation neither shortens the development time or regulatory review time of a drug, nor gives the drug any advantage in the regulatory review or approval process.</w:t>
      </w:r>
    </w:p>
    <w:p>
      <w:pPr>
        <w:spacing w:after="0" w:line="173"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b w:val="1"/>
          <w:bCs w:val="1"/>
          <w:i w:val="1"/>
          <w:iCs w:val="1"/>
          <w:color w:val="auto"/>
        </w:rPr>
        <w:t>We may request Priority Review for one or more of our product candidates at the time of the submission of the NDA to the FDA. The FDA may not grant Priority Review for any of our product candidates. Moreover, even if the FDA designated Priority Review for one of our product candidates, that designation may not lead to a faster regulatory review or approval process and, in any event, would not assure FDA approval.</w:t>
      </w:r>
    </w:p>
    <w:p>
      <w:pPr>
        <w:spacing w:after="0" w:line="147"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A ten-month standard NDA review clock will begin at the conclusion of the 60 calendar day filing review period that starts on the date the FDA receives the original submission. This means the FDA has a total of twelve months from its receipt of the original submission to take regulatory action. We may be eligible for Priority Review designation for our NDA submission if the FDA determines that our product candidate treats a serious condition and, if approved, would provide a significant improvement in safety or effectiveness. The six-month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standard total of twelve months. We may request Priority Review for CRLX101 if and when we submit an NDA for CRLX101. Our current clinical development programs in areas of unmet medical need assume CRLX101 and/or CRLX301 will receive Priority Review. The FDA has broad discretion whether or not to grant Priority Review to a product candidate, so even if we believe a particular product candidate is eligible for such designation or status, the FDA may decide not to grant it. Thus, while the FDA has granted Priority Review to other oncology product candidates, CRLX101 or CRLX301 may not receive similar designation. Moreover, even if one of our product candidates is designated for Priority Review, such a designation does not necessarily mean a faster regulatory review process or necessarily confer any advantage with respect to approval compared to conventional FDA procedures. Receiving Priority Review from the FDA also does not guarantee approval within the eight-month review cycle or thereafter.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jc w:val="both"/>
        <w:ind w:right="140" w:firstLine="518"/>
        <w:spacing w:after="0" w:line="312" w:lineRule="auto"/>
        <w:rPr>
          <w:sz w:val="20"/>
          <w:szCs w:val="20"/>
          <w:color w:val="auto"/>
        </w:rPr>
      </w:pPr>
      <w:r>
        <w:rPr>
          <w:rFonts w:ascii="Arial" w:cs="Arial" w:eastAsia="Arial" w:hAnsi="Arial"/>
          <w:sz w:val="16"/>
          <w:szCs w:val="16"/>
          <w:b w:val="1"/>
          <w:bCs w:val="1"/>
          <w:i w:val="1"/>
          <w:iCs w:val="1"/>
          <w:color w:val="auto"/>
        </w:rPr>
        <w:t>We believe we may in some instances be able to secure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47" w:lineRule="exact"/>
        <w:rPr>
          <w:sz w:val="20"/>
          <w:szCs w:val="20"/>
          <w:color w:val="auto"/>
        </w:rPr>
      </w:pPr>
    </w:p>
    <w:p>
      <w:pPr>
        <w:ind w:right="120" w:firstLine="518"/>
        <w:spacing w:after="0" w:line="268" w:lineRule="auto"/>
        <w:rPr>
          <w:sz w:val="20"/>
          <w:szCs w:val="20"/>
          <w:color w:val="auto"/>
        </w:rPr>
      </w:pPr>
      <w:r>
        <w:rPr>
          <w:rFonts w:ascii="Arial" w:cs="Arial" w:eastAsia="Arial" w:hAnsi="Arial"/>
          <w:sz w:val="17"/>
          <w:szCs w:val="17"/>
          <w:color w:val="auto"/>
        </w:rPr>
        <w:t>We anticipate that we may seek an Accelerated Approval development pathway for certain indications for our product candidates.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Accelerated Approval. If such post-approval studies fail to confirm the drug’s clinical profile or risks and benefits, the FDA may withdraw its approval of the drug.</w:t>
      </w:r>
    </w:p>
    <w:p>
      <w:pPr>
        <w:spacing w:after="0" w:line="188"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If we choose to pursue Accelerated Approval, we intend to seek feedback from the FDA and will otherwise evaluate our ability to seek and receive such Accelerated Approval. There can be no assurance that the FDA will agree that our endpoint is an appropriate surrogate endpoint.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69"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 failure to obtain Accelerated Approval or any other form of expedited development, review or approval for our product candidates would result in a longer time period to commercialize such product candidate, could increase the cost of development of such product candidate and could harm our competitive position in the marketplace.</w:t>
      </w:r>
    </w:p>
    <w:p>
      <w:pPr>
        <w:spacing w:after="0" w:line="18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b w:val="1"/>
          <w:bCs w:val="1"/>
          <w:i w:val="1"/>
          <w:iCs w:val="1"/>
          <w:color w:val="auto"/>
        </w:rPr>
        <w:t>Serious adverse events of CRLX101 or any of our product candidates may be identified during clinical development. Further, other unexpected properties of our product candidates may be identified during manufacture or development. Such adverse events or unexpected properties could delay or prevent the continued development and/or marketing approval of any such product candidate.</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Serious adverse events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our product candidates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Both camptothecin, the anti-cancer payload of CRLX101, and docetaxel, the anti-cancer payload of CRLX301, have been associated with toxicities. These toxicities led to discontinuation of the clinical development in the case of camptothecin and have led 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unexpected or more severe toxicities in our ongoing clinical trials or 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right="360"/>
        <w:spacing w:after="0" w:line="297" w:lineRule="auto"/>
        <w:rPr>
          <w:sz w:val="20"/>
          <w:szCs w:val="20"/>
          <w:color w:val="auto"/>
        </w:rPr>
      </w:pPr>
      <w:r>
        <w:rPr>
          <w:rFonts w:ascii="Arial" w:cs="Arial" w:eastAsia="Arial" w:hAnsi="Arial"/>
          <w:sz w:val="16"/>
          <w:szCs w:val="16"/>
          <w:color w:val="auto"/>
        </w:rPr>
        <w:t>clinical trials we conduct in the future, whether due to the inclusion of camptothecin or docetaxel or another therapeutic as the anti-cancer payload in our NDCs or otherwise, we may not receive approval to market, or achieve commercial success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development of new NDCs based on our Dynamic Tumor Targeting Platform is a key area of research for us.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spacing w:after="0" w:line="10"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newly designed NDCs may not demonstrate satisfactory efficacy or other benefits, either alone or in combination with other therapeutics; or</w:t>
      </w:r>
    </w:p>
    <w:p>
      <w:pPr>
        <w:spacing w:after="0" w:line="109" w:lineRule="exact"/>
        <w:rPr>
          <w:rFonts w:ascii="Arial" w:cs="Arial" w:eastAsia="Arial" w:hAnsi="Arial"/>
          <w:sz w:val="26"/>
          <w:szCs w:val="26"/>
          <w:color w:val="auto"/>
          <w:vertAlign w:val="superscript"/>
        </w:rPr>
      </w:pPr>
    </w:p>
    <w:p>
      <w:pPr>
        <w:ind w:left="1040" w:right="540" w:hanging="519"/>
        <w:spacing w:after="0" w:line="191" w:lineRule="auto"/>
        <w:tabs>
          <w:tab w:leader="none" w:pos="104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20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To identify new product candidates, our research programs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or the market opportunity for the product candidate may be smaller than we estimate.</w:t>
      </w:r>
    </w:p>
    <w:p>
      <w:pPr>
        <w:spacing w:after="0" w:line="18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58"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may not become profitable. The degree of market acceptance of CRLX101 or any of our other product candidates, if approved for commercial sale, will depend on a number of factors, including:</w:t>
      </w:r>
    </w:p>
    <w:p>
      <w:pPr>
        <w:ind w:left="1040" w:hanging="519"/>
        <w:spacing w:after="0" w:line="222" w:lineRule="auto"/>
        <w:tabs>
          <w:tab w:leader="none" w:pos="104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the efficacy and safety of the product;</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the potential advantages of the product compared to alternative treatments;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the prevalence and severity of any side effects;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the clinical indications for which the product is approved;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whether the product is designated under physician treatment guidelines as a first-line therapy or as a second- or third-line therapy;</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limitations or warnings, including distribution or use restrictions, contained in the product’s approved labeling;</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our ability to offer the product for sale at competitive prices;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our ability to establish and maintain pricing sufficient to realize a meaningful return on our investment;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the product’s convenience and ease of administration compared to alternative treatments;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the willingness of the target patient population to try, and of physicians to prescribe, the product;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the strength of sales, marketing and distribution support;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the availability of alternative treatments already approved or approval of other new products for the same indications;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5" w:name="page36"/>
    <w:bookmarkEnd w:id="35"/>
    <w:p>
      <w:pPr>
        <w:ind w:left="1040" w:hanging="519"/>
        <w:spacing w:after="0"/>
        <w:tabs>
          <w:tab w:leader="none" w:pos="104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changes in the standard of care for the targeted indications for the product;</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the timing of market introduction of our approved products as well as competitive products and other therapies;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availability and amount of reimbursement from government payors, managed care plans and other third party payors;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the strength and efficacy of our marketing and distribution efforts;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adverse publicity about the product or favorable publicity about competitive products;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potential product liability claims.</w:t>
      </w:r>
    </w:p>
    <w:p>
      <w:pPr>
        <w:spacing w:after="0" w:line="20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58" w:lineRule="exact"/>
        <w:rPr>
          <w:sz w:val="20"/>
          <w:szCs w:val="20"/>
          <w:color w:val="auto"/>
        </w:rPr>
      </w:pPr>
    </w:p>
    <w:p>
      <w:pPr>
        <w:ind w:right="600" w:firstLine="518"/>
        <w:spacing w:after="0" w:line="381" w:lineRule="auto"/>
        <w:rPr>
          <w:sz w:val="20"/>
          <w:szCs w:val="20"/>
          <w:color w:val="auto"/>
        </w:rPr>
      </w:pPr>
      <w:r>
        <w:rPr>
          <w:rFonts w:ascii="Arial" w:cs="Arial" w:eastAsia="Arial" w:hAnsi="Arial"/>
          <w:sz w:val="15"/>
          <w:szCs w:val="15"/>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0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serious or fatal side effects that were not previously identified, any of the following adverse events could occur:</w:t>
      </w:r>
    </w:p>
    <w:p>
      <w:pPr>
        <w:ind w:left="1040" w:hanging="519"/>
        <w:spacing w:after="0" w:line="223" w:lineRule="auto"/>
        <w:tabs>
          <w:tab w:leader="none" w:pos="104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regulatory authorities may withdraw their approval of the drug or seize the drug;</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we may be required to recall the drug or change the way the drug is administered;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additional restrictions may be imposed on the marketing of, or the manufacturing processes for, the particular drug;</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we may be subject to fines, injunctions or the imposition of civil or criminal penalties;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regulatory authorities may require the addition of labeling statements, such as a “black box” warning or a contraindication;</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we may be required to create a Medication Guide outlining the risks of the previously unidentified side effects for distribution to patients;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we could be sued and held liable for harm caused to patients;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the drug may become less competitive;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our reputation may suffer.</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events could have a material and adverse effect on our operations and business and could adversely impact our stock price.</w:t>
      </w:r>
    </w:p>
    <w:p>
      <w:pPr>
        <w:spacing w:after="0" w:line="23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 w:right="259" w:bottom="1440" w:gutter="0" w:footer="0" w:header="0"/>
        </w:sectPr>
      </w:pPr>
    </w:p>
    <w:bookmarkStart w:id="36" w:name="page37"/>
    <w:bookmarkEnd w:id="36"/>
    <w:p>
      <w:pPr>
        <w:ind w:right="100"/>
        <w:spacing w:after="0" w:line="264" w:lineRule="auto"/>
        <w:rPr>
          <w:sz w:val="20"/>
          <w:szCs w:val="20"/>
          <w:color w:val="auto"/>
        </w:rPr>
      </w:pPr>
      <w:r>
        <w:rPr>
          <w:rFonts w:ascii="Arial" w:cs="Arial" w:eastAsia="Arial" w:hAnsi="Arial"/>
          <w:sz w:val="18"/>
          <w:szCs w:val="18"/>
          <w:color w:val="auto"/>
        </w:rPr>
        <w:t>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58" w:lineRule="exact"/>
        <w:rPr>
          <w:sz w:val="20"/>
          <w:szCs w:val="20"/>
          <w:color w:val="auto"/>
        </w:rPr>
      </w:pPr>
    </w:p>
    <w:p>
      <w:pPr>
        <w:ind w:right="900" w:firstLine="518"/>
        <w:spacing w:after="0" w:line="277" w:lineRule="auto"/>
        <w:rPr>
          <w:sz w:val="20"/>
          <w:szCs w:val="20"/>
          <w:color w:val="auto"/>
        </w:rPr>
      </w:pPr>
      <w:r>
        <w:rPr>
          <w:rFonts w:ascii="Arial" w:cs="Arial" w:eastAsia="Arial" w:hAnsi="Arial"/>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170"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70"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are currently developing or that we may develop, which could render our product candidates obsolete and noncompetitive.</w:t>
      </w:r>
    </w:p>
    <w:p>
      <w:pPr>
        <w:spacing w:after="0" w:line="19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Companies with marketed nanotechnology-based oncology products include Celgene Corporation (Abraxane) indicated for breast cancer, NSCLC and pancreatic cancer), Janssen Products, LP (Doxil indicated for ovarian cancer and, in combination with Velcade® (bortezomib), for multiple myeloma), Merrimack Pharmaceuticals, Inc. (Onivyde™ (irinotecan liposomal injection) indicated for pancreatic and colorectal cancer) and Spectrum Pharmaceuticals, Inc. (Marqibo ® (vincristine sulfate liposome injection) indicated for relapsed Philadelphia chromosome-negative acute lymphoblastic leukemia). Companies with nanotechnology-based oncology product candidates in clinical development include, without limitation, BIND Therapeutics, Inc. (BIND 014 for squamous NSCLC, urothelial carcinoma, cholangiocarcinoma, cervical cancer and squamous cell carcinoma of the head and neck), Celator Pharmaceuticals, Inc., which was recently acquired by Jazz Pharmaceuticals (Vyxeos™ for acute myeloid leukemia), Celsion Corporation (ThermoDox® (lyso-thermosensitive liposomal doxorubicin) for liver cancer and breast cancer), Cytimmune Sciences, Inc. (CYT-6091 for NSCLC), Cristal Delivery B.V. d/b/a Cristal Therapeutics (CriPec® docetaxel for oncology), NantPharma (Cynviloq™, which received fast-track designation from the FDA for breast and lung cancer), Nektar Therapeutics (NKTR102 for solid tumors), Nippon Kayku Seizo Co., Ltd. (NK105 in breast cancer), Starpharma Holdings Ltd. (DEP® docetaxel for oncology), and Supratek Pharma Inc. (SP1049C for solid tumors).</w:t>
      </w:r>
    </w:p>
    <w:p>
      <w:pPr>
        <w:spacing w:after="0" w:line="18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 candidates before we are able to obtain approval for our product candidates, which could result in our competitors establishing a strong market position before we are able to enter the market. The competition for CRLX101 in our targeted indications includes the following:</w:t>
      </w:r>
    </w:p>
    <w:p>
      <w:pPr>
        <w:spacing w:after="0" w:line="154"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i w:val="1"/>
          <w:iCs w:val="1"/>
          <w:color w:val="auto"/>
        </w:rPr>
        <w:t xml:space="preserve">Renal Cell Carcinoma. </w:t>
      </w:r>
      <w:r>
        <w:rPr>
          <w:rFonts w:ascii="Arial" w:cs="Arial" w:eastAsia="Arial" w:hAnsi="Arial"/>
          <w:sz w:val="16"/>
          <w:szCs w:val="16"/>
          <w:color w:val="auto"/>
        </w:rPr>
        <w:t>In relapsed RCC, the FDA-approved therapies commonly used for treatment represent several mechanistic classes — immune</w:t>
      </w:r>
      <w:r>
        <w:rPr>
          <w:rFonts w:ascii="Arial" w:cs="Arial" w:eastAsia="Arial" w:hAnsi="Arial"/>
          <w:sz w:val="16"/>
          <w:szCs w:val="16"/>
          <w:i w:val="1"/>
          <w:iCs w:val="1"/>
          <w:color w:val="auto"/>
        </w:rPr>
        <w:t xml:space="preserve"> </w:t>
      </w:r>
      <w:r>
        <w:rPr>
          <w:rFonts w:ascii="Arial" w:cs="Arial" w:eastAsia="Arial" w:hAnsi="Arial"/>
          <w:sz w:val="16"/>
          <w:szCs w:val="16"/>
          <w:color w:val="auto"/>
        </w:rPr>
        <w:t>checkpoint inhibitors of PD-1, tyrosine kinase inhibitors, or TKIs, including small molecules and antibody to VEGF ligand, Avastin, and inhibitors of mTOR</w:t>
      </w:r>
    </w:p>
    <w:p>
      <w:pPr>
        <w:ind w:right="20"/>
        <w:spacing w:after="0" w:line="287" w:lineRule="auto"/>
        <w:rPr>
          <w:sz w:val="20"/>
          <w:szCs w:val="20"/>
          <w:color w:val="auto"/>
        </w:rPr>
      </w:pPr>
      <w:r>
        <w:rPr>
          <w:rFonts w:ascii="Arial" w:cs="Arial" w:eastAsia="Arial" w:hAnsi="Arial"/>
          <w:sz w:val="16"/>
          <w:szCs w:val="16"/>
          <w:color w:val="auto"/>
        </w:rPr>
        <w:t>— and there are no approved cytotoxic drugs that we are aware of. For example, Bristol-Myers Squibb Company’s PD-1 antibody Opdivo® (nivolumab) is approved in relapsed RCC following progression on one targeted therapy. Exelixis Inc.’s CABOMETYX® (cabozantinib), a TKI, was also recently approved by the FDA in relapsed RCC following progression on a targeted therapy. In addition, Eisai Co., Ltd.’s Lenvima® (lenvantinib), another TKI, was recently approved in second line RCC in combination with Afinitor® (everolimus). There are also several drugs in development that have the potential to obtain FDA marketing approval and change the standard of care. If this occurs, currently available treatments could be displaced and our commercial opportunity could be reduced. Antibodies against PD-1/PD-L1 and CTL-A4 are in late stage development in first line RCC, both as monotherapies and in combination with other agents including Avastin and small molecule TKIs. Bristol-Myers Squibb is also developing Opdivo in combination with Yervoy™ (ipilimumab) in first line, Merck is developing Keytruda® (pembrolizumab) in combination with Votrient® (pazopanib) in first line and Roche is developing a PD-L1 inhibitor, atezolizumab, in combination with Avastin in first line. Argos Therapeutics, Inc. is developing AGS-003, a dendritic cell therapy, 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360"/>
        <w:spacing w:after="0" w:line="264" w:lineRule="auto"/>
        <w:rPr>
          <w:sz w:val="20"/>
          <w:szCs w:val="20"/>
          <w:color w:val="auto"/>
        </w:rPr>
      </w:pPr>
      <w:r>
        <w:rPr>
          <w:rFonts w:ascii="Arial" w:cs="Arial" w:eastAsia="Arial" w:hAnsi="Arial"/>
          <w:sz w:val="18"/>
          <w:szCs w:val="18"/>
          <w:color w:val="auto"/>
        </w:rPr>
        <w:t>first line RCC for patients with unfavorable risk. New small molecule TKIs are also in development. TRACON Pharmaceuticals, Inc.’s TRC105, and Acceleron Pharma, Inc.’s dalantercept (the latter two are in combination with Inlyta® (axitinib)) are in development in second line or later stage relapsed RCC. AVEO Pharmaceuticals, Inc. is developing tivozanib in third line.</w:t>
      </w:r>
    </w:p>
    <w:p>
      <w:pPr>
        <w:spacing w:after="0" w:line="18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Although most of these product candidates are being tested for earlier lines of therapy, they also have the potential to change the standard of care in later lines of therapy in advanced RCC, and to impact the regulatory thresholds for product approvals in this setting. These factors could create questions about the optimal sequence of agents and, among other things, could change the role of Avastin in the treatment of RCC or result in existing first-line therapies being prescribed instead of later lines of therapy. Determining the optimal sequence of agents could be further complicated if their approval and/or availability is different in the United States and Europe. If this occurs, it would potentially reduce the commercial opportunity for CRLX101 in relapsed RCC.</w:t>
      </w:r>
    </w:p>
    <w:p>
      <w:pPr>
        <w:spacing w:after="0" w:line="15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Relapsed Ovarian Cancer</w:t>
      </w:r>
      <w:r>
        <w:rPr>
          <w:rFonts w:ascii="Arial" w:cs="Arial" w:eastAsia="Arial" w:hAnsi="Arial"/>
          <w:sz w:val="17"/>
          <w:szCs w:val="17"/>
          <w:color w:val="auto"/>
        </w:rPr>
        <w:t>. In relapsed ovarian cancer, FDA approvals of Avastin with chemotherapy and Lynparza in BRCA mutated patients have</w:t>
      </w:r>
      <w:r>
        <w:rPr>
          <w:rFonts w:ascii="Arial" w:cs="Arial" w:eastAsia="Arial" w:hAnsi="Arial"/>
          <w:sz w:val="17"/>
          <w:szCs w:val="17"/>
          <w:i w:val="1"/>
          <w:iCs w:val="1"/>
          <w:color w:val="auto"/>
        </w:rPr>
        <w:t xml:space="preserve"> </w:t>
      </w:r>
      <w:r>
        <w:rPr>
          <w:rFonts w:ascii="Arial" w:cs="Arial" w:eastAsia="Arial" w:hAnsi="Arial"/>
          <w:sz w:val="17"/>
          <w:szCs w:val="17"/>
          <w:color w:val="auto"/>
        </w:rPr>
        <w:t>changed the standard of care, which could reduce the commercial opportunity for CRLX101 in this indication. In addition, multiple companies are developing other therapeutic candidates, which are at various stages of development. For example, Abbvie Inc., Clovis Oncology, Inc. Medivation Inc., and TESARO Inc. all have PARP inhibitors in development in BRCA mutated ovarian cancer and breast cancer. Based on the recent NOVA trial, we anticipate that Tesaro’s PARP inhibitor, niraparib, will be used in the maintenance setting in platinum-sensitive ovarian cancer. However, it is also possible that oncologists would use the agent in the platinum-resistant setting, which could impact our opportunity in relapsed platinum-resistant ovarian cancer. In addition, immune checkpoint inhibitors and other immune-oncology agents are being developed for the treatment of relapsed ovarian cancer. If these agents are approved in earlier lines of therapy, the addressable market for CRLX101 in later lines of therapy could be adversely impacted. ImmunoGen is also developing IMGN853 in folate receptor positive ovarian cancer, OncoMed Pharmaceuticals is developing demcizumab in non-small cell lung cancer and pancreatic cancer, Genentech, Inc. is developing DMOT4039A in pancreatic cancer and relapsed ovarian cancer, and Incyte Pharmaceuticals Inc. is developing the IDO-1 inhibitor, epacadostat, in relapsed ovarian cancer. Although each of these agents has the potential to be used in combination with CRLX101, thereby expanding the market for CRLX101, they also have the potential to compete with CRLX101.</w:t>
      </w:r>
    </w:p>
    <w:p>
      <w:pPr>
        <w:spacing w:after="0" w:line="180" w:lineRule="exact"/>
        <w:rPr>
          <w:sz w:val="20"/>
          <w:szCs w:val="20"/>
          <w:color w:val="auto"/>
        </w:rPr>
      </w:pPr>
    </w:p>
    <w:p>
      <w:pPr>
        <w:ind w:right="220" w:firstLine="518"/>
        <w:spacing w:after="0" w:line="293" w:lineRule="auto"/>
        <w:rPr>
          <w:sz w:val="20"/>
          <w:szCs w:val="20"/>
          <w:color w:val="auto"/>
        </w:rPr>
      </w:pPr>
      <w:r>
        <w:rPr>
          <w:rFonts w:ascii="Arial" w:cs="Arial" w:eastAsia="Arial" w:hAnsi="Arial"/>
          <w:sz w:val="16"/>
          <w:szCs w:val="16"/>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5"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7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would be treated as a new chemical entity by the FDA and, therefore, if approved, should be afforded five years of data exclusivity, the FDA may disagree with that conclusion and may approve generic products after a period that is less than five years. Our other product candidates, including CRLX301, may be treated as new chemical entities as well, but at this point we cannot predict the probability of success in that regard. Manufacturers may seek to launch these generic products following the expiration of the applicable marketing exclusivity period, even if we still have patent protection for our product.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right="140" w:firstLine="518"/>
        <w:spacing w:after="0" w:line="308" w:lineRule="auto"/>
        <w:rPr>
          <w:sz w:val="20"/>
          <w:szCs w:val="20"/>
          <w:color w:val="auto"/>
        </w:rPr>
      </w:pPr>
      <w:r>
        <w:rPr>
          <w:rFonts w:ascii="Arial" w:cs="Arial" w:eastAsia="Arial" w:hAnsi="Arial"/>
          <w:sz w:val="17"/>
          <w:szCs w:val="17"/>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47" w:lineRule="exact"/>
        <w:rPr>
          <w:sz w:val="20"/>
          <w:szCs w:val="20"/>
          <w:color w:val="auto"/>
        </w:rPr>
      </w:pPr>
    </w:p>
    <w:p>
      <w:pPr>
        <w:jc w:val="both"/>
        <w:ind w:right="600" w:firstLine="518"/>
        <w:spacing w:after="0" w:line="340" w:lineRule="auto"/>
        <w:rPr>
          <w:sz w:val="20"/>
          <w:szCs w:val="20"/>
          <w:color w:val="auto"/>
        </w:rPr>
      </w:pPr>
      <w:r>
        <w:rPr>
          <w:rFonts w:ascii="Arial" w:cs="Arial" w:eastAsia="Arial" w:hAnsi="Arial"/>
          <w:sz w:val="15"/>
          <w:szCs w:val="15"/>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3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9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7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158"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67" w:lineRule="exact"/>
        <w:rPr>
          <w:sz w:val="20"/>
          <w:szCs w:val="20"/>
          <w:color w:val="auto"/>
        </w:rPr>
      </w:pPr>
    </w:p>
    <w:p>
      <w:pPr>
        <w:jc w:val="both"/>
        <w:ind w:right="340" w:firstLine="518"/>
        <w:spacing w:after="0" w:line="286" w:lineRule="auto"/>
        <w:rPr>
          <w:sz w:val="20"/>
          <w:szCs w:val="20"/>
          <w:color w:val="auto"/>
        </w:rPr>
      </w:pPr>
      <w:r>
        <w:rPr>
          <w:rFonts w:ascii="Arial" w:cs="Arial" w:eastAsia="Arial" w:hAnsi="Arial"/>
          <w:sz w:val="16"/>
          <w:szCs w:val="16"/>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94"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80" w:firstLine="518"/>
        <w:spacing w:after="0" w:line="255" w:lineRule="auto"/>
        <w:rPr>
          <w:sz w:val="20"/>
          <w:szCs w:val="20"/>
          <w:color w:val="auto"/>
        </w:rPr>
      </w:pPr>
      <w:r>
        <w:rPr>
          <w:rFonts w:ascii="Arial" w:cs="Arial" w:eastAsia="Arial" w:hAnsi="Arial"/>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others,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financial condition.</w:t>
      </w:r>
    </w:p>
    <w:p>
      <w:pPr>
        <w:spacing w:after="0" w:line="18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face an inherent risk of product liability claims as a result of the clinical testing of our product candidates despite obtaining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ind w:left="1040" w:hanging="519"/>
        <w:spacing w:after="0" w:line="224" w:lineRule="auto"/>
        <w:tabs>
          <w:tab w:leader="none" w:pos="104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decreased demand for our product candidates or products that we may develop;</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injury to our reputation and significant negative media attention;</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loss of existing clinical trial participants or difficulty in enrolling future clinical trial participants;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significant costs to defend resulting litigation or to reach a settlement;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substantial payments to trial participants or patients;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loss of revenue;</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reduced resources of our management to pursue our business strategy;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1"/>
        </w:numPr>
        <w:rPr>
          <w:rFonts w:ascii="Arial" w:cs="Arial" w:eastAsia="Arial" w:hAnsi="Arial"/>
          <w:sz w:val="24"/>
          <w:szCs w:val="24"/>
          <w:color w:val="auto"/>
          <w:vertAlign w:val="superscript"/>
        </w:rPr>
      </w:pPr>
      <w:r>
        <w:rPr>
          <w:rFonts w:ascii="Arial" w:cs="Arial" w:eastAsia="Arial" w:hAnsi="Arial"/>
          <w:sz w:val="15"/>
          <w:szCs w:val="15"/>
          <w:color w:val="auto"/>
        </w:rPr>
        <w:t>the inability to commercialize any products that we may develop.</w:t>
      </w:r>
    </w:p>
    <w:p>
      <w:pPr>
        <w:spacing w:after="0" w:line="20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2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rely on academic and scientific research institutions to conduct and sponsor some of our clinical trials relating to some of our product candidates. We do not control the design or administration of ISTs, and our reliance on third parties to conduct ISTs could, depending on the actions of such third parties, jeopardize the quality or timeliness of the clinical data generated and adversely affect our ability to obtain marketing approval from the FDA or other applicable regulatory authorities.</w:t>
      </w:r>
    </w:p>
    <w:p>
      <w:pPr>
        <w:spacing w:after="0" w:line="187"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Such arrangements provide us with certain information rights with respect to ISTs, including access to and the ability to use and reference the data resulting from the IST, including for our own regulatory filings. However, we do not control patient enrollment in, or the quality, timing and reporting of the data from, ISTs, nor do we own the data from the ISTs. Moreover, if we are unable to confirm or replicate the results from the ISTs or if negative results are obtained in the ISTs, we would likely be further delayed or prevented from advancing further clinical development of our drug candidates. Further, if investigators or institutions breach their obligations with respect to the clinical development of our drug candidates, or if the data proves to be unfavorable, incomplete or inconclusive, then our ability to design and conduct any future clinical trials ourselves may be adversely affected.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right="160" w:firstLine="518"/>
        <w:spacing w:after="0" w:line="276" w:lineRule="auto"/>
        <w:rPr>
          <w:sz w:val="20"/>
          <w:szCs w:val="20"/>
          <w:color w:val="auto"/>
        </w:rPr>
      </w:pPr>
      <w:r>
        <w:rPr>
          <w:rFonts w:ascii="Arial" w:cs="Arial" w:eastAsia="Arial" w:hAnsi="Arial"/>
          <w:sz w:val="17"/>
          <w:szCs w:val="17"/>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is typically no independent review of the results of ISTs. Therefore, the investigators may interpret the results of ISTs more favorably than an independent review would.</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8"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We currently rely on third party clinical research organizations, or CROs, site management organizations, clinical data management organizations, medical institutions and clinical investigators, to conduct our clinical trials. We also rely on these third parties to collect and monitor adverse event data for our clinical trials. We expect to continue to rely on these third parties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8"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are also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We also expect to rely on other third parties to manufacture,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b w:val="1"/>
          <w:bCs w:val="1"/>
          <w:i w:val="1"/>
          <w:iCs w:val="1"/>
          <w:color w:val="auto"/>
        </w:rPr>
        <w:t>We have entered into collaborations, and may seek to enter into additional collaborations, with third parties for the development and commercialization of our product candidates. If such collaborations are not successful, or we fail to enter into additional collaborations, we may not be able to capitalize on the market potential of our product candidates.</w:t>
      </w:r>
    </w:p>
    <w:p>
      <w:pPr>
        <w:spacing w:after="0" w:line="18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November 17, 2015 we announced a collaboration with AstraZeneca AB, or AstraZeneca, and the National Cancer Institute, or the NCI, part of the National Institutes of Health, to conduct a Phase 1/2 clinical trial of the combination of Lynparza and CRLX101 in patients with small cell lung cancer. We may seek additional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biotechnology companies and certain governmental agencies. We will have limited control over the amount and timing of resources that any of our current or potential future collaborations dedicate to the development or commercialization of our product candidates. Our ability to generate revenues from these arrangements will depend significantly on our collaborators’ abilities to successfully perform the functions assigned to them in these arrangements.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color w:val="auto"/>
        </w:rPr>
        <w:t>Collaborations involving our product candidates pose the following risks to us:</w:t>
      </w:r>
    </w:p>
    <w:p>
      <w:pPr>
        <w:spacing w:after="0" w:line="14"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9" w:lineRule="exact"/>
        <w:rPr>
          <w:rFonts w:ascii="Arial" w:cs="Arial" w:eastAsia="Arial" w:hAnsi="Arial"/>
          <w:sz w:val="29"/>
          <w:szCs w:val="29"/>
          <w:color w:val="auto"/>
          <w:vertAlign w:val="superscript"/>
        </w:rPr>
      </w:pPr>
    </w:p>
    <w:p>
      <w:pPr>
        <w:ind w:left="1040" w:right="20" w:hanging="519"/>
        <w:spacing w:after="0" w:line="207" w:lineRule="auto"/>
        <w:tabs>
          <w:tab w:leader="none" w:pos="10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5" w:lineRule="exact"/>
        <w:rPr>
          <w:rFonts w:ascii="Arial" w:cs="Arial" w:eastAsia="Arial" w:hAnsi="Arial"/>
          <w:sz w:val="29"/>
          <w:szCs w:val="29"/>
          <w:color w:val="auto"/>
          <w:vertAlign w:val="superscript"/>
        </w:rPr>
      </w:pPr>
    </w:p>
    <w:p>
      <w:pPr>
        <w:ind w:left="1040" w:right="200" w:hanging="519"/>
        <w:spacing w:after="0" w:line="212" w:lineRule="auto"/>
        <w:tabs>
          <w:tab w:leader="none" w:pos="10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dosing schedule, dose level or formulation of a product candidate for clinical testing;</w:t>
      </w:r>
    </w:p>
    <w:p>
      <w:pPr>
        <w:spacing w:after="0" w:line="96" w:lineRule="exact"/>
        <w:rPr>
          <w:rFonts w:ascii="Arial" w:cs="Arial" w:eastAsia="Arial" w:hAnsi="Arial"/>
          <w:sz w:val="29"/>
          <w:szCs w:val="29"/>
          <w:color w:val="auto"/>
          <w:vertAlign w:val="superscript"/>
        </w:rPr>
      </w:pPr>
    </w:p>
    <w:p>
      <w:pPr>
        <w:ind w:left="1040" w:right="20" w:hanging="519"/>
        <w:spacing w:after="0" w:line="212" w:lineRule="auto"/>
        <w:tabs>
          <w:tab w:leader="none" w:pos="10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96" w:lineRule="exact"/>
        <w:rPr>
          <w:rFonts w:ascii="Arial" w:cs="Arial" w:eastAsia="Arial" w:hAnsi="Arial"/>
          <w:sz w:val="29"/>
          <w:szCs w:val="29"/>
          <w:color w:val="auto"/>
          <w:vertAlign w:val="superscript"/>
        </w:rPr>
      </w:pPr>
    </w:p>
    <w:p>
      <w:pPr>
        <w:ind w:left="1040" w:right="680" w:hanging="519"/>
        <w:spacing w:after="0" w:line="198" w:lineRule="auto"/>
        <w:tabs>
          <w:tab w:leader="none" w:pos="10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94" w:lineRule="exact"/>
        <w:rPr>
          <w:rFonts w:ascii="Arial" w:cs="Arial" w:eastAsia="Arial" w:hAnsi="Arial"/>
          <w:sz w:val="29"/>
          <w:szCs w:val="29"/>
          <w:color w:val="auto"/>
          <w:vertAlign w:val="superscript"/>
        </w:rPr>
      </w:pPr>
    </w:p>
    <w:p>
      <w:pPr>
        <w:ind w:left="1040" w:right="220" w:hanging="519"/>
        <w:spacing w:after="0" w:line="221" w:lineRule="auto"/>
        <w:tabs>
          <w:tab w:leader="none" w:pos="104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95" w:lineRule="exact"/>
        <w:rPr>
          <w:rFonts w:ascii="Arial" w:cs="Arial" w:eastAsia="Arial" w:hAnsi="Arial"/>
          <w:sz w:val="26"/>
          <w:szCs w:val="26"/>
          <w:color w:val="auto"/>
          <w:vertAlign w:val="superscript"/>
        </w:rPr>
      </w:pPr>
    </w:p>
    <w:p>
      <w:pPr>
        <w:ind w:left="1040" w:right="180" w:hanging="519"/>
        <w:spacing w:after="0" w:line="198" w:lineRule="auto"/>
        <w:tabs>
          <w:tab w:leader="none" w:pos="10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collaborators may infringe our intellectual property rights or the intellectual property rights of third parties, which may expose us to litigation and potential liability;</w:t>
      </w:r>
    </w:p>
    <w:p>
      <w:pPr>
        <w:spacing w:after="0" w:line="94" w:lineRule="exact"/>
        <w:rPr>
          <w:rFonts w:ascii="Arial" w:cs="Arial" w:eastAsia="Arial" w:hAnsi="Arial"/>
          <w:sz w:val="29"/>
          <w:szCs w:val="29"/>
          <w:color w:val="auto"/>
          <w:vertAlign w:val="superscript"/>
        </w:rPr>
      </w:pPr>
    </w:p>
    <w:p>
      <w:pPr>
        <w:ind w:left="1040" w:right="20" w:hanging="519"/>
        <w:spacing w:after="0" w:line="221" w:lineRule="auto"/>
        <w:tabs>
          <w:tab w:leader="none" w:pos="1040" w:val="left"/>
        </w:tabs>
        <w:numPr>
          <w:ilvl w:val="0"/>
          <w:numId w:val="32"/>
        </w:numPr>
        <w:rPr>
          <w:rFonts w:ascii="Arial" w:cs="Arial" w:eastAsia="Arial" w:hAnsi="Arial"/>
          <w:sz w:val="26"/>
          <w:szCs w:val="26"/>
          <w:color w:val="auto"/>
          <w:vertAlign w:val="superscript"/>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95" w:lineRule="exact"/>
        <w:rPr>
          <w:rFonts w:ascii="Arial" w:cs="Arial" w:eastAsia="Arial" w:hAnsi="Arial"/>
          <w:sz w:val="26"/>
          <w:szCs w:val="26"/>
          <w:color w:val="auto"/>
          <w:vertAlign w:val="superscript"/>
        </w:rPr>
      </w:pPr>
    </w:p>
    <w:p>
      <w:pPr>
        <w:ind w:left="1040" w:right="1140" w:hanging="519"/>
        <w:spacing w:after="0" w:line="198" w:lineRule="auto"/>
        <w:tabs>
          <w:tab w:leader="none" w:pos="10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202" w:lineRule="exact"/>
        <w:rPr>
          <w:sz w:val="20"/>
          <w:szCs w:val="20"/>
          <w:color w:val="auto"/>
        </w:rPr>
      </w:pPr>
    </w:p>
    <w:p>
      <w:pPr>
        <w:jc w:val="both"/>
        <w:ind w:right="680" w:firstLine="518"/>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collaborator of ours were to be involved in a business combination or divestiture, the continued pursuit and emphasis on our product development or commercialization program could be delayed, diminished or terminated.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not able to establish additional collaborations, we may have to alter our development and commercialization plans.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While we have entered into a collaboration with AstraZeneca and the NCI to conduct a Phase 1/2 clinical trial of the combination of Lynparza and CRLX101 in patients with small cell lung cancer, we plan to seek further collaborations with pharmaceutical and biotechnology companies or institutions for the development and potential commercialization of CRLX101 or other product candidates.</w:t>
      </w:r>
    </w:p>
    <w:p>
      <w:pPr>
        <w:spacing w:after="0" w:line="18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with a potential collaborator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3"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right="120"/>
        <w:spacing w:after="0" w:line="264" w:lineRule="auto"/>
        <w:rPr>
          <w:sz w:val="20"/>
          <w:szCs w:val="20"/>
          <w:color w:val="auto"/>
        </w:rPr>
      </w:pPr>
      <w:r>
        <w:rPr>
          <w:rFonts w:ascii="Arial" w:cs="Arial" w:eastAsia="Arial" w:hAnsi="Arial"/>
          <w:sz w:val="18"/>
          <w:szCs w:val="18"/>
          <w:color w:val="auto"/>
        </w:rPr>
        <w:t>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1"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66"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7"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Failures in either drug substance manufacture or drug product manufacture, whether on the part of our existing or future manufacturers or as a result of our failure to make timely and effective improvements in our manufacturing processes, could materially delay clinical development or marketing approval of our product candidates or result in our inability to generate sufficient supplies to meet clinical or commercial demands. For example, in 2015 we experienced a CRLX101 drug substance manufacturing failure due to an out-of-specification event, and the process of obtaining a new batch required several months to complete.</w:t>
      </w:r>
    </w:p>
    <w:p>
      <w:pPr>
        <w:spacing w:after="0" w:line="17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currently rely on one supplier for each stage of this process and have only limited backup supplier options.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6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Even if we are able to establish such arrangements with third party manufacturers, reliance on third party manufacturers entails additional risks, including:</w:t>
      </w:r>
    </w:p>
    <w:p>
      <w:pPr>
        <w:ind w:left="1040" w:hanging="519"/>
        <w:spacing w:after="0" w:line="210" w:lineRule="auto"/>
        <w:tabs>
          <w:tab w:leader="none" w:pos="10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reliance on the third party for regulatory compliance and quality assurance;</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3"/>
        </w:numPr>
        <w:rPr>
          <w:rFonts w:ascii="Arial" w:cs="Arial" w:eastAsia="Arial" w:hAnsi="Arial"/>
          <w:sz w:val="24"/>
          <w:szCs w:val="24"/>
          <w:color w:val="auto"/>
          <w:vertAlign w:val="superscript"/>
        </w:rPr>
      </w:pPr>
      <w:r>
        <w:rPr>
          <w:rFonts w:ascii="Arial" w:cs="Arial" w:eastAsia="Arial" w:hAnsi="Arial"/>
          <w:sz w:val="15"/>
          <w:szCs w:val="15"/>
          <w:color w:val="auto"/>
        </w:rPr>
        <w:t>the ability of manufacturers to consistently produce intermediates, drug substance or drug product that meet required quality specifications;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3"/>
        </w:numPr>
        <w:rPr>
          <w:rFonts w:ascii="Arial" w:cs="Arial" w:eastAsia="Arial" w:hAnsi="Arial"/>
          <w:sz w:val="24"/>
          <w:szCs w:val="24"/>
          <w:color w:val="auto"/>
          <w:vertAlign w:val="superscript"/>
        </w:rPr>
      </w:pPr>
      <w:r>
        <w:rPr>
          <w:rFonts w:ascii="Arial" w:cs="Arial" w:eastAsia="Arial" w:hAnsi="Arial"/>
          <w:sz w:val="15"/>
          <w:szCs w:val="15"/>
          <w:color w:val="auto"/>
        </w:rPr>
        <w:t>the possible breach of the manufacturing agreement by the third party;</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3"/>
        </w:numPr>
        <w:rPr>
          <w:rFonts w:ascii="Arial" w:cs="Arial" w:eastAsia="Arial" w:hAnsi="Arial"/>
          <w:sz w:val="24"/>
          <w:szCs w:val="24"/>
          <w:color w:val="auto"/>
          <w:vertAlign w:val="superscript"/>
        </w:rPr>
      </w:pPr>
      <w:r>
        <w:rPr>
          <w:rFonts w:ascii="Arial" w:cs="Arial" w:eastAsia="Arial" w:hAnsi="Arial"/>
          <w:sz w:val="15"/>
          <w:szCs w:val="15"/>
          <w:color w:val="auto"/>
        </w:rPr>
        <w:t>the possible misappropriation of our proprietary information, including our trade secrets and know-how;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3"/>
        </w:numPr>
        <w:rPr>
          <w:rFonts w:ascii="Arial" w:cs="Arial" w:eastAsia="Arial" w:hAnsi="Arial"/>
          <w:sz w:val="24"/>
          <w:szCs w:val="24"/>
          <w:color w:val="auto"/>
          <w:vertAlign w:val="superscript"/>
        </w:rPr>
      </w:pPr>
      <w:r>
        <w:rPr>
          <w:rFonts w:ascii="Arial" w:cs="Arial" w:eastAsia="Arial" w:hAnsi="Arial"/>
          <w:sz w:val="15"/>
          <w:szCs w:val="15"/>
          <w:color w:val="auto"/>
        </w:rPr>
        <w:t>the possible termination or nonrenewal of the agreement by the third party at a time that is costly or inconvenient for us.</w:t>
      </w:r>
    </w:p>
    <w:p>
      <w:pPr>
        <w:spacing w:after="0" w:line="20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our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9"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CRLX101, CRLX301 and any future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100" w:firstLine="518"/>
        <w:spacing w:after="0" w:line="289" w:lineRule="auto"/>
        <w:rPr>
          <w:sz w:val="20"/>
          <w:szCs w:val="20"/>
          <w:color w:val="auto"/>
        </w:rPr>
      </w:pPr>
      <w:r>
        <w:rPr>
          <w:rFonts w:ascii="Arial" w:cs="Arial" w:eastAsia="Arial" w:hAnsi="Arial"/>
          <w:sz w:val="16"/>
          <w:szCs w:val="16"/>
          <w:color w:val="auto"/>
        </w:rPr>
        <w:t>In addition, we typically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Any significant delay in the supply of a 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67"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81"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73"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firstLine="518"/>
        <w:spacing w:after="0" w:line="293" w:lineRule="auto"/>
        <w:rPr>
          <w:sz w:val="20"/>
          <w:szCs w:val="20"/>
          <w:color w:val="auto"/>
        </w:rPr>
      </w:pPr>
      <w:r>
        <w:rPr>
          <w:rFonts w:ascii="Arial" w:cs="Arial" w:eastAsia="Arial" w:hAnsi="Arial"/>
          <w:sz w:val="16"/>
          <w:szCs w:val="16"/>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5"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66"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65" w:lineRule="exact"/>
        <w:rPr>
          <w:sz w:val="20"/>
          <w:szCs w:val="20"/>
          <w:color w:val="auto"/>
        </w:rPr>
      </w:pPr>
    </w:p>
    <w:p>
      <w:pPr>
        <w:ind w:right="160" w:firstLine="518"/>
        <w:spacing w:after="0" w:line="340" w:lineRule="auto"/>
        <w:rPr>
          <w:sz w:val="20"/>
          <w:szCs w:val="20"/>
          <w:color w:val="auto"/>
        </w:rPr>
      </w:pPr>
      <w:r>
        <w:rPr>
          <w:rFonts w:ascii="Arial" w:cs="Arial" w:eastAsia="Arial" w:hAnsi="Arial"/>
          <w:sz w:val="15"/>
          <w:szCs w:val="15"/>
          <w:b w:val="1"/>
          <w:bCs w:val="1"/>
          <w:i w:val="1"/>
          <w:iCs w:val="1"/>
          <w:color w:val="auto"/>
        </w:rPr>
        <w:t>CRLX101, CRLX301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3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are a party to several license agreements and certain aspects of our business depend on patents and/or patent applications owned by others. In particular, we hold exclusive licenses from Calando Pharmaceuticals, Inc., or Calando, and California Institute of Technology, or Caltech, and have been assigned certain patents from Calando for CRLX101, CRLX301 and CDP-based product candidates. We also hold an exclusive license from the State University of New York, or SUNY, related to taxane-containing NDCs, such as CRLX301.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93"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In March 2015, the bankruptcy court granted Calando’s bankruptcy trustee’s application to retain a broker to help sell Calando’s rights in certain assets including its rights in the license agreements with Cerulean. We reserved our rights with respect to any such sale. The bankruptcy trustee has obtained numerous extensions to the deadline to reject, assume or assume and assign executory contracts including our license agreements. The trustee’s next deadline is August 11, 2016.</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100" w:firstLine="518"/>
        <w:spacing w:after="0" w:line="269" w:lineRule="auto"/>
        <w:rPr>
          <w:sz w:val="20"/>
          <w:szCs w:val="20"/>
          <w:color w:val="auto"/>
        </w:rPr>
      </w:pPr>
      <w:r>
        <w:rPr>
          <w:rFonts w:ascii="Arial" w:cs="Arial" w:eastAsia="Arial" w:hAnsi="Arial"/>
          <w:sz w:val="17"/>
          <w:szCs w:val="17"/>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may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ind w:right="120" w:firstLine="518"/>
        <w:spacing w:after="0" w:line="284" w:lineRule="auto"/>
        <w:rPr>
          <w:sz w:val="20"/>
          <w:szCs w:val="20"/>
          <w:color w:val="auto"/>
        </w:rPr>
      </w:pPr>
      <w:r>
        <w:rPr>
          <w:rFonts w:ascii="Arial" w:cs="Arial" w:eastAsia="Arial" w:hAnsi="Arial"/>
          <w:sz w:val="16"/>
          <w:szCs w:val="16"/>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SUNY agreement and which are relevant to taxane containing NDCs such as CRLX301 may have been generated using United States government funds. As a result, the United States government may have certain rights to intellectual property embodied in CRLX301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3" w:lineRule="exact"/>
        <w:rPr>
          <w:sz w:val="20"/>
          <w:szCs w:val="20"/>
          <w:color w:val="auto"/>
        </w:rPr>
      </w:pPr>
    </w:p>
    <w:p>
      <w:pPr>
        <w:ind w:firstLine="8"/>
        <w:spacing w:after="0" w:line="286" w:lineRule="auto"/>
        <w:tabs>
          <w:tab w:leader="none" w:pos="2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70"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820" w:firstLine="518"/>
        <w:spacing w:after="0" w:line="286"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right="520"/>
        <w:spacing w:after="0" w:line="342" w:lineRule="auto"/>
        <w:rPr>
          <w:sz w:val="20"/>
          <w:szCs w:val="20"/>
          <w:color w:val="auto"/>
        </w:rPr>
      </w:pPr>
      <w:r>
        <w:rPr>
          <w:rFonts w:ascii="Arial" w:cs="Arial" w:eastAsia="Arial" w:hAnsi="Arial"/>
          <w:sz w:val="16"/>
          <w:szCs w:val="16"/>
          <w:color w:val="auto"/>
        </w:rPr>
        <w:t>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2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7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24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In addition, we face the risk of cybercrime. For instance, someone could hack our information networks and gain illicit access to our proprietary information including our trade secrets.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7" w:name="page48"/>
    <w:bookmarkEnd w:id="47"/>
    <w:p>
      <w:pPr>
        <w:ind w:right="120"/>
        <w:spacing w:after="0" w:line="277" w:lineRule="auto"/>
        <w:rPr>
          <w:sz w:val="20"/>
          <w:szCs w:val="20"/>
          <w:color w:val="auto"/>
        </w:rPr>
      </w:pPr>
      <w:r>
        <w:rPr>
          <w:rFonts w:ascii="Arial" w:cs="Arial" w:eastAsia="Arial" w:hAnsi="Arial"/>
          <w:sz w:val="18"/>
          <w:szCs w:val="18"/>
          <w:color w:val="auto"/>
        </w:rPr>
        <w:t>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7"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Even if we successfully complete the necessary clinical trials for a marketing registration in the U.S., the FDA may convene an advisory committee meeting that could influence their approval decision.</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Upon submission of an application for marketing approval in the United States, the FDA may convene an advisory committee (public or closed) to provide the FDA with independent advice from outside experts with specific questions regarding a pending review matter. The opinions or advice expressed by the advisory committee, or any voting decision, are not binding and the FDA retains the ultimate approval power over an application. Regardless of the committee meeting outcome or the FDA’s final approval decision, public presentation of our data may shed positive or negative light on our application. A negative advisory committee meeting could signal a lower likelihood of approval, although the FDA may still end up approving our application. Conversely, an oncologic drugs advisory committee, or ODAC, could vote in favor of approval and the FDA may still not approve our application. For an expedited review such as priority review, where the FDA’s oncology office has moved focus to how quickly a drug might be approved and has commonly completed their review and approved products well before the PDUFA goal date, preparations for an ODAC could slow down approval. For us as the applicant, preparation time for an ODAC could take six months or more of dedicated effort by the program team, management, and consultants, in addition to supporting the FDA’s review queries or any other activities in the same timeframe, reducing resource efficiency. It should not be assumed that an application brought in front of the ODAC means that a negative decision is pending. The FDA determines whether or not to have an ODAC meeting depending on the quality of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8"/>
          <w:szCs w:val="18"/>
          <w:color w:val="auto"/>
        </w:rPr>
        <w:t>application, the results of the clinical trials, and whether similar issues, such as endpoints or trial designs, have been previously discussed at these meetings. The FDA has generally taken more problematic or complicated applications to an ODAC, which allows for presentation of their findings and a public discussion of issues at hand. On occasion, the FDA will convene an ODAC to have the public clearly understand their viewpoint on the particular application and its supporting evidence, or if there is a first in class or first in indication compound under review. Development of an NDC such as CRLX101 or CRLX301 may qualify for such a review, although if intended to address an unmet medical need and the data are supportive, the chances of an ODAC are lower.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Failure to obtain marketing approval in foreign jurisdictions would prevent our product candidates from being marketed abroad.</w:t>
      </w:r>
    </w:p>
    <w:p>
      <w:pPr>
        <w:spacing w:after="0" w:line="23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66"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On June 23, 2016, a referendum held in the United Kingdom resulted in a majority of U.K. voters electing to leave the European Union. While the impact of this non-binding referendum is still not clear, at this point the vote creates additional uncertainty with respect to obtaining marketing approval for the sale of any product in the U.K.</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70"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must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and other regulatory authorities to monitor and ensure compliance with cGMPs.</w:t>
      </w:r>
    </w:p>
    <w:p>
      <w:pPr>
        <w:spacing w:after="0" w:line="154"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24" w:lineRule="exact"/>
        <w:rPr>
          <w:sz w:val="20"/>
          <w:szCs w:val="20"/>
          <w:color w:val="auto"/>
        </w:rPr>
      </w:pPr>
    </w:p>
    <w:p>
      <w:pPr>
        <w:ind w:right="500" w:firstLine="518"/>
        <w:spacing w:after="0" w:line="312"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4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ind w:right="20"/>
        <w:spacing w:after="0" w:line="276" w:lineRule="auto"/>
        <w:rPr>
          <w:sz w:val="20"/>
          <w:szCs w:val="20"/>
          <w:color w:val="auto"/>
        </w:rPr>
      </w:pPr>
      <w:r>
        <w:rPr>
          <w:rFonts w:ascii="Arial" w:cs="Arial" w:eastAsia="Arial" w:hAnsi="Arial"/>
          <w:sz w:val="17"/>
          <w:szCs w:val="17"/>
          <w:color w:val="auto"/>
        </w:rPr>
        <w:t>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73"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Regulatory authorities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6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ind w:left="1040" w:hanging="519"/>
        <w:spacing w:after="0" w:line="210" w:lineRule="auto"/>
        <w:tabs>
          <w:tab w:leader="none" w:pos="1040"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litigation involving patients taking our products;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restrictions on such products, manufacturers or manufacturing processes;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restrictions on the labeling or marketing of a product;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restrictions on product distribution or use;</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requirements to conduct post-marketing studies or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warning or untitled letters;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withdrawal of the products from the market;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suspension of any ongoing clinical trials;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refusal to approve pending applications or supplements to approved applications that we submit;</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recall of products;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fines, restitution or disgorgement of profits or revenues;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suspension or withdrawal of marketing approvals;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damage to relationships with any potential collaborators;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unfavorable press coverage and damage to our reputation;</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refusal to permit the import or export of our products;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product seizure; or</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injunctions or the imposition of civil or criminal penalties.</w:t>
      </w:r>
    </w:p>
    <w:p>
      <w:pPr>
        <w:spacing w:after="0" w:line="202"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66"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 party payors will be subject to applicable anti-kickback, fraud and abuse and other healthcare laws and regulations, which, in the event of a violation, could expose us to criminal sanctions, civil penalties, contractual damages, reputational harm and diminished profits and future earnings.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Healthcare providers, physicians and third party payors will play a primary role in the recommendation and prescription of any product candidates for which we obtain marketing approval. Our future arrangements with healthcare providers, physicians, and third party payors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ind w:left="1040" w:right="620" w:hanging="519"/>
        <w:spacing w:after="0" w:line="198" w:lineRule="auto"/>
        <w:tabs>
          <w:tab w:leader="none" w:pos="104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left="1040" w:right="220"/>
        <w:spacing w:after="0" w:line="277" w:lineRule="auto"/>
        <w:rPr>
          <w:sz w:val="20"/>
          <w:szCs w:val="20"/>
          <w:color w:val="auto"/>
        </w:rPr>
      </w:pPr>
      <w:r>
        <w:rPr>
          <w:rFonts w:ascii="Arial" w:cs="Arial" w:eastAsia="Arial" w:hAnsi="Arial"/>
          <w:sz w:val="18"/>
          <w:szCs w:val="18"/>
          <w:color w:val="auto"/>
        </w:rPr>
        <w:t>for, either the referral of an individual for, or the purchase, order or recommendation or arranging of, any good or service, for which payment may be made under a federal healthcare program such as Medicare and Medicaid;</w:t>
      </w:r>
    </w:p>
    <w:p>
      <w:pPr>
        <w:spacing w:after="0" w:line="62" w:lineRule="exact"/>
        <w:rPr>
          <w:sz w:val="20"/>
          <w:szCs w:val="20"/>
          <w:color w:val="auto"/>
        </w:rPr>
      </w:pPr>
    </w:p>
    <w:p>
      <w:pPr>
        <w:ind w:left="1040" w:right="120" w:hanging="519"/>
        <w:spacing w:after="0" w:line="226"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94" w:lineRule="exact"/>
        <w:rPr>
          <w:rFonts w:ascii="Arial" w:cs="Arial" w:eastAsia="Arial" w:hAnsi="Arial"/>
          <w:sz w:val="29"/>
          <w:szCs w:val="29"/>
          <w:color w:val="auto"/>
          <w:vertAlign w:val="superscript"/>
        </w:rPr>
      </w:pPr>
    </w:p>
    <w:p>
      <w:pPr>
        <w:ind w:left="1040" w:right="100" w:hanging="519"/>
        <w:spacing w:after="0" w:line="198"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94" w:lineRule="exact"/>
        <w:rPr>
          <w:rFonts w:ascii="Arial" w:cs="Arial" w:eastAsia="Arial" w:hAnsi="Arial"/>
          <w:sz w:val="29"/>
          <w:szCs w:val="29"/>
          <w:color w:val="auto"/>
          <w:vertAlign w:val="superscript"/>
        </w:rPr>
      </w:pPr>
    </w:p>
    <w:p>
      <w:pPr>
        <w:ind w:left="1040" w:right="80" w:hanging="519"/>
        <w:spacing w:after="0" w:line="212"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96" w:lineRule="exact"/>
        <w:rPr>
          <w:rFonts w:ascii="Arial" w:cs="Arial" w:eastAsia="Arial" w:hAnsi="Arial"/>
          <w:sz w:val="29"/>
          <w:szCs w:val="29"/>
          <w:color w:val="auto"/>
          <w:vertAlign w:val="superscript"/>
        </w:rPr>
      </w:pPr>
    </w:p>
    <w:p>
      <w:pPr>
        <w:ind w:left="1040" w:hanging="519"/>
        <w:spacing w:after="0" w:line="198"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the federal Physician Payments Sunshine Act requires applicable manufacturers of covered drug products to report payments and other transfers of value to physicians and teaching hospitals with data collection beginning in August 2013; and</w:t>
      </w:r>
    </w:p>
    <w:p>
      <w:pPr>
        <w:spacing w:after="0" w:line="94" w:lineRule="exact"/>
        <w:rPr>
          <w:rFonts w:ascii="Arial" w:cs="Arial" w:eastAsia="Arial" w:hAnsi="Arial"/>
          <w:sz w:val="29"/>
          <w:szCs w:val="29"/>
          <w:color w:val="auto"/>
          <w:vertAlign w:val="superscript"/>
        </w:rPr>
      </w:pPr>
    </w:p>
    <w:p>
      <w:pPr>
        <w:ind w:left="1040" w:right="60" w:hanging="519"/>
        <w:spacing w:after="0" w:line="212" w:lineRule="auto"/>
        <w:tabs>
          <w:tab w:leader="none" w:pos="104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payors, including private insurers.</w:t>
      </w:r>
    </w:p>
    <w:p>
      <w:pPr>
        <w:spacing w:after="0" w:line="20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product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8"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firstLine="518"/>
        <w:spacing w:after="0" w:line="257" w:lineRule="auto"/>
        <w:rPr>
          <w:sz w:val="20"/>
          <w:szCs w:val="20"/>
          <w:color w:val="auto"/>
        </w:rPr>
      </w:pPr>
      <w:r>
        <w:rPr>
          <w:rFonts w:ascii="Arial" w:cs="Arial" w:eastAsia="Arial" w:hAnsi="Arial"/>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Affordability Reconciliation Act, or collectively the PPACA. Among the provisions of the PPACA of potential importance to our business and our product candidates are the following.</w:t>
      </w:r>
    </w:p>
    <w:p>
      <w:pPr>
        <w:ind w:left="1040" w:hanging="519"/>
        <w:spacing w:after="0" w:line="226" w:lineRule="auto"/>
        <w:tabs>
          <w:tab w:leader="none" w:pos="1040"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110" w:lineRule="exact"/>
        <w:rPr>
          <w:rFonts w:ascii="Arial" w:cs="Arial" w:eastAsia="Arial" w:hAnsi="Arial"/>
          <w:sz w:val="28"/>
          <w:szCs w:val="28"/>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an increase in the statutory minimum rebates a manufacturer must pay under the Medicaid Drug Rebate Program;</w:t>
      </w:r>
    </w:p>
    <w:p>
      <w:pPr>
        <w:spacing w:after="0" w:line="110" w:lineRule="exact"/>
        <w:rPr>
          <w:rFonts w:ascii="Arial" w:cs="Arial" w:eastAsia="Arial" w:hAnsi="Arial"/>
          <w:sz w:val="24"/>
          <w:szCs w:val="24"/>
          <w:color w:val="auto"/>
          <w:vertAlign w:val="superscript"/>
        </w:rPr>
      </w:pPr>
    </w:p>
    <w:p>
      <w:pPr>
        <w:ind w:left="1040" w:right="280" w:hanging="519"/>
        <w:spacing w:after="0" w:line="191"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94" w:lineRule="exact"/>
        <w:rPr>
          <w:rFonts w:ascii="Arial" w:cs="Arial" w:eastAsia="Arial" w:hAnsi="Arial"/>
          <w:sz w:val="29"/>
          <w:szCs w:val="29"/>
          <w:color w:val="auto"/>
          <w:vertAlign w:val="superscript"/>
        </w:rPr>
      </w:pPr>
    </w:p>
    <w:p>
      <w:pPr>
        <w:ind w:left="1040" w:right="280" w:hanging="519"/>
        <w:spacing w:after="0" w:line="198"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94" w:lineRule="exact"/>
        <w:rPr>
          <w:rFonts w:ascii="Arial" w:cs="Arial" w:eastAsia="Arial" w:hAnsi="Arial"/>
          <w:sz w:val="29"/>
          <w:szCs w:val="29"/>
          <w:color w:val="auto"/>
          <w:vertAlign w:val="superscript"/>
        </w:rPr>
      </w:pPr>
    </w:p>
    <w:p>
      <w:pPr>
        <w:ind w:left="1040" w:right="40" w:hanging="519"/>
        <w:spacing w:after="0" w:line="212"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spacing w:after="0" w:line="2" w:lineRule="exact"/>
        <w:rPr>
          <w:rFonts w:ascii="Arial" w:cs="Arial" w:eastAsia="Arial" w:hAnsi="Arial"/>
          <w:sz w:val="29"/>
          <w:szCs w:val="29"/>
          <w:color w:val="auto"/>
          <w:vertAlign w:val="superscript"/>
        </w:rPr>
      </w:pPr>
    </w:p>
    <w:p>
      <w:pPr>
        <w:ind w:left="1040" w:hanging="519"/>
        <w:spacing w:after="0" w:line="233"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extension of manufacturers’ Medicaid rebate liability to individuals enrolled in Medicaid managed care organizations;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expansion of eligibility criteria for Medicaid programs;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expansion of the entities eligible for discounts under the Public Health Service pharmaceutical pricing program;</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new requirements to report certain financial arrangements with physicians and teaching hospitals;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8"/>
        </w:numPr>
        <w:rPr>
          <w:rFonts w:ascii="Arial" w:cs="Arial" w:eastAsia="Arial" w:hAnsi="Arial"/>
          <w:sz w:val="24"/>
          <w:szCs w:val="24"/>
          <w:color w:val="auto"/>
          <w:vertAlign w:val="superscript"/>
        </w:rPr>
      </w:pPr>
      <w:r>
        <w:rPr>
          <w:rFonts w:ascii="Arial" w:cs="Arial" w:eastAsia="Arial" w:hAnsi="Arial"/>
          <w:sz w:val="15"/>
          <w:szCs w:val="15"/>
          <w:color w:val="auto"/>
        </w:rPr>
        <w:t>a new requirement to annually report product samples that manufacturers and distributors provide to physicians;</w:t>
      </w:r>
    </w:p>
    <w:p>
      <w:pPr>
        <w:spacing w:after="0" w:line="110" w:lineRule="exact"/>
        <w:rPr>
          <w:rFonts w:ascii="Arial" w:cs="Arial" w:eastAsia="Arial" w:hAnsi="Arial"/>
          <w:sz w:val="24"/>
          <w:szCs w:val="24"/>
          <w:color w:val="auto"/>
          <w:vertAlign w:val="superscript"/>
        </w:rPr>
      </w:pPr>
    </w:p>
    <w:p>
      <w:pPr>
        <w:ind w:left="1040" w:right="60" w:hanging="519"/>
        <w:spacing w:after="0" w:line="191"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94" w:lineRule="exact"/>
        <w:rPr>
          <w:rFonts w:ascii="Arial" w:cs="Arial" w:eastAsia="Arial" w:hAnsi="Arial"/>
          <w:sz w:val="29"/>
          <w:szCs w:val="29"/>
          <w:color w:val="auto"/>
          <w:vertAlign w:val="superscript"/>
        </w:rPr>
      </w:pPr>
    </w:p>
    <w:p>
      <w:pPr>
        <w:ind w:left="1040" w:right="780" w:hanging="519"/>
        <w:spacing w:after="0" w:line="198"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products; and</w:t>
      </w:r>
    </w:p>
    <w:p>
      <w:pPr>
        <w:ind w:left="1040" w:hanging="519"/>
        <w:spacing w:after="0" w:line="233" w:lineRule="auto"/>
        <w:tabs>
          <w:tab w:leader="none" w:pos="10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established the Center for Medicare and Medicaid Innovation within CMS to test innovative payment and service delivery models.</w:t>
      </w:r>
    </w:p>
    <w:p>
      <w:pPr>
        <w:spacing w:after="0" w:line="20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8"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1" w:lineRule="exact"/>
        <w:rPr>
          <w:sz w:val="20"/>
          <w:szCs w:val="20"/>
          <w:color w:val="auto"/>
        </w:rPr>
      </w:pPr>
    </w:p>
    <w:p>
      <w:pPr>
        <w:ind w:right="800" w:firstLine="518"/>
        <w:spacing w:after="0" w:line="286"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2" w:name="page53"/>
    <w:bookmarkEnd w:id="52"/>
    <w:p>
      <w:pPr>
        <w:ind w:right="300"/>
        <w:spacing w:after="0" w:line="308" w:lineRule="auto"/>
        <w:rPr>
          <w:sz w:val="20"/>
          <w:szCs w:val="20"/>
          <w:color w:val="auto"/>
        </w:rPr>
      </w:pPr>
      <w:r>
        <w:rPr>
          <w:rFonts w:ascii="Arial" w:cs="Arial" w:eastAsia="Arial" w:hAnsi="Arial"/>
          <w:sz w:val="17"/>
          <w:szCs w:val="17"/>
          <w:color w:val="auto"/>
        </w:rPr>
        <w:t>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from the sales of our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w:t>
      </w:r>
    </w:p>
    <w:p>
      <w:pPr>
        <w:spacing w:after="0" w:line="21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exposed to the risk of fraud or other misconduct by our employees or consultants,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Misconduct by employees or consultants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are highly dependent on our executive team, most of whom have been employed by the company for two years or less. The loss of any member of the executive team could impede the achievement of our goals. Any of our employees may terminate their employment with us at any time. We do not maintain “key person” insurance for any of our executives or other employees.</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Recruiting and retaining qualified scientific, clinical, manufacturing finance and sales and marketing personnel will also be critical to our success. The loss of the services of key employees could impede the achievement of our research, development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spacing w:after="0" w:line="290" w:lineRule="auto"/>
        <w:rPr>
          <w:sz w:val="20"/>
          <w:szCs w:val="20"/>
          <w:color w:val="auto"/>
        </w:rPr>
      </w:pPr>
      <w:r>
        <w:rPr>
          <w:rFonts w:ascii="Arial" w:cs="Arial" w:eastAsia="Arial" w:hAnsi="Arial"/>
          <w:sz w:val="16"/>
          <w:szCs w:val="16"/>
          <w:color w:val="auto"/>
        </w:rPr>
        <w:t>commercialization objectives and seriously harm our ability to successfully implement our business strategy. Furthermore, replacing executive officers and key employees, including finance and clinical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6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b w:val="1"/>
          <w:bCs w:val="1"/>
          <w:i w:val="1"/>
          <w:iCs w:val="1"/>
          <w:color w:val="auto"/>
        </w:rPr>
        <w:t>Should we expand our development and regulatory capabilities and potentially implement sales, marketing and distribution capabilities, then as a result, we may encounter difficulties in managing our growth, which could disrupt our operations.</w:t>
      </w:r>
    </w:p>
    <w:p>
      <w:pPr>
        <w:spacing w:after="0" w:line="170"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Should we experience significant growth in the number of our employees and the scope of our operations, particularly in the areas of drug development, regulatory affairs and, if any of our product candidates receives marketing approval, sales, marketing and distribution, then to manage such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do so effectively. The potential expansion of our operations may lead to significant costs and may divert our management and business development resources. Any inability to manage growth could delay the execution of our business plans or disrupt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has been and may in the future be volatile and fluctuate substantially.</w:t>
      </w:r>
    </w:p>
    <w:p>
      <w:pPr>
        <w:spacing w:after="0" w:line="225"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Our stock price has been and may in the future be volatile. From April 10, 2014 to June 30, 2016, the closing price of our common stock as reported by the NASDAQ Global Market ranged from a high of $10.87 per share to a low of $1.92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1040" w:right="220" w:hanging="519"/>
        <w:spacing w:after="0" w:line="212" w:lineRule="auto"/>
        <w:tabs>
          <w:tab w:leader="none" w:pos="10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actual or anticipated results from, and any delays in, our clinical trials, including the ongoing and any new ISTs of CRLX101, the RCC Trial, from which we expect to report top-line data in the third quarter of 2016, or our Phase 1/2a clinical trial of CRLX301, as well as results of regulatory reviews relating to the approval of our product candidates;</w:t>
      </w:r>
    </w:p>
    <w:p>
      <w:pPr>
        <w:spacing w:after="0" w:line="2" w:lineRule="exact"/>
        <w:rPr>
          <w:rFonts w:ascii="Arial" w:cs="Arial" w:eastAsia="Arial" w:hAnsi="Arial"/>
          <w:sz w:val="29"/>
          <w:szCs w:val="29"/>
          <w:color w:val="auto"/>
          <w:vertAlign w:val="superscript"/>
        </w:rPr>
      </w:pPr>
    </w:p>
    <w:p>
      <w:pPr>
        <w:ind w:left="1040" w:hanging="519"/>
        <w:spacing w:after="0" w:line="233" w:lineRule="auto"/>
        <w:tabs>
          <w:tab w:leader="none" w:pos="10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the results of our efforts to discover, develop, acquire or in-license additional product candidates or products;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failure or discontinuation of any of our development programs;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the level of expenses related to any of our product candidates or clinical development programs;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commencement or termination of any collaboration or licensing arrangement;</w:t>
      </w:r>
    </w:p>
    <w:p>
      <w:pPr>
        <w:spacing w:after="0" w:line="110" w:lineRule="exact"/>
        <w:rPr>
          <w:rFonts w:ascii="Arial" w:cs="Arial" w:eastAsia="Arial" w:hAnsi="Arial"/>
          <w:sz w:val="24"/>
          <w:szCs w:val="24"/>
          <w:color w:val="auto"/>
          <w:vertAlign w:val="superscript"/>
        </w:rPr>
      </w:pPr>
    </w:p>
    <w:p>
      <w:pPr>
        <w:ind w:left="1040" w:right="140" w:hanging="519"/>
        <w:spacing w:after="0" w:line="191" w:lineRule="auto"/>
        <w:tabs>
          <w:tab w:leader="none" w:pos="10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2" w:lineRule="exact"/>
        <w:rPr>
          <w:rFonts w:ascii="Arial" w:cs="Arial" w:eastAsia="Arial" w:hAnsi="Arial"/>
          <w:sz w:val="29"/>
          <w:szCs w:val="29"/>
          <w:color w:val="auto"/>
          <w:vertAlign w:val="superscript"/>
        </w:rPr>
      </w:pPr>
    </w:p>
    <w:p>
      <w:pPr>
        <w:ind w:left="1040" w:hanging="519"/>
        <w:spacing w:after="0"/>
        <w:tabs>
          <w:tab w:leader="none" w:pos="1040" w:val="left"/>
        </w:tabs>
        <w:numPr>
          <w:ilvl w:val="0"/>
          <w:numId w:val="39"/>
        </w:numPr>
        <w:rPr>
          <w:rFonts w:ascii="Arial" w:cs="Arial" w:eastAsia="Arial" w:hAnsi="Arial"/>
          <w:sz w:val="28"/>
          <w:szCs w:val="28"/>
          <w:color w:val="auto"/>
          <w:vertAlign w:val="superscript"/>
        </w:rPr>
      </w:pPr>
      <w:r>
        <w:rPr>
          <w:rFonts w:ascii="Arial" w:cs="Arial" w:eastAsia="Arial" w:hAnsi="Arial"/>
          <w:sz w:val="17"/>
          <w:szCs w:val="17"/>
          <w:color w:val="auto"/>
        </w:rPr>
        <w:t>announcements by us or our competitors of significant acquisitions, strategic partnerships, joint ventures and capital commitments;</w:t>
      </w:r>
    </w:p>
    <w:p>
      <w:pPr>
        <w:spacing w:after="0" w:line="109" w:lineRule="exact"/>
        <w:rPr>
          <w:rFonts w:ascii="Arial" w:cs="Arial" w:eastAsia="Arial" w:hAnsi="Arial"/>
          <w:sz w:val="28"/>
          <w:szCs w:val="28"/>
          <w:color w:val="auto"/>
          <w:vertAlign w:val="superscript"/>
        </w:rPr>
      </w:pPr>
    </w:p>
    <w:p>
      <w:pPr>
        <w:ind w:left="1040" w:hanging="519"/>
        <w:spacing w:after="0" w:line="186" w:lineRule="auto"/>
        <w:tabs>
          <w:tab w:leader="none" w:pos="104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additions or departures of key scientific or management personnel;</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variations in our financial results or those of companies that are perceived to be similar to us;</w:t>
      </w:r>
    </w:p>
    <w:p>
      <w:pPr>
        <w:spacing w:after="0" w:line="110" w:lineRule="exact"/>
        <w:rPr>
          <w:rFonts w:ascii="Arial" w:cs="Arial" w:eastAsia="Arial" w:hAnsi="Arial"/>
          <w:sz w:val="24"/>
          <w:szCs w:val="24"/>
          <w:color w:val="auto"/>
          <w:vertAlign w:val="superscript"/>
        </w:rPr>
      </w:pPr>
    </w:p>
    <w:p>
      <w:pPr>
        <w:ind w:left="1040" w:right="560" w:hanging="519"/>
        <w:spacing w:after="0" w:line="191" w:lineRule="auto"/>
        <w:tabs>
          <w:tab w:leader="none" w:pos="10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new products, product candidates or new uses for existing products introduced or announced by our competitors, and the timing of these introductions or announcements;</w:t>
      </w:r>
    </w:p>
    <w:p>
      <w:pPr>
        <w:ind w:left="1040" w:hanging="519"/>
        <w:spacing w:after="0" w:line="233" w:lineRule="auto"/>
        <w:tabs>
          <w:tab w:leader="none" w:pos="10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results of clinical trials of product candidates of our competitors;</w:t>
      </w:r>
    </w:p>
    <w:p>
      <w:pPr>
        <w:spacing w:after="0" w:line="110" w:lineRule="exact"/>
        <w:rPr>
          <w:rFonts w:ascii="Arial" w:cs="Arial" w:eastAsia="Arial" w:hAnsi="Arial"/>
          <w:sz w:val="29"/>
          <w:szCs w:val="29"/>
          <w:color w:val="auto"/>
          <w:vertAlign w:val="superscript"/>
        </w:rPr>
      </w:pPr>
    </w:p>
    <w:p>
      <w:pPr>
        <w:ind w:left="1040" w:right="120" w:hanging="519"/>
        <w:spacing w:after="0" w:line="191" w:lineRule="auto"/>
        <w:tabs>
          <w:tab w:leader="none" w:pos="10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ind w:left="1040" w:hanging="519"/>
        <w:spacing w:after="0" w:line="233" w:lineRule="auto"/>
        <w:tabs>
          <w:tab w:leader="none" w:pos="104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regulatory or legal developments in the United States and other countries;</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changes in the structure of healthcare payment systems;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left="1040" w:hanging="519"/>
        <w:spacing w:after="0"/>
        <w:tabs>
          <w:tab w:leader="none" w:pos="10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conditions or trends in the biotechnology and biopharmaceutical industries;</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actual or anticipated changes in earnings estimates, development timelines or recommendations by securities analysts;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announcement or expectation of additional financing efforts;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sales of common stock by us or our stockholders in the future, as well as the overall trading volume of our common stock; and</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the other factors described in this “Risk Factors” section.</w:t>
      </w:r>
    </w:p>
    <w:p>
      <w:pPr>
        <w:spacing w:after="0" w:line="20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9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70"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believe that as of June 30, 2016, our executive officers and directors and their affiliates beneficially owned 22.0% of our outstanding common stock. As a result, if these stockholders were to choose to act together, they would be able to exert a significant degree of influence over matters submitted to our stockholders for approval, as well as our management and affairs. For example, these persons, if they choose to act together, would substantially influence the election of directors and approval of any merger, consolidation or sale of all or substantially all of our assets.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could:</w:t>
      </w:r>
    </w:p>
    <w:p>
      <w:pPr>
        <w:spacing w:after="0" w:line="14"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delay, defer or prevent a change in control;</w:t>
      </w:r>
    </w:p>
    <w:p>
      <w:pPr>
        <w:spacing w:after="0" w:line="109"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entrench our management or board of directors; or</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impede a merger, consolidation, takeover or other business combination involving us that other stockholders may desire.</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7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70"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54"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of June 30, 2016, there were 4,145,988 shares subject to outstanding options. All of these shares under the Securities Act have been registered on a registration statement on Form S-8. These shares can be freely sold in the public market upon exercise, as permitted by any applicable vesting requirements, except to the extent they are held by our affiliates, in which case such shares will become eligible for sale in the public market as permitted by Rule 144 under the Securities Act. Furthermore, as of June 30, 2016, there were 300,564 shares subject to outstanding warrants to purchase common stock. These shares will become eligible for sale in the public market, to the extent such warrants are exercised, as permitted by Rule 144 under the Securities Act. Moreover, holders of approximately 6.3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 w:right="259" w:bottom="1440" w:gutter="0" w:footer="0" w:header="0"/>
        </w:sectPr>
      </w:pPr>
    </w:p>
    <w:bookmarkStart w:id="55" w:name="page56"/>
    <w:bookmarkEnd w:id="55"/>
    <w:p>
      <w:pPr>
        <w:ind w:left="520"/>
        <w:spacing w:after="0"/>
        <w:rPr>
          <w:sz w:val="20"/>
          <w:szCs w:val="20"/>
          <w:color w:val="auto"/>
        </w:rPr>
      </w:pPr>
      <w:r>
        <w:rPr>
          <w:rFonts w:ascii="Arial" w:cs="Arial" w:eastAsia="Arial" w:hAnsi="Arial"/>
          <w:sz w:val="18"/>
          <w:szCs w:val="18"/>
          <w:b w:val="1"/>
          <w:bCs w:val="1"/>
          <w:i w:val="1"/>
          <w:iCs w:val="1"/>
          <w:color w:val="auto"/>
        </w:rPr>
        <w:t>We have broad discretion in the use of our cash reserves and may not use them effectively.</w:t>
      </w:r>
    </w:p>
    <w:p>
      <w:pPr>
        <w:spacing w:after="0" w:line="2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and these financial losses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54"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ind w:left="1040" w:hanging="519"/>
        <w:spacing w:after="0" w:line="214" w:lineRule="auto"/>
        <w:tabs>
          <w:tab w:leader="none" w:pos="1040" w:val="left"/>
        </w:tabs>
        <w:numPr>
          <w:ilvl w:val="0"/>
          <w:numId w:val="42"/>
        </w:numPr>
        <w:rPr>
          <w:rFonts w:ascii="Arial" w:cs="Arial" w:eastAsia="Arial" w:hAnsi="Arial"/>
          <w:sz w:val="28"/>
          <w:szCs w:val="28"/>
          <w:color w:val="auto"/>
          <w:vertAlign w:val="superscript"/>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10" w:lineRule="exact"/>
        <w:rPr>
          <w:rFonts w:ascii="Arial" w:cs="Arial" w:eastAsia="Arial" w:hAnsi="Arial"/>
          <w:sz w:val="28"/>
          <w:szCs w:val="28"/>
          <w:color w:val="auto"/>
          <w:vertAlign w:val="superscript"/>
        </w:rPr>
      </w:pPr>
    </w:p>
    <w:p>
      <w:pPr>
        <w:ind w:left="1040" w:right="620" w:hanging="519"/>
        <w:spacing w:after="0" w:line="207"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29"/>
          <w:szCs w:val="29"/>
          <w:color w:val="auto"/>
          <w:vertAlign w:val="superscript"/>
        </w:rPr>
      </w:pPr>
    </w:p>
    <w:p>
      <w:pPr>
        <w:ind w:left="1040" w:hanging="519"/>
        <w:spacing w:after="0" w:line="233"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reduced disclosure obligations regarding executive compensation; and</w:t>
      </w:r>
    </w:p>
    <w:p>
      <w:pPr>
        <w:spacing w:after="0" w:line="110" w:lineRule="exact"/>
        <w:rPr>
          <w:rFonts w:ascii="Arial" w:cs="Arial" w:eastAsia="Arial" w:hAnsi="Arial"/>
          <w:sz w:val="29"/>
          <w:szCs w:val="29"/>
          <w:color w:val="auto"/>
          <w:vertAlign w:val="superscript"/>
        </w:rPr>
      </w:pPr>
    </w:p>
    <w:p>
      <w:pPr>
        <w:ind w:left="1040" w:right="200" w:hanging="519"/>
        <w:spacing w:after="0" w:line="191" w:lineRule="auto"/>
        <w:tabs>
          <w:tab w:leader="none" w:pos="10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54"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6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right="80"/>
        <w:spacing w:after="0" w:line="277" w:lineRule="auto"/>
        <w:rPr>
          <w:sz w:val="20"/>
          <w:szCs w:val="20"/>
          <w:color w:val="auto"/>
        </w:rPr>
      </w:pPr>
      <w:r>
        <w:rPr>
          <w:rFonts w:ascii="Arial" w:cs="Arial" w:eastAsia="Arial" w:hAnsi="Arial"/>
          <w:sz w:val="18"/>
          <w:szCs w:val="18"/>
          <w:color w:val="auto"/>
        </w:rPr>
        <w:t>control over financial reporting. If we identify one or more material weaknesses, it could result in an adverse reaction in the financial markets due to a loss of confidence in the reliability of our financial statements.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plan to retain all of our future earnings, if any, to finance the growth and development of our business. Furthermore, the terms of the Hercules Loan Agreement prohibit us from paying any dividends without the prior written consent of Hercules, and any future debt agreements may also preclude us from paying dividends. Accordingly, capital appreciation, if any, of our common stock will be the sole source of gain for our stockholders for the foreseeable future.</w:t>
      </w:r>
    </w:p>
    <w:p>
      <w:pPr>
        <w:spacing w:after="0" w:line="18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70"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ind w:left="1040" w:hanging="519"/>
        <w:spacing w:after="0" w:line="216" w:lineRule="auto"/>
        <w:tabs>
          <w:tab w:leader="none" w:pos="10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establish a classified board of directors such that all members of the board are not elected at one time;</w:t>
      </w:r>
    </w:p>
    <w:p>
      <w:pPr>
        <w:spacing w:after="0" w:line="110" w:lineRule="exact"/>
        <w:rPr>
          <w:rFonts w:ascii="Arial" w:cs="Arial" w:eastAsia="Arial" w:hAnsi="Arial"/>
          <w:sz w:val="29"/>
          <w:szCs w:val="29"/>
          <w:color w:val="auto"/>
          <w:vertAlign w:val="superscript"/>
        </w:rPr>
      </w:pPr>
    </w:p>
    <w:p>
      <w:pPr>
        <w:ind w:left="1040" w:hanging="519"/>
        <w:spacing w:after="0" w:line="186" w:lineRule="auto"/>
        <w:tabs>
          <w:tab w:leader="none" w:pos="1040" w:val="left"/>
        </w:tabs>
        <w:numPr>
          <w:ilvl w:val="0"/>
          <w:numId w:val="43"/>
        </w:numPr>
        <w:rPr>
          <w:rFonts w:ascii="Arial" w:cs="Arial" w:eastAsia="Arial" w:hAnsi="Arial"/>
          <w:sz w:val="24"/>
          <w:szCs w:val="24"/>
          <w:color w:val="auto"/>
          <w:vertAlign w:val="superscript"/>
        </w:rPr>
      </w:pPr>
      <w:r>
        <w:rPr>
          <w:rFonts w:ascii="Arial" w:cs="Arial" w:eastAsia="Arial" w:hAnsi="Arial"/>
          <w:sz w:val="15"/>
          <w:szCs w:val="15"/>
          <w:color w:val="auto"/>
        </w:rPr>
        <w:t>allow the authorized number of our directors to be changed only by resolution of our board of directors;</w:t>
      </w:r>
    </w:p>
    <w:p>
      <w:pPr>
        <w:spacing w:after="0" w:line="110" w:lineRule="exact"/>
        <w:rPr>
          <w:rFonts w:ascii="Arial" w:cs="Arial" w:eastAsia="Arial" w:hAnsi="Arial"/>
          <w:sz w:val="24"/>
          <w:szCs w:val="24"/>
          <w:color w:val="auto"/>
          <w:vertAlign w:val="superscript"/>
        </w:rPr>
      </w:pPr>
    </w:p>
    <w:p>
      <w:pPr>
        <w:ind w:left="1040" w:hanging="519"/>
        <w:spacing w:after="0" w:line="186" w:lineRule="auto"/>
        <w:tabs>
          <w:tab w:leader="none" w:pos="1040" w:val="left"/>
        </w:tabs>
        <w:numPr>
          <w:ilvl w:val="0"/>
          <w:numId w:val="43"/>
        </w:numPr>
        <w:rPr>
          <w:rFonts w:ascii="Arial" w:cs="Arial" w:eastAsia="Arial" w:hAnsi="Arial"/>
          <w:sz w:val="24"/>
          <w:szCs w:val="24"/>
          <w:color w:val="auto"/>
          <w:vertAlign w:val="superscript"/>
        </w:rPr>
      </w:pPr>
      <w:r>
        <w:rPr>
          <w:rFonts w:ascii="Arial" w:cs="Arial" w:eastAsia="Arial" w:hAnsi="Arial"/>
          <w:sz w:val="15"/>
          <w:szCs w:val="15"/>
          <w:color w:val="auto"/>
        </w:rPr>
        <w:t>limit the manner in which stockholders can remove directors from the board;</w:t>
      </w:r>
    </w:p>
    <w:p>
      <w:pPr>
        <w:spacing w:after="0" w:line="110" w:lineRule="exact"/>
        <w:rPr>
          <w:rFonts w:ascii="Arial" w:cs="Arial" w:eastAsia="Arial" w:hAnsi="Arial"/>
          <w:sz w:val="24"/>
          <w:szCs w:val="24"/>
          <w:color w:val="auto"/>
          <w:vertAlign w:val="superscript"/>
        </w:rPr>
      </w:pPr>
    </w:p>
    <w:p>
      <w:pPr>
        <w:ind w:left="1040" w:right="360" w:hanging="519"/>
        <w:spacing w:after="0" w:line="191" w:lineRule="auto"/>
        <w:tabs>
          <w:tab w:leader="none" w:pos="10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establish advance notice requirements for nominations for election to the board or for proposing matters that can be acted on at stockholder meetings;</w:t>
      </w:r>
    </w:p>
    <w:p>
      <w:pPr>
        <w:sectPr>
          <w:pgSz w:w="11900" w:h="16838" w:orient="portrait"/>
          <w:cols w:equalWidth="0" w:num="1">
            <w:col w:w="11420"/>
          </w:cols>
          <w:pgMar w:left="240" w:top="341" w:right="239" w:bottom="1440" w:gutter="0" w:footer="0" w:header="0"/>
        </w:sectPr>
      </w:pPr>
    </w:p>
    <w:p>
      <w:pPr>
        <w:spacing w:after="0" w:line="90" w:lineRule="exact"/>
        <w:rPr>
          <w:sz w:val="20"/>
          <w:szCs w:val="20"/>
          <w:color w:val="auto"/>
        </w:rPr>
      </w:pPr>
    </w:p>
    <w:p>
      <w:pPr>
        <w:jc w:val="center"/>
        <w:ind w:left="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require that stockholder actions must be effected at a duly called stockholder meeting and prohibit actions by our consent;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stockholders by written</w:t>
      </w:r>
    </w:p>
    <w:p>
      <w:pPr>
        <w:spacing w:after="0" w:line="294" w:lineRule="exact"/>
        <w:rPr>
          <w:sz w:val="20"/>
          <w:szCs w:val="20"/>
          <w:color w:val="auto"/>
        </w:rPr>
      </w:pPr>
    </w:p>
    <w:p>
      <w:pPr>
        <w:sectPr>
          <w:pgSz w:w="11900" w:h="16838" w:orient="portrait"/>
          <w:cols w:equalWidth="0" w:num="3">
            <w:col w:w="560" w:space="480"/>
            <w:col w:w="8120" w:space="140"/>
            <w:col w:w="2120"/>
          </w:cols>
          <w:pgMar w:left="240" w:top="341" w:right="239" w:bottom="1440" w:gutter="0" w:footer="0" w:header="0"/>
          <w:type w:val="continuous"/>
        </w:sectPr>
      </w:pPr>
    </w:p>
    <w:p>
      <w:pPr>
        <w:ind w:left="1040" w:hanging="519"/>
        <w:spacing w:after="0" w:line="210" w:lineRule="auto"/>
        <w:tabs>
          <w:tab w:leader="none" w:pos="104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limit who may call a special meeting of stockholders;</w:t>
      </w:r>
    </w:p>
    <w:p>
      <w:pPr>
        <w:spacing w:after="0" w:line="110" w:lineRule="exact"/>
        <w:rPr>
          <w:rFonts w:ascii="Arial" w:cs="Arial" w:eastAsia="Arial" w:hAnsi="Arial"/>
          <w:sz w:val="29"/>
          <w:szCs w:val="29"/>
          <w:color w:val="auto"/>
          <w:vertAlign w:val="superscript"/>
        </w:rPr>
      </w:pPr>
    </w:p>
    <w:p>
      <w:pPr>
        <w:ind w:left="1040" w:right="220" w:hanging="519"/>
        <w:spacing w:after="0" w:line="213" w:lineRule="auto"/>
        <w:tabs>
          <w:tab w:leader="none" w:pos="1040" w:val="left"/>
        </w:tabs>
        <w:numPr>
          <w:ilvl w:val="0"/>
          <w:numId w:val="44"/>
        </w:numPr>
        <w:rPr>
          <w:rFonts w:ascii="Arial" w:cs="Arial" w:eastAsia="Arial" w:hAnsi="Arial"/>
          <w:sz w:val="26"/>
          <w:szCs w:val="26"/>
          <w:color w:val="auto"/>
          <w:vertAlign w:val="superscript"/>
        </w:rPr>
      </w:pPr>
      <w:r>
        <w:rPr>
          <w:rFonts w:ascii="Arial" w:cs="Arial" w:eastAsia="Arial" w:hAnsi="Arial"/>
          <w:sz w:val="16"/>
          <w:szCs w:val="16"/>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95" w:lineRule="exact"/>
        <w:rPr>
          <w:rFonts w:ascii="Arial" w:cs="Arial" w:eastAsia="Arial" w:hAnsi="Arial"/>
          <w:sz w:val="26"/>
          <w:szCs w:val="26"/>
          <w:color w:val="auto"/>
          <w:vertAlign w:val="superscript"/>
        </w:rPr>
      </w:pPr>
    </w:p>
    <w:p>
      <w:pPr>
        <w:ind w:left="1040" w:right="380" w:hanging="519"/>
        <w:spacing w:after="0" w:line="198" w:lineRule="auto"/>
        <w:tabs>
          <w:tab w:leader="none" w:pos="104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completed the initial public offering, or IPO, of our common stock pursuant to a Registration Statement on Form S-1 (File No. 333-194442), which was declared effective by the SEC on April 10, 2014. The net offering proceeds to us, after deducting underwriting discounts and commissions and offering expenses, were approximately $59.9 million.</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As of June 30, 2016, we had used all of the net proceeds from our IPO, primarily to fund the clinical development of CRLX101, to fund research and development of CRLX301 and for working capital and other general corporate purposes. There was no material change in our planned use of the net proceeds from our IPO as described in our final prospectus filed with the SEC pursuant to Rule 424(b)(4) under the Securities Act.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Exhibit Index to this Quarterly Report on Form 10-Q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2280"/>
              <w:spacing w:after="0"/>
              <w:rPr>
                <w:sz w:val="20"/>
                <w:szCs w:val="20"/>
                <w:color w:val="auto"/>
              </w:rPr>
            </w:pPr>
            <w:r>
              <w:rPr>
                <w:rFonts w:ascii="Arial" w:cs="Arial" w:eastAsia="Arial" w:hAnsi="Arial"/>
                <w:sz w:val="18"/>
                <w:szCs w:val="18"/>
                <w:b w:val="1"/>
                <w:bCs w:val="1"/>
                <w:color w:val="auto"/>
              </w:rPr>
              <w:t>CERULEAN PHARMA INC.</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August 4, 2016</w:t>
            </w:r>
          </w:p>
        </w:tc>
        <w:tc>
          <w:tcPr>
            <w:tcW w:w="2820" w:type="dxa"/>
            <w:vAlign w:val="bottom"/>
          </w:tcPr>
          <w:p>
            <w:pPr>
              <w:ind w:left="22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jc w:val="center"/>
              <w:ind w:right="305"/>
              <w:spacing w:after="0"/>
              <w:rPr>
                <w:sz w:val="20"/>
                <w:szCs w:val="20"/>
                <w:color w:val="auto"/>
              </w:rPr>
            </w:pPr>
            <w:r>
              <w:rPr>
                <w:rFonts w:ascii="Arial" w:cs="Arial" w:eastAsia="Arial" w:hAnsi="Arial"/>
                <w:sz w:val="18"/>
                <w:szCs w:val="18"/>
                <w:color w:val="auto"/>
                <w:w w:val="96"/>
              </w:rPr>
              <w:t>/</w:t>
            </w:r>
            <w:r>
              <w:rPr>
                <w:rFonts w:ascii="Arial" w:cs="Arial" w:eastAsia="Arial" w:hAnsi="Arial"/>
                <w:sz w:val="13"/>
                <w:szCs w:val="13"/>
                <w:color w:val="auto"/>
                <w:w w:val="96"/>
              </w:rPr>
              <w:t>S</w:t>
            </w:r>
            <w:r>
              <w:rPr>
                <w:rFonts w:ascii="Arial" w:cs="Arial" w:eastAsia="Arial" w:hAnsi="Arial"/>
                <w:sz w:val="18"/>
                <w:szCs w:val="18"/>
                <w:color w:val="auto"/>
                <w:w w:val="96"/>
              </w:rPr>
              <w:t>/   Christopher D.T. Guiffre</w:t>
            </w:r>
          </w:p>
        </w:tc>
      </w:tr>
      <w:tr>
        <w:trPr>
          <w:trHeight w:val="119"/>
        </w:trPr>
        <w:tc>
          <w:tcPr>
            <w:tcW w:w="38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Christopher D.T. Guiffre</w:t>
            </w:r>
          </w:p>
        </w:tc>
      </w:tr>
      <w:tr>
        <w:trPr>
          <w:trHeight w:val="149"/>
        </w:trPr>
        <w:tc>
          <w:tcPr>
            <w:tcW w:w="38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President and Chief Executive Officer</w:t>
            </w:r>
          </w:p>
        </w:tc>
      </w:tr>
      <w:tr>
        <w:trPr>
          <w:trHeight w:val="186"/>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executive officer)</w:t>
            </w:r>
          </w:p>
        </w:tc>
      </w:tr>
      <w:tr>
        <w:trPr>
          <w:trHeight w:val="417"/>
        </w:trPr>
        <w:tc>
          <w:tcPr>
            <w:tcW w:w="3840" w:type="dxa"/>
            <w:vAlign w:val="bottom"/>
          </w:tcPr>
          <w:p>
            <w:pPr>
              <w:spacing w:after="0"/>
              <w:rPr>
                <w:sz w:val="20"/>
                <w:szCs w:val="20"/>
                <w:color w:val="auto"/>
              </w:rPr>
            </w:pPr>
            <w:r>
              <w:rPr>
                <w:rFonts w:ascii="Arial" w:cs="Arial" w:eastAsia="Arial" w:hAnsi="Arial"/>
                <w:sz w:val="18"/>
                <w:szCs w:val="18"/>
                <w:color w:val="auto"/>
              </w:rPr>
              <w:t>Date: August 4, 2016</w:t>
            </w:r>
          </w:p>
        </w:tc>
        <w:tc>
          <w:tcPr>
            <w:tcW w:w="2820" w:type="dxa"/>
            <w:vAlign w:val="bottom"/>
          </w:tcPr>
          <w:p>
            <w:pPr>
              <w:ind w:left="22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jc w:val="center"/>
              <w:ind w:right="345"/>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Gregg Beloff</w:t>
            </w:r>
          </w:p>
        </w:tc>
      </w:tr>
      <w:tr>
        <w:trPr>
          <w:trHeight w:val="119"/>
        </w:trPr>
        <w:tc>
          <w:tcPr>
            <w:tcW w:w="38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Gregg Beloff</w:t>
            </w:r>
          </w:p>
        </w:tc>
      </w:tr>
      <w:tr>
        <w:trPr>
          <w:trHeight w:val="149"/>
        </w:trPr>
        <w:tc>
          <w:tcPr>
            <w:tcW w:w="38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Interim Chief Financial Officer</w:t>
            </w:r>
          </w:p>
        </w:tc>
      </w:tr>
      <w:tr>
        <w:trPr>
          <w:trHeight w:val="186"/>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ind w:right="-151"/>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272" w:type="dxa"/>
        <w:tblCellMar>
          <w:top w:w="0" w:type="dxa"/>
          <w:left w:w="0" w:type="dxa"/>
          <w:bottom w:w="0" w:type="dxa"/>
          <w:right w:w="0" w:type="dxa"/>
        </w:tblCellMar>
      </w:tblPr>
      <w:tr>
        <w:trPr>
          <w:trHeight w:val="186"/>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3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1520" w:type="dxa"/>
            <w:vAlign w:val="bottom"/>
            <w:vMerge w:val="continue"/>
          </w:tcPr>
          <w:p>
            <w:pPr>
              <w:spacing w:after="0"/>
              <w:rPr>
                <w:sz w:val="9"/>
                <w:szCs w:val="9"/>
                <w:color w:val="auto"/>
              </w:rPr>
            </w:pPr>
          </w:p>
        </w:tc>
        <w:tc>
          <w:tcPr>
            <w:tcW w:w="33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 of Exhibit</w:t>
            </w:r>
          </w:p>
        </w:tc>
        <w:tc>
          <w:tcPr>
            <w:tcW w:w="134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Form</w:t>
            </w:r>
          </w:p>
        </w:tc>
        <w:tc>
          <w:tcPr>
            <w:tcW w:w="14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File Number</w:t>
            </w:r>
          </w:p>
        </w:tc>
        <w:tc>
          <w:tcPr>
            <w:tcW w:w="13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Date of Filing</w:t>
            </w: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Pr>
          <w:p>
            <w:pPr>
              <w:jc w:val="center"/>
              <w:ind w:left="2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132" w:type="dxa"/>
        <w:tblCellMar>
          <w:top w:w="0" w:type="dxa"/>
          <w:left w:w="0" w:type="dxa"/>
          <w:bottom w:w="0" w:type="dxa"/>
          <w:right w:w="0" w:type="dxa"/>
        </w:tblCellMar>
      </w:tblPr>
      <w:tr>
        <w:trPr>
          <w:trHeight w:val="216"/>
        </w:trPr>
        <w:tc>
          <w:tcPr>
            <w:tcW w:w="920" w:type="dxa"/>
            <w:vAlign w:val="bottom"/>
          </w:tcPr>
          <w:p>
            <w:pPr>
              <w:jc w:val="right"/>
              <w:ind w:right="430"/>
              <w:spacing w:after="0"/>
              <w:rPr>
                <w:sz w:val="20"/>
                <w:szCs w:val="20"/>
                <w:color w:val="auto"/>
              </w:rPr>
            </w:pPr>
            <w:r>
              <w:rPr>
                <w:rFonts w:ascii="Arial" w:cs="Arial" w:eastAsia="Arial" w:hAnsi="Arial"/>
                <w:sz w:val="18"/>
                <w:szCs w:val="18"/>
                <w:color w:val="auto"/>
              </w:rPr>
              <w:t>10.1</w:t>
            </w:r>
          </w:p>
        </w:tc>
        <w:tc>
          <w:tcPr>
            <w:tcW w:w="7180" w:type="dxa"/>
            <w:vAlign w:val="bottom"/>
          </w:tcPr>
          <w:p>
            <w:pPr>
              <w:ind w:left="260"/>
              <w:spacing w:after="0"/>
              <w:rPr>
                <w:sz w:val="20"/>
                <w:szCs w:val="20"/>
                <w:color w:val="auto"/>
              </w:rPr>
            </w:pPr>
            <w:r>
              <w:rPr>
                <w:rFonts w:ascii="Arial" w:cs="Arial" w:eastAsia="Arial" w:hAnsi="Arial"/>
                <w:sz w:val="18"/>
                <w:szCs w:val="18"/>
                <w:color w:val="auto"/>
              </w:rPr>
              <w:t>Amendment, dated May 27, 2016, to consulting agreement,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dated as of May 27, 2015, between the Registrant and</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Danforth Advisors LLC</w:t>
            </w:r>
          </w:p>
        </w:tc>
        <w:tc>
          <w:tcPr>
            <w:tcW w:w="2740" w:type="dxa"/>
            <w:vAlign w:val="bottom"/>
          </w:tcPr>
          <w:p>
            <w:pPr>
              <w:spacing w:after="0"/>
              <w:rPr>
                <w:sz w:val="20"/>
                <w:szCs w:val="20"/>
                <w:color w:val="auto"/>
              </w:rPr>
            </w:pPr>
          </w:p>
        </w:tc>
      </w:tr>
      <w:tr>
        <w:trPr>
          <w:trHeight w:val="324"/>
        </w:trPr>
        <w:tc>
          <w:tcPr>
            <w:tcW w:w="920" w:type="dxa"/>
            <w:vAlign w:val="bottom"/>
          </w:tcPr>
          <w:p>
            <w:pPr>
              <w:jc w:val="right"/>
              <w:ind w:right="430"/>
              <w:spacing w:after="0"/>
              <w:rPr>
                <w:sz w:val="20"/>
                <w:szCs w:val="20"/>
                <w:color w:val="auto"/>
              </w:rPr>
            </w:pPr>
            <w:r>
              <w:rPr>
                <w:rFonts w:ascii="Arial" w:cs="Arial" w:eastAsia="Arial" w:hAnsi="Arial"/>
                <w:sz w:val="18"/>
                <w:szCs w:val="18"/>
                <w:color w:val="auto"/>
              </w:rPr>
              <w:t>10.2</w:t>
            </w:r>
          </w:p>
        </w:tc>
        <w:tc>
          <w:tcPr>
            <w:tcW w:w="7180" w:type="dxa"/>
            <w:vAlign w:val="bottom"/>
          </w:tcPr>
          <w:p>
            <w:pPr>
              <w:ind w:left="260"/>
              <w:spacing w:after="0"/>
              <w:rPr>
                <w:sz w:val="20"/>
                <w:szCs w:val="20"/>
                <w:color w:val="auto"/>
              </w:rPr>
            </w:pPr>
            <w:r>
              <w:rPr>
                <w:rFonts w:ascii="Arial" w:cs="Arial" w:eastAsia="Arial" w:hAnsi="Arial"/>
                <w:sz w:val="18"/>
                <w:szCs w:val="18"/>
                <w:color w:val="auto"/>
              </w:rPr>
              <w:t>Summary of Non-employee Director Compensation Policy</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10"/>
        </w:trPr>
        <w:tc>
          <w:tcPr>
            <w:tcW w:w="920" w:type="dxa"/>
            <w:vAlign w:val="bottom"/>
          </w:tcPr>
          <w:p>
            <w:pPr>
              <w:jc w:val="right"/>
              <w:ind w:right="430"/>
              <w:spacing w:after="0"/>
              <w:rPr>
                <w:sz w:val="20"/>
                <w:szCs w:val="20"/>
                <w:color w:val="auto"/>
              </w:rPr>
            </w:pPr>
            <w:r>
              <w:rPr>
                <w:rFonts w:ascii="Arial" w:cs="Arial" w:eastAsia="Arial" w:hAnsi="Arial"/>
                <w:sz w:val="18"/>
                <w:szCs w:val="18"/>
                <w:color w:val="auto"/>
              </w:rPr>
              <w:t>31.1</w:t>
            </w:r>
          </w:p>
        </w:tc>
        <w:tc>
          <w:tcPr>
            <w:tcW w:w="718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Rule 13a 14(a)/15d 14(a) of the Securities Exchange Act of</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1934, as amended</w:t>
            </w:r>
          </w:p>
        </w:tc>
        <w:tc>
          <w:tcPr>
            <w:tcW w:w="2740" w:type="dxa"/>
            <w:vAlign w:val="bottom"/>
          </w:tcPr>
          <w:p>
            <w:pPr>
              <w:spacing w:after="0"/>
              <w:rPr>
                <w:sz w:val="20"/>
                <w:szCs w:val="20"/>
                <w:color w:val="auto"/>
              </w:rPr>
            </w:pPr>
          </w:p>
        </w:tc>
      </w:tr>
      <w:tr>
        <w:trPr>
          <w:trHeight w:val="310"/>
        </w:trPr>
        <w:tc>
          <w:tcPr>
            <w:tcW w:w="920" w:type="dxa"/>
            <w:vAlign w:val="bottom"/>
          </w:tcPr>
          <w:p>
            <w:pPr>
              <w:jc w:val="right"/>
              <w:ind w:right="430"/>
              <w:spacing w:after="0"/>
              <w:rPr>
                <w:sz w:val="20"/>
                <w:szCs w:val="20"/>
                <w:color w:val="auto"/>
              </w:rPr>
            </w:pPr>
            <w:r>
              <w:rPr>
                <w:rFonts w:ascii="Arial" w:cs="Arial" w:eastAsia="Arial" w:hAnsi="Arial"/>
                <w:sz w:val="18"/>
                <w:szCs w:val="18"/>
                <w:color w:val="auto"/>
              </w:rPr>
              <w:t>31.2</w:t>
            </w:r>
          </w:p>
        </w:tc>
        <w:tc>
          <w:tcPr>
            <w:tcW w:w="718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Rule 13a-14(a)/15d-14(a) of the Securities Exchange Act of</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1934, as amended</w:t>
            </w:r>
          </w:p>
        </w:tc>
        <w:tc>
          <w:tcPr>
            <w:tcW w:w="2740" w:type="dxa"/>
            <w:vAlign w:val="bottom"/>
          </w:tcPr>
          <w:p>
            <w:pPr>
              <w:spacing w:after="0"/>
              <w:rPr>
                <w:sz w:val="20"/>
                <w:szCs w:val="20"/>
                <w:color w:val="auto"/>
              </w:rPr>
            </w:pPr>
          </w:p>
        </w:tc>
      </w:tr>
      <w:tr>
        <w:trPr>
          <w:trHeight w:val="310"/>
        </w:trPr>
        <w:tc>
          <w:tcPr>
            <w:tcW w:w="920" w:type="dxa"/>
            <w:vAlign w:val="bottom"/>
          </w:tcPr>
          <w:p>
            <w:pPr>
              <w:jc w:val="right"/>
              <w:ind w:right="430"/>
              <w:spacing w:after="0"/>
              <w:rPr>
                <w:sz w:val="20"/>
                <w:szCs w:val="20"/>
                <w:color w:val="auto"/>
              </w:rPr>
            </w:pPr>
            <w:r>
              <w:rPr>
                <w:rFonts w:ascii="Arial" w:cs="Arial" w:eastAsia="Arial" w:hAnsi="Arial"/>
                <w:sz w:val="18"/>
                <w:szCs w:val="18"/>
                <w:color w:val="auto"/>
              </w:rPr>
              <w:t>32.1</w:t>
            </w:r>
          </w:p>
        </w:tc>
        <w:tc>
          <w:tcPr>
            <w:tcW w:w="718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18 U.S.C. §1350, as adopted pursuant to Section 906 of the</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2740" w:type="dxa"/>
            <w:vAlign w:val="bottom"/>
          </w:tcPr>
          <w:p>
            <w:pPr>
              <w:spacing w:after="0"/>
              <w:rPr>
                <w:sz w:val="20"/>
                <w:szCs w:val="20"/>
                <w:color w:val="auto"/>
              </w:rPr>
            </w:pPr>
          </w:p>
        </w:tc>
      </w:tr>
      <w:tr>
        <w:trPr>
          <w:trHeight w:val="310"/>
        </w:trPr>
        <w:tc>
          <w:tcPr>
            <w:tcW w:w="920" w:type="dxa"/>
            <w:vAlign w:val="bottom"/>
          </w:tcPr>
          <w:p>
            <w:pPr>
              <w:jc w:val="right"/>
              <w:ind w:right="430"/>
              <w:spacing w:after="0"/>
              <w:rPr>
                <w:sz w:val="20"/>
                <w:szCs w:val="20"/>
                <w:color w:val="auto"/>
              </w:rPr>
            </w:pPr>
            <w:r>
              <w:rPr>
                <w:rFonts w:ascii="Arial" w:cs="Arial" w:eastAsia="Arial" w:hAnsi="Arial"/>
                <w:sz w:val="18"/>
                <w:szCs w:val="18"/>
                <w:color w:val="auto"/>
              </w:rPr>
              <w:t>32.2</w:t>
            </w:r>
          </w:p>
        </w:tc>
        <w:tc>
          <w:tcPr>
            <w:tcW w:w="718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18 U.S.C. §1350, as adopted pursuant to Section 906 of the</w:t>
            </w:r>
          </w:p>
        </w:tc>
        <w:tc>
          <w:tcPr>
            <w:tcW w:w="2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27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7180" w:type="dxa"/>
            <w:vAlign w:val="bottom"/>
          </w:tcPr>
          <w:p>
            <w:pPr>
              <w:ind w:left="260"/>
              <w:spacing w:after="0"/>
              <w:rPr>
                <w:sz w:val="20"/>
                <w:szCs w:val="20"/>
                <w:color w:val="auto"/>
              </w:rPr>
            </w:pPr>
            <w:r>
              <w:rPr>
                <w:rFonts w:ascii="Arial" w:cs="Arial" w:eastAsia="Arial" w:hAnsi="Arial"/>
                <w:sz w:val="18"/>
                <w:szCs w:val="18"/>
                <w:color w:val="auto"/>
              </w:rPr>
              <w:t>XBRL Instance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Calculation Linkbase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Document*</w:t>
            </w:r>
          </w:p>
        </w:tc>
        <w:tc>
          <w:tcPr>
            <w:tcW w:w="27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Label Linkbase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180" w:type="dxa"/>
            <w:vAlign w:val="bottom"/>
          </w:tcPr>
          <w:p>
            <w:pPr>
              <w:ind w:left="260"/>
              <w:spacing w:after="0"/>
              <w:rPr>
                <w:sz w:val="20"/>
                <w:szCs w:val="20"/>
                <w:color w:val="auto"/>
              </w:rPr>
            </w:pPr>
            <w:r>
              <w:rPr>
                <w:rFonts w:ascii="Arial" w:cs="Arial" w:eastAsia="Arial" w:hAnsi="Arial"/>
                <w:sz w:val="18"/>
                <w:szCs w:val="18"/>
                <w:color w:val="auto"/>
              </w:rPr>
              <w:t>XBRL Taxonomy Presentation Linkbase Document*</w:t>
            </w:r>
          </w:p>
        </w:tc>
        <w:tc>
          <w:tcPr>
            <w:tcW w:w="2740" w:type="dxa"/>
            <w:vAlign w:val="bottom"/>
          </w:tcPr>
          <w:p>
            <w:pPr>
              <w:ind w:left="2600"/>
              <w:spacing w:after="0"/>
              <w:rPr>
                <w:sz w:val="20"/>
                <w:szCs w:val="20"/>
                <w:color w:val="auto"/>
              </w:rPr>
            </w:pPr>
            <w:r>
              <w:rPr>
                <w:rFonts w:ascii="Arial" w:cs="Arial" w:eastAsia="Arial" w:hAnsi="Arial"/>
                <w:sz w:val="18"/>
                <w:szCs w:val="18"/>
                <w:color w:val="auto"/>
                <w:w w:val="99"/>
              </w:rPr>
              <w:t>X</w:t>
            </w:r>
          </w:p>
        </w:tc>
      </w:tr>
    </w:tbl>
    <w:p>
      <w:pPr>
        <w:spacing w:after="0" w:line="107" w:lineRule="exact"/>
        <w:rPr>
          <w:sz w:val="20"/>
          <w:szCs w:val="20"/>
          <w:color w:val="auto"/>
        </w:rPr>
      </w:pPr>
    </w:p>
    <w:p>
      <w:pPr>
        <w:ind w:left="512" w:hanging="512"/>
        <w:spacing w:after="0"/>
        <w:tabs>
          <w:tab w:leader="none" w:pos="5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ectPr>
          <w:pgSz w:w="11900" w:h="16838" w:orient="portrait"/>
          <w:cols w:equalWidth="0" w:num="1">
            <w:col w:w="11252"/>
          </w:cols>
          <w:pgMar w:left="248" w:top="121" w:right="39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41478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7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May 27, 2016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Gregg Beloff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Danforth Advisors, LLC</w:t>
      </w:r>
    </w:p>
    <w:p>
      <w:pPr>
        <w:ind w:left="300" w:hanging="292"/>
        <w:spacing w:after="0"/>
        <w:tabs>
          <w:tab w:leader="none" w:pos="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Middle Road</w:t>
      </w:r>
    </w:p>
    <w:p>
      <w:pPr>
        <w:spacing w:after="0" w:line="11" w:lineRule="exact"/>
        <w:rPr>
          <w:rFonts w:ascii="Arial" w:cs="Arial" w:eastAsia="Arial" w:hAnsi="Arial"/>
          <w:sz w:val="22"/>
          <w:szCs w:val="22"/>
          <w:color w:val="auto"/>
        </w:rPr>
      </w:pPr>
    </w:p>
    <w:p>
      <w:pPr>
        <w:ind w:right="9740"/>
        <w:spacing w:after="0" w:line="237" w:lineRule="auto"/>
        <w:rPr>
          <w:rFonts w:ascii="Arial" w:cs="Arial" w:eastAsia="Arial" w:hAnsi="Arial"/>
          <w:sz w:val="22"/>
          <w:szCs w:val="22"/>
          <w:color w:val="auto"/>
        </w:rPr>
      </w:pPr>
      <w:r>
        <w:rPr>
          <w:rFonts w:ascii="Arial" w:cs="Arial" w:eastAsia="Arial" w:hAnsi="Arial"/>
          <w:sz w:val="22"/>
          <w:szCs w:val="22"/>
          <w:color w:val="auto"/>
        </w:rPr>
        <w:t>Southborough, MA 01772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Gregg:</w:t>
      </w:r>
    </w:p>
    <w:p>
      <w:pPr>
        <w:spacing w:after="0" w:line="260"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This letter is in reference to the Consulting Agreement between Cerulean Pharma Inc. ("Cerulean") and Danforth Advisors, LLC dated May 27, 2015 (the "Agreement"). Capitalized terms used herein and not otherwise defined shall have the meaning given such terms in the Agreement.</w:t>
      </w:r>
    </w:p>
    <w:p>
      <w:pPr>
        <w:spacing w:after="0" w:line="268"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As Cerulean desires your continued services, you and Cerulean hereby agree to an extension of the term of the Agreement through May 26, 2017.</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If this extension meets with your approval, please countersign a copy of this letter and return one copy to the undersigned.</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CERULEAN PHARMA INC.</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Christopher D. T. Guiffre</w:t>
            </w:r>
          </w:p>
        </w:tc>
      </w:tr>
      <w:tr>
        <w:trPr>
          <w:trHeight w:val="229"/>
        </w:trPr>
        <w:tc>
          <w:tcPr>
            <w:tcW w:w="840" w:type="dxa"/>
            <w:vAlign w:val="bottom"/>
          </w:tcPr>
          <w:p>
            <w:pPr>
              <w:spacing w:after="0"/>
              <w:rPr>
                <w:sz w:val="19"/>
                <w:szCs w:val="19"/>
                <w:color w:val="auto"/>
              </w:rPr>
            </w:pPr>
          </w:p>
        </w:tc>
        <w:tc>
          <w:tcPr>
            <w:tcW w:w="4220" w:type="dxa"/>
            <w:vAlign w:val="bottom"/>
          </w:tcPr>
          <w:p>
            <w:pPr>
              <w:spacing w:after="0" w:line="228" w:lineRule="exact"/>
              <w:rPr>
                <w:sz w:val="20"/>
                <w:szCs w:val="20"/>
                <w:color w:val="auto"/>
              </w:rPr>
            </w:pPr>
            <w:r>
              <w:rPr>
                <w:rFonts w:ascii="Arial" w:cs="Arial" w:eastAsia="Arial" w:hAnsi="Arial"/>
                <w:sz w:val="22"/>
                <w:szCs w:val="22"/>
                <w:color w:val="auto"/>
              </w:rPr>
              <w:t>Christopher D. T. Guiffre</w:t>
            </w:r>
          </w:p>
        </w:tc>
      </w:tr>
      <w:tr>
        <w:trPr>
          <w:trHeight w:val="275"/>
        </w:trPr>
        <w:tc>
          <w:tcPr>
            <w:tcW w:w="8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22"/>
                <w:szCs w:val="22"/>
                <w:color w:val="auto"/>
              </w:rPr>
              <w:t>President &amp; CEO</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Agreed to:</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DANFORTH ADVISORS, LLC</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Gregg Beloff</w:t>
            </w:r>
          </w:p>
        </w:tc>
      </w:tr>
      <w:tr>
        <w:trPr>
          <w:trHeight w:val="229"/>
        </w:trPr>
        <w:tc>
          <w:tcPr>
            <w:tcW w:w="840" w:type="dxa"/>
            <w:vAlign w:val="bottom"/>
          </w:tcPr>
          <w:p>
            <w:pPr>
              <w:spacing w:after="0"/>
              <w:rPr>
                <w:sz w:val="19"/>
                <w:szCs w:val="19"/>
                <w:color w:val="auto"/>
              </w:rPr>
            </w:pPr>
          </w:p>
        </w:tc>
        <w:tc>
          <w:tcPr>
            <w:tcW w:w="4220" w:type="dxa"/>
            <w:vAlign w:val="bottom"/>
          </w:tcPr>
          <w:p>
            <w:pPr>
              <w:spacing w:after="0" w:line="228" w:lineRule="exact"/>
              <w:rPr>
                <w:sz w:val="20"/>
                <w:szCs w:val="20"/>
                <w:color w:val="auto"/>
              </w:rPr>
            </w:pPr>
            <w:r>
              <w:rPr>
                <w:rFonts w:ascii="Arial" w:cs="Arial" w:eastAsia="Arial" w:hAnsi="Arial"/>
                <w:sz w:val="22"/>
                <w:szCs w:val="22"/>
                <w:color w:val="auto"/>
              </w:rPr>
              <w:t>Gregg Beloff</w:t>
            </w:r>
          </w:p>
        </w:tc>
      </w:tr>
      <w:tr>
        <w:trPr>
          <w:trHeight w:val="275"/>
        </w:trPr>
        <w:tc>
          <w:tcPr>
            <w:tcW w:w="84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80"/>
        <w:spacing w:after="0"/>
        <w:rPr>
          <w:sz w:val="20"/>
          <w:szCs w:val="20"/>
          <w:color w:val="auto"/>
        </w:rPr>
      </w:pPr>
      <w:r>
        <w:rPr>
          <w:rFonts w:ascii="Arial" w:cs="Arial" w:eastAsia="Arial" w:hAnsi="Arial"/>
          <w:sz w:val="15"/>
          <w:szCs w:val="15"/>
          <w:color w:val="3D6285"/>
        </w:rPr>
        <w:t>Cerulean Pharma Inc</w:t>
      </w:r>
      <w:r>
        <w:rPr>
          <w:rFonts w:ascii="Arial" w:cs="Arial" w:eastAsia="Arial" w:hAnsi="Arial"/>
          <w:sz w:val="15"/>
          <w:szCs w:val="15"/>
          <w:color w:val="5D728C"/>
        </w:rPr>
        <w:t>. |</w:t>
      </w:r>
      <w:r>
        <w:rPr>
          <w:rFonts w:ascii="Arial" w:cs="Arial" w:eastAsia="Arial" w:hAnsi="Arial"/>
          <w:sz w:val="15"/>
          <w:szCs w:val="15"/>
          <w:color w:val="3D6285"/>
        </w:rPr>
        <w:t xml:space="preserve"> 35 Gatehou</w:t>
      </w:r>
      <w:r>
        <w:rPr>
          <w:rFonts w:ascii="Arial" w:cs="Arial" w:eastAsia="Arial" w:hAnsi="Arial"/>
          <w:sz w:val="15"/>
          <w:szCs w:val="15"/>
          <w:color w:val="5D728C"/>
        </w:rPr>
        <w:t>se</w:t>
      </w:r>
      <w:r>
        <w:rPr>
          <w:rFonts w:ascii="Arial" w:cs="Arial" w:eastAsia="Arial" w:hAnsi="Arial"/>
          <w:sz w:val="15"/>
          <w:szCs w:val="15"/>
          <w:color w:val="3D6285"/>
        </w:rPr>
        <w:t xml:space="preserve"> Driv</w:t>
      </w:r>
      <w:r>
        <w:rPr>
          <w:rFonts w:ascii="Arial" w:cs="Arial" w:eastAsia="Arial" w:hAnsi="Arial"/>
          <w:sz w:val="15"/>
          <w:szCs w:val="15"/>
          <w:color w:val="5D728C"/>
        </w:rPr>
        <w:t>e</w:t>
      </w:r>
      <w:r>
        <w:rPr>
          <w:rFonts w:ascii="Arial" w:cs="Arial" w:eastAsia="Arial" w:hAnsi="Arial"/>
          <w:sz w:val="15"/>
          <w:szCs w:val="15"/>
          <w:color w:val="3D6285"/>
        </w:rPr>
        <w:t xml:space="preserve"> </w:t>
      </w:r>
      <w:r>
        <w:rPr>
          <w:rFonts w:ascii="Arial" w:cs="Arial" w:eastAsia="Arial" w:hAnsi="Arial"/>
          <w:sz w:val="19"/>
          <w:szCs w:val="19"/>
          <w:color w:val="607CAF"/>
        </w:rPr>
        <w:t>I</w:t>
      </w:r>
      <w:r>
        <w:rPr>
          <w:rFonts w:ascii="Arial" w:cs="Arial" w:eastAsia="Arial" w:hAnsi="Arial"/>
          <w:sz w:val="15"/>
          <w:szCs w:val="15"/>
          <w:color w:val="3D6285"/>
        </w:rPr>
        <w:t xml:space="preserve"> Waltham, MA 0245</w:t>
      </w:r>
      <w:r>
        <w:rPr>
          <w:rFonts w:ascii="Arial" w:cs="Arial" w:eastAsia="Arial" w:hAnsi="Arial"/>
          <w:sz w:val="15"/>
          <w:szCs w:val="15"/>
          <w:color w:val="165E89"/>
        </w:rPr>
        <w:t>1</w:t>
      </w:r>
      <w:r>
        <w:rPr>
          <w:rFonts w:ascii="Arial" w:cs="Arial" w:eastAsia="Arial" w:hAnsi="Arial"/>
          <w:sz w:val="15"/>
          <w:szCs w:val="15"/>
          <w:color w:val="3D6285"/>
        </w:rPr>
        <w:t xml:space="preserve"> </w:t>
      </w:r>
      <w:r>
        <w:rPr>
          <w:rFonts w:ascii="Arial" w:cs="Arial" w:eastAsia="Arial" w:hAnsi="Arial"/>
          <w:sz w:val="15"/>
          <w:szCs w:val="15"/>
          <w:color w:val="5D728C"/>
        </w:rPr>
        <w:t>1</w:t>
      </w:r>
      <w:r>
        <w:rPr>
          <w:rFonts w:ascii="Arial" w:cs="Arial" w:eastAsia="Arial" w:hAnsi="Arial"/>
          <w:sz w:val="15"/>
          <w:szCs w:val="15"/>
          <w:color w:val="3D6285"/>
        </w:rPr>
        <w:t xml:space="preserve">  P</w:t>
      </w:r>
      <w:r>
        <w:rPr>
          <w:rFonts w:ascii="Arial" w:cs="Arial" w:eastAsia="Arial" w:hAnsi="Arial"/>
          <w:sz w:val="15"/>
          <w:szCs w:val="15"/>
          <w:color w:val="5D728C"/>
        </w:rPr>
        <w:t>:</w:t>
      </w:r>
      <w:r>
        <w:rPr>
          <w:rFonts w:ascii="Arial" w:cs="Arial" w:eastAsia="Arial" w:hAnsi="Arial"/>
          <w:sz w:val="15"/>
          <w:szCs w:val="15"/>
          <w:color w:val="3D6285"/>
        </w:rPr>
        <w:t xml:space="preserve"> 78</w:t>
      </w:r>
      <w:r>
        <w:rPr>
          <w:rFonts w:ascii="Arial" w:cs="Arial" w:eastAsia="Arial" w:hAnsi="Arial"/>
          <w:sz w:val="15"/>
          <w:szCs w:val="15"/>
          <w:color w:val="165E89"/>
        </w:rPr>
        <w:t>1</w:t>
      </w:r>
      <w:r>
        <w:rPr>
          <w:rFonts w:ascii="Arial" w:cs="Arial" w:eastAsia="Arial" w:hAnsi="Arial"/>
          <w:sz w:val="15"/>
          <w:szCs w:val="15"/>
          <w:color w:val="2D4B64"/>
        </w:rPr>
        <w:t>-</w:t>
      </w:r>
      <w:r>
        <w:rPr>
          <w:rFonts w:ascii="Arial" w:cs="Arial" w:eastAsia="Arial" w:hAnsi="Arial"/>
          <w:sz w:val="15"/>
          <w:szCs w:val="15"/>
          <w:color w:val="3D6285"/>
        </w:rPr>
        <w:t xml:space="preserve">996-4300 </w:t>
      </w:r>
      <w:r>
        <w:rPr>
          <w:rFonts w:ascii="Arial" w:cs="Arial" w:eastAsia="Arial" w:hAnsi="Arial"/>
          <w:sz w:val="15"/>
          <w:szCs w:val="15"/>
          <w:color w:val="748090"/>
        </w:rPr>
        <w:t>1</w:t>
      </w:r>
      <w:r>
        <w:rPr>
          <w:rFonts w:ascii="Arial" w:cs="Arial" w:eastAsia="Arial" w:hAnsi="Arial"/>
          <w:sz w:val="15"/>
          <w:szCs w:val="15"/>
          <w:color w:val="3D6285"/>
        </w:rPr>
        <w:t xml:space="preserve"> F</w:t>
      </w:r>
      <w:r>
        <w:rPr>
          <w:rFonts w:ascii="Arial" w:cs="Arial" w:eastAsia="Arial" w:hAnsi="Arial"/>
          <w:sz w:val="15"/>
          <w:szCs w:val="15"/>
          <w:color w:val="5D728C"/>
        </w:rPr>
        <w:t>:</w:t>
      </w:r>
      <w:r>
        <w:rPr>
          <w:rFonts w:ascii="Arial" w:cs="Arial" w:eastAsia="Arial" w:hAnsi="Arial"/>
          <w:sz w:val="15"/>
          <w:szCs w:val="15"/>
          <w:color w:val="3D6285"/>
        </w:rPr>
        <w:t xml:space="preserve"> 844</w:t>
      </w:r>
      <w:r>
        <w:rPr>
          <w:rFonts w:ascii="Arial" w:cs="Arial" w:eastAsia="Arial" w:hAnsi="Arial"/>
          <w:sz w:val="15"/>
          <w:szCs w:val="15"/>
          <w:color w:val="165E89"/>
        </w:rPr>
        <w:t>-</w:t>
      </w:r>
      <w:r>
        <w:rPr>
          <w:rFonts w:ascii="Arial" w:cs="Arial" w:eastAsia="Arial" w:hAnsi="Arial"/>
          <w:sz w:val="15"/>
          <w:szCs w:val="15"/>
          <w:color w:val="3D6285"/>
        </w:rPr>
        <w:t>894</w:t>
      </w:r>
      <w:r>
        <w:rPr>
          <w:rFonts w:ascii="Arial" w:cs="Arial" w:eastAsia="Arial" w:hAnsi="Arial"/>
          <w:sz w:val="15"/>
          <w:szCs w:val="15"/>
          <w:color w:val="165E89"/>
        </w:rPr>
        <w:t>-</w:t>
      </w:r>
      <w:r>
        <w:rPr>
          <w:rFonts w:ascii="Arial" w:cs="Arial" w:eastAsia="Arial" w:hAnsi="Arial"/>
          <w:sz w:val="15"/>
          <w:szCs w:val="15"/>
          <w:color w:val="3D6285"/>
        </w:rPr>
        <w:t>2378</w:t>
      </w:r>
    </w:p>
    <w:p>
      <w:pPr>
        <w:sectPr>
          <w:pgSz w:w="11900" w:h="16838" w:orient="portrait"/>
          <w:cols w:equalWidth="0" w:num="1">
            <w:col w:w="11420"/>
          </w:cols>
          <w:pgMar w:left="240" w:top="11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NON-EMPLOYEE DIRECTOR COMPENSATION POLICY</w:t>
      </w:r>
    </w:p>
    <w:p>
      <w:pPr>
        <w:spacing w:after="0" w:line="229" w:lineRule="exact"/>
        <w:rPr>
          <w:sz w:val="20"/>
          <w:szCs w:val="20"/>
          <w:color w:val="auto"/>
        </w:rPr>
      </w:pPr>
    </w:p>
    <w:p>
      <w:pPr>
        <w:jc w:val="both"/>
        <w:ind w:right="140" w:firstLine="598"/>
        <w:spacing w:after="0" w:line="276" w:lineRule="auto"/>
        <w:rPr>
          <w:sz w:val="20"/>
          <w:szCs w:val="20"/>
          <w:color w:val="auto"/>
        </w:rPr>
      </w:pPr>
      <w:r>
        <w:rPr>
          <w:rFonts w:ascii="Arial" w:cs="Arial" w:eastAsia="Arial" w:hAnsi="Arial"/>
          <w:sz w:val="17"/>
          <w:szCs w:val="17"/>
          <w:color w:val="auto"/>
        </w:rPr>
        <w:t>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Cerulean Pharma Inc. (the “</w:t>
      </w:r>
      <w:r>
        <w:rPr>
          <w:rFonts w:ascii="Arial" w:cs="Arial" w:eastAsia="Arial" w:hAnsi="Arial"/>
          <w:sz w:val="17"/>
          <w:szCs w:val="17"/>
          <w:u w:val="single" w:color="auto"/>
          <w:color w:val="auto"/>
        </w:rPr>
        <w:t>Company</w:t>
      </w:r>
      <w:r>
        <w:rPr>
          <w:rFonts w:ascii="Arial" w:cs="Arial" w:eastAsia="Arial" w:hAnsi="Arial"/>
          <w:sz w:val="17"/>
          <w:szCs w:val="17"/>
          <w:color w:val="auto"/>
        </w:rPr>
        <w:t>”) has approved a non-employee director compensation policy. Under this non-employee director compensation policy, the Company will pay its non-employee directors retainers in cash, unless a director elects to receive his or her retainer for a given calendar year in the form of awards of unrestricted shares of the Company’s common stock, as described below. Each non-employee director will receive a retainer for service on the Board and for service on each committee of which the director is a member. The chairmen of the Board and of each committee will receive higher retainers for such service. The amounts of the retainers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Borders>
              <w:bottom w:val="single" w:sz="8" w:color="auto"/>
            </w:tcBorders>
          </w:tcPr>
          <w:p>
            <w:pPr>
              <w:spacing w:after="0"/>
              <w:rPr>
                <w:sz w:val="20"/>
                <w:szCs w:val="20"/>
                <w:color w:val="auto"/>
              </w:rPr>
            </w:pPr>
          </w:p>
        </w:tc>
        <w:tc>
          <w:tcPr>
            <w:tcW w:w="240" w:type="dxa"/>
            <w:vAlign w:val="bottom"/>
            <w:tcBorders>
              <w:bottom w:val="single" w:sz="8" w:color="CCECFF"/>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940" w:type="dxa"/>
            <w:vAlign w:val="bottom"/>
            <w:tcBorders>
              <w:bottom w:val="single" w:sz="8" w:color="CCECFF"/>
            </w:tcBorders>
            <w:gridSpan w:val="3"/>
          </w:tcPr>
          <w:p>
            <w:pPr>
              <w:ind w:left="260"/>
              <w:spacing w:after="0"/>
              <w:rPr>
                <w:sz w:val="20"/>
                <w:szCs w:val="20"/>
                <w:color w:val="auto"/>
              </w:rPr>
            </w:pPr>
            <w:r>
              <w:rPr>
                <w:rFonts w:ascii="Arial" w:cs="Arial" w:eastAsia="Arial" w:hAnsi="Arial"/>
                <w:sz w:val="18"/>
                <w:szCs w:val="18"/>
                <w:b w:val="1"/>
                <w:bCs w:val="1"/>
                <w:color w:val="auto"/>
              </w:rPr>
              <w:t>Annual Retainer ($)</w:t>
            </w:r>
          </w:p>
        </w:tc>
      </w:tr>
      <w:tr>
        <w:trPr>
          <w:trHeight w:val="223"/>
        </w:trPr>
        <w:tc>
          <w:tcPr>
            <w:tcW w:w="7840" w:type="dxa"/>
            <w:vAlign w:val="bottom"/>
            <w:shd w:val="clear" w:color="auto" w:fill="CCECFF"/>
          </w:tcPr>
          <w:p>
            <w:pPr>
              <w:spacing w:after="0"/>
              <w:rPr>
                <w:sz w:val="20"/>
                <w:szCs w:val="20"/>
                <w:color w:val="auto"/>
              </w:rPr>
            </w:pPr>
            <w:r>
              <w:rPr>
                <w:rFonts w:ascii="Arial" w:cs="Arial" w:eastAsia="Arial" w:hAnsi="Arial"/>
                <w:sz w:val="18"/>
                <w:szCs w:val="18"/>
                <w:i w:val="1"/>
                <w:iCs w:val="1"/>
                <w:color w:val="auto"/>
              </w:rPr>
              <w:t>Board of Directors</w:t>
            </w:r>
          </w:p>
        </w:tc>
        <w:tc>
          <w:tcPr>
            <w:tcW w:w="240" w:type="dxa"/>
            <w:vAlign w:val="bottom"/>
            <w:shd w:val="clear" w:color="auto" w:fill="CCECFF"/>
          </w:tcPr>
          <w:p>
            <w:pPr>
              <w:spacing w:after="0"/>
              <w:rPr>
                <w:sz w:val="19"/>
                <w:szCs w:val="19"/>
                <w:color w:val="auto"/>
              </w:rPr>
            </w:pPr>
          </w:p>
        </w:tc>
        <w:tc>
          <w:tcPr>
            <w:tcW w:w="140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4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r>
      <w:tr>
        <w:trPr>
          <w:trHeight w:val="230"/>
        </w:trPr>
        <w:tc>
          <w:tcPr>
            <w:tcW w:w="8080" w:type="dxa"/>
            <w:vAlign w:val="bottom"/>
            <w:gridSpan w:val="2"/>
          </w:tcPr>
          <w:p>
            <w:pPr>
              <w:ind w:left="240"/>
              <w:spacing w:after="0"/>
              <w:rPr>
                <w:sz w:val="20"/>
                <w:szCs w:val="20"/>
                <w:color w:val="auto"/>
              </w:rPr>
            </w:pPr>
            <w:r>
              <w:rPr>
                <w:rFonts w:ascii="Arial" w:cs="Arial" w:eastAsia="Arial" w:hAnsi="Arial"/>
                <w:sz w:val="18"/>
                <w:szCs w:val="18"/>
                <w:color w:val="auto"/>
              </w:rPr>
              <w:t>Chairman</w:t>
            </w:r>
          </w:p>
        </w:tc>
        <w:tc>
          <w:tcPr>
            <w:tcW w:w="140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9"/>
                <w:szCs w:val="19"/>
                <w:color w:val="auto"/>
              </w:rPr>
            </w:pPr>
          </w:p>
        </w:tc>
      </w:tr>
      <w:tr>
        <w:trPr>
          <w:trHeight w:val="230"/>
        </w:trPr>
        <w:tc>
          <w:tcPr>
            <w:tcW w:w="808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Member</w:t>
            </w:r>
          </w:p>
        </w:tc>
        <w:tc>
          <w:tcPr>
            <w:tcW w:w="1400" w:type="dxa"/>
            <w:vAlign w:val="bottom"/>
            <w:shd w:val="clear" w:color="auto" w:fill="CCECFF"/>
          </w:tcPr>
          <w:p>
            <w:pPr>
              <w:spacing w:after="0"/>
              <w:rPr>
                <w:sz w:val="19"/>
                <w:szCs w:val="19"/>
                <w:color w:val="auto"/>
              </w:rPr>
            </w:pPr>
          </w:p>
        </w:tc>
        <w:tc>
          <w:tcPr>
            <w:tcW w:w="18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CFF"/>
          </w:tcPr>
          <w:p>
            <w:pPr>
              <w:spacing w:after="0"/>
              <w:rPr>
                <w:sz w:val="19"/>
                <w:szCs w:val="19"/>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i w:val="1"/>
                <w:iCs w:val="1"/>
                <w:color w:val="auto"/>
              </w:rPr>
              <w:t>Committees of the Board of Directors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8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Audit</w:t>
            </w:r>
          </w:p>
        </w:tc>
        <w:tc>
          <w:tcPr>
            <w:tcW w:w="1400" w:type="dxa"/>
            <w:vAlign w:val="bottom"/>
            <w:shd w:val="clear" w:color="auto" w:fill="CCECFF"/>
          </w:tcPr>
          <w:p>
            <w:pPr>
              <w:spacing w:after="0"/>
              <w:rPr>
                <w:sz w:val="20"/>
                <w:szCs w:val="20"/>
                <w:color w:val="auto"/>
              </w:rPr>
            </w:pPr>
            <w:r>
              <w:rPr>
                <w:rFonts w:ascii="Arial" w:cs="Arial" w:eastAsia="Arial" w:hAnsi="Arial"/>
                <w:sz w:val="18"/>
                <w:szCs w:val="18"/>
                <w:color w:val="auto"/>
              </w:rPr>
              <w:t>Chair</w:t>
            </w:r>
          </w:p>
        </w:tc>
        <w:tc>
          <w:tcPr>
            <w:tcW w:w="18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CFF"/>
          </w:tcPr>
          <w:p>
            <w:pPr>
              <w:spacing w:after="0"/>
              <w:rPr>
                <w:sz w:val="19"/>
                <w:szCs w:val="19"/>
                <w:color w:val="auto"/>
              </w:rPr>
            </w:pPr>
          </w:p>
        </w:tc>
      </w:tr>
      <w:tr>
        <w:trPr>
          <w:trHeight w:val="230"/>
        </w:trPr>
        <w:tc>
          <w:tcPr>
            <w:tcW w:w="7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Member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r>
      <w:tr>
        <w:trPr>
          <w:trHeight w:val="230"/>
        </w:trPr>
        <w:tc>
          <w:tcPr>
            <w:tcW w:w="808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Compensation</w:t>
            </w:r>
          </w:p>
        </w:tc>
        <w:tc>
          <w:tcPr>
            <w:tcW w:w="1400" w:type="dxa"/>
            <w:vAlign w:val="bottom"/>
            <w:shd w:val="clear" w:color="auto" w:fill="CCECFF"/>
          </w:tcPr>
          <w:p>
            <w:pPr>
              <w:spacing w:after="0"/>
              <w:rPr>
                <w:sz w:val="20"/>
                <w:szCs w:val="20"/>
                <w:color w:val="auto"/>
              </w:rPr>
            </w:pPr>
            <w:r>
              <w:rPr>
                <w:rFonts w:ascii="Arial" w:cs="Arial" w:eastAsia="Arial" w:hAnsi="Arial"/>
                <w:sz w:val="18"/>
                <w:szCs w:val="18"/>
                <w:color w:val="auto"/>
              </w:rPr>
              <w:t>Chair</w:t>
            </w:r>
          </w:p>
        </w:tc>
        <w:tc>
          <w:tcPr>
            <w:tcW w:w="18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CFF"/>
          </w:tcPr>
          <w:p>
            <w:pPr>
              <w:spacing w:after="0"/>
              <w:rPr>
                <w:sz w:val="19"/>
                <w:szCs w:val="19"/>
                <w:color w:val="auto"/>
              </w:rPr>
            </w:pPr>
          </w:p>
        </w:tc>
      </w:tr>
      <w:tr>
        <w:trPr>
          <w:trHeight w:val="230"/>
        </w:trPr>
        <w:tc>
          <w:tcPr>
            <w:tcW w:w="7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Member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808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Nominating and Corporate Governance</w:t>
            </w:r>
          </w:p>
        </w:tc>
        <w:tc>
          <w:tcPr>
            <w:tcW w:w="1400" w:type="dxa"/>
            <w:vAlign w:val="bottom"/>
            <w:shd w:val="clear" w:color="auto" w:fill="CCECFF"/>
          </w:tcPr>
          <w:p>
            <w:pPr>
              <w:spacing w:after="0"/>
              <w:rPr>
                <w:sz w:val="20"/>
                <w:szCs w:val="20"/>
                <w:color w:val="auto"/>
              </w:rPr>
            </w:pPr>
            <w:r>
              <w:rPr>
                <w:rFonts w:ascii="Arial" w:cs="Arial" w:eastAsia="Arial" w:hAnsi="Arial"/>
                <w:sz w:val="18"/>
                <w:szCs w:val="18"/>
                <w:color w:val="auto"/>
              </w:rPr>
              <w:t>Chair</w:t>
            </w:r>
          </w:p>
        </w:tc>
        <w:tc>
          <w:tcPr>
            <w:tcW w:w="18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CFF"/>
          </w:tcPr>
          <w:p>
            <w:pPr>
              <w:spacing w:after="0"/>
              <w:rPr>
                <w:sz w:val="19"/>
                <w:szCs w:val="19"/>
                <w:color w:val="auto"/>
              </w:rPr>
            </w:pPr>
          </w:p>
        </w:tc>
      </w:tr>
      <w:tr>
        <w:trPr>
          <w:trHeight w:val="230"/>
        </w:trPr>
        <w:tc>
          <w:tcPr>
            <w:tcW w:w="7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Member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r>
      <w:tr>
        <w:trPr>
          <w:trHeight w:val="230"/>
        </w:trPr>
        <w:tc>
          <w:tcPr>
            <w:tcW w:w="808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Clinical Advisory</w:t>
            </w:r>
          </w:p>
        </w:tc>
        <w:tc>
          <w:tcPr>
            <w:tcW w:w="1400" w:type="dxa"/>
            <w:vAlign w:val="bottom"/>
            <w:shd w:val="clear" w:color="auto" w:fill="CCECFF"/>
          </w:tcPr>
          <w:p>
            <w:pPr>
              <w:spacing w:after="0"/>
              <w:rPr>
                <w:sz w:val="20"/>
                <w:szCs w:val="20"/>
                <w:color w:val="auto"/>
              </w:rPr>
            </w:pPr>
            <w:r>
              <w:rPr>
                <w:rFonts w:ascii="Arial" w:cs="Arial" w:eastAsia="Arial" w:hAnsi="Arial"/>
                <w:sz w:val="18"/>
                <w:szCs w:val="18"/>
                <w:color w:val="auto"/>
              </w:rPr>
              <w:t>Chair</w:t>
            </w:r>
          </w:p>
        </w:tc>
        <w:tc>
          <w:tcPr>
            <w:tcW w:w="18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CFF"/>
          </w:tcPr>
          <w:p>
            <w:pPr>
              <w:spacing w:after="0"/>
              <w:rPr>
                <w:sz w:val="19"/>
                <w:szCs w:val="19"/>
                <w:color w:val="auto"/>
              </w:rPr>
            </w:pPr>
          </w:p>
        </w:tc>
      </w:tr>
      <w:tr>
        <w:trPr>
          <w:trHeight w:val="230"/>
        </w:trPr>
        <w:tc>
          <w:tcPr>
            <w:tcW w:w="7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Member</w:t>
            </w:r>
          </w:p>
        </w:tc>
        <w:tc>
          <w:tcPr>
            <w:tcW w:w="3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r>
    </w:tbl>
    <w:p>
      <w:pPr>
        <w:spacing w:after="0" w:line="202"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These retainers are payable in arrears in four equal quarterly installments on the last day of each quarter, provided that the amount of such payment shall be prorated for any portion of such quarter during which the director was not serving. The Company will also reimburse its non-employee directors for reasonable travel and other expenses incurred in connection with attending Board and committee meetings.</w:t>
      </w:r>
    </w:p>
    <w:p>
      <w:pPr>
        <w:spacing w:after="0" w:line="18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Each non-employee director may elect to receive up to 100% of these retainers in the form of awards of unrestricted shares of the Company’s common stock, issued on the last day of each quarter for a number of shares of the Company’s common stock equal to (x) the amount of the cash retainer that would otherwise have been payable to such director on the date of grant divided by (y) the fair market value of the Company’s common stock on the date of grant. Directors wishing to make this election for a given calendar year must make the election on or before the last day of the prior calendar year, except that the election with respect to calendar year 2016 and in any year in which a director is newly elected must be made on or before June 30</w:t>
      </w:r>
      <w:r>
        <w:rPr>
          <w:rFonts w:ascii="Arial" w:cs="Arial" w:eastAsia="Arial" w:hAnsi="Arial"/>
          <w:sz w:val="15"/>
          <w:szCs w:val="15"/>
          <w:color w:val="auto"/>
        </w:rPr>
        <w:t>th</w:t>
      </w:r>
      <w:r>
        <w:rPr>
          <w:rFonts w:ascii="Arial" w:cs="Arial" w:eastAsia="Arial" w:hAnsi="Arial"/>
          <w:sz w:val="18"/>
          <w:szCs w:val="18"/>
          <w:color w:val="auto"/>
        </w:rPr>
        <w:t xml:space="preserve"> of such year or such other date as determined by the Board.</w:t>
      </w:r>
    </w:p>
    <w:p>
      <w:pPr>
        <w:spacing w:after="0" w:line="193"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Each director newly elected to the Board will receive an initial option to purchase 22,000 shares of the Company’s common stock. Each of these options will vest as to one-third of the shares of our common stock underlying such option on each anniversary of the grant date until the third anniversary of the grant date, subject to the director’s continued service as a director, and will become exercisable in full upon a change in control of the Company. Further, on the date of each annual meeting of stockholders, each director that has served on the Board for at least six months will receive an option to purchase 20,000 shares of the Company’s common stock. Each of these options will vest in full on the earlier of the first anniversary of the date of grant or immediately prior to the Company’s first annual meeting of stockholders occurring after the date of grant, subject to the director’s continued service as a director, and will become exercisable in full upon a change in control of the Company.</w:t>
      </w:r>
    </w:p>
    <w:p>
      <w:pPr>
        <w:spacing w:after="0" w:line="178"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exercise prices of the options granted under the Company’s non-employee director compensation policy will equal the fair market value of the Company’s common stock on the date of grant.</w:t>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D.T. Guiffre, certify that:</w:t>
      </w:r>
    </w:p>
    <w:p>
      <w:pPr>
        <w:spacing w:after="0" w:line="117"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Cerulean Pharma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2180" w:right="40" w:hanging="511"/>
        <w:spacing w:after="0" w:line="286" w:lineRule="auto"/>
        <w:tabs>
          <w:tab w:leader="none" w:pos="21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2180" w:right="240" w:hanging="511"/>
        <w:spacing w:after="0" w:line="264" w:lineRule="auto"/>
        <w:tabs>
          <w:tab w:leader="none" w:pos="21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180" w:right="280" w:hanging="511"/>
        <w:spacing w:after="0" w:line="312" w:lineRule="auto"/>
        <w:tabs>
          <w:tab w:leader="none" w:pos="21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040" w:right="204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180" w:right="20" w:hanging="511"/>
        <w:spacing w:after="0" w:line="264" w:lineRule="auto"/>
        <w:tabs>
          <w:tab w:leader="none" w:pos="21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180" w:right="40" w:hanging="511"/>
        <w:spacing w:after="0" w:line="277" w:lineRule="auto"/>
        <w:tabs>
          <w:tab w:leader="none" w:pos="21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D.T.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117"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Cerulean Pharma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2180" w:right="40" w:hanging="511"/>
        <w:spacing w:after="0" w:line="286" w:lineRule="auto"/>
        <w:tabs>
          <w:tab w:leader="none" w:pos="21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2180" w:right="240" w:hanging="511"/>
        <w:spacing w:after="0" w:line="264" w:lineRule="auto"/>
        <w:tabs>
          <w:tab w:leader="none" w:pos="21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180" w:right="280" w:hanging="511"/>
        <w:spacing w:after="0" w:line="312" w:lineRule="auto"/>
        <w:tabs>
          <w:tab w:leader="none" w:pos="21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040" w:right="204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180" w:right="20" w:hanging="511"/>
        <w:spacing w:after="0" w:line="264" w:lineRule="auto"/>
        <w:tabs>
          <w:tab w:leader="none" w:pos="21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180" w:right="40" w:hanging="511"/>
        <w:spacing w:after="0" w:line="277" w:lineRule="auto"/>
        <w:tabs>
          <w:tab w:leader="none" w:pos="21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Gregg Beloff</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Quarterly Report on Form 10-Q of Cerulean Pharma Inc. (the “Company”) for the fiscal quarter ended June 30, 2016, as filed with the Securities and Exchange Commission on the date hereof (the “Report”), the undersigned, Christopher D.T. Guiffre, President and Chief Executive Officer of the Company, hereby certifies, pursuant to 18 U.S.C. Section 1350, that, to his knowledge on the date hereof:</w:t>
      </w:r>
    </w:p>
    <w:p>
      <w:pPr>
        <w:spacing w:after="0" w:line="181" w:lineRule="exact"/>
        <w:rPr>
          <w:sz w:val="20"/>
          <w:szCs w:val="20"/>
          <w:color w:val="auto"/>
        </w:rPr>
      </w:pPr>
    </w:p>
    <w:p>
      <w:pPr>
        <w:ind w:left="780" w:hanging="254"/>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526"/>
        <w:spacing w:after="0" w:line="516" w:lineRule="auto"/>
        <w:tabs>
          <w:tab w:leader="none" w:pos="7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4, 2016</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D.T.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on Form 10-Q of Cerulean Pharma Inc. (the “Company”) for the fiscal quarter ended June 30, 2016, as filed with the Securities and Exchange Commission on the date hereof (the “Report”), the undersigned, Gregg Beloff, Interim Chief Financial Officer of the Company, hereby certifies, pursuant to 18 U.S.C. Section 1350, that, to his knowledge on the date hereof:</w:t>
      </w:r>
    </w:p>
    <w:p>
      <w:pPr>
        <w:spacing w:after="0" w:line="181" w:lineRule="exact"/>
        <w:rPr>
          <w:sz w:val="20"/>
          <w:szCs w:val="20"/>
          <w:color w:val="auto"/>
        </w:rPr>
      </w:pPr>
    </w:p>
    <w:p>
      <w:pPr>
        <w:ind w:left="780" w:hanging="25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526"/>
        <w:spacing w:after="0" w:line="516" w:lineRule="auto"/>
        <w:tabs>
          <w:tab w:leader="none" w:pos="7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4, 2016</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Gregg Beloff</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decimal"/>
      <w:start w:val="6"/>
    </w:lvl>
  </w:abstractNum>
  <w:abstractNum w:abstractNumId="8">
    <w:nsid w:val="3A95F874"/>
    <w:multiLevelType w:val="hybridMultilevel"/>
    <w:lvl w:ilvl="0">
      <w:lvlJc w:val="left"/>
      <w:lvlText w:val="%1."/>
      <w:numFmt w:val="decimal"/>
      <w:start w:val="7"/>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lvl w:ilvl="1">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emdash "/>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lowerRoman"/>
      <w:start w:val="2"/>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9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2019-12-29T10:16:27Z</dcterms:created>
  <dcterms:modified xsi:type="dcterms:W3CDTF">2019-12-29T10:16:27Z</dcterms:modified>
</cp:coreProperties>
</file>