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spacing w:lineRule="auto" w:line="288" w:before="40" w:after="283"/>
        <w:rPr>
          <w:rFonts w:ascii="Arial;sans-serif" w:hAnsi="Arial;sans-serif"/>
          <w:b/>
          <w:color w:val="000000"/>
          <w:sz w:val="20"/>
        </w:rPr>
      </w:pPr>
      <w:r>
        <w:rPr>
          <w:rFonts w:ascii="Arial;sans-serif" w:hAnsi="Arial;sans-serif"/>
          <w:b/>
          <w:color w:val="000000"/>
          <w:sz w:val="20"/>
        </w:rPr>
        <w:t>(Mark One)</w:t>
      </w:r>
    </w:p>
    <w:tbl>
      <w:tblPr>
        <w:tblW w:w="10511" w:type="dxa"/>
        <w:jc w:val="left"/>
        <w:tblInd w:w="0" w:type="dxa"/>
        <w:tblCellMar>
          <w:top w:w="28" w:type="dxa"/>
          <w:left w:w="28" w:type="dxa"/>
          <w:bottom w:w="28" w:type="dxa"/>
          <w:right w:w="28" w:type="dxa"/>
        </w:tblCellMar>
      </w:tblPr>
      <w:tblGrid>
        <w:gridCol w:w="124"/>
        <w:gridCol w:w="109"/>
        <w:gridCol w:w="109"/>
        <w:gridCol w:w="2973"/>
        <w:gridCol w:w="2973"/>
        <w:gridCol w:w="4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4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1016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March 31, 2023 </w:t>
      </w:r>
    </w:p>
    <w:p>
      <w:pPr>
        <w:pStyle w:val="TextBody"/>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497" w:type="dxa"/>
        <w:jc w:val="center"/>
        <w:tblInd w:w="0" w:type="dxa"/>
        <w:tblCellMar>
          <w:top w:w="28" w:type="dxa"/>
          <w:left w:w="28" w:type="dxa"/>
          <w:bottom w:w="28" w:type="dxa"/>
          <w:right w:w="28" w:type="dxa"/>
        </w:tblCellMar>
      </w:tblPr>
      <w:tblGrid>
        <w:gridCol w:w="124"/>
        <w:gridCol w:w="109"/>
        <w:gridCol w:w="109"/>
        <w:gridCol w:w="2972"/>
        <w:gridCol w:w="2972"/>
        <w:gridCol w:w="42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c>
          <w:tcPr>
            <w:tcW w:w="42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101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Commission File Number: 001-36395</w:t>
      </w:r>
    </w:p>
    <w:p>
      <w:pPr>
        <w:pStyle w:val="TextBody"/>
        <w:spacing w:before="0" w:after="0"/>
        <w:jc w:val="center"/>
        <w:rPr/>
      </w:pPr>
      <w:r>
        <w:rPr/>
        <w:drawing>
          <wp:inline distT="0" distB="63500" distL="0" distR="0">
            <wp:extent cx="2247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933450"/>
                    </a:xfrm>
                    <a:prstGeom prst="rect">
                      <a:avLst/>
                    </a:prstGeom>
                  </pic:spPr>
                </pic:pic>
              </a:graphicData>
            </a:graphic>
          </wp:inline>
        </w:drawing>
      </w:r>
    </w:p>
    <w:tbl>
      <w:tblPr>
        <w:tblW w:w="10539" w:type="dxa"/>
        <w:jc w:val="center"/>
        <w:tblInd w:w="0" w:type="dxa"/>
        <w:tblCellMar>
          <w:top w:w="28" w:type="dxa"/>
          <w:left w:w="28" w:type="dxa"/>
          <w:bottom w:w="28" w:type="dxa"/>
          <w:right w:w="28" w:type="dxa"/>
        </w:tblCellMar>
      </w:tblPr>
      <w:tblGrid>
        <w:gridCol w:w="1084"/>
        <w:gridCol w:w="951"/>
        <w:gridCol w:w="957"/>
        <w:gridCol w:w="1382"/>
        <w:gridCol w:w="1382"/>
        <w:gridCol w:w="1383"/>
        <w:gridCol w:w="994"/>
        <w:gridCol w:w="994"/>
        <w:gridCol w:w="1412"/>
      </w:tblGrid>
      <w:tr>
        <w:trPr/>
        <w:tc>
          <w:tcPr>
            <w:tcW w:w="108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r>
      <w:tr>
        <w:trPr/>
        <w:tc>
          <w:tcPr>
            <w:tcW w:w="2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14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4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539" w:type="dxa"/>
            <w:gridSpan w:val="9"/>
            <w:tcBorders/>
            <w:shd w:fill="auto" w:val="clear"/>
            <w:tcMar>
              <w:top w:w="0" w:type="dxa"/>
              <w:left w:w="0" w:type="dxa"/>
              <w:bottom w:w="0" w:type="dxa"/>
              <w:right w:w="0" w:type="dxa"/>
            </w:tcMar>
            <w:vAlign w:val="center"/>
          </w:tcPr>
          <w:p>
            <w:pPr>
              <w:pStyle w:val="TableContents"/>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9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9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tbl>
      <w:tblPr>
        <w:tblW w:w="6032" w:type="dxa"/>
        <w:jc w:val="center"/>
        <w:tblInd w:w="0" w:type="dxa"/>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60" w:after="283"/>
        <w:ind w:left="0" w:right="0" w:firstLine="360"/>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May 10, 2023, 86,284,827 shares of the Registrant’s Common Stock, par value $0.0001, were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46050"/>
                <wp:effectExtent l="0" t="0" r="0" b="0"/>
                <wp:wrapNone/>
                <wp:docPr id="2" name="Frame1"/>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and continue as a going concern;</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Inability to demonstrate sufficient safety and efficacy of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timely supply of XACIATO™ and our clinical trial supplies, including their components as well as the finished product, in the quantities needed in accordance with current good manufacturing practices, our specifications and other applicable requirements;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conduct nonclinical studies and clinical trials of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Our failure, or a failure of a strategic collaborator, to successfully commercialize our product candidates, if approved, or our failure to otherwise monetize our portfolio programs and assets;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timing and amount of future royalty and milestone payments to us, if any, under our out-license agreements for commercialization of XACIATO and Ovaprene®;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Termination by a collaborator of our respective out-license agreements for commercialization of XACIATO and Ovaprene, or, in the case of Ovaprene, a decision by the collaborator not to make the license grant fully effective following its review of the results of a pivotal clinical trial of Ovaprene;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performance of third parties on which we rely to commercialize, or assist us in commercializing, XACIATO and any future product;</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Difficulties with maintaining existing collaborations relating to the development and/or commercialization of our product candidates, or establishing new ones on a timely basis or on acceptable terms, or at all;</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The degree of market acceptance that XACIATO and any future product achieves;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Federal Food, Drug, and Cosmetic Act, or the FDA's 505(b)(2) pathway;</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Loss or impairment of our in-licensed rights to develop and commercialize XACIATO and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Our payment and other obligations under our in-license and acquisition agreements for XACIATO and our product candidates;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Developments by our competitors that make XACIATO, or any potential product we develop, less competitive or obsolete;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Macroeconomic factors, including inflation, interest rates and recessionary pressures, geopolitical conflicts and events, public health emergencies such as the COVID-19 pandemic and any future pandemic, epidemic, or similar public health threat or natural disasters;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our product candidates that expose them to competition from other formulations using the same active ingredients; </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Dependence on grant funding for pre-clinical development of DARE-LARC1;</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Price and volume fluctuations in the stock market, and in our stock in particular, which could cause investors to experience losses and subject us to securities class-action litigation;</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4"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spacing w:lineRule="auto" w:line="288" w:before="0" w:after="12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75260"/>
                <wp:effectExtent l="0" t="0" r="0" b="0"/>
                <wp:wrapNone/>
                <wp:docPr id="5"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3">
              <w:r>
                <w:rPr>
                  <w:rStyle w:val="InternetLink"/>
                  <w:rFonts w:ascii="Arial;sans-serif" w:hAnsi="Arial;sans-serif"/>
                  <w:b/>
                  <w:color w:val="0000FF"/>
                  <w:sz w:val="20"/>
                  <w:u w:val="single"/>
                </w:rPr>
                <w:t>PART I. FINANCIAL INFORMATION</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3">
              <w:r>
                <w:rPr>
                  <w:rStyle w:val="InternetLink"/>
                  <w:rFonts w:ascii="Arial;sans-serif" w:hAnsi="Arial;sans-serif"/>
                  <w:b w:val="false"/>
                  <w:color w:val="0000FF"/>
                  <w:sz w:val="20"/>
                  <w:u w:val="single"/>
                </w:rPr>
                <w:t>1</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64">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64">
              <w:r>
                <w:rPr>
                  <w:rStyle w:val="InternetLink"/>
                  <w:rFonts w:ascii="Arial;sans-serif" w:hAnsi="Arial;sans-serif"/>
                  <w:b w:val="false"/>
                  <w:color w:val="0000FF"/>
                  <w:sz w:val="20"/>
                  <w:u w:val="single"/>
                </w:rPr>
                <w:t>21</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88">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88">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91">
              <w:r>
                <w:rPr>
                  <w:rStyle w:val="InternetLink"/>
                  <w:rFonts w:ascii="Arial;sans-serif" w:hAnsi="Arial;sans-serif"/>
                  <w:b w:val="false"/>
                  <w:color w:val="0000FF"/>
                  <w:sz w:val="20"/>
                  <w:u w:val="single"/>
                </w:rPr>
                <w:t>Controls and Procedures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91">
              <w:r>
                <w:rPr>
                  <w:rStyle w:val="InternetLink"/>
                  <w:rFonts w:ascii="Arial;sans-serif" w:hAnsi="Arial;sans-serif"/>
                  <w:b w:val="false"/>
                  <w:color w:val="0000FF"/>
                  <w:sz w:val="20"/>
                  <w:u w:val="single"/>
                </w:rPr>
                <w:t>34</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94">
              <w:r>
                <w:rPr>
                  <w:rStyle w:val="InternetLink"/>
                  <w:rFonts w:ascii="Arial;sans-serif" w:hAnsi="Arial;sans-serif"/>
                  <w:b/>
                  <w:color w:val="0000FF"/>
                  <w:sz w:val="20"/>
                  <w:u w:val="single"/>
                </w:rPr>
                <w:t>PART II. OTHER INFORMATION</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97">
              <w:r>
                <w:rPr>
                  <w:rStyle w:val="InternetLink"/>
                  <w:rFonts w:ascii="Arial;sans-serif" w:hAnsi="Arial;sans-serif"/>
                  <w:b w:val="false"/>
                  <w:color w:val="0000FF"/>
                  <w:sz w:val="20"/>
                  <w:u w:val="single"/>
                </w:rPr>
                <w:t>Legal Proceedings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97">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00">
              <w:r>
                <w:rPr>
                  <w:rStyle w:val="InternetLink"/>
                  <w:rFonts w:ascii="Arial;sans-serif" w:hAnsi="Arial;sans-serif"/>
                  <w:b w:val="false"/>
                  <w:color w:val="0000FF"/>
                  <w:sz w:val="20"/>
                  <w:u w:val="single"/>
                </w:rPr>
                <w:t>Risk Factors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00">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03">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03">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06">
              <w:r>
                <w:rPr>
                  <w:rStyle w:val="InternetLink"/>
                  <w:rFonts w:ascii="Arial;sans-serif" w:hAnsi="Arial;sans-serif"/>
                  <w:b w:val="false"/>
                  <w:color w:val="0000FF"/>
                  <w:sz w:val="20"/>
                  <w:u w:val="single"/>
                </w:rPr>
                <w:t>Defaults Upon Senior Securities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06">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09">
              <w:r>
                <w:rPr>
                  <w:rStyle w:val="InternetLink"/>
                  <w:rFonts w:ascii="Arial;sans-serif" w:hAnsi="Arial;sans-serif"/>
                  <w:b w:val="false"/>
                  <w:color w:val="0000FF"/>
                  <w:sz w:val="20"/>
                  <w:u w:val="single"/>
                </w:rPr>
                <w:t>Mine Safety Disclosures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09">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12">
              <w:r>
                <w:rPr>
                  <w:rStyle w:val="InternetLink"/>
                  <w:rFonts w:ascii="Arial;sans-serif" w:hAnsi="Arial;sans-serif"/>
                  <w:b w:val="false"/>
                  <w:color w:val="0000FF"/>
                  <w:sz w:val="20"/>
                  <w:u w:val="single"/>
                </w:rPr>
                <w:t>Other Information</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12">
              <w:r>
                <w:rPr>
                  <w:rStyle w:val="InternetLink"/>
                  <w:rFonts w:ascii="Arial;sans-serif" w:hAnsi="Arial;sans-serif"/>
                  <w:b w:val="false"/>
                  <w:color w:val="0000FF"/>
                  <w:sz w:val="20"/>
                  <w:u w:val="single"/>
                </w:rPr>
                <w:t>35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15">
              <w:r>
                <w:rPr>
                  <w:rStyle w:val="InternetLink"/>
                  <w:rFonts w:ascii="Arial;sans-serif" w:hAnsi="Arial;sans-serif"/>
                  <w:b w:val="false"/>
                  <w:color w:val="0000FF"/>
                  <w:sz w:val="20"/>
                  <w:u w:val="single"/>
                </w:rPr>
                <w:t>Exhibits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15">
              <w:r>
                <w:rPr>
                  <w:rStyle w:val="InternetLink"/>
                  <w:rFonts w:ascii="Arial;sans-serif" w:hAnsi="Arial;sans-serif"/>
                  <w:b w:val="false"/>
                  <w:color w:val="0000FF"/>
                  <w:sz w:val="20"/>
                  <w:u w:val="single"/>
                </w:rPr>
                <w:t>36</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cd3a686cfaa41b3a5301599fb5ca2a6_118">
              <w:r>
                <w:rPr>
                  <w:rStyle w:val="InternetLink"/>
                  <w:rFonts w:ascii="Arial;sans-serif" w:hAnsi="Arial;sans-serif"/>
                  <w:b w:val="false"/>
                  <w:color w:val="0000FF"/>
                  <w:sz w:val="20"/>
                  <w:u w:val="single"/>
                </w:rPr>
                <w:t>SIGNATURES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cd3a686cfaa41b3a5301599fb5ca2a6_118">
              <w:r>
                <w:rPr>
                  <w:rStyle w:val="InternetLink"/>
                  <w:rFonts w:ascii="Arial;sans-serif" w:hAnsi="Arial;sans-serif"/>
                  <w:b w:val="false"/>
                  <w:color w:val="0000FF"/>
                  <w:sz w:val="20"/>
                  <w:u w:val="single"/>
                </w:rPr>
                <w:t>37</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75260"/>
                <wp:effectExtent l="0" t="0" r="0" b="0"/>
                <wp:wrapNone/>
                <wp:docPr id="6" name="Frame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ind w:left="0" w:right="0" w:hanging="1260"/>
        <w:rPr>
          <w:rFonts w:ascii="Arial;sans-serif" w:hAnsi="Arial;sans-serif"/>
          <w:b/>
          <w:color w:val="000000"/>
          <w:sz w:val="20"/>
        </w:rPr>
      </w:pPr>
      <w:r>
        <w:rPr>
          <w:rFonts w:ascii="Arial;sans-serif" w:hAnsi="Arial;sans-serif"/>
          <w:b/>
          <w:color w:val="000000"/>
          <w:sz w:val="20"/>
        </w:rPr>
        <w:t>PART I.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spacing w:before="20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539" w:type="dxa"/>
        <w:jc w:val="left"/>
        <w:tblInd w:w="0" w:type="dxa"/>
        <w:tblCellMar>
          <w:top w:w="28" w:type="dxa"/>
          <w:left w:w="28" w:type="dxa"/>
          <w:bottom w:w="28" w:type="dxa"/>
          <w:right w:w="28" w:type="dxa"/>
        </w:tblCellMar>
      </w:tblPr>
      <w:tblGrid>
        <w:gridCol w:w="2813"/>
        <w:gridCol w:w="2251"/>
        <w:gridCol w:w="2210"/>
        <w:gridCol w:w="211"/>
        <w:gridCol w:w="1126"/>
        <w:gridCol w:w="109"/>
        <w:gridCol w:w="109"/>
        <w:gridCol w:w="109"/>
        <w:gridCol w:w="109"/>
        <w:gridCol w:w="211"/>
        <w:gridCol w:w="1126"/>
        <w:gridCol w:w="155"/>
      </w:tblGrid>
      <w:tr>
        <w:trPr/>
        <w:tc>
          <w:tcPr>
            <w:tcW w:w="2813"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2022</w:t>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19,829,404 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1,703,160 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7,082,452 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6,665,988 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43,038,753 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722,722 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30,366,676 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43,826,383 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2,695,612 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2,027,953 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10,894,016 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15,826,369 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18,303,567 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398,391 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24,337,948 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31,623,927 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license revenue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long-term</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25,395,076 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32,714,273 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7)</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86,178,996 and 84,825,481 shares issued and outstanding at March 31, 2023 and December 31, 2022, respectively</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(351,311)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154,453,439 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152,529,579 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(149,117,141)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(141,074,640)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11,112,110 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30,366,676 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43,826,383 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050"/>
                <wp:effectExtent l="0" t="0" r="0" b="0"/>
                <wp:wrapNone/>
                <wp:docPr id="7" name="Frame6"/>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pPr>
      <w:r>
        <w:rPr>
          <w:rFonts w:ascii="Arial;sans-serif" w:hAnsi="Arial;sans-serif"/>
          <w:b/>
          <w:color w:val="000000"/>
          <w:sz w:val="20"/>
        </w:rPr>
        <w:t>Daré Bioscience</w:t>
      </w:r>
      <w:r>
        <w:rPr>
          <w:rFonts w:ascii="Times New Roman;sans-serif" w:hAnsi="Times New Roman;sans-serif"/>
          <w:b w:val="false"/>
          <w:color w:val="000000"/>
          <w:sz w:val="20"/>
        </w:rPr>
        <w:t xml:space="preserve">, </w:t>
      </w:r>
      <w:r>
        <w:rPr>
          <w:rFonts w:ascii="Arial;sans-serif" w:hAnsi="Arial;sans-serif"/>
          <w:b/>
          <w:color w:val="000000"/>
          <w:sz w:val="20"/>
        </w:rPr>
        <w:t>Inc</w:t>
      </w:r>
      <w:r>
        <w:rPr>
          <w:rFonts w:ascii="Times New Roman;sans-serif" w:hAnsi="Times New Roman;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Loss</w:t>
      </w:r>
    </w:p>
    <w:p>
      <w:pPr>
        <w:pStyle w:val="TextBody"/>
        <w:spacing w:lineRule="auto" w:line="288" w:before="0" w:after="0"/>
        <w:jc w:val="center"/>
        <w:rPr/>
      </w:pPr>
      <w:r>
        <w:rPr>
          <w:rFonts w:ascii="Times New Roman;sans-serif" w:hAnsi="Times New Roman;sans-serif"/>
          <w:b w:val="false"/>
          <w:color w:val="000000"/>
          <w:sz w:val="20"/>
        </w:rPr>
        <w:t>(</w:t>
      </w:r>
      <w:r>
        <w:rPr>
          <w:rFonts w:ascii="Arial;sans-serif" w:hAnsi="Arial;sans-serif"/>
          <w:b/>
          <w:color w:val="000000"/>
          <w:sz w:val="20"/>
        </w:rPr>
        <w:t>Unaudited</w:t>
      </w:r>
      <w:r>
        <w:rPr>
          <w:rFonts w:ascii="Times New Roman;sans-serif" w:hAnsi="Times New Roman;sans-serif"/>
          <w:b w:val="false"/>
          <w:color w:val="000000"/>
          <w:sz w:val="20"/>
        </w:rPr>
        <w:t>)</w:t>
      </w:r>
    </w:p>
    <w:tbl>
      <w:tblPr>
        <w:tblW w:w="7990" w:type="dxa"/>
        <w:jc w:val="left"/>
        <w:tblInd w:w="0" w:type="dxa"/>
        <w:tblCellMar>
          <w:top w:w="28" w:type="dxa"/>
          <w:left w:w="28" w:type="dxa"/>
          <w:bottom w:w="28" w:type="dxa"/>
          <w:right w:w="28" w:type="dxa"/>
        </w:tblCellMar>
      </w:tblPr>
      <w:tblGrid>
        <w:gridCol w:w="1586"/>
        <w:gridCol w:w="1396"/>
        <w:gridCol w:w="1398"/>
        <w:gridCol w:w="211"/>
        <w:gridCol w:w="1081"/>
        <w:gridCol w:w="109"/>
        <w:gridCol w:w="109"/>
        <w:gridCol w:w="109"/>
        <w:gridCol w:w="109"/>
        <w:gridCol w:w="211"/>
        <w:gridCol w:w="1081"/>
        <w:gridCol w:w="109"/>
        <w:gridCol w:w="109"/>
        <w:gridCol w:w="109"/>
        <w:gridCol w:w="109"/>
        <w:gridCol w:w="154"/>
      </w:tblGrid>
      <w:tr>
        <w:trPr/>
        <w:tc>
          <w:tcPr>
            <w:tcW w:w="158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5,805,462 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(8,382,649)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loss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(8,064,506)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(8,407,820)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9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85,517,540 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83,944,119 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050"/>
                <wp:effectExtent l="0" t="0" r="0" b="0"/>
                <wp:wrapNone/>
                <wp:docPr id="8" name="Frame7"/>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center"/>
        <w:rPr/>
      </w:pPr>
      <w:r>
        <w:rPr/>
      </w:r>
    </w:p>
    <w:tbl>
      <w:tblPr>
        <w:tblW w:w="11193" w:type="dxa"/>
        <w:jc w:val="center"/>
        <w:tblInd w:w="0" w:type="dxa"/>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93"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2023</w:t>
            </w:r>
          </w:p>
        </w:tc>
      </w:tr>
      <w:tr>
        <w:trPr/>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84,825,481</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8,482</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152,529,579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(351,311)</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(141,074,640)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11,112,110</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from the exercise of warrants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1,353,515 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86,178,996</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8,618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154,453,439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(373,316)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(149,117,141)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4,971,600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200" w:after="283"/>
        <w:jc w:val="center"/>
        <w:rPr/>
      </w:pPr>
      <w:r>
        <w:rPr/>
      </w:r>
    </w:p>
    <w:tbl>
      <w:tblPr>
        <w:tblW w:w="11193" w:type="dxa"/>
        <w:jc w:val="center"/>
        <w:tblInd w:w="0" w:type="dxa"/>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93"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 2022</w:t>
            </w:r>
          </w:p>
        </w:tc>
      </w:tr>
      <w:tr>
        <w:trPr/>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149,027,802</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(154,973)</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(110,126,902)</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38,754,321</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83,944,119</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8,394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149,560,211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(164,123)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(118,525,572)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30,878,910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050"/>
                <wp:effectExtent l="0" t="0" r="0" b="0"/>
                <wp:wrapNone/>
                <wp:docPr id="9" name="Frame8"/>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pPr>
      <w:r>
        <w:rPr>
          <w:rFonts w:ascii="Arial;sans-serif" w:hAnsi="Arial;sans-serif"/>
          <w:b/>
          <w:color w:val="000000"/>
          <w:sz w:val="20"/>
        </w:rPr>
        <w:t>(Unaudited)</w:t>
      </w:r>
      <w:r>
        <w:rPr>
          <w:color w:val="000000"/>
        </w:rPr>
        <w:t> </w:t>
      </w:r>
    </w:p>
    <w:tbl>
      <w:tblPr>
        <w:tblW w:w="10539" w:type="dxa"/>
        <w:jc w:val="left"/>
        <w:tblInd w:w="0" w:type="dxa"/>
        <w:tblCellMar>
          <w:top w:w="28" w:type="dxa"/>
          <w:left w:w="28" w:type="dxa"/>
          <w:bottom w:w="28" w:type="dxa"/>
          <w:right w:w="28" w:type="dxa"/>
        </w:tblCellMar>
      </w:tblPr>
      <w:tblGrid>
        <w:gridCol w:w="2654"/>
        <w:gridCol w:w="2303"/>
        <w:gridCol w:w="2317"/>
        <w:gridCol w:w="211"/>
        <w:gridCol w:w="1126"/>
        <w:gridCol w:w="109"/>
        <w:gridCol w:w="109"/>
        <w:gridCol w:w="109"/>
        <w:gridCol w:w="109"/>
        <w:gridCol w:w="211"/>
        <w:gridCol w:w="1126"/>
        <w:gridCol w:w="155"/>
      </w:tblGrid>
      <w:tr>
        <w:trPr/>
        <w:tc>
          <w:tcPr>
            <w:tcW w:w="2654"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(9,758)</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(584,534)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(416,464)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(4,293,814)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87,891 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(5,413,814)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(2,477,198)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(811,620)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(16,117,571)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(12,343,473)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warrants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(14,840,201)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(12,357,176)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period</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34,669,605 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51,674,087 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19,829,404 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39,316,911 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1,043,590 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050"/>
                <wp:effectExtent l="0" t="0" r="0" b="0"/>
                <wp:wrapNone/>
                <wp:docPr id="10" name="Frame9"/>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spacing w:before="0" w:after="12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began assembling its diverse portfolio in 2017 through acquisitions, exclusive in-licenses and other collaborations. The Company's programs target unmet needs in women's health in the areas of contraception, vaginal health, reproductive health, menopause, sexual health, and fertility, and aim to expand treatment options, enhance outcomes and improve ease of use for women.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primary operations have consisted of, and are expected to continue to consist primarily of, research and development activities to advance its product candidates through clinical development and regulatory approval.</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includes one FDA-approved product, drug and drug/device product candidates and potential product candidates in various stages of development.</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product, XACIATO™ (clindamycin phosphate vaginal gel, 2%), was approved by the FDA in December 2021, as a single-dose prescription medication for the treatment of bacterial vaginosis in female patients 12 years of age and older. In March 2022, the Company entered into an exclusive global license agreement with an affiliate of Organon &amp; Co., Organon International GmbH, or Organon, to commercialize XACIATO. That agreement became effective in June 2022, and in July 2022, the Company received the $10.0 million non-refundable and non-creditable payment due upon the effectiveness of the agreement.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2022, or the 2022 10-K.</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Company’s wholly owned subsidiary, Dare MB Inc., has a $35,000 letter of credit related to the lease of real property that serves as security for future default of lease payments. The letter of credit is collateralized by cash which is unavailable for withdrawal or for usage for general obligations and is included in cash and cash equivalents on the Company's consolidated balance sheets.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050"/>
                <wp:effectExtent l="0" t="0" r="0" b="0"/>
                <wp:wrapNone/>
                <wp:docPr id="11" name="Frame10"/>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Going Concern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prepared its condensed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March 31, 2023, the Company had an accumulated deficit of approximately $149.1 million, cash and cash equivalents of approximately $19.8 million, a deferred grant funding liability of $15.8 million and working capital of approximately $5.2 million. The amount of the deferred grant funding liability is included in the Company's cash and cash equivalents, and represents grant funds received that may be applied solely toward direct costs for the development of DARE-LARC1 and DARE-LBT, other than approximately 10% of such funds, which may be applied toward general overhead and administration expenses that support the entire operations of the Company. For the three months ended March 31, 2023, the Company incurred a net loss of approximately $8.0 million and had negative cash flow from operations of approximately $16.1 million.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will need to raise substantial additional capital to continue to fund its operations and to successfully execute its current strategy.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this uncertainty.</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significant accounting policies are described in Note 2 to the consolidated financial statements included in the 2022 10-K. Since the date on which the 2022 10-K was filed with the U.S. Securities and Exchange Commission, or the SEC, there have been no material changes to the Company’s significant accounting policies.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050"/>
                <wp:effectExtent l="0" t="0" r="0" b="0"/>
                <wp:wrapNone/>
                <wp:docPr id="12" name="Frame11"/>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March 31, 2023 and December 31, 2022. There were no financial assets or liabilities that were remeasured using a quoted price in active markets for identical assets (Level 2) or using unobservable inputs (Level 3) as of March 31, 2023 or December 31, 2022.</w:t>
      </w:r>
    </w:p>
    <w:tbl>
      <w:tblPr>
        <w:tblW w:w="8250" w:type="dxa"/>
        <w:jc w:val="center"/>
        <w:tblInd w:w="0" w:type="dxa"/>
        <w:tblCellMar>
          <w:top w:w="28" w:type="dxa"/>
          <w:left w:w="28" w:type="dxa"/>
          <w:bottom w:w="28" w:type="dxa"/>
          <w:right w:w="28" w:type="dxa"/>
        </w:tblCellMar>
      </w:tblPr>
      <w:tblGrid>
        <w:gridCol w:w="1043"/>
        <w:gridCol w:w="916"/>
        <w:gridCol w:w="921"/>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18,380,017 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18,380,017 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33,238,658 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33,238,658 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250" w:type="dxa"/>
            <w:gridSpan w:val="24"/>
            <w:tcBorders/>
            <w:shd w:fill="auto" w:val="clear"/>
            <w:tcMar>
              <w:top w:w="0" w:type="dxa"/>
              <w:left w:w="0" w:type="dxa"/>
              <w:bottom w:w="0" w:type="dxa"/>
              <w:right w:w="0" w:type="dxa"/>
            </w:tcMar>
            <w:vAlign w:val="center"/>
          </w:tcPr>
          <w:p>
            <w:pPr>
              <w:pStyle w:val="TableContents"/>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spacing w:before="240" w:after="283"/>
        <w:ind w:left="0" w:right="0" w:hanging="180"/>
        <w:jc w:val="both"/>
        <w:rPr/>
      </w:pPr>
      <w:r>
        <w:rPr/>
      </w:r>
    </w:p>
    <w:p>
      <w:pPr>
        <w:pStyle w:val="TextBody"/>
        <w:spacing w:lineRule="auto" w:line="276" w:before="20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spacing w:lineRule="auto" w:line="288" w:before="160" w:after="283"/>
        <w:ind w:left="0" w:right="0" w:firstLine="720"/>
        <w:jc w:val="both"/>
        <w:rPr/>
      </w:pPr>
      <w:r>
        <w:rPr>
          <w:rFonts w:ascii="Arial;sans-serif" w:hAnsi="Arial;sans-serif"/>
          <w:b w:val="false"/>
          <w:color w:val="000000"/>
          <w:sz w:val="20"/>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w:t>
      </w:r>
      <w:r>
        <w:rPr>
          <w:color w:val="000000"/>
        </w:rPr>
        <w:t> </w:t>
      </w:r>
      <w:r>
        <w:rPr>
          <w:rFonts w:ascii="Arial;sans-serif" w:hAnsi="Arial;sans-serif"/>
          <w:b w:val="false"/>
          <w:color w:val="000000"/>
          <w:sz w:val="20"/>
        </w:rPr>
        <w:t>performance obligations. The Company then recognizes as revenue the amount of the transaction price allocated to the respective performance obligation when (or as) the performance obligation is satisfied.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pStyle w:val="TextBody"/>
        <w:spacing w:lineRule="auto" w:line="288" w:before="160" w:after="283"/>
        <w:ind w:left="0" w:right="0" w:firstLine="720"/>
        <w:jc w:val="both"/>
        <w:rPr/>
      </w:pPr>
      <w:r>
        <w:rPr>
          <w:rFonts w:ascii="Arial;sans-serif" w:hAnsi="Arial;sans-serif"/>
          <w:b w:val="false"/>
          <w:i/>
          <w:color w:val="000000"/>
          <w:sz w:val="20"/>
        </w:rPr>
        <w:t>Collaboration Revenues</w:t>
      </w:r>
      <w:r>
        <w:rPr>
          <w:rFonts w:ascii="Arial;sans-serif" w:hAnsi="Arial;sans-serif"/>
          <w:b/>
          <w:i/>
          <w:color w:val="000000"/>
          <w:sz w:val="20"/>
        </w:rPr>
        <w:t xml:space="preserve">. </w:t>
      </w:r>
      <w:r>
        <w:rPr>
          <w:rFonts w:ascii="Arial;sans-serif" w:hAnsi="Arial;sans-serif"/>
          <w:b w:val="false"/>
          <w:color w:val="000000"/>
          <w:sz w:val="20"/>
        </w:rPr>
        <w:t>The Company enters into collaboration and licensing agreements under which it out-licenses certain rights to its products or product candidates to third parties. The terms of these arrangements typically include payment of one or more of the following to the Company: non-refundable, up-front license fees; development, regulatory and/or commercial milestone payments; and royalties on net sales of licensed products. As of March 31, 2023, the Company has not recognized any collaboration revenues.</w:t>
      </w:r>
    </w:p>
    <w:p>
      <w:pPr>
        <w:pStyle w:val="TextBody"/>
        <w:spacing w:lineRule="auto" w:line="288" w:before="160" w:after="283"/>
        <w:ind w:left="0" w:right="0" w:firstLine="720"/>
        <w:jc w:val="both"/>
        <w:rPr/>
      </w:pPr>
      <w:r>
        <w:rPr>
          <w:rFonts w:ascii="Arial;sans-serif" w:hAnsi="Arial;sans-serif"/>
          <w:b w:val="false"/>
          <w:i/>
          <w:color w:val="000000"/>
          <w:sz w:val="20"/>
        </w:rPr>
        <w:t xml:space="preserve">License Fee Revenue. </w:t>
      </w:r>
      <w:r>
        <w:rPr>
          <w:rFonts w:ascii="Arial;sans-serif" w:hAnsi="Arial;sans-serif"/>
          <w:b w:val="false"/>
          <w:color w:val="000000"/>
          <w:sz w:val="20"/>
        </w:rPr>
        <w:t xml:space="preserve">If the license to the Company’s intellectual property is determined to be distinct from the other performance obligations identified in a contract, the 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$10.0 million in license fee revenue, all of which represents the upfront payment due under its license agreement for XACIATO.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050"/>
                <wp:effectExtent l="0" t="0" r="0" b="0"/>
                <wp:wrapNone/>
                <wp:docPr id="13" name="Frame12"/>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60" w:after="283"/>
        <w:ind w:left="0" w:right="0" w:firstLine="720"/>
        <w:jc w:val="both"/>
        <w:rPr/>
      </w:pPr>
      <w:r>
        <w:rPr>
          <w:rFonts w:ascii="Arial;sans-serif" w:hAnsi="Arial;sans-serif"/>
          <w:b w:val="false"/>
          <w:i/>
          <w:color w:val="000000"/>
          <w:sz w:val="20"/>
        </w:rPr>
        <w:t>Royalties.</w:t>
      </w:r>
      <w:r>
        <w:rPr>
          <w:color w:val="000000"/>
        </w:rPr>
        <w:t xml:space="preserve"> </w:t>
      </w:r>
      <w:r>
        <w:rPr>
          <w:rFonts w:ascii="Arial;sans-serif" w:hAnsi="Arial;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As of March 31, 2023, the Company has not recognized any royalty revenue.</w:t>
      </w:r>
    </w:p>
    <w:p>
      <w:pPr>
        <w:pStyle w:val="TextBody"/>
        <w:spacing w:lineRule="auto" w:line="288" w:before="160" w:after="283"/>
        <w:ind w:left="0" w:right="0" w:firstLine="720"/>
        <w:jc w:val="both"/>
        <w:rPr/>
      </w:pPr>
      <w:r>
        <w:rPr>
          <w:rFonts w:ascii="Arial;sans-serif" w:hAnsi="Arial;sans-serif"/>
          <w:b w:val="false"/>
          <w:i/>
          <w:color w:val="000000"/>
          <w:sz w:val="20"/>
        </w:rPr>
        <w:t xml:space="preserve">Product Supply. </w:t>
      </w:r>
      <w:r>
        <w:rPr>
          <w:rFonts w:ascii="Arial;sans-serif" w:hAnsi="Arial;sans-serif"/>
          <w:b w:val="false"/>
          <w:color w:val="000000"/>
          <w:sz w:val="20"/>
        </w:rPr>
        <w:t>Arrangements that include a promise for future supply of product for commercial supply at the licensee’s discretion are generally considered as options. The 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As of March 31, 2023, the Company has not recognized any revenue associated with product supply arrangements.</w:t>
      </w:r>
    </w:p>
    <w:p>
      <w:pPr>
        <w:pStyle w:val="TextBody"/>
        <w:spacing w:before="0" w:after="0"/>
        <w:ind w:left="0" w:right="0" w:firstLine="720"/>
        <w:rPr/>
      </w:pPr>
      <w:r>
        <w:rPr/>
      </w:r>
    </w:p>
    <w:p>
      <w:pPr>
        <w:pStyle w:val="TextBody"/>
        <w:spacing w:lineRule="auto" w:line="288" w:before="0" w:after="0"/>
        <w:ind w:left="0" w:right="0" w:firstLine="720"/>
        <w:jc w:val="both"/>
        <w:rPr/>
      </w:pPr>
      <w:r>
        <w:rPr>
          <w:rFonts w:ascii="Arial;sans-serif" w:hAnsi="Arial;sans-serif"/>
          <w:b w:val="false"/>
          <w:i/>
          <w:color w:val="000000"/>
          <w:sz w:val="20"/>
        </w:rPr>
        <w:t>Milestones.</w:t>
      </w:r>
      <w:r>
        <w:rPr>
          <w:color w:val="000000"/>
        </w:rPr>
        <w:t xml:space="preserve"> </w:t>
      </w:r>
      <w:r>
        <w:rPr>
          <w:rFonts w:ascii="Arial;sans-serif" w:hAnsi="Arial;sans-serif"/>
          <w:b w:val="false"/>
          <w:color w:val="000000"/>
          <w:sz w:val="20"/>
        </w:rPr>
        <w:t>At the inception of each arrangement in which the Company is a licensor and that includes developmental, regulatory or 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Milestone payments not within the Company's control, such as where achievement of the specified milestone depends on activities of a third party or regulatory approval, are not considered probable of being achieved until the specified milestone occurs. As of March 31, 2023, the Company has not recognized any milestone revenue.</w:t>
      </w:r>
    </w:p>
    <w:p>
      <w:pPr>
        <w:pStyle w:val="TextBody"/>
        <w:spacing w:lineRule="auto" w:line="288" w:before="160" w:after="283"/>
        <w:ind w:left="0" w:right="0" w:firstLine="720"/>
        <w:jc w:val="both"/>
        <w:rPr/>
      </w:pPr>
      <w:r>
        <w:rPr>
          <w:rFonts w:ascii="Arial;sans-serif" w:hAnsi="Arial;sans-serif"/>
          <w:b w:val="false"/>
          <w:i/>
          <w:color w:val="000000"/>
          <w:sz w:val="20"/>
        </w:rPr>
        <w:t xml:space="preserve">Bayer License. </w:t>
      </w:r>
      <w:r>
        <w:rPr>
          <w:rFonts w:ascii="Arial;sans-serif" w:hAnsi="Arial;sans-serif"/>
          <w:b w:val="false"/>
          <w:color w:val="000000"/>
          <w:sz w:val="20"/>
        </w:rPr>
        <w:t>In January 2020, the Company entered into a license agreement with Bayer HealthCare LLC, or Bayer, regarding the 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March 31, 2023, neither of the foregoing had occurred. The $1.0 million payment is recorded as deferred license revenue in the Company's consolidated balance sheets at March 31, 2023 and December 31, 2022.</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Strategic Agreements.)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050"/>
                <wp:effectExtent l="0" t="0" r="0" b="0"/>
                <wp:wrapNone/>
                <wp:docPr id="14" name="Frame13"/>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the $10.0 million non-refundable and non-creditable payment, which was recorded as license fee revenue.</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is entitled to receive tiered double-digit royalties based on net sales and up to $182.5 million in milestone payments as follows: $2.5 million following the first commercial sale of a licensed product in the United States; and up to $180.0 million in tiered commercial sales milestones and regulatory milestones. Royalty payments will be subject to customary reductions and offsets. </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concluded at the inception of the agreement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For the quarter ended March 31, 2023, no adjustments were made to the transaction price.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is responsible for regulatory interactions and for providing product supply on an interim basis until Organon assumes such responsibilities. Until such time, Organon will purchase all of its product requirements of XACIATO from the Company at a transfer price equal to the Company's manufacturing costs plus a single-digit percentage markup. </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050"/>
                <wp:effectExtent l="0" t="0" r="0" b="0"/>
                <wp:wrapNone/>
                <wp:docPr id="15" name="Frame14"/>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either the point in time the Company receives the $20.0 million fee, the license is transferred to Bayer and Bayer is able to use and benefit from the license or the termination of the agreement. As of March 31, 2023, neither of the foregoing had occurred. The $1.0 million payment is recorded as long-term deferred license revenue in the Company's consolidated balance sheets at March 31, 2023 and December 31, 2022.</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TextBody"/>
        <w:spacing w:lineRule="auto" w:line="417"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Under the agreement, the Company received an exclusive, worldwide, royalty-bearing license to research, develop and commercialize the licensed technology. The Company is entitled to sublicense the rights granted to it under the agreement.</w:t>
      </w:r>
    </w:p>
    <w:p>
      <w:pPr>
        <w:pStyle w:val="TextBody"/>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and sales milestone payments of up to $6.25 million in the aggregate upon achieving certain development and regulatory milestones, and of up to $45.0 million in the aggregate upon achieving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March 31, 2023, no payments have been made under this agreement.</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050"/>
                <wp:effectExtent l="0" t="0" r="0" b="0"/>
                <wp:wrapNone/>
                <wp:docPr id="16" name="Frame15"/>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(formerly, Microchips Biotech, Inc.), or MBI, to secure the rights to develop a long-acting reversible contraception method, that a woman can turn on or off herself, according to her own needs. This candidate is now known as DARE-LARC1.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700,000 shares of its common stock to former stockholders of MBI and paid $75,000 in cash to the stockholders’ representative in satisfaction of the $1.25 million in milestone payments associated with milestones achieved in June 2021.</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TriLogic and MilanaPharm License Agreement / Hammock Assignment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in the aggregate of $300,000 to MilanaPharm, the final payment of $250,000 was expensed in 2021. The Company may also pay MilanaPharm up to $500,000 upon the first commercial sale in the United States of the first licensed product for each vaginal and urological use, and up to $250,000 upon the first commercial sale in the United States of each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has been paid as of March 31, 2023.</w:t>
      </w:r>
    </w:p>
    <w:p>
      <w:pPr>
        <w:pStyle w:val="TextBody"/>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050"/>
                <wp:effectExtent l="0" t="0" r="0" b="0"/>
                <wp:wrapNone/>
                <wp:docPr id="17" name="Frame16"/>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achieving certain clinical development and regulatory milestones by licensed products, and (b) up to $47.0 million in the aggregate upon achieving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agreed to pay licensors of Pear Tree (a) up to approximately $3.2 million in the aggregate upon achieving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w:t>
      </w:r>
    </w:p>
    <w:p>
      <w:pPr>
        <w:pStyle w:val="TextBody"/>
        <w:spacing w:lineRule="auto" w:line="288" w:before="240" w:after="200"/>
        <w:ind w:left="0" w:right="0" w:firstLine="720"/>
        <w:rPr>
          <w:rFonts w:ascii="Arial;sans-serif" w:hAnsi="Arial;sans-serif"/>
          <w:b/>
          <w:color w:val="000000"/>
          <w:sz w:val="20"/>
        </w:rPr>
      </w:pPr>
      <w:r>
        <w:rPr>
          <w:rFonts w:ascii="Arial;sans-serif" w:hAnsi="Arial;sans-serif"/>
          <w:b/>
          <w:color w:val="000000"/>
          <w:sz w:val="20"/>
        </w:rPr>
        <w:t>Catalent JNP License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has been paid as of March 31, 2023;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(formerly known as Orbis Biosciences, Inc., and which the Company refers to as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050"/>
                <wp:effectExtent l="0" t="0" r="0" b="0"/>
                <wp:wrapNone/>
                <wp:docPr id="18" name="Frame17"/>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SST will be eligible to receive payments of up to $18.0 million in the aggregate upon achieving certain clinical and regulatory milestones in the U.S. and worldwide, and up to $100.0 million in the aggregate upon achieving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w:t>
      </w:r>
    </w:p>
    <w:p>
      <w:pPr>
        <w:pStyle w:val="TextBody"/>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050"/>
                <wp:effectExtent l="0" t="0" r="0" b="0"/>
                <wp:wrapNone/>
                <wp:docPr id="19" name="Frame18"/>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spacing w:lineRule="auto" w:line="276" w:before="240" w:after="283"/>
        <w:jc w:val="both"/>
        <w:rPr>
          <w:rFonts w:ascii="Arial;sans-serif" w:hAnsi="Arial;sans-serif"/>
          <w:b/>
          <w:i/>
          <w:color w:val="000000"/>
          <w:sz w:val="20"/>
        </w:rPr>
      </w:pPr>
      <w:r>
        <w:rPr>
          <w:rFonts w:ascii="Arial;sans-serif" w:hAnsi="Arial;sans-serif"/>
          <w:b/>
          <w:i/>
          <w:color w:val="000000"/>
          <w:sz w:val="20"/>
        </w:rPr>
        <w:t>Increase in Authorized Shares of Common Stock</w:t>
      </w:r>
    </w:p>
    <w:p>
      <w:pPr>
        <w:pStyle w:val="TextBody"/>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2022, following the approval of the Company's stockholders at its annual meeting of stockholders, the Company amended its restated certificate of incorporation to increase the Company's authorized shares of common stock to 240,000,000. </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Shares of the Company's common stock sold under the agreement will be issued pursuant to the Company's shelf registration statement on Form S-3 (File No. 333-254862), the base prospectus included therein, originally filed with the SEC on March 30, 2021 and declared effective by the SEC on April 7, 2021, the prospectus supplement dated March 31, 2023 relating to the offering of up to $50.0 million of shares of the Company's common stock under the sales agreement, and any subsequent prospectus supplement related to the offering of shares of the Company's common stock under the sales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March 31, 2023, the Company sold no shares of common stock under this agreement.</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October 2021 ATM Sales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2021, the Company entered into a sales agreement with SVB Securities LLC (formerly known as SVB Leerink LLC) to sell shares of its common stock from time to time through an ATM equity offering program under which SVB Securities acted as the Company's agent. The Company sold no shares of its common stock under the agreement during either of the three months ended March 31, 2023 or 2022. The Company terminated the agreement in March 2023.</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April 2021 ATM Sales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2021, the Company entered into a sales agreement with SVB Securities LLC to sell shares of its common stock from time to time through an ATM equity offering program under which SVB Securities acted as the Company's agent. The Company sold no shares of its common stock under the agreement during either of the three months ended March 31, 2023 or 2022. The Company terminated the agreement in March 2023.</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spacing w:lineRule="auto" w:line="288" w:before="120" w:after="283"/>
        <w:ind w:left="0" w:right="0" w:firstLine="720"/>
        <w:jc w:val="both"/>
        <w:rPr/>
      </w:pPr>
      <w:r>
        <w:rPr>
          <w:rFonts w:ascii="Arial;sans-serif" w:hAnsi="Arial;sans-serif"/>
          <w:b w:val="false"/>
          <w:color w:val="000000"/>
          <w:sz w:val="20"/>
        </w:rPr>
        <w:t>In connection with an underwritten public offering in February 2018, the Company issued to the investors in that offering, warrants exercisable through February 2023 with an initial exercise price of $3.00 per share.</w:t>
      </w:r>
      <w:r>
        <w:rPr>
          <w:color w:val="000000"/>
        </w:rPr>
        <w:t xml:space="preserve"> </w:t>
      </w:r>
      <w:r>
        <w:rPr>
          <w:rFonts w:ascii="Arial;sans-serif" w:hAnsi="Arial;sans-serif"/>
          <w:b w:val="false"/>
          <w:color w:val="000000"/>
          <w:sz w:val="20"/>
        </w:rPr>
        <w:t>The Company estimated the fair value of the warrants as of February 15, 2018 to be approximately $3.0 million which was recorded in equity as of the grant date. The warrants included a price-based anti-dilution provision, which provided that, subject to certain limited exceptions, the exercise price of the warrants would be reduced each time the Company issued or sold (or was deemed to have issued or sold) securities for a net consideration per share less than the exercise price of those warrants in effect immediately prior to such issuance or sale. In addition, subject to certain exceptions, if the Company issued, sold or entered into any agreement to issue or sell securities at a price which varied or may vary with the market price of the shares of the Company’s common stock, the warrant holders had the right to substitute such variable price for the exercise price of the warrant then in effect. In April 2019 and July 2020, in accordance with the price-based anti-dilution provision discussed above, the exercise price of these warrants was automatically reduced to $0.98 per share and to $0.96 per share, respectively. During the three months ended March 31, 2023, warrants to purchase 1,353,515 shares of common stock were exercised for gross proceeds of approximately $1.3 million and the remaining unexercised warrants expired on February 15, 2023. No warrants were exercised during the three months ended March 31, 2022.</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2023, the Company had the following warrants outstanding:</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050"/>
                <wp:effectExtent l="0" t="0" r="0" b="0"/>
                <wp:wrapNone/>
                <wp:docPr id="20" name="Frame19"/>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tbl>
      <w:tblPr>
        <w:tblW w:w="5093" w:type="dxa"/>
        <w:jc w:val="center"/>
        <w:tblInd w:w="0" w:type="dxa"/>
        <w:tblCellMar>
          <w:top w:w="28" w:type="dxa"/>
          <w:left w:w="28" w:type="dxa"/>
          <w:bottom w:w="28" w:type="dxa"/>
          <w:right w:w="28" w:type="dxa"/>
        </w:tblCellMar>
      </w:tblPr>
      <w:tblGrid>
        <w:gridCol w:w="679"/>
        <w:gridCol w:w="596"/>
        <w:gridCol w:w="599"/>
        <w:gridCol w:w="109"/>
        <w:gridCol w:w="109"/>
        <w:gridCol w:w="109"/>
        <w:gridCol w:w="199"/>
        <w:gridCol w:w="199"/>
        <w:gridCol w:w="199"/>
        <w:gridCol w:w="199"/>
        <w:gridCol w:w="199"/>
        <w:gridCol w:w="205"/>
        <w:gridCol w:w="109"/>
        <w:gridCol w:w="109"/>
        <w:gridCol w:w="109"/>
        <w:gridCol w:w="399"/>
        <w:gridCol w:w="399"/>
        <w:gridCol w:w="567"/>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 Underlying</w:t>
              <w:br/>
              <w:t>Outstanding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04/04/2026</w:t>
            </w:r>
          </w:p>
        </w:tc>
      </w:tr>
      <w:tr>
        <w:trPr/>
        <w:tc>
          <w:tcPr>
            <w:tcW w:w="18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There was no stock-based compensation related to the ESPP for the three months ended March 31, 2023 or March 31, 2022.</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increased annually on the first day of each fiscal year by the least of (i) 2,000,000, (ii) 4% of the number of outstanding shares of common stock on such date, or (iii) an amount determined by the Company’s board of directors. On January 1, 2022, the number of authorized shares increased by 2,000,000 to 2,201,855. As a result of the approval of the 2022 Plan (as defined below) by the Company's stockholders on June 23, 2022, no further awards have been or will be granted under the Amended 2014 Plan. Outstanding awards previously granted under the Amended 2014 Plan continue to remain outstanding in accordance with their terms.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consultants, advisors, and directors.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050"/>
                <wp:effectExtent l="0" t="0" r="0" b="0"/>
                <wp:wrapNone/>
                <wp:docPr id="21" name="Frame20"/>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table below summarizes stock option activity under the Company's stock incentive plans and related information for the three months ended March 31, 2023. The exercise price of all options granted during the three months ended March 31, 2023 was equal to the market value of the Company’s common stock on the date of grant. As of March 31, 2023, unamortized stock-based compensation expense of approximately $5.9 million will be amortized over a weighted average period of 2.71 years. At March 31, 2023, 7,078,916 shares of common stock were available for future awards granted under the 2022 Plan. </w:t>
      </w:r>
    </w:p>
    <w:tbl>
      <w:tblPr>
        <w:tblW w:w="6598" w:type="dxa"/>
        <w:jc w:val="center"/>
        <w:tblInd w:w="0" w:type="dxa"/>
        <w:tblCellMar>
          <w:top w:w="28" w:type="dxa"/>
          <w:left w:w="28" w:type="dxa"/>
          <w:bottom w:w="28" w:type="dxa"/>
          <w:right w:w="28" w:type="dxa"/>
        </w:tblCellMar>
      </w:tblPr>
      <w:tblGrid>
        <w:gridCol w:w="1140"/>
        <w:gridCol w:w="1003"/>
        <w:gridCol w:w="1006"/>
        <w:gridCol w:w="510"/>
        <w:gridCol w:w="511"/>
        <w:gridCol w:w="511"/>
        <w:gridCol w:w="109"/>
        <w:gridCol w:w="109"/>
        <w:gridCol w:w="109"/>
        <w:gridCol w:w="370"/>
        <w:gridCol w:w="950"/>
        <w:gridCol w:w="270"/>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2022</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6,612,554 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2,497,665 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March 31, 2023</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9,110,219 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March 31, 2023</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4,009,997 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both"/>
        <w:rPr>
          <w:rFonts w:ascii="Arial;sans-serif" w:hAnsi="Arial;sans-serif"/>
          <w:b/>
          <w:i/>
          <w:color w:val="000000"/>
          <w:sz w:val="20"/>
        </w:rPr>
      </w:pPr>
      <w:r>
        <w:rPr>
          <w:rFonts w:ascii="Arial;sans-serif" w:hAnsi="Arial;sans-serif"/>
          <w:b/>
          <w:i/>
          <w:color w:val="000000"/>
          <w:sz w:val="20"/>
        </w:rPr>
        <w:t>Compensation Expense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is as follows:</w:t>
      </w:r>
    </w:p>
    <w:tbl>
      <w:tblPr>
        <w:tblW w:w="5650" w:type="dxa"/>
        <w:jc w:val="center"/>
        <w:tblInd w:w="0" w:type="dxa"/>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February 2022, the Company entered into an amendment to extend the term of the lease for two years such that the term now expires on August 31, 2024.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 owned subsidiary the Company acquired in November 2019, leases general office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The extension of the lease in February 2022 resulted in an increase in operating lease liabilities and ROU assets of approximately $1.0 million. In September 2022, the landlord exercised its option to terminate the lease, resulting in the new lease term ending on December 31, 2023. The termination of the lease resulted in a reduction of operating lease liabilities and ROU assets of approximately $504,000 and $458,000, respectively, and a $46,000 gain on the modification of the lease which was included as a reduction to research and development expense for the year ended December 31, 2022.</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MBI previously leased warehouse space in Billerica, Massachusetts, under a lease that commenced on October 1, 2016 and terminated on March 31, 2022. </w:t>
      </w:r>
    </w:p>
    <w:p>
      <w:pPr>
        <w:pStyle w:val="TextBody"/>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050"/>
                <wp:effectExtent l="0" t="0" r="0" b="0"/>
                <wp:wrapNone/>
                <wp:docPr id="22" name="Frame21"/>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that commenced prior to January 2019 (and all of the Company's operating leases commenced prior to such date). The depreciable lives of operating leases and leasehold improvements are limited by the expected lease term.</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At March 31, 2023, the Company reported operating lease right of use assets of approximately $368,000 in other non-current assets, approximately $336,000 in current portion of lease liabilities, and approximately $57,000 in lease liabilities long-term in the condensed consolidated balance sheets.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Total operating lease costs were approximately $139,000 and $169,000 for the three months ended March 31, 2023 and March 31, 2022, respectively. Operating lease costs consist of monthly lease payments expense, common area maintenance and other repair and maintenance costs and are included in general and administrative expenses in the condensed consolidated statements of operations.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 was approximately $105,000 and $123,000 for the three months ended March 31, 2023 and March 31, 2022, respectively. These amounts are included in operating activities in the condensed consolidated statements of cash flows. At March 31, 2023, operating leases had a weighted average remaining lease term of 1.08 years.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March 31, 2023, future minimum lease payments under the Company's operating leases are as follows:</w:t>
      </w:r>
    </w:p>
    <w:tbl>
      <w:tblPr>
        <w:tblW w:w="4866" w:type="dxa"/>
        <w:jc w:val="center"/>
        <w:tblInd w:w="0" w:type="dxa"/>
        <w:tblCellMar>
          <w:top w:w="28" w:type="dxa"/>
          <w:left w:w="28" w:type="dxa"/>
          <w:bottom w:w="28" w:type="dxa"/>
          <w:right w:w="28" w:type="dxa"/>
        </w:tblCellMar>
      </w:tblPr>
      <w:tblGrid>
        <w:gridCol w:w="1321"/>
        <w:gridCol w:w="1159"/>
        <w:gridCol w:w="1165"/>
        <w:gridCol w:w="211"/>
        <w:gridCol w:w="856"/>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future minimum lease payments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accreted interest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7.    COMMITMENTS AND CONTINGENCIES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CRADA with NICHD for the Pivotal Phase 3 Study of Ovaprene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In accordance with the payment schedule under the CRADA, the Company has made aggregate payments of $5.0 million to NICHD, $3.5 million of which was paid in 2022. The Company's remaining obligation under the CRADA at March 31, 2023 was $0.5 million.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050"/>
                <wp:effectExtent l="0" t="0" r="0" b="0"/>
                <wp:wrapNone/>
                <wp:docPr id="23" name="Frame22"/>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8.    GRANT AWARDS</w:t>
      </w:r>
    </w:p>
    <w:p>
      <w:pPr>
        <w:pStyle w:val="TextBody"/>
        <w:spacing w:lineRule="auto" w:line="288" w:before="360" w:after="283"/>
        <w:jc w:val="both"/>
        <w:rPr>
          <w:rFonts w:ascii="Arial;sans-serif" w:hAnsi="Arial;sans-serif"/>
          <w:b/>
          <w:i/>
          <w:color w:val="000000"/>
          <w:sz w:val="20"/>
        </w:rPr>
      </w:pPr>
      <w:r>
        <w:rPr>
          <w:rFonts w:ascii="Arial;sans-serif" w:hAnsi="Arial;sans-serif"/>
          <w:b/>
          <w:i/>
          <w:color w:val="000000"/>
          <w:sz w:val="20"/>
        </w:rPr>
        <w:t>NICHD Non-Dilutive Grant Funding</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Arial;sans-serif" w:hAnsi="Arial;sans-serif"/>
          <w:b w:val="false"/>
          <w:color w:val="000000"/>
          <w:sz w:val="20"/>
        </w:rPr>
        <w:t>The Company has received notices of awards and non-dilutive grant funding from NICHD to support the development of DARE-PTB1, DARE-LARC1 and DARE-204/214.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r>
        <w:rPr>
          <w:color w:val="000000"/>
        </w:rPr>
        <w:t xml:space="preserve">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2020, the Company received a notice of award of a grant from NICHD to support the development of DARE-PTB1. The award in the amount of $300,000 was for what is referred to as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recorded credits to research and development expense for costs related to the NICHD award of $0 and approximately $17,000 during the three months ended March 31, 2023 and 2022, respectively. At March 31, 2023 and December 31, 2022, the Company did not record any receivable for expenses incurred through such date that it believes are eligible for reimbursement under the grant.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DARE-LARC1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September 2021, the Company received a notice of award of a grant from NICHD to support the development of DARE-LARC1. The award in the amount of approximately $300,000 is to be used to explore device insertion and removal in nonclinical studies, which is ongoing.</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recorded credits to research and development expense of approximately $32,000 and $165,000 for costs related to the NICHD award during the three months ended March 31, 2023 and 2022, respectively. The Company recorded a receivable of approximately $65,000 and $33,000 at March 31, 2023 and December 31, 2022, respectively, for expenses incurred through such date that it believes are eligible for reimbursement under the grant.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DARE-204 and DARE-214</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DARE-204 and DARE-214.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$49,000 for costs related to the NICHD award during the three months ended March 31, 2023. The Company recorded a receivable of approximately $73,000 and $24,000 at March 31, 2023 and December 31, 2022, respectively, for expenses incurred through such date that it believes is eligible for reimbursement under the grant.</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050"/>
                <wp:effectExtent l="0" t="0" r="0" b="0"/>
                <wp:wrapNone/>
                <wp:docPr id="24" name="Frame23"/>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2022 DARE-LBT Grant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2022, the Company entered into an agreement with the Bill &amp; Melinda Gates Foundation, or the Foundation, under which the Company was awarded $585,000 to support the development of DARE-LBT. The Company is required to apply the funds it receives under the agreement solely toward direct costs for the development of DARE-LBT1, other than approximately 10% of such funds, which it may apply toward general overhead and administration expenses that support the entire operations of the Company. The Company receives funding in advance and tracks and reports eligible expenses incurred to the Foundation. Any unspent funds are recorded as a deferred grant funding liability in the Company's condensed consolidated balance sheets.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received the full amount of the award in November 2022. As of March 31, 2023, the Company has recorded a deferred grant funding liability of approximately $552,000 in the Company's condensed consolidated balance sheets. </w:t>
      </w:r>
    </w:p>
    <w:p>
      <w:pPr>
        <w:pStyle w:val="TextBody"/>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$49.0 million to support the development of DARE-LARC1. The Company is required to apply the funds it receives under the agreement solely toward direct costs for the development of DARE-LARC1, other than approximately 10% of such funds, which it may apply toward general overhead and administration expenses that support the entire operations of the Company. The agreement supports technology development and preclinical activities over the period of June 30, 2021 to November 1, 2026, to advance DARE-LARC1 in nonclinical proof of principle studies. The Company receives funding in advance and tracks and reports eligible expenses incurred to the Foundation. Any unspent funds are recorded as a deferred grant funding liability in the Company's condensed consolidated balance sheets.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received an initial payment of approximately $11.5 million in 2021, and aggregate payments of approximately $12.4 million in 2022. As of March 31, 2023, the Company has received a cumulative total of approximately $23.9 million in non-dilutive funding under the agreement and recorded a deferred grant funding liability of approximately $15.3 million in the Company's condensed consolidated balance sheets. Additional payments are contingent upon the DARE-LARC1 program’s achievement of specified development and reporting milestones.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NET LOSS PER SHARE</w:t>
      </w:r>
    </w:p>
    <w:p>
      <w:pPr>
        <w:pStyle w:val="TextBody"/>
        <w:spacing w:lineRule="auto" w:line="288" w:before="360" w:after="283"/>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Calibri;sans-serif" w:hAnsi="Calibr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6644" w:type="dxa"/>
        <w:jc w:val="center"/>
        <w:tblInd w:w="0" w:type="dxa"/>
        <w:tblCellMar>
          <w:top w:w="28" w:type="dxa"/>
          <w:left w:w="28" w:type="dxa"/>
          <w:bottom w:w="28" w:type="dxa"/>
          <w:right w:w="28" w:type="dxa"/>
        </w:tblCellMar>
      </w:tblPr>
      <w:tblGrid>
        <w:gridCol w:w="1020"/>
        <w:gridCol w:w="898"/>
        <w:gridCol w:w="901"/>
        <w:gridCol w:w="109"/>
        <w:gridCol w:w="109"/>
        <w:gridCol w:w="109"/>
        <w:gridCol w:w="557"/>
        <w:gridCol w:w="464"/>
        <w:gridCol w:w="195"/>
        <w:gridCol w:w="195"/>
        <w:gridCol w:w="195"/>
        <w:gridCol w:w="195"/>
        <w:gridCol w:w="557"/>
        <w:gridCol w:w="464"/>
        <w:gridCol w:w="195"/>
        <w:gridCol w:w="109"/>
        <w:gridCol w:w="109"/>
        <w:gridCol w:w="109"/>
        <w:gridCol w:w="154"/>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9,110,219 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6,277,282 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1,381,015 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9,116,719 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7,658,297 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050"/>
                <wp:effectExtent l="0" t="0" r="0" b="0"/>
                <wp:wrapNone/>
                <wp:docPr id="25" name="Frame24"/>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10.    SUBSEQUENT EVENTS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ATM Sales</w:t>
      </w:r>
    </w:p>
    <w:p>
      <w:pPr>
        <w:pStyle w:val="TextBody"/>
        <w:spacing w:lineRule="auto" w:line="276"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April and May 2023, the Company sold an aggregate of 106,000 shares of common stock under its ATM equity offering program and received aggregate gross proceeds of approximately $109,000 and incurred sales agent commissions and fees of approximately $2,700 (see Note 4).</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050"/>
                <wp:effectExtent l="0" t="0" r="0" b="0"/>
                <wp:wrapNone/>
                <wp:docPr id="26" name="Frame25"/>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2022 included in our Annual Report on Form 10-K for the year ended December 31, 2022, or our 2022 10-K, filed with the Securities and Exchange Commission, or SEC, on March 30, 2023. Past operating results are not necessarily indicative of results that may occur in future periods.</w:t>
      </w:r>
    </w:p>
    <w:p>
      <w:pPr>
        <w:pStyle w:val="TextBody"/>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2022 10-K, and in our subsequent filings with the SEC, including any discussed in Part II, Item 1A of this report under the heading “Risk Factors,” which are incorporated herein by reference.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XACIATO™ is a trademark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pStyle w:val="TextBody"/>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Our first product, XACIATO [zah-she-AH-toe] (clindamycin phosphate) vaginal gel, 2%, was approved by the FDA in December 2021 as a single-dose prescription medication for the treatment of bacterial vaginosis in female patients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Accordingly, our potential future revenue from the commercialization of XACIATO will consist of royalties based on net sales and milestone payments from Organon, and, for an interim period, payments from Organon for commercial supply of XACIATO. We anticipate the first commercial sale of XACIATO in the U.S. in the second quarter 2023.</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pipeline includes diverse programs that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are also exploring opportunities to expand our portfolio by leveraging assets to which we hold rights or obtaining rights to new assets, with continued focus solely on women's health.</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portfolio includes three product candidates in advanced clinical development:</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Ovaprene®</w:t>
      </w:r>
      <w:r>
        <w:rPr>
          <w:rFonts w:ascii="Arial;sans-serif" w:hAnsi="Arial;sans-serif"/>
          <w:b w:val="false"/>
          <w:color w:val="000000"/>
          <w:sz w:val="20"/>
        </w:rPr>
        <w:t>, a hormone-free, monthly intravaginal contraceptive;</w:t>
      </w:r>
    </w:p>
    <w:p>
      <w:pPr>
        <w:pStyle w:val="TextBody"/>
        <w:spacing w:lineRule="auto" w:line="288" w:before="0" w:after="120"/>
        <w:ind w:left="0" w:right="0" w:hanging="360"/>
        <w:jc w:val="both"/>
        <w:rPr/>
      </w:pPr>
      <w:r>
        <w:rPr>
          <w:color w:val="000000"/>
        </w:rPr>
        <w:t>•</w:t>
      </w:r>
      <w:r>
        <w:rPr>
          <w:rFonts w:ascii="Arial;sans-serif" w:hAnsi="Arial;sans-serif"/>
          <w:b/>
          <w:color w:val="000000"/>
          <w:sz w:val="20"/>
        </w:rPr>
        <w:t>Sildenafil Cream, 3.6%</w:t>
      </w:r>
      <w:r>
        <w:rPr>
          <w:rFonts w:ascii="Arial;sans-serif" w:hAnsi="Arial;sans-serif"/>
          <w:b w:val="false"/>
          <w:color w:val="000000"/>
          <w:sz w:val="20"/>
        </w:rPr>
        <w:t>, a proprietary cream formulation of sildenafil for topical administration to the female genitalia for the treatment of female sexual arousal disorder, or FSAD; and</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050"/>
                <wp:effectExtent l="0" t="0" r="0" b="0"/>
                <wp:wrapNone/>
                <wp:docPr id="27" name="Frame26"/>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Arial;sans-serif" w:hAnsi="Arial;sans-serif"/>
          <w:b/>
          <w:color w:val="000000"/>
          <w:sz w:val="20"/>
        </w:rPr>
        <w:t>DARE-HRT1</w:t>
      </w:r>
      <w:r>
        <w:rPr>
          <w:rFonts w:ascii="Arial;sans-serif" w:hAnsi="Arial;sans-serif"/>
          <w:b w:val="false"/>
          <w:color w:val="000000"/>
          <w:sz w:val="20"/>
        </w:rPr>
        <w:t xml:space="preserve">, a combination bio-identical estradiol and progesterone intravaginal ring, for the treatment of moderate to severe vasomotor symptoms, as part of menopausal hormone therapy;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portfolio also includes six product candidates in Phase 1 or Phase 1/2 clinical development or that we believe are Phase 1-ready:</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DARE-VVA1</w:t>
      </w:r>
      <w:r>
        <w:rPr>
          <w:rFonts w:ascii="Arial;sans-serif" w:hAnsi="Arial;sans-serif"/>
          <w:b w:val="false"/>
          <w:color w:val="000000"/>
          <w:sz w:val="20"/>
        </w:rPr>
        <w:t xml:space="preserve">, a proprietary formulation of tamoxifen for intravaginal administration being developed as a hormone-free alternative to estrogen-based therapies for the treatment of moderate to severe vulvar vaginal atrophy; </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 xml:space="preserve">DARE-PDM1, </w:t>
      </w:r>
      <w:r>
        <w:rPr>
          <w:rFonts w:ascii="Arial;sans-serif" w:hAnsi="Arial;sans-serif"/>
          <w:b w:val="false"/>
          <w:color w:val="000000"/>
          <w:sz w:val="20"/>
        </w:rPr>
        <w:t>a proprietary hydrogel formulation of diclofenac, a nonsteroidal anti-inflammatory drug, for vaginal administration as a treatment for primary dysmenorrhea;</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DARE-204 and DARE-214</w:t>
      </w:r>
      <w:r>
        <w:rPr>
          <w:rFonts w:ascii="Arial;sans-serif" w:hAnsi="Arial;sans-serif"/>
          <w:b w:val="false"/>
          <w:color w:val="000000"/>
          <w:sz w:val="20"/>
        </w:rPr>
        <w:t>, injectable formulations of etonogestrel designed to provide contraception over 6-month and 12-month periods, respectively;</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DARE-FRT1</w:t>
      </w:r>
      <w:r>
        <w:rPr>
          <w:rFonts w:ascii="Arial;sans-serif" w:hAnsi="Arial;sans-serif"/>
          <w:b w:val="false"/>
          <w:color w:val="000000"/>
          <w:sz w:val="20"/>
        </w:rPr>
        <w:t>, an intravaginal ring containing bio-identical progesterone for luteal phase support as part of an in vitro fertilization treatment plan; and</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DARE-PTB1</w:t>
      </w:r>
      <w:r>
        <w:rPr>
          <w:rFonts w:ascii="Arial;sans-serif" w:hAnsi="Arial;sans-serif"/>
          <w:b w:val="false"/>
          <w:color w:val="000000"/>
          <w:sz w:val="20"/>
        </w:rPr>
        <w:t>, an intravaginal ring containing bio-identical progesterone for the prevention of preterm birth.</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portfolio includes four pre-clinical stage programs:</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DARE-LARC1</w:t>
      </w:r>
      <w:r>
        <w:rPr>
          <w:rFonts w:ascii="Arial;sans-serif" w:hAnsi="Arial;sans-serif"/>
          <w:b w:val="false"/>
          <w:color w:val="000000"/>
          <w:sz w:val="20"/>
        </w:rPr>
        <w:t>, a contraceptive implant delivering levonorgestrel with a woman-centered design that has the potential to be a long-acting, yet convenient and user-controlled contraceptive option;</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DARE-GML</w:t>
      </w:r>
      <w:r>
        <w:rPr>
          <w:rFonts w:ascii="Arial;sans-serif" w:hAnsi="Arial;sans-serif"/>
          <w:b w:val="false"/>
          <w:color w:val="000000"/>
          <w:sz w:val="20"/>
        </w:rPr>
        <w:t xml:space="preserve">, an intravaginally-delivered potential multi-target antimicrobial agent formulated with glycerol monolaurate (GML), which has shown broad antimicrobial activity, killing bacteria and viruses; </w:t>
      </w:r>
    </w:p>
    <w:p>
      <w:pPr>
        <w:pStyle w:val="TextBody"/>
        <w:spacing w:lineRule="auto" w:line="288" w:before="120" w:after="120"/>
        <w:ind w:left="0" w:right="0" w:hanging="360"/>
        <w:jc w:val="both"/>
        <w:rPr/>
      </w:pPr>
      <w:r>
        <w:rPr>
          <w:color w:val="000000"/>
        </w:rPr>
        <w:t>•</w:t>
      </w:r>
      <w:r>
        <w:rPr>
          <w:rFonts w:ascii="Arial;sans-serif" w:hAnsi="Arial;sans-serif"/>
          <w:b/>
          <w:color w:val="000000"/>
          <w:sz w:val="20"/>
        </w:rPr>
        <w:t>DARE-LBT</w:t>
      </w:r>
      <w:r>
        <w:rPr>
          <w:rFonts w:ascii="Arial;sans-serif" w:hAnsi="Arial;sans-serif"/>
          <w:b w:val="false"/>
          <w:color w:val="000000"/>
          <w:sz w:val="20"/>
        </w:rPr>
        <w:t>, a novel hydrogel formulation for vaginal delivery of live biotherapeutics to support vaginal health; and</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non-hormonal contraception for both men and women by targeting the CatSper ion channel.</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product candidates and potential product candidates in our portfolio will require review and approval from the FDA, or a comparable foreign regulatory authority, prior to being marketed or sold. See below and ITEM 1. "BUSINESS," in Part I of our 2022 10-K for additional information regarding our product and product candidates.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In 2023, we expect to focus our resources on advancement of Ovaprene, Sildenafil Cream, 3.6%, DARE-HRT1 and our other product candidates that have reached the human clinical study development phase.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050"/>
                <wp:effectExtent l="0" t="0" r="0" b="0"/>
                <wp:wrapNone/>
                <wp:docPr id="28" name="Frame27"/>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process of developing and obtaining regulatory approvals for prescription drug and drug/device products in the United States and in foreign jurisdictions is inherently uncertain and requires the expenditure of substantial financial resources without any guarantee of success. As discussed below, we will need to raise substantial additional capital to continue to fund our operations and execute our current business strategy. To the extent we receive regulatory approvals, such as the FDA’s approval of XACIATO, the commercialization of any product and compliance with subsequently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 We are also subject to a number of other risks common to biopharmaceutical companies, including, but not limited to, dependence on key employees, reliance on third-party collaborators and service providers,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and exposure to cybersecurity threats and incidents.</w:t>
      </w:r>
    </w:p>
    <w:p>
      <w:pPr>
        <w:pStyle w:val="TextBody"/>
        <w:spacing w:lineRule="auto" w:line="288" w:before="120" w:after="283"/>
        <w:ind w:left="0" w:right="0" w:firstLine="720"/>
        <w:jc w:val="both"/>
        <w:rPr/>
      </w:pPr>
      <w:r>
        <w:rPr>
          <w:rFonts w:ascii="Arial;sans-serif" w:hAnsi="Arial;sans-serif"/>
          <w:b w:val="false"/>
          <w:color w:val="000000"/>
          <w:sz w:val="20"/>
        </w:rPr>
        <w:t xml:space="preserve">The COVID-19 pandemic remains an evolving and uncertain risk to our business, operating results, financial condition and stock price. To date, we believe the pandemic contributed to a slower than expected initial pace of enrollment in our exploratory Phase 2b clinical study of Sildenafil Cream, 3.6% and delays in commencement of clinical studies and nonclinical testing for more than one of our earlier stage clinical programs, but it has not had a material adverse effect on our business as a whole. Future impacts may include delay or disruption of our clinical trials, including as a result of potential constraints or disruptions in the supply chains for our product candidates. Continued uncertainty regarding the duration and impact of the pandemic on the U.S. and global economies, healthcare systems, workplace environments and capital markets, preclude any prediction as to the ultimate effect of the pandemic on our business. See the risk factor in Part I, Item 1A of our 2022 10-K titled, </w:t>
      </w:r>
      <w:r>
        <w:rPr>
          <w:rFonts w:ascii="Arial;sans-serif" w:hAnsi="Arial;sans-serif"/>
          <w:b w:val="false"/>
          <w:i/>
          <w:color w:val="000000"/>
          <w:sz w:val="20"/>
        </w:rPr>
        <w:t>Business interruptions resulting from the COVID-19 pandemic or future public health crises, natural disasters or telecommunication and electrical failures may materially and adversely affect our business, operating results and financial condition.</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XACIATO</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Activities in preparation for commercial launch of XACIATO (clindamycin phosphate) vaginal gel, 2% in the United States are ongoing and the first commercial sale is expected in the second quarter of 2023. Following the first commercial sale of XACIATO, we are entitled to receive a $2.5 million milestone payment from Organon and a $0.5 million payment from us to a third-party licensor will become payable. Under our exclusive global license agreement with Organon, we are also entitled to receive tiered double-digit royalties based on net sales and up to $180.0 million in tiered commercial sales milestones and regulatory milestones.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our agreement with Organon, for an interim period, we will remain the holder of the FDA’s marketing approval for XACIATO and be responsible for providing commercial product supply. Upon Organon's request, we will assist with the transfer of the new drug application, or NDA, by the FDA to Organon, as well as the transfer of manufacturing responsibilities to Organon. As the current NDA holder, we will continue to be responsible for regulatory and compliance matters following commercial launch, though Organon is responsible for commercializing, promoting, determining pricing, and negotiating reimbursement matters related to XACIATO. Organon will purchase all of its product requirements of XACIATO from us at a transfer price equal to our manufacturing costs plus a single-digit percentage markup. We will fulfill our commercial supply obligations through the contract manufacturer that provided clinical supplies of XACIATO for our pivotal Phase 3 DARE-BVFREE clinical study of XACIATO. We will not be responsible for other costs of commercializing XACIATO.</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050"/>
                <wp:effectExtent l="0" t="0" r="0" b="0"/>
                <wp:wrapNone/>
                <wp:docPr id="29" name="Frame28"/>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00"/>
        <w:rPr>
          <w:rFonts w:ascii="Arial;sans-serif" w:hAnsi="Arial;sans-serif"/>
          <w:b/>
          <w:color w:val="000000"/>
          <w:sz w:val="20"/>
        </w:rPr>
      </w:pPr>
      <w:r>
        <w:rPr>
          <w:rFonts w:ascii="Arial;sans-serif" w:hAnsi="Arial;sans-serif"/>
          <w:b/>
          <w:color w:val="000000"/>
          <w:sz w:val="20"/>
        </w:rPr>
        <w:t>Clinical-Stage Program Updates</w:t>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Ovaprene</w:t>
      </w:r>
    </w:p>
    <w:p>
      <w:pPr>
        <w:pStyle w:val="TextBody"/>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In October 2022, we announced that the FDA approved an Investigational Device Exemption, or IDE, application allowing us to conduct a single arm, open-label pivotal contraceptive efficacy study of Ovaprene. The multi-center, non-comparative pivotal Phase 3 clinical study will evaluate Ovaprene’s effectiveness as a contraceptive device along with its safety and usability over an approximately 12-month (13 menstrual cycles) duration. We have been working with our collaborators at the National Institutes of Health, or NIH, and at Bayer to review and implement study design considerations provided by the FDA with its IDE approval letter, which we believe will further position the Phase 3 study to collect safety and effectiveness data to enable the preparation of, and to support the submission of, a premarket approval, or PMA, application for Ovaprene. If successful, we expect the study to support a PMA application to the FDA, as well as regulatory filings in Europe and other countries worldwide, to allow for marketing approvals of Ovaprene. Initiation of recruitment for the study is targeted for mid-2023.</w:t>
      </w:r>
    </w:p>
    <w:p>
      <w:pPr>
        <w:pStyle w:val="TextBody"/>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The Phase 3 study will be conducted under our Cooperative Research and Development Agreement, or CRADA, with the U.S. Department of Health and Human Services, as represented by the Eunice Kennedy Shriver National Institute of Child Health and Human Development, or the NICHD, part of the NIH,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NICHD is responsible for the other costs related to the conduct of the Phase 3 study and for managing the payment of expenses to the contract research organization for the study, the clinical sites, and other parties involved with the study. We and NICHD are in discussions regarding an amendment to the CRADA, which we expect will delay the due date of our remaining $0.5 million payment to NICHD to the fourth quarter of 2023 and potentially provide for additional future payments by us in support of the Phase 3 study. We do not expect any such potential additional amounts to be payable in 2023.</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050"/>
                <wp:effectExtent l="0" t="0" r="0" b="0"/>
                <wp:wrapNone/>
                <wp:docPr id="30" name="Frame29"/>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Sildenafil Cream, 3.6%</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In 2022, we completed enrollment in our exploratory Phase 2b RESPOND clinical study of Sildenafil Cream, 3.6% in premenopausal women with FSAD. During the multi-center, double-blind, placebo-controlled study, subjects use Sildenafil Cream, 3.6% and placebo cream in their home setting and document genital arousal symptoms and distress using patient reported outcome instruments. The primary efficacy endpoint of the study is a composite endpoint that includes patient-reported improvement in genital sensations of arousal and reduction in distress associated with FSAD. The exploratory study was designed to evaluate a number of different potential ways to ask women questions about their genital sensations and distress associated with FSAD (referred to as patient reported outcomes) in the at-home setting to help us assess the appropriate potential efficacy endpoints for future Phase 3 clinical studies. A total of approximately 160 to 170 subjects (approximately 80 to 85 subjects per arm) are expected to complete the study's 12 week double blind dosing period for inclusion in the topline data assessment, targeted for the second quarter of 2023.</w:t>
      </w:r>
    </w:p>
    <w:p>
      <w:pPr>
        <w:pStyle w:val="TextBody"/>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2023, we announced the initiation of subject enrollment in a Phase 1, single-dose, double-blind, placebo-controlled, 3-way crossover clinical study of Sildenafil Cream, 3.6%, using thermography to assess the pharmacodynamic and pharmacokinetic characterization of Sildenafil Cream, 3.6%. We expect the Phase 1 thermography study will enroll approximately 15 women and be completed in 2023. Data from the study are expected to support the ongoing development of Sildenafil Cream, 3.6% as a potential treatment for FSAD. </w:t>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DARE-HRT1</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October 2022 and January 2023, we announced topline results of our Phase 1/2 clinical study of DARE-HRT1 conducted by our wholly owned subsidiary in Australia. The randomized, open-label, two arm, parallel group study evaluated the pharmacokinetics (PK) of two versions of DARE-HRT1 (estradiol 80 µg/progesterone 4 mg IVR and estradiol 160 µg/progesterone 8 mg IVR) in approximately 20 healthy, post-menopausal women over approximately three consecutive months of use. The study also collected safety, usability, acceptability and symptom-relief data including the vasomotor symptoms, or VMS, as well as the vaginal symptoms of menopause. Based on pre-IND communications with the FDA and the topline PK, data from the Phase 1/2 study, we plan to advance DARE-HRT1 directly into a Phase 3 clinical trial. We believe FDA approval of DARE-HRT1 for the treatment of moderate to severe VMS due to menopause in women with intact uteri is achievable via the FDA's 505(b)(2) pathway supported by a single, placebo-controlled Phase 3 clinical trial and a scientifically justified PK “bridge” (via a relative bioavailability trial) between DARE-HRT1 and the selected listed estradiol and progesterone drugs. Ongoing activities to support progressing DARE-HRT1 directly into a Phase 3 clinical study to support registration include manufacturing and non-clinical studies to support an investigational new drug, or IND, submission to the FDA and the IND-opening Phase 3 study. </w:t>
      </w:r>
    </w:p>
    <w:p>
      <w:pPr>
        <w:pStyle w:val="TextBody"/>
        <w:spacing w:lineRule="auto" w:line="288" w:before="200" w:after="20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DARE-VVA1</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2022, we announced topline results from of our Phase 1/2 clinical study of DARE-VVA1 conducted by our wholly owned subsidiary in Australia. The randomized, multi-center, double-blind, parallel-arm, placebo-controlled, dose-ranging study enrolled 17 postmenopausal women with VVA and evaluated the safety, tolerability, plasma PK and pharmacodynamics (PD) of DARE-VVA1. We believe the results of the Phase 1/2 study support ongoing development of DARE-VVA1 as a potential hormone-free treatment for moderate to severe vulvar vaginal atrophy. We are conducting activities to support an IND submission to the FDA and an IND-opening Phase 2 clinical study.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050"/>
                <wp:effectExtent l="0" t="0" r="0" b="0"/>
                <wp:wrapNone/>
                <wp:docPr id="31" name="Frame30"/>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160" w:after="120"/>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DARE-PDM1</w:t>
      </w:r>
    </w:p>
    <w:p>
      <w:pPr>
        <w:pStyle w:val="TextBody"/>
        <w:spacing w:lineRule="auto" w:line="288" w:before="160" w:after="120"/>
        <w:ind w:left="0" w:right="0" w:firstLine="720"/>
        <w:jc w:val="both"/>
        <w:rPr>
          <w:rFonts w:ascii="Arial;sans-serif" w:hAnsi="Arial;sans-serif"/>
          <w:b w:val="false"/>
          <w:color w:val="000000"/>
          <w:sz w:val="20"/>
        </w:rPr>
      </w:pPr>
      <w:r>
        <w:rPr>
          <w:rFonts w:ascii="Arial;sans-serif" w:hAnsi="Arial;sans-serif"/>
          <w:b w:val="false"/>
          <w:color w:val="000000"/>
          <w:sz w:val="20"/>
        </w:rPr>
        <w:t>In February 2023 we announced the start of a Phase 1 clinical study of DARE-PDM1, which is being conducted by our wholly owned subsidiary in Australia. The DARE-PDM1 Phase 1 study, DARE-PDM1-001, is a multi-center, randomized, placebo-controlled, double-blind, three-arm parallel group study expected to enroll approximately 36 healthy, premenopausal women with primary dysmenorrhea. This study is designed to assess the systemic (plasma) and local mucosal (vaginal fluid) diclofenac PK and safety after a single dose and during three daily doses of vaginally administered DARE-PDM1, given in two different strengths (1% or 3% diclofenac in 2.5 mL of hydrogel) versus placebo. The study will also assess, as an exploratory endpoint, the preliminary dysmenorrhea treatment efficacy of DARE-PDM1, when dosed in three daily doses at the onset of dysmenorrhea symptoms, compared to a no-treatment, baseline, control cycle. The study observation period will encompass approximately three menstrual cycles. We anticipate announcing topline data from the study in 2023.</w:t>
      </w:r>
    </w:p>
    <w:p>
      <w:pPr>
        <w:pStyle w:val="TextBody"/>
        <w:spacing w:lineRule="auto" w:line="276" w:before="160" w:after="120"/>
        <w:ind w:left="0" w:right="0" w:firstLine="720"/>
        <w:jc w:val="both"/>
        <w:rPr/>
      </w:pPr>
      <w:r>
        <w:rPr>
          <w:rFonts w:ascii="Arial;sans-serif" w:hAnsi="Arial;sans-serif"/>
          <w:b/>
          <w:i/>
          <w:color w:val="000000"/>
          <w:sz w:val="20"/>
          <w:u w:val="single"/>
        </w:rPr>
        <w:t>DARE-204 and DARE-214</w:t>
      </w:r>
      <w:r>
        <w:rPr>
          <w:color w:val="000000"/>
          <w:u w:val="single"/>
        </w:rPr>
        <w:t xml:space="preserve"> </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conducting development activities in preparation for Phase 1 clinical studies of DARE-204 and DARE-214 by our wholly-owned subsidiary in Australia. We do not expect to commence the Phase 1 studies in 2023.</w:t>
      </w:r>
    </w:p>
    <w:p>
      <w:pPr>
        <w:pStyle w:val="TextBody"/>
        <w:spacing w:lineRule="auto" w:line="276" w:before="160" w:after="283"/>
        <w:ind w:left="0" w:right="0" w:firstLine="720"/>
        <w:jc w:val="both"/>
        <w:rPr>
          <w:rFonts w:ascii="Arial;sans-serif" w:hAnsi="Arial;sans-serif"/>
          <w:b/>
          <w:i/>
          <w:color w:val="000000"/>
          <w:sz w:val="20"/>
          <w:u w:val="single"/>
        </w:rPr>
      </w:pPr>
      <w:r>
        <w:rPr>
          <w:rFonts w:ascii="Arial;sans-serif" w:hAnsi="Arial;sans-serif"/>
          <w:b/>
          <w:i/>
          <w:color w:val="000000"/>
          <w:sz w:val="20"/>
          <w:u w:val="single"/>
        </w:rPr>
        <w:t>DARE-FRT1 and DARE-PTB1</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conducting development activities in preparation for Phase 1 clinical studies of DARE-FRT1 and DARE-PTB1. We do not expect to commence clinical development activities of these product candidates in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Recent Events</w:t>
      </w:r>
    </w:p>
    <w:p>
      <w:pPr>
        <w:pStyle w:val="TextBody"/>
        <w:spacing w:lineRule="auto" w:line="276" w:before="200" w:after="200"/>
        <w:jc w:val="both"/>
        <w:rPr>
          <w:rFonts w:ascii="Arial;sans-serif" w:hAnsi="Arial;sans-serif"/>
          <w:b/>
          <w:i/>
          <w:color w:val="000000"/>
          <w:sz w:val="20"/>
        </w:rPr>
      </w:pPr>
      <w:r>
        <w:rPr>
          <w:rFonts w:ascii="Arial;sans-serif" w:hAnsi="Arial;sans-serif"/>
          <w:b/>
          <w:i/>
          <w:color w:val="000000"/>
          <w:sz w:val="20"/>
        </w:rPr>
        <w:t>New ATM Sales Agreement</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March 31, 2023, we entered into a sales agreement with Stifel, Nicolaus &amp; Company, Incorporated, or Stifel, and Cantor Fitzgerald &amp; Co., or Cantor, to sell shares of our common stock from time to time through an "at-the-market," or ATM, equity offering program under which Stifel and Cantor act as our agent. We agreed to pay a commission equal to 3% of the gross proceeds of any common stock sold under the agreement or such lower amount as we and Stifel and Cantor agree, plus certain legal expenses. Shares of our common stock sold under the agreement will be issued pursuant to our shelf registration statement on Form S-3 (File No. 333-254862), the base prospectus included therein, originally filed with the SEC on March 30, 2021 and declared effective by the SEC on April 7, 2021, the prospectus supplement dated March 31, 2023 relating to the offering of up to $50.0 million of shares of our common stock under the sales agreement, and any subsequent prospectus supplement related to the offering of shares of our common stock under the sales agreement.</w:t>
      </w:r>
    </w:p>
    <w:p>
      <w:pPr>
        <w:pStyle w:val="TextBody"/>
        <w:spacing w:lineRule="auto" w:line="288" w:before="200" w:after="200"/>
        <w:jc w:val="both"/>
        <w:rPr>
          <w:rFonts w:ascii="Arial;sans-serif" w:hAnsi="Arial;sans-serif"/>
          <w:b/>
          <w:i/>
          <w:color w:val="000000"/>
          <w:sz w:val="20"/>
        </w:rPr>
      </w:pPr>
      <w:r>
        <w:rPr>
          <w:rFonts w:ascii="Arial;sans-serif" w:hAnsi="Arial;sans-serif"/>
          <w:b/>
          <w:i/>
          <w:color w:val="000000"/>
          <w:sz w:val="20"/>
        </w:rPr>
        <w:t>Termination of 2021 ATM Sales Agreements</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and October 2021, we entered into common stock sales agreements with SVB Securities LLC relating to the offering and sale of shares of our common stock from time to time in ATM offerings through SVB Securities, acting as sales agent. In March 2023, we provided notice to SVB Securities to terminate both agreements, and the agreements terminated on March 30,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050"/>
                <wp:effectExtent l="0" t="0" r="0" b="0"/>
                <wp:wrapNone/>
                <wp:docPr id="32" name="Frame31"/>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Revenue</w:t>
      </w:r>
    </w:p>
    <w:p>
      <w:pPr>
        <w:pStyle w:val="TextBody"/>
        <w:spacing w:lineRule="auto" w:line="288" w:before="200" w:after="283"/>
        <w:ind w:left="0" w:right="0" w:firstLine="720"/>
        <w:jc w:val="both"/>
        <w:rPr/>
      </w:pPr>
      <w:r>
        <w:rPr>
          <w:rFonts w:ascii="Arial;sans-serif" w:hAnsi="Arial;sans-serif"/>
          <w:b w:val="false"/>
          <w:color w:val="000000"/>
          <w:sz w:val="20"/>
        </w:rPr>
        <w:t>To date we have generated $10.0 million in revenue, all of which represents the upfront payment under our license agreement with Organon to commercialize XACIATO, which is recognized as license fee revenue.</w:t>
      </w:r>
      <w:r>
        <w:rPr>
          <w:color w:val="000000"/>
        </w:rPr>
        <w:t xml:space="preserve"> </w:t>
      </w:r>
      <w:r>
        <w:rPr>
          <w:rFonts w:ascii="Arial;sans-serif" w:hAnsi="Arial;sans-serif"/>
          <w:b w:val="false"/>
          <w:color w:val="000000"/>
          <w:sz w:val="20"/>
        </w:rPr>
        <w:t>In the future, we may generate revenue from royalties and commercial milestones based on the net sales of XACIATO, from product sales of other approved products, if any, and from license fees, milestone payments, research and development payments in connection with strategic collaborations. In the future and for an interim period, we may also generate revenue from commercial supply of XACIATO to Organon.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the commercialization of XACIATO is not successful or we fail to complete the development of our product candidates in a timely manner, or to receive regulatory approval for such product candidates, our ability to generate future revenue and our results of operations would be materially adversely affected.</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pStyle w:val="TextBody"/>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trial sites and consultants that conduct research and development and regulatory affairs activities on our behalf;</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laboratory and vendor expenses related to the execution of nonclinical studies and clinical trials;</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 xml:space="preserve">contract manufacturing expenses, primarily for the production of clinical supplies; </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we incur, or the incurrence of which we deem probable; and</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internal costs associated with activities performed by our research and development organization and generally benefit multiple programs.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research and development expense. The amounts are determined based on our eligible research and development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receive funding through grants that support activities related to the development of certain of our product candidates. As we incur eligible expenses under those grants, we recognize grant funding in the statements of operations as a reduction to research and development expense (contra-research and development expense). For more information, see Note 2, Basis of Presentation and Summary of Significant Accounting Policies – Grant Funding, to our consolidated financial statements contained in our 2022 10-K and Note 8, Grant Awards, to our condensed consolidated financial statements contained in this report. For the three months ended March 31, 2023 and 2022, we recognized contra-research and development expense of approximately $2.6 million and $1.1 million, respectively.</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050"/>
                <wp:effectExtent l="0" t="0" r="0" b="0"/>
                <wp:wrapNone/>
                <wp:docPr id="33" name="Frame32"/>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2022, our research and development expenses consisted primarily of costs associated with the continued development of Ovaprene and Sildenafil Cream 3.6%. We expect research and development expenses to increase in 2023 and beyond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expenses consist of up-front license fees and annual license fees due under our in-licensing arrangements.</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General and Administrative Expenses</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and Note 2 to our financial statements contained in our 2022 10-K, and Note 2 to our condensed consolidated financial statements contained in this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050"/>
                <wp:effectExtent l="0" t="0" r="0" b="0"/>
                <wp:wrapNone/>
                <wp:docPr id="34" name="Frame33"/>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240" w:after="200"/>
        <w:rPr>
          <w:rFonts w:ascii="Arial;sans-serif" w:hAnsi="Arial;sans-serif"/>
          <w:b/>
          <w:i/>
          <w:color w:val="000000"/>
          <w:sz w:val="20"/>
        </w:rPr>
      </w:pPr>
      <w:r>
        <w:rPr>
          <w:rFonts w:ascii="Arial;sans-serif" w:hAnsi="Arial;sans-serif"/>
          <w:b/>
          <w:i/>
          <w:color w:val="000000"/>
          <w:sz w:val="20"/>
        </w:rPr>
        <w:t>Comparison of Three Months Ended March 31, 2023 and 2022 (Unaudited)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9859" w:type="dxa"/>
        <w:jc w:val="center"/>
        <w:tblInd w:w="0" w:type="dxa"/>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081"/>
        <w:gridCol w:w="109"/>
        <w:gridCol w:w="109"/>
        <w:gridCol w:w="109"/>
        <w:gridCol w:w="109"/>
        <w:gridCol w:w="211"/>
        <w:gridCol w:w="856"/>
        <w:gridCol w:w="109"/>
        <w:gridCol w:w="109"/>
        <w:gridCol w:w="109"/>
        <w:gridCol w:w="109"/>
        <w:gridCol w:w="371"/>
        <w:gridCol w:w="320"/>
        <w:gridCol w:w="286"/>
        <w:gridCol w:w="109"/>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5,020,223 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5,805,462 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 expenses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(8,382,649)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(8,400,449)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19020 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(8,042,501)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(8,064,506)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(8,407,820)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Arial;sans-serif" w:hAnsi="Arial;sans-serif"/>
          <w:b/>
          <w:i/>
          <w:color w:val="000000"/>
          <w:sz w:val="20"/>
        </w:rPr>
      </w:pPr>
      <w:r>
        <w:rPr>
          <w:rFonts w:ascii="Arial;sans-serif" w:hAnsi="Arial;sans-serif"/>
          <w:b/>
          <w:i/>
          <w:color w:val="000000"/>
          <w:sz w:val="20"/>
        </w:rPr>
        <w:t>General and administrative expenses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$0.8 million in general and administrative expenses for the three months ended March 31, 2023 as compared to the three months ended March 31, 2022 was primarily attributable to increases in (i) commercial-readiness expenses of approximately $0.2 million, (ii) a one-time fraud loss of approximately $0.2 million, net of proceeds we received under an insurance policy, related to criminal fraud commonly referred to as "business email compromise fraud" to which we were subject, (iii) general corporate overhead, including rent and facilities expenses, of approximately $0.1 million, (iv) professional services expense of approximately $72,000, (v) stock-based compensation expense of approximately $67,000, (vi) and personnel costs of approximately $49,000.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$0.8 million in research and development expenses for the three months ended March 31, 2023 as compared to the three months ended March 31, 2022 was primarily attributable to decreases in expenses related to clinical trial and manufacturing and regulatory affairs activities for our clinical-stage product candidate Ovaprene of approximately $1.1 million and decreases in costs related to our ongoing Sildenafil Cream, 3.6% Phase 2b RESPOND clinical study of approximately $0.3 million, partially offset by increases in costs related to development activities for our Phase 1 and Phase 1-ready programs of approximately $0.6 million.</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each of the three months ended March 31, 2023 and March 31, 2022, we accrued $25,000 of the $100,000 annual license maintenance fee payable under our license agreement related to DARE-HRT1.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further discussion of these license fees, see Note 3 to our condensed consolidated financial statements contained in this report.</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Other income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$0.3 million in other income for the three months ended March 31, 2023 as compared to the three months ended March 31, 2022 was primarily due to an increase in interest earned on cash balances in the current period.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050"/>
                <wp:effectExtent l="0" t="0" r="0" b="0"/>
                <wp:wrapNone/>
                <wp:docPr id="35" name="Frame34"/>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March 31, 2023, our accumulated deficit was approximately $149.1 million, our cash and cash equivalents were approximately $19.8 million, our deferred grant funding liabilities under our grant agreements related to DARE-LARC1 and DARE-LBT were approximately $15.3 million and $0.6 million, respectively, and our working capital was approximately $5.2 million. The aggregate $15.8 million of deferred grant funding liabilities is included in our cash and cash equivalents, and represents grant funds received that may be applied solely toward direct costs for the development of DARE-LARC1 and DARE-LBT, other than approximately 10% of such funds, which may be applied toward general overhead and administration expenses that support our entire operations. We incurred a loss from operations of approximately $8.0 million and had negative cash flow from operations of approximately $16.1 million during the three months ended March 31, 2023. </w:t>
      </w:r>
    </w:p>
    <w:p>
      <w:pPr>
        <w:pStyle w:val="TextBody"/>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to incur significant losses from operations and negative cash flows from operations for the foreseeable future as we continue to develop and seek to bring to market our existing product candidates and as we seek to potentially acquire, license and develop additional product candidates. 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third-party licensors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w:t>
      </w:r>
    </w:p>
    <w:p>
      <w:pPr>
        <w:pStyle w:val="TextBody"/>
        <w:spacing w:lineRule="auto" w:line="288" w:before="120" w:after="200"/>
        <w:ind w:left="0" w:right="0" w:firstLine="720"/>
        <w:jc w:val="both"/>
        <w:rPr/>
      </w:pPr>
      <w:r>
        <w:rPr>
          <w:rFonts w:ascii="Arial;sans-serif" w:hAnsi="Arial;sans-serif"/>
          <w:b w:val="false"/>
          <w:color w:val="000000"/>
          <w:sz w:val="20"/>
        </w:rPr>
        <w:t>Based on current development plans for our product candidates, we anticipate both our general and administrative and research and development expenses to increase in 2023 compared to 2022</w:t>
      </w:r>
      <w:r>
        <w:rPr>
          <w:color w:val="000000"/>
        </w:rPr>
        <w:t xml:space="preserve"> </w:t>
      </w:r>
      <w:r>
        <w:rPr>
          <w:rFonts w:ascii="Arial;sans-serif" w:hAnsi="Arial;sans-serif"/>
          <w:b w:val="false"/>
          <w:color w:val="000000"/>
          <w:sz w:val="20"/>
        </w:rPr>
        <w:t xml:space="preserve">as we continue to focus on the advancement of Ovaprene, Sildenafil Cream, 3.6%, DARE-HRT1 and our other product candidates that have reached the human clinical study development phase. If the first commercial sale of XACIATO in the U.S. occurs in the second quarter of 2023 as expected, we will receive a $2.5 million milestone payment and we will be eligible to receive royalty payments at rates in the low double-digits based on annual net sales of XACIATO. After taking into account our royalty payment obligations under our in-license agreement for XACIATO, we do not expect royalty payments received during 2023 to materially impact our cash resources or requirements. Our general and administrative expenses for 2023 are expected to increase primarily due to increased personnel costs and other general corporate overhead, and are expected to include costs related to commercial-readiness activities and obtaining commercial supply of XACIATO from our contract manufacturer. Under the terms of our license agreement with Organon, Organon will purchase XACIATO from us at a price equal to our manufacturing costs plus a single digit percentage markup. As a result, we do not anticipate our costs for providing XACIATO to Organon will have a material impact on our cash resources and requirements. Following commercial launch of XACIATO, we expect our general and administrative expenses will include payments by us under our in-license agreement for XACIATO, including a $500,000 milestone payment upon first commercial sale of XACIATO in the U.S. and royalty payments at rates in the high single-digit to low double-digits based on annual net sales of XACIATO. The amount of our research and development expenses for 2023 is difficult to predict with certainty and will depend on the pace and extent of our research and development activities. Factors that impact the pace and extent of our research and development activities and, therefore our research and development spend include, without limitation, our cash resources, reprioritization of development programs and activities, the scope, timing of commencement, and rate of progress of our clinical trials and preclinical studies, the cost and timing of manufacture and receipt of clinical supplies, timing of regulatory approval of a clinical study or alignment on study design, the results of our clinical trials and preclinical studies, and the extent to which we establish strategic collaborations or other arrangements and the terms of such arrangements.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050"/>
                <wp:effectExtent l="0" t="0" r="0" b="0"/>
                <wp:wrapNone/>
                <wp:docPr id="36" name="Frame35"/>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Based on our current operating plan estimates, we do not have sufficient cash to satisfy our working capital needs and other liquidity requirements over at least the next 12 months from the date of issuance of the accompanying condensed consolidated financial statements. The amount and timing of our capital needs have and will continue to depend highly on many factors, including the pace at which our clinical development programs proceed and the expenses associated therewith. 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We can control the timing of when we incur a majority of those expenses. Our research and development expenses for the remainder of 2023 will be primarily associated with the anticipated completion of our exploratory Phase 2b RESPOND clinical study of Sildenafil Cream, 3.6%, manufacturing activities in connection with our pivotal Phase 3 clinical study of Ovaprene, and variable expenses for our other programs, the timing of when we incur such expenses we can control. We closely monitor our cash resources and, if all of our clinical development programs proceed on currently anticipated timelines, we will need additional capital by the middle of this year to fund operations and the continued development of all such programs on such timelines. We are in ongoing discussions with multiple potential third-party sources of additional capital and we believe that we will be able to obtain sufficient capital when needed in a manner that will not materially impact the development of our product candidates. However, many aspects of our ability to obtain additional capital are not entirely within our control and there can be no assurance that we will receive additional capital as and when needed.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will continue to evaluate and may pursue a variety of capital raising options on an on-going basis, including sales of equity, including sales of our common stock in ATM offerings, debt financings, government or other grant funding, collaborations, structured financings, and strategic alliances or other similar types of arrangements, to cover our operating expenses, and the cost of any license or other acquisition of new product candidates or technologies. There can be no assurance that capital will be available when needed or that, if available, it will be obtained on terms favorable to us and our stockholders. Our ability to raise capital through sales of our common stock will depend on a variety of factors including, among others, market conditions, the trading price and volume of our common stock, our clinical and commercial developments, and investor sentiment. In addition, macroeconomic factors and volatility in the financial market, which may be exacerbated in the short term by concerns over inflation, rising interest rates, economic recession, adverse developments affecting financial institutions or the financial services industry, failure of the U.S. government to raise the federal debt ceiling, impacts of the war in Ukraine, strained relations between the U.S. and several other countries, and social and political discord and unrest in the U.S., among other things, may make equity or debt financings more difficult, more costly or more dilutive to our stockholders, and may increase competition for, or limit the availability of, funding from other potential third-party sources of capital, such as strategic collaborators and sources of grant funding.</w:t>
      </w:r>
    </w:p>
    <w:p>
      <w:pPr>
        <w:pStyle w:val="TextBody"/>
        <w:spacing w:lineRule="auto" w:line="288" w:before="160" w:after="200"/>
        <w:ind w:left="0" w:right="0" w:firstLine="720"/>
        <w:jc w:val="both"/>
        <w:rPr/>
      </w:pPr>
      <w:r>
        <w:rPr>
          <w:rFonts w:ascii="Arial;sans-serif" w:hAnsi="Arial;sans-serif"/>
          <w:b w:val="false"/>
          <w:color w:val="000000"/>
          <w:sz w:val="20"/>
        </w:rPr>
        <w:t xml:space="preserve">In addition, equity or debt financings may have a dilutive effect on the holdings of our existing stockholders, and debt financings may subject us to restrictive covenants, operational restrictions and security interests in our assets.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Part I, Item 1A of our 2022 10-K titled, </w:t>
      </w:r>
      <w:r>
        <w:rPr>
          <w:rFonts w:ascii="Arial;sans-serif" w:hAnsi="Arial;sans-serif"/>
          <w:b w:val="false"/>
          <w:i/>
          <w:color w:val="000000"/>
          <w:sz w:val="20"/>
        </w:rPr>
        <w:t>We will need to raise substantial additional capital to continue our operations and execute our business strategy, and we may not be able to raise adequate capital on a timely basis, on favorable terms, or at all.</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prepared the accompanying condensed consolidated financial statements on a going concern basis, which assumes that we will realize our assets and satisfy our liabilities in the normal course of business. As discussed above, there is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050"/>
                <wp:effectExtent l="0" t="0" r="0" b="0"/>
                <wp:wrapNone/>
                <wp:docPr id="37" name="Frame36"/>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994" w:type="dxa"/>
        <w:jc w:val="center"/>
        <w:tblInd w:w="0" w:type="dxa"/>
        <w:tblCellMar>
          <w:top w:w="28" w:type="dxa"/>
          <w:left w:w="28" w:type="dxa"/>
          <w:bottom w:w="28" w:type="dxa"/>
          <w:right w:w="28" w:type="dxa"/>
        </w:tblCellMar>
      </w:tblPr>
      <w:tblGrid>
        <w:gridCol w:w="2034"/>
        <w:gridCol w:w="1781"/>
        <w:gridCol w:w="1795"/>
        <w:gridCol w:w="211"/>
        <w:gridCol w:w="1186"/>
        <w:gridCol w:w="109"/>
        <w:gridCol w:w="109"/>
        <w:gridCol w:w="109"/>
        <w:gridCol w:w="109"/>
        <w:gridCol w:w="211"/>
        <w:gridCol w:w="1186"/>
        <w:gridCol w:w="154"/>
      </w:tblGrid>
      <w:tr>
        <w:trPr/>
        <w:tc>
          <w:tcPr>
            <w:tcW w:w="2034"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(16,117,571)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(12,343,473)</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(14,840,201)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(12,357,176)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Arial;sans-serif" w:hAnsi="Arial;sans-serif"/>
          <w:b/>
          <w:i/>
          <w:color w:val="000000"/>
          <w:sz w:val="20"/>
        </w:rPr>
      </w:pPr>
      <w:r>
        <w:rPr>
          <w:rFonts w:ascii="Arial;sans-serif" w:hAnsi="Arial;sans-serif"/>
          <w:b/>
          <w:i/>
          <w:color w:val="000000"/>
          <w:sz w:val="20"/>
        </w:rPr>
        <w:t>Net cash used in operating activities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used in operating activities for the three months ended March 31, 2023 included the net loss of $8.0 million, decreased by non-cash stock-based compensation expense of approximately $0.6 million. A component providing operating cash was an increase in accounts payable of approximately $0.7 million. Components reducing operating cash were a decrease in accrued expenses of approximately $5.4 million, a decrease in deferred grant funding of approximately $2.5 million, an increase in prepaid expenses of approximately $0.4 million, an increase in other receivables of approximately $0.7 million, and a one-time cybersecurity fraud loss of $0.2 million, net of insurance reimbursement, which was recognized in general and administrative expenses. </w:t>
      </w:r>
    </w:p>
    <w:p>
      <w:pPr>
        <w:pStyle w:val="TextBody"/>
        <w:spacing w:lineRule="auto" w:line="288" w:before="200" w:after="240"/>
        <w:ind w:left="0" w:right="0" w:firstLine="720"/>
        <w:jc w:val="both"/>
        <w:rPr/>
      </w:pPr>
      <w:r>
        <w:rPr>
          <w:rFonts w:ascii="Arial;sans-serif" w:hAnsi="Arial;sans-serif"/>
          <w:b w:val="false"/>
          <w:color w:val="000000"/>
          <w:sz w:val="20"/>
        </w:rPr>
        <w:t>Cash used in operating activities for the three months ended March 31, 2022 included the net loss of $8.4 million, decreased by non-cash stock-based compensation expense of approximately $0.5 million. Components providing operating cash were an increase in accrued expenses of approximately $0.4 million and an increase in accounts payable of approximately $0.7 million</w:t>
      </w:r>
      <w:r>
        <w:rPr>
          <w:rFonts w:ascii="Arial;sans-serif" w:hAnsi="Arial;sans-serif"/>
          <w:b/>
          <w:color w:val="000000"/>
          <w:sz w:val="20"/>
        </w:rPr>
        <w:t xml:space="preserve">. </w:t>
      </w:r>
      <w:r>
        <w:rPr>
          <w:rFonts w:ascii="Arial;sans-serif" w:hAnsi="Arial;sans-serif"/>
          <w:b w:val="false"/>
          <w:color w:val="000000"/>
          <w:sz w:val="20"/>
        </w:rPr>
        <w:t>Components reducing operating cash were an increase in prepaid expenses of approximately $4.3 million, a decrease in deferred grant funding of approximately $0.8 million, and an increase in other receivables of approximately $0.6 million.</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No cash was used in investing activities for the three months ended March 31, 2023. Net cash used in investing activities for the three months ended March 31, 2022 was approximately $4,600. </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provided by financing activities for the three months ended March 31, 2023 consisted of approximately $1.3 million from sales of our common stock upon the exercise of warrants. No cash was provided by financing activities for the three months ended March 31, 2022. </w:t>
      </w:r>
    </w:p>
    <w:p>
      <w:pPr>
        <w:pStyle w:val="TextBody"/>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spacing w:lineRule="auto" w:line="288" w:before="200" w:after="240"/>
        <w:ind w:left="0" w:right="0" w:firstLine="720"/>
        <w:jc w:val="both"/>
        <w:rPr/>
      </w:pPr>
      <w:r>
        <w:rPr>
          <w:rFonts w:ascii="Arial;sans-serif" w:hAnsi="Arial;sans-serif"/>
          <w:b w:val="false"/>
          <w:color w:val="000000"/>
          <w:sz w:val="20"/>
        </w:rPr>
        <w:t>We agreed to make royalty and milestone payments under the license and development agreements related to XACIATO, Ovaprene, and Sildenafil Cream, 3.6%, and under other agreements related to our other clinical and preclinical candidates. During 2023, based on our current expectations regarding the development of our product candidates and sales of XACIATO, we expect to pay approximately $4.1 million in royalty and milestone payments under the license and development agreements</w:t>
      </w:r>
      <w:r>
        <w:rPr>
          <w:rFonts w:ascii="Times New Roman;sans-serif" w:hAnsi="Times New Roman;sans-serif"/>
          <w:b w:val="false"/>
          <w:color w:val="000000"/>
          <w:sz w:val="20"/>
        </w:rPr>
        <w:t>.</w:t>
      </w:r>
      <w:r>
        <w:rPr>
          <w:color w:val="000000"/>
        </w:rPr>
        <w:t> </w:t>
      </w:r>
      <w:r>
        <w:rPr>
          <w:rFonts w:ascii="Arial;sans-serif" w:hAnsi="Arial;sans-serif"/>
          <w:b w:val="false"/>
          <w:color w:val="000000"/>
          <w:sz w:val="20"/>
        </w:rPr>
        <w:t>For further discussion of these potential payments, see Note 3 to our condensed consolidated financial statements contained in this report.</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050"/>
                <wp:effectExtent l="0" t="0" r="0" b="0"/>
                <wp:wrapNone/>
                <wp:docPr id="38" name="Frame37"/>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050"/>
                <wp:effectExtent l="0" t="0" r="0" b="0"/>
                <wp:wrapNone/>
                <wp:docPr id="39" name="Frame38"/>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March 31, 2023 at the reasonable assurance level.</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050"/>
                <wp:effectExtent l="0" t="0" r="0" b="0"/>
                <wp:wrapNone/>
                <wp:docPr id="40" name="Frame39"/>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investment in shares of our common stock involves a high degree of risk. You should carefully consider the risks and uncertainties described in our 2022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2022 10-K.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050"/>
                <wp:effectExtent l="0" t="0" r="0" b="0"/>
                <wp:wrapNone/>
                <wp:docPr id="41" name="Frame40"/>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tbl>
      <w:tblPr>
        <w:tblW w:w="10539" w:type="dxa"/>
        <w:jc w:val="left"/>
        <w:tblInd w:w="0" w:type="dxa"/>
        <w:tblCellMar>
          <w:top w:w="28" w:type="dxa"/>
          <w:left w:w="28" w:type="dxa"/>
          <w:bottom w:w="28" w:type="dxa"/>
          <w:right w:w="28" w:type="dxa"/>
        </w:tblCellMar>
      </w:tblPr>
      <w:tblGrid>
        <w:gridCol w:w="311"/>
        <w:gridCol w:w="273"/>
        <w:gridCol w:w="275"/>
        <w:gridCol w:w="109"/>
        <w:gridCol w:w="109"/>
        <w:gridCol w:w="109"/>
        <w:gridCol w:w="1330"/>
        <w:gridCol w:w="1030"/>
        <w:gridCol w:w="1033"/>
        <w:gridCol w:w="116"/>
        <w:gridCol w:w="116"/>
        <w:gridCol w:w="116"/>
        <w:gridCol w:w="214"/>
        <w:gridCol w:w="214"/>
        <w:gridCol w:w="215"/>
        <w:gridCol w:w="126"/>
        <w:gridCol w:w="126"/>
        <w:gridCol w:w="126"/>
        <w:gridCol w:w="304"/>
        <w:gridCol w:w="277"/>
        <w:gridCol w:w="155"/>
        <w:gridCol w:w="126"/>
        <w:gridCol w:w="126"/>
        <w:gridCol w:w="126"/>
        <w:gridCol w:w="255"/>
        <w:gridCol w:w="255"/>
        <w:gridCol w:w="256"/>
        <w:gridCol w:w="116"/>
        <w:gridCol w:w="116"/>
        <w:gridCol w:w="116"/>
        <w:gridCol w:w="293"/>
        <w:gridCol w:w="293"/>
        <w:gridCol w:w="294"/>
        <w:gridCol w:w="116"/>
        <w:gridCol w:w="116"/>
        <w:gridCol w:w="116"/>
        <w:gridCol w:w="326"/>
        <w:gridCol w:w="326"/>
        <w:gridCol w:w="483"/>
      </w:tblGrid>
      <w:tr>
        <w:trPr/>
        <w:tc>
          <w:tcPr>
            <w:tcW w:w="31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1"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Arial;sans-serif" w:hAnsi="Arial;sans-serif"/>
                  <w:b w:val="false"/>
                  <w:color w:val="0000FF"/>
                  <w:sz w:val="20"/>
                  <w:u w:val="single"/>
                </w:rPr>
                <w:t>Third Amended and Restated By-laws</w:t>
              </w:r>
            </w:hyperlink>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001-36395</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1/27/23</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_20230331.htm">
              <w:r>
                <w:rPr>
                  <w:rStyle w:val="InternetLink"/>
                  <w:rFonts w:ascii="Arial;sans-serif" w:hAnsi="Arial;sans-serif"/>
                  <w:b w:val="false"/>
                  <w:color w:val="0000FF"/>
                  <w:sz w:val="20"/>
                  <w:u w:val="single"/>
                </w:rPr>
                <w:t>Certification of principal executive officer pursuant to Rule 13a-14(a)/15d-14(a) of the Securities Exchange Act of 1934, as amended</w:t>
              </w:r>
            </w:hyperlink>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_20230331.htm">
              <w:r>
                <w:rPr>
                  <w:rStyle w:val="InternetLink"/>
                  <w:rFonts w:ascii="Arial;sans-serif" w:hAnsi="Arial;sans-serif"/>
                  <w:b w:val="false"/>
                  <w:color w:val="0000FF"/>
                  <w:sz w:val="20"/>
                  <w:u w:val="single"/>
                </w:rPr>
                <w:t>Certification of principal financial officer pursuant to Rule 13a-14(a)/15d-14(a) of the Securities Exchange Act of 1934, as amended</w:t>
              </w:r>
            </w:hyperlink>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_20230331.htm">
              <w:r>
                <w:rPr>
                  <w:rStyle w:val="InternetLink"/>
                  <w:rFonts w:ascii="Arial;sans-serif" w:hAnsi="Arial;sans-serif"/>
                  <w:b w:val="false"/>
                  <w:color w:val="0000FF"/>
                  <w:sz w:val="20"/>
                  <w:u w:val="single"/>
                </w:rPr>
                <w:t>Certification of principal executive officer pursuant to 18 U.S.C. §1350, as adopted pursuant to Section 906 of the Sarbanes-Oxley Act of 2002</w:t>
              </w:r>
            </w:hyperlink>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2_20230331.htm">
              <w:r>
                <w:rPr>
                  <w:rStyle w:val="InternetLink"/>
                  <w:rFonts w:ascii="Arial;sans-serif" w:hAnsi="Arial;sans-serif"/>
                  <w:b w:val="false"/>
                  <w:color w:val="0000FF"/>
                  <w:sz w:val="20"/>
                  <w:u w:val="single"/>
                </w:rPr>
                <w:t>Certification of principal financial officer pursuant to 18 U.S.C. §1350, as adopted pursuant to Section 906 of the Sarbanes-Oxley Act of 2002</w:t>
              </w:r>
            </w:hyperlink>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3"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050"/>
                <wp:effectExtent l="0" t="0" r="0" b="0"/>
                <wp:wrapNone/>
                <wp:docPr id="42" name="Frame41"/>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149" w:type="dxa"/>
        <w:jc w:val="left"/>
        <w:tblInd w:w="0" w:type="dxa"/>
        <w:tblCellMar>
          <w:top w:w="28" w:type="dxa"/>
          <w:left w:w="28" w:type="dxa"/>
          <w:bottom w:w="28" w:type="dxa"/>
          <w:right w:w="28" w:type="dxa"/>
        </w:tblCellMar>
      </w:tblPr>
      <w:tblGrid>
        <w:gridCol w:w="662"/>
        <w:gridCol w:w="581"/>
        <w:gridCol w:w="587"/>
        <w:gridCol w:w="134"/>
        <w:gridCol w:w="134"/>
        <w:gridCol w:w="136"/>
        <w:gridCol w:w="1146"/>
        <w:gridCol w:w="1146"/>
        <w:gridCol w:w="1623"/>
      </w:tblGrid>
      <w:tr>
        <w:trPr/>
        <w:tc>
          <w:tcPr>
            <w:tcW w:w="662"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11,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11,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050"/>
                <wp:effectExtent l="0" t="0" r="0" b="0"/>
                <wp:wrapNone/>
                <wp:docPr id="43" name="Frame42"/>
                <a:graphic xmlns:a="http://schemas.openxmlformats.org/drawingml/2006/main">
                  <a:graphicData uri="http://schemas.microsoft.com/office/word/2010/wordprocessingShape">
                    <wps:wsp>
                      <wps:cNvSpPr txBox="1"/>
                      <wps:spPr>
                        <a:xfrm>
                          <a:off x="0" y="0"/>
                          <a:ext cx="669226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spacing w:lineRule="auto" w:line="288" w:before="0" w:after="0"/>
        <w:jc w:val="both"/>
        <w:rPr>
          <w:color w:val="000000"/>
        </w:rPr>
      </w:pPr>
      <w:r>
        <w:rPr>
          <w:color w:val="000000"/>
        </w:rPr>
        <w:t> </w:t>
      </w:r>
    </w:p>
    <w:tbl>
      <w:tblPr>
        <w:tblW w:w="7524" w:type="dxa"/>
        <w:jc w:val="left"/>
        <w:tblInd w:w="0" w:type="dxa"/>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6"/>
        <w:gridCol w:w="2886"/>
        <w:gridCol w:w="40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91"/>
        <w:gridCol w:w="2891"/>
        <w:gridCol w:w="40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4"/>
        <w:gridCol w:w="2884"/>
        <w:gridCol w:w="41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1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91"/>
        <w:gridCol w:w="2891"/>
        <w:gridCol w:w="40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6"/>
        <w:gridCol w:w="2886"/>
        <w:gridCol w:w="40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5"/>
        <w:gridCol w:w="2885"/>
        <w:gridCol w:w="41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May 11, 2023 </w:t>
      </w:r>
    </w:p>
    <w:tbl>
      <w:tblPr>
        <w:tblW w:w="3450" w:type="dxa"/>
        <w:jc w:val="right"/>
        <w:tblInd w:w="0" w:type="dxa"/>
        <w:tblCellMar>
          <w:top w:w="28" w:type="dxa"/>
          <w:left w:w="28" w:type="dxa"/>
          <w:bottom w:w="28" w:type="dxa"/>
          <w:right w:w="28" w:type="dxa"/>
        </w:tblCellMar>
      </w:tblPr>
      <w:tblGrid>
        <w:gridCol w:w="1103"/>
        <w:gridCol w:w="968"/>
        <w:gridCol w:w="1379"/>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44"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 xml:space="preserve">CERTIFICATIONS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 Lisa Walters-Hoffert, certify that: </w:t>
      </w:r>
    </w:p>
    <w:tbl>
      <w:tblPr>
        <w:tblW w:w="7524" w:type="dxa"/>
        <w:jc w:val="left"/>
        <w:tblInd w:w="0" w:type="dxa"/>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6"/>
        <w:gridCol w:w="2886"/>
        <w:gridCol w:w="40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91"/>
        <w:gridCol w:w="2891"/>
        <w:gridCol w:w="40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4"/>
        <w:gridCol w:w="2884"/>
        <w:gridCol w:w="41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1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91"/>
        <w:gridCol w:w="2891"/>
        <w:gridCol w:w="40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2891" w:type="dxa"/>
            <w:tcBorders/>
            <w:shd w:fill="auto" w:val="clear"/>
            <w:vAlign w:val="center"/>
          </w:tcPr>
          <w:p>
            <w:pPr>
              <w:pStyle w:val="TableContents"/>
              <w:spacing w:before="0" w:after="283"/>
              <w:rPr>
                <w:sz w:val="4"/>
                <w:szCs w:val="4"/>
              </w:rPr>
            </w:pPr>
            <w:r>
              <w:rPr>
                <w:sz w:val="4"/>
                <w:szCs w:val="4"/>
              </w:rPr>
            </w:r>
          </w:p>
        </w:tc>
        <w:tc>
          <w:tcPr>
            <w:tcW w:w="408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7"/>
        <w:gridCol w:w="2887"/>
        <w:gridCol w:w="40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6"/>
        <w:gridCol w:w="2886"/>
        <w:gridCol w:w="40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5"/>
        <w:gridCol w:w="2885"/>
        <w:gridCol w:w="41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1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8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May 11, 2023 </w:t>
      </w:r>
    </w:p>
    <w:tbl>
      <w:tblPr>
        <w:tblW w:w="2384" w:type="dxa"/>
        <w:jc w:val="right"/>
        <w:tblInd w:w="0" w:type="dxa"/>
        <w:tblCellMar>
          <w:top w:w="28" w:type="dxa"/>
          <w:left w:w="28" w:type="dxa"/>
          <w:bottom w:w="28" w:type="dxa"/>
          <w:right w:w="28" w:type="dxa"/>
        </w:tblCellMar>
      </w:tblPr>
      <w:tblGrid>
        <w:gridCol w:w="763"/>
        <w:gridCol w:w="671"/>
        <w:gridCol w:w="950"/>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March 31, 2023,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 May 11, 2023 </w:t>
      </w:r>
    </w:p>
    <w:p>
      <w:pPr>
        <w:pStyle w:val="TextBody"/>
        <w:spacing w:lineRule="auto" w:line="288" w:before="0" w:after="0"/>
        <w:rPr>
          <w:color w:val="000000"/>
        </w:rPr>
      </w:pPr>
      <w:r>
        <w:rPr>
          <w:color w:val="000000"/>
        </w:rPr>
        <w:t> </w:t>
      </w:r>
    </w:p>
    <w:tbl>
      <w:tblPr>
        <w:tblW w:w="3450" w:type="dxa"/>
        <w:jc w:val="right"/>
        <w:tblInd w:w="0" w:type="dxa"/>
        <w:tblCellMar>
          <w:top w:w="28" w:type="dxa"/>
          <w:left w:w="28" w:type="dxa"/>
          <w:bottom w:w="28" w:type="dxa"/>
          <w:right w:w="28" w:type="dxa"/>
        </w:tblCellMar>
      </w:tblPr>
      <w:tblGrid>
        <w:gridCol w:w="1103"/>
        <w:gridCol w:w="968"/>
        <w:gridCol w:w="1379"/>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March 31, 2023, as filed with the Securities and Exchange Commission on the date hereof (the “Report”), the undersigned, Lisa Walters-Hoffert, Chief Financial Officer of the Company, hereby certifies, pursuant to 18 U.S.C. Section 1350, that, to her knowledge on the date hereof: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 May 11, 2023 </w:t>
      </w:r>
    </w:p>
    <w:p>
      <w:pPr>
        <w:pStyle w:val="TextBody"/>
        <w:spacing w:lineRule="auto" w:line="288" w:before="0" w:after="0"/>
        <w:rPr>
          <w:color w:val="000000"/>
        </w:rPr>
      </w:pPr>
      <w:r>
        <w:rPr>
          <w:color w:val="000000"/>
        </w:rPr>
        <w:t> </w:t>
      </w:r>
    </w:p>
    <w:tbl>
      <w:tblPr>
        <w:tblW w:w="2384" w:type="dxa"/>
        <w:jc w:val="right"/>
        <w:tblInd w:w="0" w:type="dxa"/>
        <w:tblCellMar>
          <w:top w:w="28" w:type="dxa"/>
          <w:left w:w="28" w:type="dxa"/>
          <w:bottom w:w="28" w:type="dxa"/>
          <w:right w:w="28" w:type="dxa"/>
        </w:tblCellMar>
      </w:tblPr>
      <w:tblGrid>
        <w:gridCol w:w="763"/>
        <w:gridCol w:w="671"/>
        <w:gridCol w:w="950"/>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01914/000149315223002809/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20698</Words>
  <CharactersWithSpaces>137178</CharactersWithSpaces>
  <Paragraphs>1165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