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September 30, 2025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36576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140970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November 12, 2025, 14,289,229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"can," “plan,” “potential,” “predict,” “seek,” "pursue," “should,” “would,” “accelerate,” "project,” “target,” “aim,”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or generate sufficient revenue from our Section 503B compounding and consumer health products business strategies to fund our operating needs and continue as a going concern;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Dependence on grants and other financial awards from governmental entities and a private foundation to advance the development of several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Inexperience, as a company, in and lack of infrastructure for commercializing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Reliance on third parties to execute our operating plan and business strategy, including to commercialize or assist us in commercializing products and conduct or assist us in conducting clinical and nonclinical studies of our product candidates, and delays or difficulties in establishing and maintaining agreements with third parties on a timely basis or on acceptable terms, or at all, and obtaining expected performance from third parties;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number and scope of product development programs we pursue;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Difficulties or delays in commencement or completion, or the termination or suspension, of our current or planned clinical or preclinical studies;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removal of sildenafil citrate or any other bulk drug substance needed to compound the compounded drugs that we seek to make available under Section 503B of the Federal Food, Drug, and Cosmetic Act, or FDCA, from the FDA’s list of bulk drug substances that can be compounded under Section 503B;</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degree of market demand and acceptance achieved by any product we or one of our licensees or collaborators brings to market;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change in the laws or regulations related to compounded drugs under Section 503B of the FDCA or consumer health products;</w:t>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amount of future royalty, milestone or other payments to us, if any, under our out-license agreement for Ovaprene, and of upside-sharing milestone payments from XOMA under our traditional and synthetic royalty purchase agreements, if any;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FDCA, or the FDA's 505(b)(2) pathway;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Loss or impairment of our in-licensed rights to develop and commercialize our products and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amount of our payment and other obligations under our in-license and acquisition agreements for our products and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Developments by our competitors that make any product or potential product we develop less competitive or obsolete;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the products and potential products we develop that expose them to competition from other formulations using the same active ingredients;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Price and volume fluctuations in the stock market, and in our stock in particular, which could cause investors to experience losses and subject us to securities class-action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 of safety, efficacy or quality concerns related to our products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60" w:after="18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Layout w:type="fixed"/>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3">
              <w:r>
                <w:rPr>
                  <w:rStyle w:val="InternetLink"/>
                  <w:rFonts w:ascii="Arial;sans-serif" w:hAnsi="Arial;sans-serif"/>
                  <w:b/>
                  <w:color w:val="0000FF"/>
                  <w:sz w:val="20"/>
                  <w:u w:val="single"/>
                </w:rPr>
                <w:t>PART I. FINANCIAL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3">
              <w:r>
                <w:rPr>
                  <w:rStyle w:val="InternetLink"/>
                  <w:rFonts w:ascii="Arial;sans-serif" w:hAnsi="Arial;sans-serif"/>
                  <w:b w:val="false"/>
                  <w:color w:val="0000FF"/>
                  <w:sz w:val="20"/>
                  <w:u w:val="single"/>
                </w:rPr>
                <w:t>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79">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79">
              <w:r>
                <w:rPr>
                  <w:rStyle w:val="InternetLink"/>
                  <w:rFonts w:ascii="Arial;sans-serif" w:hAnsi="Arial;sans-serif"/>
                  <w:b w:val="false"/>
                  <w:color w:val="0000FF"/>
                  <w:sz w:val="20"/>
                  <w:u w:val="single"/>
                </w:rPr>
                <w:t>28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03">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03">
              <w:r>
                <w:rPr>
                  <w:rStyle w:val="InternetLink"/>
                  <w:rFonts w:ascii="Arial;sans-serif" w:hAnsi="Arial;sans-serif"/>
                  <w:b w:val="false"/>
                  <w:color w:val="0000FF"/>
                  <w:sz w:val="20"/>
                  <w:u w:val="single"/>
                </w:rPr>
                <w:t>47</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06">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06">
              <w:r>
                <w:rPr>
                  <w:rStyle w:val="InternetLink"/>
                  <w:rFonts w:ascii="Arial;sans-serif" w:hAnsi="Arial;sans-serif"/>
                  <w:b w:val="false"/>
                  <w:color w:val="0000FF"/>
                  <w:sz w:val="20"/>
                  <w:u w:val="single"/>
                </w:rPr>
                <w:t>47</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09">
              <w:r>
                <w:rPr>
                  <w:rStyle w:val="InternetLink"/>
                  <w:rFonts w:ascii="Arial;sans-serif" w:hAnsi="Arial;sans-serif"/>
                  <w:b/>
                  <w:color w:val="0000FF"/>
                  <w:sz w:val="20"/>
                  <w:u w:val="single"/>
                </w:rPr>
                <w:t>PART II. OTHER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12">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12">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15">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15">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18">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18">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21">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21">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24">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24">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27">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27">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30">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30">
              <w:r>
                <w:rPr>
                  <w:rStyle w:val="InternetLink"/>
                  <w:rFonts w:ascii="Arial;sans-serif" w:hAnsi="Arial;sans-serif"/>
                  <w:b w:val="false"/>
                  <w:color w:val="0000FF"/>
                  <w:sz w:val="20"/>
                  <w:u w:val="single"/>
                </w:rPr>
                <w:t>50</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6be976ed4348cfb9a20b17f660476c_133">
              <w:r>
                <w:rPr>
                  <w:rStyle w:val="InternetLink"/>
                  <w:rFonts w:ascii="Arial;sans-serif" w:hAnsi="Arial;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6be976ed4348cfb9a20b17f660476c_133">
              <w:r>
                <w:rPr>
                  <w:rStyle w:val="InternetLink"/>
                  <w:rFonts w:ascii="Arial;sans-serif" w:hAnsi="Arial;sans-serif"/>
                  <w:b w:val="false"/>
                  <w:color w:val="0000FF"/>
                  <w:sz w:val="20"/>
                  <w:u w:val="singl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03"/>
        <w:gridCol w:w="2142"/>
        <w:gridCol w:w="2095"/>
        <w:gridCol w:w="211"/>
        <w:gridCol w:w="1126"/>
        <w:gridCol w:w="109"/>
        <w:gridCol w:w="109"/>
        <w:gridCol w:w="109"/>
        <w:gridCol w:w="109"/>
        <w:gridCol w:w="211"/>
        <w:gridCol w:w="1126"/>
        <w:gridCol w:w="155"/>
      </w:tblGrid>
      <w:tr>
        <w:trPr/>
        <w:tc>
          <w:tcPr>
            <w:tcW w:w="270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18,447,863 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right-of-use asset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1,110,594 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30,748,574 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16,561,625 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liability related to the sale of future royalties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liabilities,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liability, finance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21,613,067 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4,745,770 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long-term, operating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liability long-term, finance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27,890,671 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28,113,220 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9)</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Stockholders' equity (deficit)</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13,929,502 and 8,700,386 shares issued and outstanding at September 30, 2025 and December 31, 2024,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190,499,662 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169,705,480 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(187,247,186)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(175,289,630)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 (deficit)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(6,012,089)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30,748,574 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Arial;sans-serif" w:hAnsi="Arial;sans-serif"/>
          <w:b w:val="false"/>
          <w:color w:val="000000"/>
          <w:sz w:val="20"/>
        </w:rPr>
        <w:t xml:space="preserve">, </w:t>
      </w:r>
      <w:r>
        <w:rPr>
          <w:rFonts w:ascii="Arial;sans-serif" w:hAnsi="Arial;sans-serif"/>
          <w:b/>
          <w:color w:val="000000"/>
          <w:sz w:val="20"/>
        </w:rPr>
        <w:t>Inc</w:t>
      </w:r>
      <w:r>
        <w:rPr>
          <w:rFonts w:ascii="Arial;sans-serif" w:hAnsi="Arial;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Income (Loss)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06"/>
        <w:gridCol w:w="1090"/>
        <w:gridCol w:w="1084"/>
        <w:gridCol w:w="211"/>
        <w:gridCol w:w="1063"/>
        <w:gridCol w:w="109"/>
        <w:gridCol w:w="109"/>
        <w:gridCol w:w="109"/>
        <w:gridCol w:w="109"/>
        <w:gridCol w:w="211"/>
        <w:gridCol w:w="1063"/>
        <w:gridCol w:w="109"/>
        <w:gridCol w:w="109"/>
        <w:gridCol w:w="109"/>
        <w:gridCol w:w="109"/>
        <w:gridCol w:w="211"/>
        <w:gridCol w:w="1168"/>
        <w:gridCol w:w="109"/>
        <w:gridCol w:w="109"/>
        <w:gridCol w:w="109"/>
        <w:gridCol w:w="109"/>
        <w:gridCol w:w="211"/>
        <w:gridCol w:w="1021"/>
        <w:gridCol w:w="158"/>
      </w:tblGrid>
      <w:tr>
        <w:trPr/>
        <w:tc>
          <w:tcPr>
            <w:tcW w:w="14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7,159,979 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10,969,066 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expense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18,136,719 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(4,681,349)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(18,063,288)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1,452,799 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1,451,070 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per common share:</w:t>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8,656,856 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12,755,112 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8,534,433 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10,143,078 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8,683,610 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p>
      <w:pPr>
        <w:pStyle w:val="TextBody"/>
        <w:bidi w:val="0"/>
        <w:spacing w:before="0" w:after="0"/>
        <w:jc w:val="left"/>
        <w:rPr/>
      </w:pPr>
      <w:r>
        <w:rPr/>
      </w:r>
    </w:p>
    <w:tbl>
      <w:tblPr>
        <w:tblW w:w="11193" w:type="dxa"/>
        <w:jc w:val="center"/>
        <w:tblInd w:w="0" w:type="dxa"/>
        <w:tblLayout w:type="fixed"/>
        <w:tblCellMar>
          <w:top w:w="28" w:type="dxa"/>
          <w:left w:w="28" w:type="dxa"/>
          <w:bottom w:w="28" w:type="dxa"/>
          <w:right w:w="28" w:type="dxa"/>
        </w:tblCellMar>
      </w:tblPr>
      <w:tblGrid>
        <w:gridCol w:w="666"/>
        <w:gridCol w:w="334"/>
        <w:gridCol w:w="336"/>
        <w:gridCol w:w="562"/>
        <w:gridCol w:w="564"/>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93"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2025</w:t>
            </w:r>
          </w:p>
        </w:tc>
      </w:tr>
      <w:tr>
        <w:trPr/>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8,700,386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169,705,480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(428,809)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(175,289,630)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(6,012,089)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8,850,386 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170,519,070 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(415,719)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(179,667,937)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(9,563,701)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9,030,386 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171,353,083 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(402,826)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(183,684,420)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(12,733,260)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4,899,116 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2025</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13,929,502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190,499,662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(395,966)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(187,247,186)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2,857,903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tbl>
      <w:tblPr>
        <w:tblW w:w="10923" w:type="dxa"/>
        <w:jc w:val="center"/>
        <w:tblInd w:w="0" w:type="dxa"/>
        <w:tblLayout w:type="fixed"/>
        <w:tblCellMar>
          <w:top w:w="28" w:type="dxa"/>
          <w:left w:w="28" w:type="dxa"/>
          <w:bottom w:w="28" w:type="dxa"/>
          <w:right w:w="28" w:type="dxa"/>
        </w:tblCellMar>
      </w:tblPr>
      <w:tblGrid>
        <w:gridCol w:w="666"/>
        <w:gridCol w:w="334"/>
        <w:gridCol w:w="336"/>
        <w:gridCol w:w="510"/>
        <w:gridCol w:w="511"/>
        <w:gridCol w:w="216"/>
        <w:gridCol w:w="109"/>
        <w:gridCol w:w="109"/>
        <w:gridCol w:w="109"/>
        <w:gridCol w:w="211"/>
        <w:gridCol w:w="481"/>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2024</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8,331,161</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166,548,454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(360,896)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(171,236,031)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(5,047,640)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8,381,825 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167,391,262 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(177,991,387)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Reverse stock split adjustment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8,546,361 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168,136,943 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(385,560)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(165,080,731)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Reverse stock split adjustment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2024</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8,546,364</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168,660,520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(362,625)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(169,783,232)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(1,484,483)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553"/>
        <w:gridCol w:w="2163"/>
        <w:gridCol w:w="2177"/>
        <w:gridCol w:w="211"/>
        <w:gridCol w:w="1172"/>
        <w:gridCol w:w="109"/>
        <w:gridCol w:w="109"/>
        <w:gridCol w:w="109"/>
        <w:gridCol w:w="109"/>
        <w:gridCol w:w="211"/>
        <w:gridCol w:w="1126"/>
        <w:gridCol w:w="156"/>
      </w:tblGrid>
      <w:tr>
        <w:trPr/>
        <w:tc>
          <w:tcPr>
            <w:tcW w:w="255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income to net cash (used in) provided by operating activities:</w:t>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 amortization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 - operating lease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Loss on disposal of property and equipment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royalty revenue related to sale of future royalties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(2,336,871)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(3,986,794)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(11,330,134)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common stock</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liability on sale of future royalties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note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financing lease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18,853,015 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and restricted cash </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10,811,056 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23,375,261 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11,532,609 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consolidated balance sheets:</w:t>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11,232,609 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23,375,261 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11,532,609 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and equipment and reduction of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right-of-use assets obtained in exchange for new financing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rent reclassified to finance lease right-of-use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and equipment included in accrued expenses and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lineRule="auto" w:line="288" w:before="160" w:after="283"/>
        <w:ind w:left="0" w:right="0" w:firstLine="720"/>
        <w:jc w:val="both"/>
        <w:rPr/>
      </w:pPr>
      <w:r>
        <w:rPr>
          <w:rFonts w:ascii="Arial;sans-serif" w:hAnsi="Arial;sans-serif"/>
          <w:b w:val="false"/>
          <w:color w:val="000000"/>
          <w:sz w:val="20"/>
        </w:rPr>
        <w:t>The Company’s operations have historically focused on research and development activities to advance its product candidates through clinical development and regulatory approval</w:t>
      </w:r>
      <w:r>
        <w:rPr>
          <w:rFonts w:ascii="Arial;sans-serif" w:hAnsi="Arial;sans-serif"/>
          <w:b w:val="false"/>
          <w:i/>
          <w:color w:val="000000"/>
          <w:sz w:val="20"/>
        </w:rPr>
        <w:t xml:space="preserve">. </w:t>
      </w:r>
      <w:r>
        <w:rPr>
          <w:rFonts w:ascii="Arial;sans-serif" w:hAnsi="Arial;sans-serif"/>
          <w:b w:val="false"/>
          <w:color w:val="000000"/>
          <w:sz w:val="20"/>
        </w:rPr>
        <w:t>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FDA approval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 outsourcing facilities and select consumer health channels. The Company uses the term "Section 503B compounding" to refer to the production and supply of compounded drugs by outsourcing facilities registered under Section 503B of the Federal Food, Drug, and Cosmetic Act, or FDCA, without patient-specific prescriptions in accordance with Section 503B of the FDCA. In addition to prescription-based offerings — both FDA-approved products and compounded drugs— the Company intends to bring to market select consumer health products that do not require a physician’s prescription.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of product candidates includes drug and drug/device product candidates and potential product candidates in various stages of development, from preclinical through a Phase 3 clinical study, and will require review and approval from the U.S. Food and Drug Administration (FDA), or a comparable foreign regulatory authority, prior to being marketed and sold.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2024, or the 2024 10-K.</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Going Concern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September 30, 2025, the Company had unrestricted cash and cash equivalents of approximately $23.1 million and working capital of approximately $3.8 million. A majority of the Company's unrestricted cash and cash equivalents at September 30, 2025 represented funds received under grant agreements that may be applied solely toward direct costs for the funded projects under those grant agreements, other than an approximately 5% to 22% indirect cost allowance, and as of September 30, 2025, the Company's deferred grant funding liability was approximately $14.6 million. See Note 10, Grant Awards. </w:t>
      </w:r>
    </w:p>
    <w:p>
      <w:pPr>
        <w:pStyle w:val="TextBody"/>
        <w:bidi w:val="0"/>
        <w:spacing w:lineRule="auto" w:line="288" w:before="160" w:after="283"/>
        <w:ind w:left="0" w:right="0" w:firstLine="720"/>
        <w:jc w:val="both"/>
        <w:rPr/>
      </w:pPr>
      <w:r>
        <w:rPr>
          <w:rFonts w:ascii="Arial;sans-serif" w:hAnsi="Arial;sans-serif"/>
          <w:b w:val="false"/>
          <w:color w:val="000000"/>
          <w:sz w:val="20"/>
        </w:rPr>
        <w:t>The Company will require additional capital to advance the development programs in its pipeline that are not currently being supported by non-dilutive grant or other funding, to enable further investment across its entire portfolio of product candidates, and to support its long-term operating plans. The Company will continue to evaluate and may pursue various capital raising options, including sales of equity, debt financings, government or other grant funding, collaborations, structured financings, and commercial collaborations or other strategic transactions.</w:t>
      </w:r>
      <w:r>
        <w:rPr>
          <w:color w:val="000000"/>
        </w:rPr>
        <w:t xml:space="preserve"> </w:t>
      </w:r>
      <w:r>
        <w:rPr>
          <w:rFonts w:ascii="Arial;sans-serif" w:hAnsi="Arial;sans-serif"/>
          <w:b w:val="false"/>
          <w:color w:val="000000"/>
          <w:sz w:val="20"/>
        </w:rPr>
        <w:t>The Company’s ability to obtain additional capital,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 revenue streams.</w:t>
      </w:r>
      <w:r>
        <w:rPr>
          <w:color w:val="000000"/>
        </w:rPr>
        <w:t xml:space="preserve"> </w:t>
      </w:r>
      <w:r>
        <w:rPr>
          <w:rFonts w:ascii="Arial;sans-serif" w:hAnsi="Arial;sans-serif"/>
          <w:b w:val="false"/>
          <w:color w:val="000000"/>
          <w:sz w:val="20"/>
        </w:rPr>
        <w:t>If the Company cannot raise capital when needed, on favorable terms or at all, the Company will need to reevaluate its planned operations and may need to delay, scale back or eliminate some or all of its product candidate programs and/or reduce expenses.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a history of losses from operations, net losses and negative cash flows from operations. At September 30, 2025, the Company had an accumulated deficit of approximately $187.2 million and the Company incurred a net loss of approximately $12.0 million and had negative cash flow from operations of approximately $11.3 million for the nine months ended September 30, 2025. Because the Company is in the early stages of executing against its Section 503B compounding and consumer health products business strategies and, as an organization, the Company has no experience in or infrastructure for commercializing products, both the timing and amount of potential revenue the Company may generate remain uncertain. As a result,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 described above, there is substantial doubt about the Company's ability to continue as a going concern within the 12 month period from the issuance date of the accompanying condensed consolidated financial statements.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Reverse Stock Split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All common stock share and per share data presented in the accompanying condensed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described in Note 2 to the consolidated financial statements included in the 2024 10-K. Since the date on which the 2024 10-K was filed with the U.S. Securities and Exchange Commission, or the SEC, there have been no material changes to the Company’s significant accounting policies. Selected significant account policies are discussed in further detail below: </w:t>
      </w:r>
    </w:p>
    <w:p>
      <w:pPr>
        <w:pStyle w:val="TextBody"/>
        <w:bidi w:val="0"/>
        <w:spacing w:lineRule="auto" w:line="288" w:before="160" w:after="283"/>
        <w:ind w:left="0" w:right="0" w:firstLine="720"/>
        <w:jc w:val="both"/>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September 30, 2025,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 </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September 30, 2025 and December 31, 2024. There were no financial assets or liabilities that were remeasured using a quoted price in active markets for identical assets (Level 2) or using unobservable inputs (Level 3) as of September 30, 2025 or December 31, 2024.</w:t>
      </w:r>
    </w:p>
    <w:tbl>
      <w:tblPr>
        <w:tblW w:w="8325" w:type="dxa"/>
        <w:jc w:val="center"/>
        <w:tblInd w:w="0" w:type="dxa"/>
        <w:tblLayout w:type="fixed"/>
        <w:tblCellMar>
          <w:top w:w="28" w:type="dxa"/>
          <w:left w:w="28" w:type="dxa"/>
          <w:bottom w:w="28" w:type="dxa"/>
          <w:right w:w="28" w:type="dxa"/>
        </w:tblCellMar>
      </w:tblPr>
      <w:tblGrid>
        <w:gridCol w:w="1069"/>
        <w:gridCol w:w="942"/>
        <w:gridCol w:w="944"/>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September 30, 2025</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22,693,988 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2024</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25"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76" w:before="160" w:after="283"/>
        <w:ind w:left="0" w:right="0" w:firstLine="720"/>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2024, the FASB issued ASU 2024-03, Disaggregation of Income Statement Expenses.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is effective for annual periods beginning January 1, 2025 and will be applied on a prospective basis with the option to apply the standard retrospectively. The Company is evaluating the disclosure impact of ASU 2023-09 on its consolidated financial statements.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does not believe other recently issued but not yet effective accounting standards, if currently adopted, would have a material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sans-serif" w:hAnsi="Arial;sans-serif"/>
          <w:b w:val="false"/>
          <w:color w:val="191C1F"/>
          <w:sz w:val="20"/>
        </w:rPr>
        <w:t>September 30, 2025</w:t>
      </w:r>
      <w:r>
        <w:rPr>
          <w:rFonts w:ascii="Arial;sans-serif" w:hAnsi="Arial;sans-serif"/>
          <w:b w:val="false"/>
          <w:color w:val="000000"/>
          <w:sz w:val="20"/>
        </w:rPr>
        <w:t xml:space="preserve">, the Company has received a total of $12.8 million in non-refundable payments, all of which have been recorded as license fee revenue in historical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September 30, 2025.</w:t>
      </w:r>
    </w:p>
    <w:p>
      <w:pPr>
        <w:pStyle w:val="TextBody"/>
        <w:bidi w:val="0"/>
        <w:spacing w:lineRule="auto" w:line="288" w:before="200" w:after="283"/>
        <w:ind w:left="0" w:right="0" w:firstLine="720"/>
        <w:jc w:val="both"/>
        <w:rPr/>
      </w:pPr>
      <w:r>
        <w:rPr>
          <w:rFonts w:ascii="Arial;sans-serif" w:hAnsi="Arial;sans-serif"/>
          <w:b w:val="false"/>
          <w:color w:val="000000"/>
          <w:sz w:val="20"/>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the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chemistry, manufacturing and controls,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September 30, 2025, neither of the foregoing had occurred. The $1.0 million payment is recorded as long-term deferred license revenue in the Company's condensed consolidated balance sheets at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Refer to Note 8, Royalty Purchase Agreements, regarding XOMA's rights to a portion of potential future payments from Bayer under the Company's license agreement with Bayer.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Theramex Co-Development and Licensing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in exchange for 50% of the purchase price Theramex paid for Casea S. The license fee paid by the Company during the first quarter of 2025 was recorded as research and development expense. Given that the product is in an ongoing Phase 1 study that is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 </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September 30, 2025, no payments had been made under the Douglas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September 30, 2025,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or DARE-IDDS.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58,334 shares of its common stock to former stockholders of MBI and paid $75,000 in cash to the stockholders’ representative in satisfaction of the $1.25 million in milestone payments associated with milestones achieved in June 2021. As of September 30, 2025, no additional payments have been made under this agreement. </w:t>
      </w:r>
    </w:p>
    <w:p>
      <w:pPr>
        <w:pStyle w:val="TextBody"/>
        <w:bidi w:val="0"/>
        <w:spacing w:lineRule="auto" w:line="288" w:before="240" w:after="283"/>
        <w:ind w:left="0" w:right="0" w:firstLine="720"/>
        <w:jc w:val="both"/>
        <w:rPr/>
      </w:pPr>
      <w:r>
        <w:rPr>
          <w:rFonts w:ascii="Arial;sans-serif" w:hAnsi="Arial;sans-serif"/>
          <w:b/>
          <w:i/>
          <w:color w:val="000000"/>
          <w:sz w:val="20"/>
        </w:rPr>
        <w:t>TriLogic</w:t>
      </w:r>
      <w:r>
        <w:rPr>
          <w:color w:val="000000"/>
        </w:rPr>
        <w:t xml:space="preserve"> </w:t>
      </w:r>
      <w:r>
        <w:rPr>
          <w:rFonts w:ascii="Arial;sans-serif" w:hAnsi="Arial;sans-serif"/>
          <w:b/>
          <w:color w:val="000000"/>
          <w:sz w:val="20"/>
        </w:rPr>
        <w:t>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September 30,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September 30, 2025, no payments have been made under this agreement.</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September 30, 2025;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September 30, 2025, no such payments have been made under this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December 31, 2024, $1.0 million became due under this agreement and was subsequently paid in February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 As of September 30, 2025, only the $1.2 million in aggregate milestone payments noted above have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Equity Line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after the Commencement Date, 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purchase agreement, the Company issued 137,614 shares of its common stock to Lincoln Park in consideration for its commitment to purchase shares thereunder. During the nine months ended September 30, 2025, the Company sold 900,000 shares of common stock under this agreement for net proceeds of approximately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this agreement or such lower amount as the Company and Stifel and Cantor agree, plus certain legal expenses. In April 2024, the Company and Cantor mutually agreed to terminate this agreement with respect to Cantor. During the nine months ended September 30, 2025, the Company sold 4,329,116 shares of common stock under this agreement for aggregate gross proceeds of approximately $18.0 million, resulting in aggregate proceeds of approximately $17.6 million, net of commissions and other offering expenses of approximately $0.4 million. During the nine months ended September 30, 2024, the Company sold 93,247 shares of common stock under this agreement for aggregate gross proceeds of approximately $0.4 million, resulting in aggregate proceeds of approximately $0.4 million, net of commissions and other offering expenses of approximately $9,000.</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 xml:space="preserve">December 2023 Warrant </w:t>
      </w:r>
    </w:p>
    <w:p>
      <w:pPr>
        <w:pStyle w:val="TextBody"/>
        <w:bidi w:val="0"/>
        <w:spacing w:lineRule="auto" w:line="288" w:before="120" w:after="283"/>
        <w:ind w:left="0" w:right="0" w:firstLine="720"/>
        <w:jc w:val="both"/>
        <w:rPr/>
      </w:pPr>
      <w:r>
        <w:rPr>
          <w:rFonts w:ascii="Arial;sans-serif" w:hAnsi="Arial;sans-serif"/>
          <w:b w:val="false"/>
          <w:color w:val="000000"/>
          <w:sz w:val="20"/>
        </w:rPr>
        <w:t>In connection with the royalty interest financing agreement the Company entered into in December 2023 (see Note 7, Royalty Interest Financing), the Company issued a warrant to purchase up to an aggregate of 422,805 shares of the Company's common stock. The warrant has a term of five years from the date of issuance and an exercise price of $4.10 per share, subject to customary adjustment for stock splits and similar transactions. The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the number of shares of common stock of the Company or the successor entity that would have been issuable upon exercise of the warrant immediately prior to such transaction and any additional consideration receivable as a result of such transaction by the Company's stockholders, without regard to any limitation on the exercise of the warrant.</w:t>
      </w:r>
      <w:r>
        <w:rPr>
          <w:color w:val="000000"/>
        </w:rPr>
        <w:t xml:space="preserve"> </w:t>
      </w:r>
      <w:r>
        <w:rPr>
          <w:rFonts w:ascii="Arial;sans-serif" w:hAnsi="Arial;sans-serif"/>
          <w:b w:val="false"/>
          <w:color w:val="000000"/>
          <w:sz w:val="20"/>
        </w:rPr>
        <w:t>The warrant may be exercised for cash, or if at the time of exercise there is no effective registration statement registering for resale the shares underlying the warrant, then in lieu of paying the exercise price in cash, the holder may elect to exercise on a cashless basis. The warrant was deemed to be an equity classified warrant and recorded as additional paid in capital. As of September 30, 2025, no portion of the warrant had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September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a registered direct offering completed in September 2023, the Company issued warrants to purchase up to an aggregate of 845,225 shares of the Company's common stock. The warrants became exercisable on March 1, 2024, expire March 1, 2029 and have an exercise price of $9.11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 As of September 30, 2025, none of the warrants have been exercised.</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Summary of Warrant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warrant activity during the nine months ended September 30, 2025 is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76"/>
        <w:gridCol w:w="825"/>
        <w:gridCol w:w="829"/>
        <w:gridCol w:w="841"/>
        <w:gridCol w:w="616"/>
        <w:gridCol w:w="618"/>
        <w:gridCol w:w="109"/>
        <w:gridCol w:w="109"/>
        <w:gridCol w:w="109"/>
        <w:gridCol w:w="387"/>
        <w:gridCol w:w="993"/>
        <w:gridCol w:w="200"/>
        <w:gridCol w:w="109"/>
        <w:gridCol w:w="109"/>
        <w:gridCol w:w="109"/>
        <w:gridCol w:w="649"/>
        <w:gridCol w:w="649"/>
        <w:gridCol w:w="650"/>
        <w:gridCol w:w="109"/>
        <w:gridCol w:w="109"/>
        <w:gridCol w:w="109"/>
        <w:gridCol w:w="268"/>
        <w:gridCol w:w="518"/>
        <w:gridCol w:w="205"/>
      </w:tblGrid>
      <w:tr>
        <w:trPr/>
        <w:tc>
          <w:tcPr>
            <w:tcW w:w="97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December 31, 2024, </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and exercisable September 30, 2025, </w:t>
            </w:r>
          </w:p>
        </w:tc>
        <w:tc>
          <w:tcPr>
            <w:tcW w:w="14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In June 2024, the Company's board of directors suspended the ESPP. There was no stock-based compensation related to the ESPP for the nine months ended September 30, 2025 or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became effective as of that date. In April 2025, the Company's board of directors approved an amendment to the 2022 Plan to increase the number of shares of common stock available for issuance thereunder by 600,000, which was subsequently approved by the Company's stockholders on July 9, 2025. The 2022 Plan provides for the grant of stock-based incentive awards to employees, directors, consultants, and advisors.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2025, the number of shares of common stock authorized for issuance under the 2022 Plan was 1,949,085, which is the sum 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(a)540,043 shares available for awards that may be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(b)1,015,783 shares underlying awards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(c)393,259 shares underlying awards granted under the Amended 2014 Plan, which if they expire, terminate or are otherwise forfeited will become available for issuance under the 2022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nine months ended September 30, 2025. The exercise price of all options granted during the nine months ended September 30, 2025 was equal to the market value of the Company’s common stock on the date of grant. As of September 30, 2025, unamortized stock-based compensation expense of approximately $2.2 million will be amortized over a weighted average period of 1.15 years. The number of shares of common stock available for future awards granted under the 2022 Plan as of September 30, 2025 was 540,043.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753" w:type="dxa"/>
        <w:jc w:val="center"/>
        <w:tblInd w:w="0" w:type="dxa"/>
        <w:tblLayout w:type="fixed"/>
        <w:tblCellMar>
          <w:top w:w="28" w:type="dxa"/>
          <w:left w:w="28" w:type="dxa"/>
          <w:bottom w:w="28" w:type="dxa"/>
          <w:right w:w="28" w:type="dxa"/>
        </w:tblCellMar>
      </w:tblPr>
      <w:tblGrid>
        <w:gridCol w:w="1162"/>
        <w:gridCol w:w="1022"/>
        <w:gridCol w:w="1025"/>
        <w:gridCol w:w="607"/>
        <w:gridCol w:w="509"/>
        <w:gridCol w:w="511"/>
        <w:gridCol w:w="109"/>
        <w:gridCol w:w="109"/>
        <w:gridCol w:w="109"/>
        <w:gridCol w:w="332"/>
        <w:gridCol w:w="1016"/>
        <w:gridCol w:w="242"/>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883,334 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583,890 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(57,417)</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1,409,042 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2025</w:t>
            </w:r>
          </w:p>
        </w:tc>
        <w:tc>
          <w:tcPr>
            <w:tcW w:w="11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695,529 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544"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weighted average grant-date fair value of stock options granted during the nine months ended September 30, 2025 and 2024 was $2.02 and $4.16,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and comprehensive loss is as follows:</w:t>
      </w:r>
    </w:p>
    <w:tbl>
      <w:tblPr>
        <w:tblW w:w="8550" w:type="dxa"/>
        <w:jc w:val="center"/>
        <w:tblInd w:w="0" w:type="dxa"/>
        <w:tblLayout w:type="fixed"/>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Finance Lease - Clean Room Space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2024, the Company entered into a scope of work (the "SOW") with an unrelated third party for a controlled clean room space in Burlington,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determined that the Clean Room Agreement is a finance lease. On the commencement date, the Company recorded an initial finance lease right-of-use asset and related lease liability of approximately $3.3 million and $2.8 million, respectively. Included in the $3.3 million finance right-of-use asset is the $459,000 prepayment which was reclassified to the finance lease right-of-use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Leases - General Office Space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and which resulted in additional operating lease liabilities and ROU assets of approximately $0.4 million in March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acquired in November 2019, leases general office and laboratory space in Lexington, Massachusetts. The lease commenced on November 1, 2023 for a term of three years, expiring on December 31, 2026.</w:t>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Aggregate Lease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components of lease cost recorded in the Company's condensed consolidated statements of operations were as follows: </w:t>
      </w:r>
    </w:p>
    <w:tbl>
      <w:tblPr>
        <w:tblW w:w="8819" w:type="dxa"/>
        <w:jc w:val="center"/>
        <w:tblInd w:w="0" w:type="dxa"/>
        <w:tblLayout w:type="fixed"/>
        <w:tblCellMar>
          <w:top w:w="28" w:type="dxa"/>
          <w:left w:w="28" w:type="dxa"/>
          <w:bottom w:w="28" w:type="dxa"/>
          <w:right w:w="28" w:type="dxa"/>
        </w:tblCellMar>
      </w:tblPr>
      <w:tblGrid>
        <w:gridCol w:w="1059"/>
        <w:gridCol w:w="931"/>
        <w:gridCol w:w="934"/>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85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cost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finance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on finance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the Company's finance and operating lease liabilities as of September 30, 2025 were as follows:</w:t>
      </w:r>
    </w:p>
    <w:tbl>
      <w:tblPr>
        <w:tblW w:w="8666" w:type="dxa"/>
        <w:jc w:val="center"/>
        <w:tblInd w:w="0" w:type="dxa"/>
        <w:tblLayout w:type="fixed"/>
        <w:tblCellMar>
          <w:top w:w="28" w:type="dxa"/>
          <w:left w:w="28" w:type="dxa"/>
          <w:bottom w:w="28" w:type="dxa"/>
          <w:right w:w="28" w:type="dxa"/>
        </w:tblCellMar>
      </w:tblPr>
      <w:tblGrid>
        <w:gridCol w:w="1133"/>
        <w:gridCol w:w="995"/>
        <w:gridCol w:w="1007"/>
        <w:gridCol w:w="109"/>
        <w:gridCol w:w="109"/>
        <w:gridCol w:w="109"/>
        <w:gridCol w:w="309"/>
        <w:gridCol w:w="1256"/>
        <w:gridCol w:w="159"/>
        <w:gridCol w:w="109"/>
        <w:gridCol w:w="109"/>
        <w:gridCol w:w="109"/>
        <w:gridCol w:w="226"/>
        <w:gridCol w:w="1097"/>
        <w:gridCol w:w="117"/>
        <w:gridCol w:w="109"/>
        <w:gridCol w:w="109"/>
        <w:gridCol w:w="109"/>
        <w:gridCol w:w="211"/>
        <w:gridCol w:w="10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976,000 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2,111,000 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3,087,000 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amount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898,000 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2,035,000 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2,933,000 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remaining lease terms and discount rates related to the Company's leases were as follows:</w:t>
      </w:r>
    </w:p>
    <w:tbl>
      <w:tblPr>
        <w:tblW w:w="7124"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95"/>
        <w:gridCol w:w="246"/>
        <w:gridCol w:w="391"/>
        <w:gridCol w:w="149"/>
        <w:gridCol w:w="149"/>
        <w:gridCol w:w="149"/>
        <w:gridCol w:w="294"/>
        <w:gridCol w:w="247"/>
        <w:gridCol w:w="453"/>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September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leases was as follows:</w:t>
      </w:r>
    </w:p>
    <w:tbl>
      <w:tblPr>
        <w:tblW w:w="10205" w:type="dxa"/>
        <w:jc w:val="center"/>
        <w:tblInd w:w="0" w:type="dxa"/>
        <w:tblLayout w:type="fixed"/>
        <w:tblCellMar>
          <w:top w:w="28" w:type="dxa"/>
          <w:left w:w="28" w:type="dxa"/>
          <w:bottom w:w="28" w:type="dxa"/>
          <w:right w:w="28" w:type="dxa"/>
        </w:tblCellMar>
      </w:tblPr>
      <w:tblGrid>
        <w:gridCol w:w="1342"/>
        <w:gridCol w:w="1180"/>
        <w:gridCol w:w="1184"/>
        <w:gridCol w:w="109"/>
        <w:gridCol w:w="109"/>
        <w:gridCol w:w="109"/>
        <w:gridCol w:w="245"/>
        <w:gridCol w:w="996"/>
        <w:gridCol w:w="126"/>
        <w:gridCol w:w="126"/>
        <w:gridCol w:w="126"/>
        <w:gridCol w:w="126"/>
        <w:gridCol w:w="245"/>
        <w:gridCol w:w="996"/>
        <w:gridCol w:w="126"/>
        <w:gridCol w:w="109"/>
        <w:gridCol w:w="109"/>
        <w:gridCol w:w="109"/>
        <w:gridCol w:w="211"/>
        <w:gridCol w:w="856"/>
        <w:gridCol w:w="109"/>
        <w:gridCol w:w="109"/>
        <w:gridCol w:w="109"/>
        <w:gridCol w:w="109"/>
        <w:gridCol w:w="211"/>
        <w:gridCol w:w="856"/>
        <w:gridCol w:w="163"/>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478,700 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7.    ROYALTY INTEREST FINANCING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until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payment of the Call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 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 During the three months ended September 30, 2025, based on Net Royalty Payments to date and other factors, the Company updated its forecast of Net Royalty Payments, resulting in an estimated Financing Term that is approximately 9.5 years longer than previously estimated, extending through 2037, and as of September 30, 2025,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 </w:t>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Interest Agreement, the Company issued to UiE a warrant (the “Initial Royalty Warrant”) to purchase up to 422,805 shares of the Company’s common stock (see Note 4, Stockholders' Equity). In addition, for every $1.0 million of Supplemental Investment, the Company will issue to UiE a warrant to purchase 84,561 shares of common stock, for an aggregate of warrants to purchase up to 591,927 shares of common stock (collectively the “Additional Royalty Warrants,” and together with the Initial Royalty Warrant, the “Royalty Interest Agreement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Royalty Interest Agreement Warrants were deemed to be equity classified warrants and recorded as additional paid in capital. The fair value of the Initial Royalty Warrant was determined to be $0.8 million (Note 4) and was recorded as a debt discount against the Initial Investment.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the activity of the liability related to the sale of future royalties since the date of the Initial Investment through the period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674" w:type="dxa"/>
        <w:jc w:val="center"/>
        <w:tblInd w:w="0" w:type="dxa"/>
        <w:tblLayout w:type="fixed"/>
        <w:tblCellMar>
          <w:top w:w="28" w:type="dxa"/>
          <w:left w:w="28" w:type="dxa"/>
          <w:bottom w:w="28" w:type="dxa"/>
          <w:right w:w="28" w:type="dxa"/>
        </w:tblCellMar>
      </w:tblPr>
      <w:tblGrid>
        <w:gridCol w:w="2892"/>
        <w:gridCol w:w="2542"/>
        <w:gridCol w:w="2560"/>
        <w:gridCol w:w="242"/>
        <w:gridCol w:w="1173"/>
        <w:gridCol w:w="265"/>
      </w:tblGrid>
      <w:tr>
        <w:trPr/>
        <w:tc>
          <w:tcPr>
            <w:tcW w:w="28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(6,444)</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and interest payable associated with the sale of future royalties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1,348,124 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5,231,067 </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ROYALTY PURCHASE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Purchase Agreements, the Company sold, assigned, transferred and conveyed its right, title and interest in and to the following to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pStyle w:val="TextBody"/>
        <w:bidi w:val="0"/>
        <w:spacing w:lineRule="auto" w:line="288" w:before="0" w:after="200"/>
        <w:ind w:left="0" w:right="0" w:firstLine="720"/>
        <w:jc w:val="both"/>
        <w:rPr/>
      </w:pPr>
      <w:r>
        <w:rPr>
          <w:rFonts w:ascii="Arial;sans-serif" w:hAnsi="Arial;sans-serif"/>
          <w:b w:val="false"/>
          <w:color w:val="000000"/>
          <w:sz w:val="20"/>
        </w:rPr>
        <w:t>(c) a synthetic royalty of 4.0% of the Company's, its affiliates’ and its sublicensees’ future net sales of Ovaprene, and 2.0% of the Company's, its affiliates’ and its sublicensees’ future net sales of Sildenafil Cream and DARE to PLAY</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 xml:space="preserve">Sildenafil Cream; </w:t>
      </w:r>
      <w:r>
        <w:rPr>
          <w:rFonts w:ascii="Arial;sans-serif" w:hAnsi="Arial;sans-serif"/>
          <w:b w:val="false"/>
          <w:i/>
          <w:color w:val="000000"/>
          <w:sz w:val="20"/>
        </w:rPr>
        <w:t>provided, however</w:t>
      </w:r>
      <w:r>
        <w:rPr>
          <w:rFonts w:ascii="Arial;sans-serif" w:hAnsi="Arial;sans-serif"/>
          <w:b w:val="false"/>
          <w:color w:val="000000"/>
          <w:sz w:val="20"/>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 Sildenafil Cream.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contained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76"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each of July 2025 and 2024, the Company obtained financing for certain director and officer and other insurance premiums. The total premiums, taxes and fees financed each year was approximately $0.5 million and $0.6 million, respectively,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agreements and the Company assigned to the lender a first priority lien on and a security interest in the financed insurance policies. With respect to the financing obtained in July 2025, the Company will make monthly installment payments through March 20, 2026. With respect to the financing obtained in July 2024, the Company made monthly installment payments through April 20, 2025. The financed amount is recognized as an insurance financing cost included in other current assets and accrued expenses in the Company's condensed consolidated balance sheets. As of September 30, 2025, the Company's remaining obligation for the financing obtained in July 2025 was approximately $0.4 million. As of December 31, 2024, the Company's remaining obligation for the financing obtained in July 2024 was approximately $0.2 million. The Company had no remaining obligations for the financing obtained in July 2024 as of September 30, 2025.</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Related-Party Agreement</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 consulting agreement with its former Chief Financial Officer to assist in transition matters subsequent to her retirement. Pursuant to the agreement, for a nine month period commencing on January 26, 2024, the Company paid its former Chief Financial Officer $31,667 per month and reimbursed her up to $500 per month for her health insurance premiums.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10.    GRANT AWARDS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October 2024 Grant Award</w:t>
      </w:r>
    </w:p>
    <w:p>
      <w:pPr>
        <w:pStyle w:val="TextBody"/>
        <w:bidi w:val="0"/>
        <w:spacing w:lineRule="auto" w:line="288" w:before="0" w:after="200"/>
        <w:ind w:left="0" w:right="0" w:firstLine="720"/>
        <w:jc w:val="both"/>
        <w:rPr/>
      </w:pPr>
      <w:r>
        <w:rPr>
          <w:rFonts w:ascii="Arial;sans-serif" w:hAnsi="Arial;sans-serif"/>
          <w:b w:val="false"/>
          <w:color w:val="000000"/>
          <w:sz w:val="20"/>
        </w:rPr>
        <w:t>In October 2024, the Company</w:t>
      </w:r>
      <w:r>
        <w:rPr>
          <w:color w:val="000000"/>
          <w:shd w:fill="FFFFFF" w:val="clear"/>
        </w:rPr>
        <w:t xml:space="preserve"> </w:t>
      </w:r>
      <w:r>
        <w:rPr>
          <w:rFonts w:ascii="Arial;sans-serif" w:hAnsi="Arial;sans-serif"/>
          <w:b w:val="false"/>
          <w:color w:val="000000"/>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sans-serif" w:hAnsi="Arial;sans-serif"/>
          <w:b w:val="false"/>
          <w:color w:val="000000"/>
          <w:sz w:val="20"/>
        </w:rPr>
        <w:t>$10.0 million</w:t>
      </w:r>
      <w:r>
        <w:rPr>
          <w:color w:val="000000"/>
          <w:shd w:fill="FFFFFF" w:val="clear"/>
        </w:rPr>
        <w:t xml:space="preserve"> </w:t>
      </w:r>
      <w:r>
        <w:rPr>
          <w:rFonts w:ascii="Arial;sans-serif" w:hAnsi="Arial;sans-serif"/>
          <w:b w:val="false"/>
          <w:color w:val="000000"/>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color w:val="000000"/>
        </w:rPr>
        <w:t xml:space="preserve"> </w:t>
      </w:r>
      <w:r>
        <w:rPr>
          <w:rFonts w:ascii="Arial;sans-serif" w:hAnsi="Arial;sans-serif"/>
          <w:b w:val="false"/>
          <w:color w:val="000000"/>
          <w:sz w:val="20"/>
        </w:rPr>
        <w:t xml:space="preserve">The subaward agreement was the result of the Company's selection by an agency within the U.S. Department of Health and Human Services. </w:t>
      </w:r>
      <w:r>
        <w:rPr>
          <w:rFonts w:ascii="Arial;sans-serif" w:hAnsi="Arial;sans-serif"/>
          <w:b w:val="false"/>
          <w:color w:val="000000"/>
          <w:sz w:val="20"/>
          <w:shd w:fill="FFFFFF" w:val="clear"/>
        </w:rPr>
        <w:t xml:space="preserve">The CMF is a consortium management firm that received funding from the federal agency for the subaward agreement.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Through September 30, 2025, the Company had received payments totaling $4.5 million under this award. The Company recorded credits to research and development expense of approximately $0.9 million and $2.2 million for costs related to this award for the three and nine months ended September 30, 2025, respectively. As of September 30, 2025 and December 31, 2024, the Company recorded approximately $1.8 million and $0.6 million in deferred grant funding liability related to this award in the Company's condensed consolidated balance sheets, respectively.</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and NIH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DARE-HPV</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credits to research and development expense of approximately $40,000 and $0.7 million for costs related to this award during the three and nine months ended September 30, 2025, respectively. The Company recorded a receivable of approximately $15,000 and $0 at September 30, 2025 and December 31, 2024, respectively, for expenses incurred through such date that it believes are eligible for reimbursement under this award.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from NICHD of approximately $2.0 million to support the development of DARE-PTB1. The award is to be used to support what is referred to as the "Phase II" segment of the project outlined in the Company's grant application. The Company recorded credits to research and development expense for costs related to this award of approximately $0.2 million and $0.5 million during the three and nine months ended September 30, 2025, respectively, and $0.3 million and $0.5 million for the three and nine months ended September 30, 2024, respectively. At September 30, 2025 and December 31, 2024, the Company recorded a receivable of approximately $64,000 and $84,000, respectively, for expenses incurred through such date that it believes are eligible for reimbursement under this award.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DARE-PTB2</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the Company received a notice of award from NICHD of approximately $0.4 million to support preclinical development of a potential new therapeutic for the prevention of idiopathic preterm birth. The grant funds supported activities related to the conduct and completion of proof-of-concept target validation studies in collaboration with the University of South Florida. The Company received aggregate reimbursements under this award of approximately $0.4 million during the grant period, which ended in July 2024. No further funds are available under this award.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below, the Company has received substantial funding under grant agreements it entered into with the Gates Foundation, or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information regarding the indirect cost allowance). Funds received that have not been spent are recorded both 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 </w:t>
      </w:r>
    </w:p>
    <w:p>
      <w:pPr>
        <w:pStyle w:val="TextBody"/>
        <w:bidi w:val="0"/>
        <w:spacing w:lineRule="auto" w:line="288" w:before="120" w:after="283"/>
        <w:ind w:left="0" w:right="0" w:firstLine="720"/>
        <w:jc w:val="both"/>
        <w:rPr/>
      </w:pPr>
      <w:r>
        <w:rPr>
          <w:rFonts w:ascii="Arial;sans-serif" w:hAnsi="Arial;sans-serif"/>
          <w:b/>
          <w:color w:val="000000"/>
          <w:sz w:val="20"/>
        </w:rPr>
        <w:t>2024 Contraceptive Product Candidate Grant Agreement</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An initial payment of approximately $5.4 million was made to the Company in November 2024. Additional payments are contingent upon the Company's achievement of specified development and reporting milestones during the term of the grant agreement, which extends through October 2026. The Company will track and report eligible expenses incurred to the Foundation.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$1.5 million and $3.0 million for costs related to this award for the three and nine months ended September 30, 2025, respectively. As of September 30, 2025 and December 31, 2024, the Company had recorded approximately $2.2 million and $5.2 million 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2024 Biotherapeutic Product Grant Agreement</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an agreement with the Foundation under which the Company was awarded $750,000 to fund activities related to bacteria-based live biotherapeutic product development. The Company received the full amount of the award in January 2024. The Company recorded credits to research and development expense of approximately $0.3 million and $0.7 million for the three and nine months ended September 30, 2024, respectively. The grant period ended in November 2024. No further funds are available under this award.</w:t>
      </w:r>
    </w:p>
    <w:p>
      <w:pPr>
        <w:pStyle w:val="TextBody"/>
        <w:bidi w:val="0"/>
        <w:spacing w:lineRule="auto" w:line="288" w:before="240" w:after="200"/>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through nonclinical proof of principle studies and other IND-enabling work to allow for the submission of an IND application with the FDA, approval of which will be required to commence testing in humans.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2025, the Company had received a cumulative total of approximately $37.8 million in non-dilutive funding under the agreement. Additional payments are contingent upon the DARE-LARC1 program’s achievement of specified development and reporting milestones. The Company recorded credits to research and development expense of approximately $2.4 million and $6.3 million for costs related to this award for the three and nine months ended September 30, 2025, respectively, and $0.8 million and $4.8 million for the three and nine months ended September 30, 2024, respectively. As of September 30, 2025 and December 31, 2024, the Company had recorded approximately $10.5 million and $10.8 million 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13, Subsequent Events, for information regarding a payment received in October 2025 under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2022, the Company entered into an agreement with the Foundation under which the Company was awarded $585,000 to support the development of DARE-LBT over the period of November 11, 2022 to February 29, 2024. The Company received the full amount of the award in November 2022. The Company recorded credits to research and development expense of approximately $0 and $0.2 million for costs related to this award for the three and nine months ended September 30, 2024, respectively. The Company had no remaining deferred grant funding liability related to this award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11.    NET LOSS PER SHARE</w:t>
      </w:r>
    </w:p>
    <w:p>
      <w:pPr>
        <w:pStyle w:val="TextBody"/>
        <w:bidi w:val="0"/>
        <w:spacing w:lineRule="auto" w:line="288" w:before="20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sans-serif" w:hAns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9512" w:type="dxa"/>
        <w:jc w:val="center"/>
        <w:tblInd w:w="0" w:type="dxa"/>
        <w:tblLayout w:type="fixed"/>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517"/>
        <w:gridCol w:w="504"/>
        <w:gridCol w:w="181"/>
        <w:gridCol w:w="181"/>
        <w:gridCol w:w="181"/>
        <w:gridCol w:w="181"/>
        <w:gridCol w:w="516"/>
        <w:gridCol w:w="505"/>
        <w:gridCol w:w="256"/>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1,409,042 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903,424 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1,409,042 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903,424 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1,241,818 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2,677,614 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2,171,996 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2,677,614 </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2,145,242 </w:t>
            </w:r>
          </w:p>
        </w:tc>
        <w:tc>
          <w:tcPr>
            <w:tcW w:w="2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segment's financial information including the Company’s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91"/>
        <w:gridCol w:w="1000"/>
        <w:gridCol w:w="1004"/>
        <w:gridCol w:w="214"/>
        <w:gridCol w:w="1073"/>
        <w:gridCol w:w="110"/>
        <w:gridCol w:w="110"/>
        <w:gridCol w:w="110"/>
        <w:gridCol w:w="110"/>
        <w:gridCol w:w="214"/>
        <w:gridCol w:w="1073"/>
        <w:gridCol w:w="110"/>
        <w:gridCol w:w="110"/>
        <w:gridCol w:w="110"/>
        <w:gridCol w:w="110"/>
        <w:gridCol w:w="214"/>
        <w:gridCol w:w="1179"/>
        <w:gridCol w:w="110"/>
        <w:gridCol w:w="110"/>
        <w:gridCol w:w="110"/>
        <w:gridCol w:w="110"/>
        <w:gridCol w:w="214"/>
        <w:gridCol w:w="1040"/>
        <w:gridCol w:w="169"/>
      </w:tblGrid>
      <w:tr>
        <w:trPr/>
        <w:tc>
          <w:tcPr>
            <w:tcW w:w="14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expenses:</w:t>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program costs: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Ovaprene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1,940,537 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7,103,894 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(1)</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417,543 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699,866 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2,165,918 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1 and Phase 1-ready clinical stage programs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1,394,982 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526,291 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stage programs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554,677 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3,232,899 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Contra-R&amp;D expenses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(4,314,481)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(1,152,437)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(10,713,647)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(5,799,795)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direct program costs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641,668 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1,539,276 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2,674,324 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7,202,681 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1,168,085 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3,869,767 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costs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(673,433)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(344,920)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(1,880,824)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(846,357)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indirect costs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1,142,496 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2,226,987 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3,766,385 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2,499,242 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2,041,268 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7,186,272 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7,159,979 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expenses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3,674,410 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4,723,040 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12,087,583 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18,136,719 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(3,672,148)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(4,681,349)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(12,081,066)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(18,063,288)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654,613 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(319,147)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(445,804)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(428,120)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636,796 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(3,562,766)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(11,957,556)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1,452,799 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three and nine months ended September 30, 2025, amount also includes expenses related to DARE to PLAY Sildenafil Cream.</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Sales of Common Stock</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Subsequent to September 30, 2025, the Company sold 360,000 shares of its common stock under its purchase agreement with Lincoln Park for aggregate gross proceeds of approximately $0.7 million, resulting in aggregate proceeds of approximately $0.7 million net of commissions and other offering expenses of approximately $29,000. For a discussion of the purchase agreement, see Note 4, Stockholder's Equity. </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Receipt of Payment Under 2021 DARE-LARC1 Grant Agreement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October 2025, the Company received a $4.0 million payment from the Foundation under the agreement the Company entered into in June 2021 to support the development of DARE-LARC1. For a discussion of this agreement, see Note 10, Grant Awards. Taking into account this payment, the Company has received a cumulative total of approximately $41.8 million of the up to $49.0 million in potential funding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2024 included in our Annual Report on Form 10-K for the year ended December 31, 2024, or our 2024 10-K, filed with the Securities and Exchange Commission, or SEC, on March 31, 2025.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DARE to PLAY™, DARE to RESTORE™, and DARE to RECLAIM™ are trademarks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pelvic pain to fertility, vaginal health to infectious disease, we’re closing critical gaps in care using science that serves her needs.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decades, women have been told to “wait it out” or “live with it,” while innovations that could improve their quality of life languish in the regulatory or funding pipeline. </w:t>
      </w:r>
    </w:p>
    <w:p>
      <w:pPr>
        <w:pStyle w:val="TextBody"/>
        <w:bidi w:val="0"/>
        <w:spacing w:lineRule="auto" w:line="288" w:before="200" w:after="283"/>
        <w:ind w:left="0" w:right="0" w:firstLine="720"/>
        <w:jc w:val="both"/>
        <w:rPr/>
      </w:pPr>
      <w:r>
        <w:rPr>
          <w:rFonts w:ascii="Arial;sans-serif" w:hAnsi="Arial;sans-serif"/>
          <w:b w:val="false"/>
          <w:color w:val="000000"/>
          <w:sz w:val="20"/>
        </w:rPr>
        <w:t>With growing awareness around menopause, sexual health, and vaginal health, the conversation is shifting. However, access to real, evidence-based solutions continues to lag. Dar</w:t>
      </w:r>
      <w:r>
        <w:rPr>
          <w:rFonts w:ascii="null;sans-serif" w:hAnsi="null;sans-serif"/>
          <w:b w:val="false"/>
          <w:color w:val="000000"/>
          <w:sz w:val="20"/>
        </w:rPr>
        <w:t>é</w:t>
      </w:r>
      <w:r>
        <w:rPr>
          <w:color w:val="000000"/>
        </w:rPr>
        <w:t xml:space="preserve"> </w:t>
      </w:r>
      <w:r>
        <w:rPr>
          <w:rFonts w:ascii="Arial;sans-serif" w:hAnsi="Arial;sans-serif"/>
          <w:b w:val="false"/>
          <w:color w:val="000000"/>
          <w:sz w:val="20"/>
        </w:rPr>
        <w:t xml:space="preserve">was founded to change that. As a female-led health biotech company, we are accelerating the development of credible, science-based solutions that meet the high standards of clinical rigor </w:t>
      </w:r>
      <w:r>
        <w:rPr>
          <w:color w:val="000000"/>
        </w:rPr>
        <w:t xml:space="preserve">– </w:t>
      </w:r>
      <w:r>
        <w:rPr>
          <w:rFonts w:ascii="Arial;sans-serif" w:hAnsi="Arial;sans-serif"/>
          <w:b w:val="false"/>
          <w:color w:val="000000"/>
          <w:sz w:val="20"/>
        </w:rPr>
        <w:t>randomized, controlled trials; validated endpoints; peer-reviewed publications; and current Good Manufacturing Practice (cGMP) requirements.</w:t>
      </w:r>
    </w:p>
    <w:p>
      <w:pPr>
        <w:pStyle w:val="TextBody"/>
        <w:bidi w:val="0"/>
        <w:spacing w:lineRule="auto" w:line="288" w:before="200" w:after="283"/>
        <w:ind w:left="0" w:right="0" w:firstLine="720"/>
        <w:jc w:val="both"/>
        <w:rPr/>
      </w:pPr>
      <w:r>
        <w:rPr>
          <w:rFonts w:ascii="Arial;sans-serif" w:hAnsi="Arial;sans-serif"/>
          <w:b w:val="false"/>
          <w:color w:val="000000"/>
          <w:sz w:val="20"/>
        </w:rPr>
        <w:t>We regularly hear from healthcare providers, researchers, and women themselves about the urgent need for expanded access to evidenced-based and convenient options. Our goal is to fulfill that need by bringing innovative products to market</w:t>
      </w:r>
      <w:r>
        <w:rPr>
          <w:color w:val="000000"/>
        </w:rPr>
        <w:t xml:space="preserve"> </w:t>
      </w:r>
      <w:r>
        <w:rPr>
          <w:rFonts w:ascii="Arial;sans-serif" w:hAnsi="Arial;sans-serif"/>
          <w:b w:val="false"/>
          <w:color w:val="000000"/>
          <w:sz w:val="20"/>
        </w:rPr>
        <w:t>as soon as practicable, whether as FDA-approved therapies or through alternative regulatory pathways that enable earlier availability, such as Section 503B compounding. Through a pipeline of investigational products and near-commercial, alternative pathway products, we aim to close persistent gaps in care and deliver clinically meaningful advances that redefine standards in women’s health.</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2025, we announced an expansion of our business model to include a dual-path approach to bringing new products to market. For select proprietary formulations, we are pursuing both traditional FDA approval and earlier market access via outsourcing facilities registered under Section 503B of the Federal Food, Drug, and Cosmetic Act (FDCA), which may compound and distribute certain drugs without patient-specific prescriptions.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pPr>
      <w:r>
        <w:rPr>
          <w:rFonts w:ascii="Arial;sans-serif" w:hAnsi="Arial;sans-serif"/>
          <w:b w:val="false"/>
          <w:color w:val="000000"/>
          <w:sz w:val="20"/>
        </w:rPr>
        <w:t>Beginning in the fourth quarter of 2025, we expect to initiate commercialization of DARE to PLAY Sildenafil Cream, which we also refer to as DARE to PLAY</w:t>
      </w:r>
      <w:r>
        <w:rPr>
          <w:rFonts w:ascii="null;sans-serif" w:hAnsi="null;sans-serif"/>
          <w:b w:val="false"/>
          <w:color w:val="000000"/>
          <w:sz w:val="20"/>
        </w:rPr>
        <w:t xml:space="preserve">, </w:t>
      </w:r>
      <w:r>
        <w:rPr>
          <w:rFonts w:ascii="Arial;sans-serif" w:hAnsi="Arial;sans-serif"/>
          <w:b w:val="false"/>
          <w:color w:val="000000"/>
          <w:sz w:val="20"/>
        </w:rPr>
        <w:t>a first-of-its-kind, topically applied formulation of sildenafil designed to improve female sexual arousal. The product will be made available in the United States through a Section 503B-registered outsourcing facility – a pathway that enables us to deliver clinically credible solutions directly to women through licensed prescribers and telehealth platforms. DARE to PLAY will address an area of women’s health that has been historically underserved and stigmatized, and be a first-of-its-kind product in that, to our knowledge, there are no other topical cream sildenafil products manufactured in accordance with cGMP requirements and supported by clinical data demonstrating increased genital blood flow within 10-15 minutes of application and improvements in arousal sensations using clinically validated and FDA-reviewed endpoints. We believe the product’s positioning – science-backed, evidence-driven, and female-focused – sets a new benchmark for credibility in the female sexual wellness category.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Following DARE to PLAY, we plan to expand our commercial portfolio with the introduction of our DARE to RESTORE product line, vaginal probiotic products designed to support vaginal microbiome balance. These offerings, which will not require a physician's prescription, align with our broader vision to integrate clinically credible, evidence-based products into women’s health routines, including select consumer health products.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near-term commercial initiatives are designed not only to drive revenue but also to create a self-reinforcing ecosystem for growth. The commercial experience, brand awareness, and provider engagement generated through these products can position us to efficiently introduce additional pipeline candidates, including potential future FDA-approved products. By pursuing a balanced strategy that integrates short-term commercial execution with long-term R&amp;D investment, we aim to reduce reliance on dilutive capital and build a financially sustainable model for innovation in women’s health.</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pursuing a capital-efficient path to commercialization that leverages targeted direct-to-consumer and healthcare professional marketing initiatives to build awareness of our women’s health portfolio, including digital campaigns, webinars, social media education, and advocacy programs. We do not have sales, marketing or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third-party manufacturing, market preparation, and strategic partnerships.</w:t>
      </w:r>
    </w:p>
    <w:p>
      <w:pPr>
        <w:pStyle w:val="TextBody"/>
        <w:bidi w:val="0"/>
        <w:spacing w:lineRule="auto" w:line="288" w:before="200" w:after="283"/>
        <w:ind w:left="0" w:right="0" w:firstLine="720"/>
        <w:jc w:val="both"/>
        <w:rPr/>
      </w:pPr>
      <w:r>
        <w:rPr>
          <w:rFonts w:ascii="Arial;sans-serif" w:hAnsi="Arial;sans-serif"/>
          <w:b w:val="false"/>
          <w:color w:val="000000"/>
          <w:sz w:val="20"/>
        </w:rPr>
        <w:t>Our diverse portfolio of proprietary programs, assembled through acquisitions, exclusive in-licenses, and collaborations, targets product categories</w:t>
      </w:r>
      <w:r>
        <w:rPr>
          <w:color w:val="000000"/>
        </w:rPr>
        <w:t xml:space="preserve"> </w:t>
      </w:r>
      <w:r>
        <w:rPr>
          <w:rFonts w:ascii="Arial;sans-serif" w:hAnsi="Arial;sans-serif"/>
          <w:b w:val="false"/>
          <w:color w:val="000000"/>
          <w:sz w:val="20"/>
        </w:rPr>
        <w:t xml:space="preserve">we believe represent meaningful opportunities to improve women's health and quality of life. These include contraception, sexual health, pelvic pain, fertility, infectious disease, vaginal health, and menopause.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a number of risks common to biopharmaceutical companies and the process of developing, obtaining regulatory approvals for, and commercializing prescription drug and drug/device products in the United States and in foreign jurisdictions, is inherently uncertain, and requires the expenditure of substantial financial resources without any guarantee of success. See our discussion of many of these risks under the section entitled “Risk Factors” in Item 1A of Part I of our 2024 10-K and Part II of this report.</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Section 503B Compounding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As discussed above, we are working to bring to market select proprietary formulations via Section 503B-registered outsourcing facilities. In assessing which of our proprietary formulations are candidates for Section 503B compounding, in addition to the drug substance(s) being on the FDA’s interim Category 1 list of bulk drug substances, we take into account whether we believe the formulation is ready for cGMP manufacturing at scale to meet potential demand and that the data from nonclinical and clinical studies of the formulation to date will be compelling to healthcare providers. We do not believe bringing those proprietary formulations to market via Section 503B compounding will negatively impact the regulatory process or commercial opportunity for an FDA-approved product utilizing the same proprietary formulation.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To execute our Section 503B compounding strategy, among other things, we have entered into and will need to maintain arrangements with one or more 503B-registered outsourcing facilities and other third parties with marketing, sales or distribution capabilities in the Section 503B market, and we intend to expand our collaborations, including by establishing relationships with telehealth platforms. We intend to focus our resources on provider-to-provider education about disease state and our proprietary formulations, leveraging online resources, including web-based ordering platforms and collaborations with telehealth platforms and other third parties. We do not plan to establish marketing, sales or distribution capabilities in order to bring our proprietary formulations to market under Section 503B.</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“Section 503B compounding” or “Section 503B,” we refer to the production and supply of compounded drugs by Section 503B-registered outsourcing facilities without patient-specific prescriptions in accordance with Section 503B of the FDCA.</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DARE to PLAY™ Sildenafil Cream</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proprietary topical cream formulation of sildenafil will be our first product to market under Section 503B. The compounded drug will be branded as DARE to PLAY Sildenafil Cream. We expect to have DARE to PLAY Sildenafil Cream to become available by prescription in the U.S. in December 2025 and to begin recording revenue from sales thereof in the fourth quarter of 2025, however, we do not expect the amount of such revenue, if any, to be material during 2025. Because we are in the early stages of executing against our Section 503B compounding strategy and, as an organization, we have no experience in or infrastructure for commercializing products, the amount of potential revenue we may generate during 2026 remains uncertain. We anticipate needing to invest no more than $1.0 million to launch DARE to PLAY Sildenafil Cream in 2025, which has been and will be utilized to support a 503B-registered outsourcing facility with technology-transfer activities specific to DARE to PLAY Sildenafil Cream, activate an awareness campaign, and facilitate access to DARE to PLAY Sildenafil Cream as an option for providers and women.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0"/>
        </w:rPr>
        <w:t>DARE to RECLAIM™ estradiol progesterone intravaginal ring</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also taking action to bring our estradiol progesterone intravaginal ring to market under Section 503B. The compounded product will be branded as DARE to RECLAIM estradiol progesterone intravaginal ring. We are targeting to have DARE to RECLAIM estradiol progesterone intravaginal ring available, and to begin recording revenue from sales thereof, in early 2027. Because we are in the early stages of executing against our Section 503B compounding strategy and, as an organization, we have no experience in or infrastructure for commercializing products, the amount of potential revenue we may generate during 2027 remains uncertain. There are no FDA-approved products that provide estradiol and progesterone together in a non-oral monthly form.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Consumer Health Products - DARE to RESTORE™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also working to bring to market a line of consumer health products branded as the DARE to RESTORE family of products, designed to support vaginal microbiome balance. We have sourced vaginal probiotics from Europe that we are targeting to make available in the U.S. in the first quarter of 2026.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“consumer health products,” we refer to consumer health products that can be obtained without a physician's prescription, unless the context otherwise requires.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Similar to our plans with respect to our Section 503B business strategy, we do not plan to establish marketing, sales or distribution capabilities in order to commercialize consumer health products, but rather we plan to pursue a capital-efficient path to market that leverages targeted direct-to-consumer and healthcare professional marketing initiatives to build awareness, including digital campaigns, webinars, social media education, and advocacy programs, as well as identify and enter into strategic agreements and collaborations with third parties with marketing, sales or distribution capabilities in the consumer health products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Product Candidates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whose U.S. commercial rights are under a license agreement with Bayer HealthCare LLC, or Bayer;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2024 10-K and “—Recent Events—Product Candidate Updates,” below, for additional information regarding our product candidates.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XACIATO®</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our portfolio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2022, we licensed exclusive worldwide rights to develop, manufacture and commercialize XACIATO to an affiliate of Organon &amp; Co., Organon International GmbH, or Organon. In January 2024, Organon announced that XACIATO was available nationwide in the U.S. In April 2024, we sold our rights to all royalty and potential milestone payments based on net sales of XACIATO under our agreement with Organon, net of our obligations to certain third parties, to XOMA (US) LLC, or XOMA, until XOMA receives a specified return on its investment, after which we will share equally in the royalty and milestone payments earned on net sales of XACIATO from Organon. See Note 3 “Strategic Agreements” and Note 8 “Royalty Purchase Agreements” to the condensed consolidated financial statements included in this report for information regarding our exclusive license agreement with Organon and our royalty purchase agreements with XOMA, respectively.</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Product Candidate Updates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Ovaprene®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Enrollment is ongoing in our pivotal Phase 3 multi-center, single arm, non-comparative clinical study of Ovaprene to evaluate its effectiveness as a contraceptive along with its safety and acceptability (ClinicalTrials.gov ID: NCT06127199). We intend to maintain active recruitment at five study sites, supported by grant funding we received in November 2024. We currently anticipate enrollment will be completed in 2026, and plan to provide further updates regarding anticipated enrollment and study completion targets next year.</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July 2025, the study’s data safety monitoring board (DSMB), an independent group of experts which evaluates the safety and integrity of the study, conducted a planned interim analysis and recommended the study continue without modification. No new safety or tolerability concerns were identified. At the time of the interim analysis, approximately 9% of the women treated in the study had experienced a pregnancy. Approximately 17% of participants discontinued the study due to vaginal odor, the most commonly reported product-related adverse event. No serious safety concerns were identified, and overall tolerability was favorable. As of the interim analysis, approximately 115 participants were ongoing or had completed the study. The target enrollment is approximately 250 participants completing approximately 12 months of use.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Phase 3 study is being conducted, in part, under our Cooperative Research and Development Agreement, or CRADA, with the U.S. Department of Health and Human Services (HHS), as represented by the Eunice Kennedy Shriver National Institute of Child Health and Human Development's (NICHD), part of the U.S. National Institutes of Health (NIH), and within the Contraceptive Clinical Trials Network (CCTN). In the first quarter of 2025, due to uncertainty regarding the future NICHD budget for the CRADA following U.S. federal policy changes and executive orders, we and NICHD agreed to pause recruitment of new participants at all 15 of the CCTN study sites then following enrolled participants to help ensure the CCTN sites would remain active for continued follow-up with those participants. We will not resume recruitment of participants at the CCTN sites. CCTN sites with ongoing subjects are expected to remain open to complete follow-up visits with those participants.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Sildenafil Cream, 3.6%</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seek to advance Sildenafil Cream into the first of two anticipated Phase 3 clinical studies to support a new drug application to the FDA for the indication of treatment of female sexual arousal disorder (FSAD) in premenopausal women utilizing the 505(b)(2) regulatory pathway.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2025, we received additional input and information requests from the FDA regarding our patient reported outcomes (PRO) psychometrics for the Phase 3 study. The PRO psychometrics analysis has bearing on efficacy endpoint selection and the statistical analysis plan for the Phase 3 study. We submitted additional requested information to the FDA in the second quarter of 2025. Pending additional feedback from the FDA, the timing of which is uncertain, and alignment with the FDA on the protocol and statistical analysis plan, we cannot determine whether our prior estimate of capital required to conduct the Phase 3 studies is appropriate. As a result, we do not anticipate initiating the first Phase 3 study in 2025 and cannot at this time reasonably predict when the study will commence. </w:t>
      </w:r>
    </w:p>
    <w:p>
      <w:pPr>
        <w:pStyle w:val="TextBody"/>
        <w:bidi w:val="0"/>
        <w:spacing w:lineRule="auto" w:line="288" w:before="0" w:after="200"/>
        <w:ind w:left="0" w:right="0" w:firstLine="720"/>
        <w:jc w:val="both"/>
        <w:rPr>
          <w:rFonts w:ascii="Arial;sans-serif" w:hAnsi="Arial;sans-serif"/>
          <w:b w:val="false"/>
          <w:i/>
          <w:color w:val="000000"/>
          <w:sz w:val="20"/>
        </w:rPr>
      </w:pPr>
      <w:r>
        <w:rPr>
          <w:rFonts w:ascii="Arial;sans-serif" w:hAnsi="Arial;sans-serif"/>
          <w:b w:val="false"/>
          <w:i/>
          <w:color w:val="000000"/>
          <w:sz w:val="20"/>
        </w:rPr>
        <w:t>Other Development Programs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continue to work on the development of our other clinical and preclinical-stage programs, including conducting activities necessary to enable submission of an investigational new drug, or IND, application to the FDA for a pivotal Phase 3 clinical study of DARE-HRT1, activities in preparation for a Phase 2 randomized, double-blinded, placebo-controlled, dose-finding clinical study of DARE-VVA1 based on our FDA-cleared IND relating to DARE-VVA1 and the anticipated study, and activities necessary to enable submission of an IND application to the FDA for a Phase 2 clinical study of DARE-HPV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Receipt of Payments Under 2021 DARE-LARC1 Grant Agreement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July and October 2025, we received payments of $6.0 million and $4.0 million, respectively, from the Gates Foundation, or the Foundation, under the agreement we entered into in June 2021 to support the development of DARE-LARC1, our preclinical-stage long-acting reversible personal contraceptive system, through nonclinical proof-of-principle studies and other IND-enabling work to allow for the submission of an IND application with the FDA. For a discussion of this agreement, see Note 10 "Grant Awards" to the accompanying condensed consolidated financial statements. Taking into account these payments, we have received a cumulative total of approximately $41.8 million of the up to approximately $49.0 million in potential funding under the grant agreement.</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 xml:space="preserve">Nasdaq Listing </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On July 24, 2025, we received a letter from the Nasdaq Office of General Counsel confirming that we had demonstrated compliance with the stockholders’ equity requirement in Nasdaq Listing Rule 5550(b)(1), or the Stockholders’ Equity Rule, and that we are therefore in compliance with the Nasdaq Capital Market's continued listing requirements. We are subject to a mandatory monitoring period of one-year from July 24, 2025, and if, within that one-year period, the Nasdaq Listing Qualifications Staff determines that we are out of compliance with the Stockholders' Equity Rule, the Staff will issue a delist determination letter and we will have an opportunity to request a new hearing with Nasdaq's Hearing Panel. Notwithstanding Nasdaq Listing Rule 5810(c)(2), we will not be permitted to provide a plan of compliance to the Staff with respect to such non-compliance, the Staff will not be permitted to grant additional time for us to regain compliance, and we will not be afforded a cure period pursuant to Nasdaq Listing Rule 5810(c)(3). See the risk factor titled, </w:t>
      </w:r>
      <w:r>
        <w:rPr>
          <w:rFonts w:ascii="Arial;sans-serif" w:hAnsi="Arial;sans-serif"/>
          <w:b w:val="false"/>
          <w:i/>
          <w:color w:val="000000"/>
          <w:sz w:val="20"/>
        </w:rPr>
        <w:t>There is no assurance that we will continue satisfying the listing requirements of the Nasdaq Capital Market,</w:t>
      </w:r>
      <w:r>
        <w:rPr>
          <w:color w:val="000000"/>
        </w:rPr>
        <w:t xml:space="preserve"> </w:t>
      </w:r>
      <w:r>
        <w:rPr>
          <w:rFonts w:ascii="Arial;sans-serif" w:hAnsi="Arial;sans-serif"/>
          <w:b w:val="false"/>
          <w:color w:val="000000"/>
          <w:sz w:val="20"/>
        </w:rPr>
        <w:t xml:space="preserve">in Item 1A of Part II of this report. Until we regained compliance with the Stockholders Equity Rule, we had not been in compliance with Nasdaq Listing Rule 5550(b) since August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Macroeconomic, Political, and Regulatory Uncertainty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business, financial condition, operating results, and our ability to raise additional capital may be adversely affected by evolving U.S. and global economic, political, and regulatory developments and conditions, such as inflation, trade disruptions and restrictive measures, including tariffs, high interest rates, slowed economic growth or recession, uncertainty with respect to the federal budget and debt ceiling, potential or prolonged U.S. government shutdowns,volatility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NIH and could impact the agencies’ ability to retain remaining key personnel and hire additional personnel, which may disrupt their ability to perform routine activities or function in the normal course. A prolonged federal government shutdown with additional agency staff furloughed or laid off could exacerbate these risks.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See Note 10 “Grant Awards” to the accompanying condensed consolidated financial statements and our 2024 10-K for additional information. In early 2025, the U.S. presidential administration took actions to freeze or terminate more than $1.0 billion in NIH grants and the future of the NIH’s budget and research funding remains highly uncertain.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potential impact on our business at this time. We continue to monitor these evolving developments and conditions and their potential impacts of our business, financial condition, and results of operations, and will attempt to adjust our plans, as appropriate, to mitigate risks. For additional information, see the risk factors described in Part II, Item 1A, Risk Factors in this report and Part I, Item 1A. Risk Factors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reflects payments earned under our license agreement with Organon to commercialize XACIATO. Pursuant to our traditional royalty purchase agreement with XOMA, from and after April 1, 2024, all of the royalties and potential milestone payments we would otherwise have the right to receive under our license agreement with Organon based on net sales of XACIATO will be paid to XOMA, net of payments made under our exclusive license agreement with third-party licensors TriLogic Pharma, LLC and MilanaPharm LLC and under our royalty interest financing agreement with United in Endeavour, LLC, or UiE. Accordingly, from and after April 1, 2024, any revenue we recognize under our license agreement with Organon based on net sales of XACIATO will be payable to UiE and recognized as non-cash royalty revenue. Generally, because the royalties are required to be paid more than 45 days after the end of each quarter other than with respect to the fourth quarter, we estimate the non-cash royalty revenue we will recognize for a particular quarter based on our analysis of historical experience and interim data provided by Organon including its publicly announced sales. Differences between actual and estimated royalty revenue will be adjusted for in the quarter in which the actual amount becomes known, which is generally expected to be the following quarter.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Research and development, or R&amp;D, represents a core operational focus. We are actively advancing multiple product candidates through preclinical and clinical development, supported in part by significant non-dilutive grant funding from governmental and non-governmental organizations.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Although our R&amp;D activities remain substantial, as explained in more detail below, grant funding and other financial awards offset a significant portion of our R&amp;D expenses. As a result, our reported operating expenses may appear to be weighted more heavily toward general and administrative, or G&amp;A, expenses. However, this reflects the reduction to R&amp;D expenses (contra R&amp;D expense) as a result of grant funding and other financial awards, rather than a reduction in our commitment to or investment in R&amp;D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continue to represent the majority of our operating expenses, on a pre-contra R&amp;D expenses basis, for at least the next twelve months. R&amp;D expenses consist primarily of:</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direct program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contract manufacturing expenses, primarily for the production of materials for use in our clinical trials and nonclinical studies;</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 xml:space="preserve">expenses related to production of select proprietary formulations by 503B-registered outsourcing facilities prior to commercial launch of the product via Section 503B compounding; </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based on our product candidates' achievement of R&amp;D and regulatory milestones specified therein, and</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indirect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personnel-related costs, including salaries, bonuses, benefits, payroll taxes, and stock-based compensation expenses for employees engaged in R&amp;D functions,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the costs of services performed by third parties, including consulting services,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facilities-related costs, including rent and maintenance costs, and insurance, depreciation, supplies, and miscellaneous expenses,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costs related to travel, conference participation, service contracts, information technology, dues and subscriptions.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the first commercial sale of XACIATO, we recognized contract manufacturing expenses associated with producing commercial supplies of XACIATO and costs of regulatory affairs activities related to XACIATO as R&amp;D expenses. Following the first commercial sale of XACIATO, and during the interim period when we were the NDA holder of XACIATO and provided commercial supplies of XACIATO to Organon, those expenses were recognized as general and administrative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 R&amp;D expense). For more information, see Note 2 "Basis of Presentation and Summary of Significant Accounting Policies–Grant Funding" to our consolidated financial statements contained in our 2024 10-K and Note 10 "Grant Awards" to the accompanying condensed consolidated financial statements. We recognized contra R&amp;D expense of approximately $5.0 million and $12.6 million for the three and nine months ended September 30, 2025, respectively, and $1.5 million and $6.6 million for the three and nine months ended September 30, 2024, respectively.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00" w:after="283"/>
        <w:ind w:left="0" w:right="0" w:firstLine="720"/>
        <w:jc w:val="both"/>
        <w:rPr/>
      </w:pPr>
      <w:r>
        <w:rPr>
          <w:rFonts w:ascii="Arial;sans-serif" w:hAnsi="Arial;sans-serif"/>
          <w:b w:val="false"/>
          <w:color w:val="000000"/>
          <w:sz w:val="20"/>
        </w:rPr>
        <w:t>Royalty expenses consist of product sales-based payments we owe to upstream licensors. For information regarding potential payments to upstream licensors, see Note 3 "Strategic Agreements" to the accompanying condensed consolidated financial statements.</w:t>
      </w:r>
      <w:r>
        <w:rPr>
          <w:color w:val="000000"/>
        </w:rPr>
        <w:t xml:space="preserv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2024 10-K. Since December 31, 2024,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September 30, 2025 and 2024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9873" w:type="dxa"/>
        <w:jc w:val="center"/>
        <w:tblInd w:w="0" w:type="dxa"/>
        <w:tblLayout w:type="fixed"/>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81"/>
        <w:gridCol w:w="109"/>
        <w:gridCol w:w="109"/>
        <w:gridCol w:w="109"/>
        <w:gridCol w:w="109"/>
        <w:gridCol w:w="211"/>
        <w:gridCol w:w="1021"/>
        <w:gridCol w:w="109"/>
        <w:gridCol w:w="109"/>
        <w:gridCol w:w="109"/>
        <w:gridCol w:w="109"/>
        <w:gridCol w:w="269"/>
        <w:gridCol w:w="271"/>
        <w:gridCol w:w="286"/>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Revenues for the three months ended September 30, 2025 and September 30, 2024 are non-cash royalty revenues related to our license agreement with Organon to commercialize XACIATO. From and after April 1, 2024, any revenue we recognize under such license agreement will be recognized as non-cash royalty revenue. See "—Financial Overview—Revenue," above for information.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$0.5 million in G&amp;A expenses for the three months ended September 30, 2025 as compared to the three months ended September 30, 2024 was primarily attributable to increases in professional services and commercial-readiness expenses driven by execution against our expanded business strategy.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9"/>
        <w:gridCol w:w="705"/>
        <w:gridCol w:w="710"/>
        <w:gridCol w:w="129"/>
        <w:gridCol w:w="129"/>
        <w:gridCol w:w="129"/>
        <w:gridCol w:w="250"/>
        <w:gridCol w:w="1212"/>
        <w:gridCol w:w="129"/>
        <w:gridCol w:w="129"/>
        <w:gridCol w:w="129"/>
        <w:gridCol w:w="129"/>
        <w:gridCol w:w="250"/>
        <w:gridCol w:w="1212"/>
        <w:gridCol w:w="129"/>
        <w:gridCol w:w="129"/>
        <w:gridCol w:w="129"/>
        <w:gridCol w:w="129"/>
        <w:gridCol w:w="250"/>
        <w:gridCol w:w="1229"/>
        <w:gridCol w:w="129"/>
        <w:gridCol w:w="129"/>
        <w:gridCol w:w="129"/>
        <w:gridCol w:w="129"/>
        <w:gridCol w:w="293"/>
        <w:gridCol w:w="294"/>
        <w:gridCol w:w="406"/>
      </w:tblGrid>
      <w:tr>
        <w:trPr/>
        <w:tc>
          <w:tcPr>
            <w:tcW w:w="145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1,458,054 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1,940,537 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(482,483)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417,543 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699,866 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2,111,045 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554,677 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1,556,368 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(4,314,481)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(1,152,437)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641,668 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1,539,276 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(897,608)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1,429,180 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(261,095)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(673,433)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(344,920)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1,142,496 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(608,996)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2,681,772 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(1,506,604)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(3)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2.For the three months ended September 30, 2025, amount also includes expenses for DARE to PLAY Sildenafil Cream.</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3.These contra R&amp;D expenses were recognized as follows for the three months ended September 30, 2025 and 2024: (a) Ovaprene, $1.0 million, and $0, respectively; (b) other advanced clinical stage programs, $0.7 million and $0 respectively, (c) Phase 1 and Phase 1-ready clinical stage programs, $0.1 million and $0.1 million, respectively; and (d) preclinical stage programs, $2.6 million and $1.0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$1.5 million in R&amp;D expenses for the three months ended September 30, 2025 as compared to the three months ended September 30, 2024 was primarily attributable to (i) an increase in contra R&amp;D expenses in both direct program costs and indirect costs, (ii) a decrease in manufacturing costs related to Ovaprene, and (iii) a decrease in personnel costs, partially offset by increases in costs related to development activities for (A) our preclinical stage programs - primarily attributable to our DARE-LARC1 program, (B) our other advanced clinical stage programs - primarily attributable to our DARE-HPV program, (C) Sildenafil Cream and DARE to PLAY Sildenafil Cream, and (D) our Phase 1 and Phase 1-ready clinical stage programs -</w:t>
      </w:r>
      <w:r>
        <w:rPr>
          <w:color w:val="000000"/>
        </w:rPr>
        <w:t xml:space="preserve"> </w:t>
      </w:r>
      <w:r>
        <w:rPr>
          <w:rFonts w:ascii="Arial;sans-serif" w:hAnsi="Arial;sans-serif"/>
          <w:b w:val="false"/>
          <w:color w:val="000000"/>
          <w:sz w:val="20"/>
        </w:rPr>
        <w:t>primarily attributable to our DARE-PTB1 program. Contra R&amp;D expenses for the three months ended September 30, 2025 primarily offset direct program costs for DARE-LARC1, Ovaprene and DARE-HPV. Contra R&amp;D expenses for the three months ended September 30, 2024 primarily offset direct program costs for DARE-LARC1.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 xml:space="preserve">Other income (expense)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$0.1 million in other income (expense) for the three months ended September 30, 2025 as compared to the three months ended September 30, 2024 was primarily due to an increase on interest earned on cash balances in the current period.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Comparison of Nine Months Ended September 30, 2025 and 2024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10188" w:type="dxa"/>
        <w:jc w:val="center"/>
        <w:tblInd w:w="0" w:type="dxa"/>
        <w:tblLayout w:type="fixed"/>
        <w:tblCellMar>
          <w:top w:w="28" w:type="dxa"/>
          <w:left w:w="28" w:type="dxa"/>
          <w:bottom w:w="28" w:type="dxa"/>
          <w:right w:w="28" w:type="dxa"/>
        </w:tblCellMar>
      </w:tblPr>
      <w:tblGrid>
        <w:gridCol w:w="1326"/>
        <w:gridCol w:w="1164"/>
        <w:gridCol w:w="1170"/>
        <w:gridCol w:w="211"/>
        <w:gridCol w:w="1186"/>
        <w:gridCol w:w="109"/>
        <w:gridCol w:w="109"/>
        <w:gridCol w:w="109"/>
        <w:gridCol w:w="109"/>
        <w:gridCol w:w="211"/>
        <w:gridCol w:w="1021"/>
        <w:gridCol w:w="109"/>
        <w:gridCol w:w="109"/>
        <w:gridCol w:w="109"/>
        <w:gridCol w:w="109"/>
        <w:gridCol w:w="211"/>
        <w:gridCol w:w="1186"/>
        <w:gridCol w:w="109"/>
        <w:gridCol w:w="109"/>
        <w:gridCol w:w="109"/>
        <w:gridCol w:w="109"/>
        <w:gridCol w:w="346"/>
        <w:gridCol w:w="299"/>
        <w:gridCol w:w="286"/>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Royalty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18,136,719 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(6,049,136)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(18,063,288)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(13,410,355)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(13,375,783)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Revenues for the nine months ended September 30, 2025 and September 30, 2024 are related to our license agreement with Organon to commercialize XACIATO. From and after April 1, 2024, any revenue we recognize under such license agreement will be recognized as non-cash royalty revenue. See "—Financial Overview—Revenue," above for information.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each of the nine months ended September 30, 2025 and 2024, G&amp;A expenses were approximately $7.2 million. The current period's G&amp;A expenses include decreases in stock-based compensation expense and personnel costs, offset by increases in professional services, general corporate overhead, and commercial-readiness expenses driven by execution against our expanded business strategy.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21"/>
        <w:gridCol w:w="667"/>
        <w:gridCol w:w="672"/>
        <w:gridCol w:w="127"/>
        <w:gridCol w:w="127"/>
        <w:gridCol w:w="127"/>
        <w:gridCol w:w="246"/>
        <w:gridCol w:w="1193"/>
        <w:gridCol w:w="127"/>
        <w:gridCol w:w="127"/>
        <w:gridCol w:w="127"/>
        <w:gridCol w:w="127"/>
        <w:gridCol w:w="246"/>
        <w:gridCol w:w="1316"/>
        <w:gridCol w:w="127"/>
        <w:gridCol w:w="127"/>
        <w:gridCol w:w="127"/>
        <w:gridCol w:w="127"/>
        <w:gridCol w:w="246"/>
        <w:gridCol w:w="1209"/>
        <w:gridCol w:w="127"/>
        <w:gridCol w:w="127"/>
        <w:gridCol w:w="127"/>
        <w:gridCol w:w="127"/>
        <w:gridCol w:w="341"/>
        <w:gridCol w:w="343"/>
        <w:gridCol w:w="400"/>
      </w:tblGrid>
      <w:tr>
        <w:trPr/>
        <w:tc>
          <w:tcPr>
            <w:tcW w:w="142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4,270,154 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7,103,894 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(2,833,740)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(426,792)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2,165,918 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1,394,982 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868,691 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4,878,104 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(10,713,647)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(5,799,795)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(4,913,852)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2,674,324 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7,202,681 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(4,528,357)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3,869,767 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(524,562)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3791 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(1,880,824)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(846,357)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(1,034,467)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2,226,987 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3,766,385 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(1,539,398)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4,901,311 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10,969,066 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(6,067,755)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1.The applicable program(s) receive grant funding and/or the Tax Incentive. The amount of R&amp;D expense for the period indicated is shown on a gross basis (i.e., without deducting the amount of contra R&amp;D expense for the applicable program(s). See footnote (3) below.</w:t>
            </w:r>
          </w:p>
          <w:p>
            <w:pPr>
              <w:pStyle w:val="TableContents"/>
              <w:bidi w:val="0"/>
              <w:spacing w:lineRule="auto" w:line="240" w:before="0" w:after="120"/>
              <w:ind w:left="0" w:right="0" w:hanging="360"/>
              <w:jc w:val="left"/>
              <w:rPr/>
            </w:pPr>
            <w:r>
              <w:rPr>
                <w:rFonts w:ascii="Arial;sans-serif" w:hAnsi="Arial;sans-serif"/>
                <w:b w:val="false"/>
                <w:i/>
                <w:color w:val="000000"/>
                <w:sz w:val="18"/>
              </w:rPr>
              <w:t>2.</w:t>
            </w:r>
            <w:r>
              <w:rPr>
                <w:color w:val="000000"/>
              </w:rPr>
              <w:t> </w:t>
            </w:r>
            <w:r>
              <w:rPr>
                <w:rFonts w:ascii="Arial;sans-serif" w:hAnsi="Arial;sans-serif"/>
                <w:b w:val="false"/>
                <w:i/>
                <w:color w:val="000000"/>
                <w:sz w:val="18"/>
              </w:rPr>
              <w:t>For the nine months ended September 30, 2025, amount also includes expenses for DARE to PLAY Sildenafil Cream.</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3.These contra R&amp;D expenses were recognized as follows for the nine months ended September 30, 2025 and 2024: (a) Ovaprene, $1.9 million, and $0, respectively; (b) other advanced clinical stage programs, $2.2 million and $0 respectively, (c) Phase 1 and Phase 1-ready clinical stage programs, $0.3 million and $0.7 million, respectively; and (d) preclinical stage programs, $6.4 million and $5.1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 xml:space="preserve">The decrease of approximately $6.1 million in R&amp;D expenses for the nine months ended September 30, 2025 as compared to the nine months ended September 30, 2024 was primarily attributable to (i) an increase in contra R&amp;D expenses, (ii) a decrease in manufacturing costs related to Ovaprene, (iii) a decrease in costs related to development activities for Sildenafil Cream, (iv) a decrease in costs related to development activities for DARE-HRT1, and (v) a decrease in personnel costs, partially offset by increases in costs related to development activities for (A) our other advanced clinical stage programs </w:t>
      </w:r>
      <w:r>
        <w:rPr>
          <w:color w:val="000000"/>
        </w:rPr>
        <w:t>—</w:t>
      </w:r>
      <w:r>
        <w:rPr>
          <w:rFonts w:ascii="Arial;sans-serif" w:hAnsi="Arial;sans-serif"/>
          <w:b w:val="false"/>
          <w:color w:val="000000"/>
          <w:sz w:val="20"/>
        </w:rPr>
        <w:t xml:space="preserve">primarily attributable to our DARE-HPV program, (B) our pre-clinical and other development programs - primarily attributable to DARE-LARC1, and (C) our Phase 1 and Phase 1-ready clinical stage programs </w:t>
      </w:r>
      <w:r>
        <w:rPr>
          <w:color w:val="000000"/>
        </w:rPr>
        <w:t>—</w:t>
      </w:r>
      <w:r>
        <w:rPr>
          <w:rFonts w:ascii="Arial;sans-serif" w:hAnsi="Arial;sans-serif"/>
          <w:b w:val="false"/>
          <w:color w:val="000000"/>
          <w:sz w:val="20"/>
        </w:rPr>
        <w:t xml:space="preserve">primarily attributable to our DARE-PTB1 program. Contra R&amp;D expenses for the nine months ended September 30, 2025 and 2024 primarily offset direct program costs for DARE-LARC1.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Royalty expenses for the nine months ended September 30, 2024 related to our license agreement with MilanaPharm and our royalty interest financing agreement with UiE.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240" w:after="283"/>
        <w:ind w:left="0" w:right="0" w:firstLine="720"/>
        <w:jc w:val="both"/>
        <w:rPr>
          <w:rFonts w:ascii="Arial;sans-serif" w:hAnsi="Arial;sans-serif"/>
          <w:b w:val="false"/>
          <w:i/>
          <w:color w:val="000000"/>
          <w:sz w:val="20"/>
        </w:rPr>
      </w:pPr>
      <w:r>
        <w:rPr>
          <w:rFonts w:ascii="Arial;sans-serif" w:hAnsi="Arial;sans-serif"/>
          <w:b w:val="false"/>
          <w:i/>
          <w:color w:val="000000"/>
          <w:sz w:val="20"/>
        </w:rPr>
        <w:t>Sale of royalty and milestone rights, net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$20.4 million in other income for the nine months ended September 30, 2025 as compared to the nine months ended September 30, 2024 was due to the proceeds we received in April 2024 under the Royalty Purchase Agreements we entered into with XOMA, $22.0 million of which was recorded as income, net of approximately $1.6 million in transaction costs. See Note 8 “Royalty Purchase Agreements” to the accompanying condensed consolidated financial statements.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Other income (expense), net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$1.0 million in other income for the nine months ended September 30, 2025 as compared to the nine months ended September 30, 2024 was primarily due to a loss on the disposal of a fixed asset of $0.6 million recorded in the prior year period, the receipt in the current year of approximately $0.3 million of employee retention credits for applications filed during 2023, and an increase on interest earned on cash balances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the near term, we plan to focus primarily on: (a) our ongoing Ovaprene Phase 3 study; (b) executing against our Section 503B compounding and consumer health products business strategies, with a focus on DARE to PLAY Sildenafil Cream, DARE to RECLAIM estradiol progesterone intravaginal ring and DARE to RESTORE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“Business Overview" and "Recent Events” above and Note 10 "Grant Awards" to the accompanying condensed consolidated financial statements.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September 30, 2025, our cash and cash equivalents were approximately $23.1 million, and our working capital was approximately $3.8 million. A majority of our cash and cash equivalents at September 30, 2025 represented funds received under grant agreements that may be applied solely toward direct costs for the funded project under those grant agreements, other than an approximately 5% to 22% indirect cost allowance, and as of September 30, 2025, our deferred grant funding liability was approximately $14.6 million, substantially all of which consisted of funds intended to support the DARE-LARC1 program, the Ovaprene Phase 3 clinical study, and the DARE-HPV program. For more information about these grant agreements, see "—Contractual Obligations and Other Commitments—Grant Agreements" below, Note 2 "Basis of Presentation and Summary of Significant Accounting Policies—Grant Funding" to our consolidated financial statements in our 2024 10-K, and Note 10 "Grant Awards—Other Non-Dilutive Grant Funding" to the accompanying condensed consolidated financial statements.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will require additional capital to advance the development programs in our pipeline that are not currently being supported by non-dilutive grant or other award funding, to enable further investment across our entire portfolio of product candidates, and to support our long-term operating plans. We will continue to evaluate and may pursue various capital raising options, including sales of equity, debt financings, government or other grant funding, collaborations, structured financings, and commercial collaborations or other strategic transactions. Our ability to obtain additional capital,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At September 30, 2025, our accumulated deficit was approximately $187.2 million, and we had a net loss of approximately $12.0 million and negative cash flows from operations of approximately $11.3 million for the nine months ended September 30, 2025. Because we are in the early stages of executing against our Section 503B compounding and consumer health products business strategies and, as an organization, we have no experience in or infrastructure for commercializing products, both the timing and amount of potential revenue we may generate remain uncertain. As a result,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 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our 2024 10-K under “Risks Related to Our Financial Position and Capital Needs.”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sales agreement with Stifel, Nicolaus &amp; Company, Incorporated, or Stifel, to sell shares of our common stock from time to time through an ATM offering under which Stifel acts as our agent. We sold 4,329,116 shares of our common stock under this agreement during the nine months ended September 30, 2025 and received net proceeds of approximately $17.6 million. Shares of our common stock sold under the sales agreement were offered and sold under a shelf registration statement on Form S-3. Because the market value of our outstanding shares of common stock held by non-affiliates, or our public float, is less than $75.0 million, our use of a shelf registration statement is currently limited by what is known as the SEC’s “baby shelf rule” to one-third of our public float in any 12-month period. Because of the "baby shelf rule" and based on sales of shares of our common stock under our ATM sales agreement, we do not expect to sell any additional shares under our ATM sales agreement during the approximately 12-month period from July 2025, unless and until our public float exceeds approximately $54.0 million, as determined in accordance with SEC rules.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purchase agreement with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over the 24-month period commencing on November 27, 2024. See Note 5 "Stockholders' Equity—Equity Line" to the accompanying condensed consolidated financial statements for additional information. We sold 900,000 shares of our common stock under this purchase agreement during the nine months ended September 30, 2025 and received net proceeds of approximately $2.0 million. We sold 360,000 shares of our common stock under this agreement subsequent to September 30, 2025 and received net proceeds of approximately $0.7 million.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previously announced and discussed above, we are pursuing new business strategies to bring our proprietary formulations and consumer health products to market. We expect to begin recording revenue from sales thereof in the fourth quarter of 2025, however, we do not expect the amount of such revenue, if any, to be material during 2025, and because we are in the early stages of executing against these expanded business strategies and, as an organization, we have no experience in or infrastructure for commercializing products, the amount of potential revenue we may generate during 2026 remains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Our royalty purchase agreements with XOMA may be a source of future capital; however, whether we receive any future payments from XOMA will depend on whether XOMA first receives total payments under those agreements equal to an amount that exceeds $88.0 million, which may not occur and will depend, in part, on the commercial success of XACIATO, which is outside of our control.</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license agreement with Bayer regarding the further development and commercialization of Ovaprene in the U.S., if approved, may be a future source of capital; however, whether we receive any future payments from Bayer will depend on whether Bayer, in its sole discretion, exercises its right to make the license effective by paying us $20.0 million after we complete the ongoing pivotal Phase 3 clinical study of Ovaprene. For an update regarding the Phase 3 study of Ovaprene, see above under “—Recent Events—Product Candidate Updates—Ovaprene.” In addition, a portion of that potential $20.0 million payment from Bayer would be payable to XOMA as discussed under “—Contractual Obligations and Other Commitments—Royalty Purchase Agreements with XOMA,” below.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664" w:type="dxa"/>
        <w:jc w:val="center"/>
        <w:tblInd w:w="0" w:type="dxa"/>
        <w:tblLayout w:type="fixed"/>
        <w:tblCellMar>
          <w:top w:w="28" w:type="dxa"/>
          <w:left w:w="28" w:type="dxa"/>
          <w:bottom w:w="28" w:type="dxa"/>
          <w:right w:w="28" w:type="dxa"/>
        </w:tblCellMar>
      </w:tblPr>
      <w:tblGrid>
        <w:gridCol w:w="2033"/>
        <w:gridCol w:w="1782"/>
        <w:gridCol w:w="1795"/>
        <w:gridCol w:w="211"/>
        <w:gridCol w:w="1186"/>
        <w:gridCol w:w="109"/>
        <w:gridCol w:w="109"/>
        <w:gridCol w:w="109"/>
        <w:gridCol w:w="109"/>
        <w:gridCol w:w="211"/>
        <w:gridCol w:w="856"/>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(11,330,134)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7,377,087 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Arial;sans-serif" w:hAnsi="Arial;sans-serif"/>
          <w:b/>
          <w:i/>
          <w:color w:val="000000"/>
          <w:sz w:val="20"/>
        </w:rPr>
      </w:pPr>
      <w:r>
        <w:rPr>
          <w:rFonts w:ascii="Arial;sans-serif" w:hAnsi="Arial;sans-serif"/>
          <w:b/>
          <w:i/>
          <w:color w:val="000000"/>
          <w:sz w:val="20"/>
        </w:rPr>
        <w:t>Net cash (used in) provided by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of $11.3 million for the nine months ended September 30, 2025 was primarily due to our net loss of $12.0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decreases of $2.0 million in our deferred grant funding liability, $1.0 million in accrued expenses, and $0.4 million in operating lease liability, offset by increases of $0.6 million in prepaid expenses, $0.4 million in accounts payable, and $0.4 million in interest payable.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operating activities of $0.2 million for the nine months ended September 30, 2024 was primarily due to our net income of $1.5 million and non-cash items such as stock-based compensation expense and loss on disposal of property and equipment, offset by changes in operating assets and liabilities. Our net income for the nine months ended September 30, 2024 was positively impacted by the approximately $20.4 million of net proceeds we received from the sale in April 2024 of our rights to future royalty and milestone payments and revenue to XOMA. See Note 8 "Royalty Purchase Agreements" to the accompanying condensed consolidated financial statements. Net cash used by changes in operating assets and liabilities resulted primarily from decreases of $4.0 million in our deferred grant funding liability, $2.3 million in accounts payable, $1.2 million in accrued expenses, and $0.4 million operating lease liability, offset by increases of $2.9 million in prepaid expenses, $0.4 million in other receivables, and $0.4 million in interest payable.</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for the nine months ended September 30, 2025 and 2024 related to purchases of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2025 resulted primarily from (i) approximately $17.6 million in net proceeds from sales of our common stock under our ATM sales agreement, (ii) approximately $2.0 million of net proceeds from sales of our common stock under our purchase agreement with Lincoln Park, and (iii) approximately $0.5 million in proceeds from the financing of certain director and officer and other liability insurance premiums, partially offset by (A) approximately $0.9 million in payments on our facility financing lease and (B) approximately $0.4 million in payments on the insurance premium financing note payable.</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2024 resulted primarily from (i) approximately $0.6 million in proceeds from the financing of certain director and officer and other liability insurance premiums and (ii) approximately $0.4 million in net proceeds from the sales of our common stock under our ATM sales agreement, partially offset by approximately $0.4 million in payments on the insurance premium financing note payable.</w:t>
      </w: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remainder of 2025, based on our current expectations regarding the progress of development of our product candidates and sales of XACIATO and DARE to PLAY Sildenafil Cream,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Sildenafil Cream, for at least the first twelve months following its market introduction, we anticipate a mid single-digit royalty payment obligation to our upstream licensor on annual net sales.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information regarding our grant agreements with the Foundation, see "—Deferred Grant Funding," above, Note 2 "Basis of Presentation and Summary of Significant Accounting Policies—Grant Funding" to our consolidated financial statements in our 2024 10-K, and Note 10 "Grant Awards—Other Non-Dilutive Grant Funding" to the accompanying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Royalty Purchase Agreements with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we entered into a traditional royalty purchase agreement and a synthetic royalty purchase agreement with XOMA (which, together, we refer to as the Royalty Purchase Agreements) pursuant to which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(such net amount we refer to as the Purchased Receivables); (b) a portion of a potential future $20.0 million payment from Bayer under our license agreement relating to Ovaprene and a portion of future net sales of Ovaprene; and (c) a portion of future net sales of Sildenafil Cream and DARE to PLAY Sildenafil Cream (such amounts described in the foregoing clauses (b) and (c) we collectively refer to as the Revenue Participation Right). We received $22.0 million from XOMA in connection with entering into the Royalty Purchase Agreements. If XOMA receives total payments equal to an amount that exceeds $88.0 million, XOMA will pay $11.0 million to us for each successive $22.0 million XOMA receives under the Royalty Purchase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We cannot elect to receive any additional funding from UiE under our royalty interest financing agreement with UiE without XOMA’s prior written consent.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the synthetic royalty purchase agreement, we granted to XOMA a security interest in certain product assets related to the Revenue Participation Right. The Royalty Purchase Agreements include covenants that limit or restrict our ability to incur indebtedness or liens related to the Purchased Receivables, the Revenue Participation Right, and certain product assets related to the Revenue Participation Right (except pursuant to a suitable intercreditor agreement).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our contractual obligations to XOMA, see Note 8 “Royalty Purchase Agreements”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UiE pursuant to which we sold an interest in the royalty and milestone payments we are entitled to receive in respect of net sales of XACIATO under our license agreement with Organon and received a payment of $5.0 million from UiE. We have not elected to receive any of the up to $7.0 million in potential additional payments from UiE under the agreement, and we cannot do so without XOMA’s prior written consent.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As described above, XOMA, at its sole cost and discretion, may pay in full and retire all of our payment obligations to UiE under the royalty interest financing agreement, and, in addition, we have the right to make prepayments on or pay in full and retire all of our payment obligations to UiE.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more information regarding our contractual obligations to UiE, see Note 7 “Royalty Interest Financing” to the accompanying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two operating leases for our laboratory and office spaces that expire in 2026 and 2027, respectively. As of September 30, 2025, we had future minimum lease payments under these leases of $1.0 million, $0.6 million of which is classified as current and $0.3 million of which is classified as long-term, the remainder of which represents future interest payments. We have one finance lease for our clean room space that expires in 2026. As of September 30, 2025, we had future minimum lease payments under this lease of $2.1 million, $1.9 million of which is classified as current and $0.2 million of which is classified as long-term, the remainder of which represents future interest payments. For additional information on our lease obligations, See Note 6 "Leases" to the accompanying condensed consolidated financial statements.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For descriptions of additional contractual obligations and commitments, see Note 9 "Commitments and Contingencies" to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September 30, 2025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2024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2024 10-K. </w:t>
      </w:r>
    </w:p>
    <w:p>
      <w:pPr>
        <w:pStyle w:val="TextBody"/>
        <w:bidi w:val="0"/>
        <w:spacing w:lineRule="auto" w:line="288" w:before="160" w:after="200"/>
        <w:jc w:val="both"/>
        <w:rPr>
          <w:rFonts w:ascii="Arial;sans-serif" w:hAnsi="Arial;sans-serif"/>
          <w:b/>
          <w:i/>
          <w:color w:val="000000"/>
          <w:sz w:val="20"/>
        </w:rPr>
      </w:pPr>
      <w:r>
        <w:rPr>
          <w:rFonts w:ascii="Arial;sans-serif" w:hAnsi="Arial;sans-serif"/>
          <w:b/>
          <w:i/>
          <w:color w:val="000000"/>
          <w:sz w:val="20"/>
        </w:rPr>
        <w:t>There is no assurance that we will continue satisfying the listing requirements of the Nasdaq Capital Market.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but there can be no assurance that we will continue to satisfy those or other continued listing requirements and maintain the listing of our common stock on the Nasdaq Capital Market.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When Nasdaq confirmed that we regained compliance with the stockholders’ equity rule on July 24, 2025, Nasdaq also informed us that, pursuant to Nasdaq Listing Rule 5815(d)(4)(B), we will be subject to a mandatory panel monitor for a period of one year from July 24, 2025, and that if, within that one-year period, the Nasdaq Listing Qualifications Staff, or the Staff, determines that we are out of compliance with the stockholders’ equity rule, the Staff will issue a delist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additional time for us to regain compliance, and we will not be afforded a cure period pursuant to Nasdaq Listing Rule 5810(c)(3). The foregoing would limit our ability to regain compliance with the stockholders’ equity rule, and increases the likelihood that our common stock may be delisted, in the event we were to become non-compliant with the stockholders’ equity rule during the one-year monitoring period.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On October 21, 2024, we entered into a purchase agreement with Lincoln Park Capital Fund, LLC, or Lincoln Park. During the period from July 1, 2025 to September 30, 2025, we sold 900,000 shares of our common stock to Lincoln Park under that purchase agreement for aggregate gross proceeds of approximately $2.1 million. For additional information regarding our purchase agreement with Lincoln Park, see Note 4 “Stockholders’ Equity” to the accompanying condensed consolidated financial statements. Lincoln Park represented to us, among other things, that it is an “accredited investor” as such term is defined in Rule 501(a)(3) of Regulation D under the Securities Act of 1933, as amended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During the period from July 1, 2025 to September 30, 2025, none of our directors or officers (as defined in Rule 16a-1(f) under the Exchange Act) adopted or terminated any Rule 10b5-1 trading arrangement (as defined in Item 408(a)(1)(i) of Regulation S-K)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5"/>
        <w:gridCol w:w="109"/>
        <w:gridCol w:w="109"/>
        <w:gridCol w:w="109"/>
        <w:gridCol w:w="1295"/>
        <w:gridCol w:w="992"/>
        <w:gridCol w:w="994"/>
        <w:gridCol w:w="113"/>
        <w:gridCol w:w="113"/>
        <w:gridCol w:w="113"/>
        <w:gridCol w:w="208"/>
        <w:gridCol w:w="208"/>
        <w:gridCol w:w="209"/>
        <w:gridCol w:w="121"/>
        <w:gridCol w:w="121"/>
        <w:gridCol w:w="121"/>
        <w:gridCol w:w="294"/>
        <w:gridCol w:w="267"/>
        <w:gridCol w:w="143"/>
        <w:gridCol w:w="121"/>
        <w:gridCol w:w="121"/>
        <w:gridCol w:w="121"/>
        <w:gridCol w:w="243"/>
        <w:gridCol w:w="243"/>
        <w:gridCol w:w="244"/>
        <w:gridCol w:w="113"/>
        <w:gridCol w:w="113"/>
        <w:gridCol w:w="113"/>
        <w:gridCol w:w="281"/>
        <w:gridCol w:w="281"/>
        <w:gridCol w:w="283"/>
        <w:gridCol w:w="113"/>
        <w:gridCol w:w="113"/>
        <w:gridCol w:w="113"/>
        <w:gridCol w:w="312"/>
        <w:gridCol w:w="312"/>
        <w:gridCol w:w="467"/>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Amendment No. 1 to Daré Bioscience, Inc. 2022 Stock Incentive Plan</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001-36395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8/14/2025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_gatestx06-30x20.htm">
              <w:r>
                <w:rPr>
                  <w:rStyle w:val="InternetLink"/>
                  <w:rFonts w:ascii="Arial;sans-serif" w:hAnsi="Arial;sans-serif"/>
                  <w:b w:val="false"/>
                  <w:color w:val="0000FF"/>
                  <w:sz w:val="20"/>
                  <w:u w:val="single"/>
                </w:rPr>
                <w:t>Grant Agreement between Daré Bioscience, Inc. and the Gates Foundation (f/k/a The Bill &amp; Melinda Gates Foundation) effective as of June 30, 2021, as amended to date</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_gatesagreemen.htm">
              <w:r>
                <w:rPr>
                  <w:rStyle w:val="InternetLink"/>
                  <w:rFonts w:ascii="Arial;sans-serif" w:hAnsi="Arial;sans-serif"/>
                  <w:b w:val="false"/>
                  <w:color w:val="0000FF"/>
                  <w:sz w:val="20"/>
                  <w:u w:val="single"/>
                </w:rPr>
                <w:t>Grant Agreement between Daré Bioscience, Inc. and the Gates Foundation (f/k/a the Bill &amp; Melinda Gates Foundation) effective as of November 11, 2024, as amended to date</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50930.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50930.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009" w:type="dxa"/>
        <w:jc w:val="left"/>
        <w:tblInd w:w="0" w:type="dxa"/>
        <w:tblLayout w:type="fixed"/>
        <w:tblCellMar>
          <w:top w:w="28" w:type="dxa"/>
          <w:left w:w="28" w:type="dxa"/>
          <w:bottom w:w="28" w:type="dxa"/>
          <w:right w:w="28" w:type="dxa"/>
        </w:tblCellMar>
      </w:tblPr>
      <w:tblGrid>
        <w:gridCol w:w="846"/>
        <w:gridCol w:w="743"/>
        <w:gridCol w:w="751"/>
        <w:gridCol w:w="134"/>
        <w:gridCol w:w="134"/>
        <w:gridCol w:w="136"/>
        <w:gridCol w:w="1541"/>
        <w:gridCol w:w="1541"/>
        <w:gridCol w:w="2183"/>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MarDee Haring-Layton</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MarDee Haring-Layton</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10.2</w:t>
      </w:r>
    </w:p>
    <w:tbl>
      <w:tblPr>
        <w:tblW w:w="10205" w:type="dxa"/>
        <w:jc w:val="left"/>
        <w:tblInd w:w="0" w:type="dxa"/>
        <w:tblLayout w:type="fixed"/>
        <w:tblCellMar>
          <w:top w:w="28" w:type="dxa"/>
          <w:left w:w="28" w:type="dxa"/>
          <w:bottom w:w="28" w:type="dxa"/>
          <w:right w:w="28" w:type="dxa"/>
        </w:tblCellMar>
      </w:tblPr>
      <w:tblGrid>
        <w:gridCol w:w="3268"/>
        <w:gridCol w:w="2868"/>
        <w:gridCol w:w="4069"/>
      </w:tblGrid>
      <w:tr>
        <w:trPr/>
        <w:tc>
          <w:tcPr>
            <w:tcW w:w="32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283"/>
              <w:jc w:val="both"/>
              <w:rPr>
                <w:rFonts w:ascii="Times New Roman;serif" w:hAnsi="Times New Roman;serif"/>
                <w:b/>
                <w:color w:val="000000"/>
                <w:sz w:val="20"/>
              </w:rPr>
            </w:pPr>
            <w:r>
              <w:rPr>
                <w:rFonts w:ascii="Times New Roman;serif" w:hAnsi="Times New Roman;serif"/>
                <w:b/>
                <w:color w:val="000000"/>
                <w:sz w:val="20"/>
              </w:rPr>
              <w:t>CERTAIN INFORMATION HAS BEEN EXCLUDED FROM THIS EXHIBIT BECAUSE IT IS BOTH NOT MATERIAL AND IS THE TYPE THAT THE REGISTRANT TREATS AS PRIVATE OR CONFIDENTIAL. IN THIS EXHIBIT, “[***]” INDICATES WHERE SUCH INFORMATION HAS BEEN OMITTED.</w:t>
            </w:r>
          </w:p>
        </w:tc>
      </w:tr>
    </w:tbl>
    <w:p>
      <w:pPr>
        <w:pStyle w:val="TextBody"/>
        <w:bidi w:val="0"/>
        <w:spacing w:lineRule="auto" w:line="300" w:before="0" w:after="160"/>
        <w:jc w:val="center"/>
        <w:rPr/>
      </w:pPr>
      <w:r>
        <w:rPr>
          <w:rFonts w:ascii="Arial;sans-serif" w:hAnsi="Arial;sans-serif"/>
          <w:b/>
          <w:color w:val="000000"/>
          <w:sz w:val="20"/>
        </w:rPr>
        <w:t>GRANT AGREEMENT</w:t>
      </w:r>
      <w:r>
        <w:rPr>
          <w:color w:val="000000"/>
        </w:rPr>
        <w:t xml:space="preserve"> </w:t>
      </w:r>
      <w:r>
        <w:rPr>
          <w:rFonts w:ascii="Arial;sans-serif" w:hAnsi="Arial;sans-serif"/>
          <w:b w:val="false"/>
          <w:color w:val="000000"/>
          <w:sz w:val="20"/>
        </w:rPr>
        <w:br/>
        <w:t>Investment ID INV-026060</w:t>
      </w:r>
    </w:p>
    <w:p>
      <w:pPr>
        <w:pStyle w:val="TextBody"/>
        <w:bidi w:val="0"/>
        <w:spacing w:lineRule="auto" w:line="300" w:before="0" w:after="160"/>
        <w:jc w:val="center"/>
        <w:rPr>
          <w:rFonts w:ascii="Arial;sans-serif" w:hAnsi="Arial;sans-serif"/>
          <w:b/>
          <w:color w:val="000000"/>
          <w:sz w:val="20"/>
          <w:u w:val="single"/>
        </w:rPr>
      </w:pPr>
      <w:r>
        <w:rPr>
          <w:rFonts w:ascii="Arial;sans-serif" w:hAnsi="Arial;sans-serif"/>
          <w:b/>
          <w:color w:val="000000"/>
          <w:sz w:val="20"/>
          <w:u w:val="single"/>
        </w:rPr>
        <w:t>AGREEMENT SUMMARY &amp; SIGNATURE PAGE</w:t>
      </w:r>
    </w:p>
    <w:tbl>
      <w:tblPr>
        <w:tblW w:w="10205" w:type="dxa"/>
        <w:jc w:val="left"/>
        <w:tblInd w:w="0" w:type="dxa"/>
        <w:tblLayout w:type="fixed"/>
        <w:tblCellMar>
          <w:top w:w="28" w:type="dxa"/>
          <w:left w:w="28" w:type="dxa"/>
          <w:bottom w:w="28" w:type="dxa"/>
          <w:right w:w="28" w:type="dxa"/>
        </w:tblCellMar>
      </w:tblPr>
      <w:tblGrid>
        <w:gridCol w:w="808"/>
        <w:gridCol w:w="709"/>
        <w:gridCol w:w="713"/>
        <w:gridCol w:w="2361"/>
        <w:gridCol w:w="2317"/>
        <w:gridCol w:w="3297"/>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GRANTEE INFORMATION</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9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Dare Bioscience, Inc.</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Tax Status:</w:t>
            </w:r>
          </w:p>
        </w:tc>
        <w:tc>
          <w:tcPr>
            <w:tcW w:w="79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exempt from federal income tax under U.S. IRC § 501(c)(3)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confirm that the above information is correct and agree to notify the Foundation immediately of any change.</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Expenditure Responsibility:</w:t>
            </w:r>
          </w:p>
        </w:tc>
        <w:tc>
          <w:tcPr>
            <w:tcW w:w="79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This Agreement is subject to "expenditure responsibility" requirements under the U.S. Internal Revenue Code.</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Mailing Address: </w:t>
            </w:r>
          </w:p>
        </w:tc>
        <w:tc>
          <w:tcPr>
            <w:tcW w:w="79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3655 Nobel Drive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Suite 260, San Diego, California 92122, USA</w:t>
            </w:r>
          </w:p>
        </w:tc>
      </w:tr>
      <w:tr>
        <w:trPr/>
        <w:tc>
          <w:tcPr>
            <w:tcW w:w="22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Primary Contact: </w:t>
            </w:r>
          </w:p>
        </w:tc>
        <w:tc>
          <w:tcPr>
            <w:tcW w:w="79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Nicolas Pacelli, Vice President, Business Development,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85"/>
        <w:gridCol w:w="509"/>
        <w:gridCol w:w="509"/>
        <w:gridCol w:w="2526"/>
        <w:gridCol w:w="2496"/>
        <w:gridCol w:w="3580"/>
      </w:tblGrid>
      <w:tr>
        <w:trPr/>
        <w:tc>
          <w:tcPr>
            <w:tcW w:w="5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FOUNDATION INFORMATION</w:t>
            </w:r>
          </w:p>
        </w:tc>
      </w:tr>
      <w:tr>
        <w:trPr/>
        <w:tc>
          <w:tcPr>
            <w:tcW w:w="16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Mailing Address: </w:t>
            </w:r>
          </w:p>
        </w:tc>
        <w:tc>
          <w:tcPr>
            <w:tcW w:w="860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 O. Box 23350, Seattle, Washington 98102, USA</w:t>
            </w:r>
          </w:p>
        </w:tc>
      </w:tr>
      <w:tr>
        <w:trPr/>
        <w:tc>
          <w:tcPr>
            <w:tcW w:w="160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Primary Contact: </w:t>
            </w:r>
          </w:p>
        </w:tc>
        <w:tc>
          <w:tcPr>
            <w:tcW w:w="860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Kirsten Vogelsong, Senior Program Officer, Contraceptive Development, Integrated Development,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6"/>
        <w:gridCol w:w="995"/>
        <w:gridCol w:w="938"/>
        <w:gridCol w:w="2064"/>
        <w:gridCol w:w="2064"/>
        <w:gridCol w:w="2898"/>
      </w:tblGrid>
      <w:tr>
        <w:trPr/>
        <w:tc>
          <w:tcPr>
            <w:tcW w:w="12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AGREEMENT INFORMATION</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Personal Contraceptive System (DARE LARC1)</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"Charitable Purpose":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To advance the development of a novel long-acting, user-controlled hormonal contraceptive implant suitable for use by women in low-resource settings</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"Start Date":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 of last signature</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"End Date":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November 1, 2026</w:t>
            </w:r>
          </w:p>
        </w:tc>
      </w:tr>
      <w:tr>
        <w:trPr/>
        <w:tc>
          <w:tcPr>
            <w:tcW w:w="31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This Agreement includes and incorporates by this reference:</w:t>
            </w:r>
          </w:p>
        </w:tc>
        <w:tc>
          <w:tcPr>
            <w:tcW w:w="70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Agreement Summary &amp; Signature Page and: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Grant Amount and Reporting &amp; Payment Schedule (Attachment A)</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Terms and Conditions (Attachment B)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Investment Document (date submitted [***])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Framework and Tracker (date submitted [***])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Budget (date submitted [***])</w:t>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THIS AGREEMENT is between Dare Bioscience, Inc. ("Dare Bioscience",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w:t>
      </w:r>
    </w:p>
    <w:p>
      <w:pPr>
        <w:pStyle w:val="TextBody"/>
        <w:bidi w:val="0"/>
        <w:spacing w:before="0" w:after="0"/>
        <w:jc w:val="left"/>
        <w:rPr/>
      </w:pPr>
      <w:r>
        <w:rPr/>
      </w:r>
    </w:p>
    <w:tbl>
      <w:tblPr>
        <w:tblW w:w="7107" w:type="dxa"/>
        <w:jc w:val="left"/>
        <w:tblInd w:w="0" w:type="dxa"/>
        <w:tblLayout w:type="fixed"/>
        <w:tblCellMar>
          <w:top w:w="28" w:type="dxa"/>
          <w:left w:w="28" w:type="dxa"/>
          <w:bottom w:w="28" w:type="dxa"/>
          <w:right w:w="28" w:type="dxa"/>
        </w:tblCellMar>
      </w:tblPr>
      <w:tblGrid>
        <w:gridCol w:w="696"/>
        <w:gridCol w:w="612"/>
        <w:gridCol w:w="612"/>
        <w:gridCol w:w="697"/>
        <w:gridCol w:w="697"/>
        <w:gridCol w:w="706"/>
        <w:gridCol w:w="109"/>
        <w:gridCol w:w="109"/>
        <w:gridCol w:w="109"/>
        <w:gridCol w:w="385"/>
        <w:gridCol w:w="385"/>
        <w:gridCol w:w="385"/>
        <w:gridCol w:w="469"/>
        <w:gridCol w:w="469"/>
        <w:gridCol w:w="667"/>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402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BILL &amp; MELINDA GATES FOUNDATION</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Kirsten Vogelsong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DARE BIOSCIENCE, INC.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Sabrina Johnson</w:t>
            </w:r>
          </w:p>
        </w:tc>
      </w:tr>
      <w:tr>
        <w:trPr/>
        <w:tc>
          <w:tcPr>
            <w:tcW w:w="1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Kirsten Vogelsong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6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Sabrina Johnson</w:t>
            </w:r>
          </w:p>
        </w:tc>
      </w:tr>
      <w:tr>
        <w:trPr/>
        <w:tc>
          <w:tcPr>
            <w:tcW w:w="19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1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Senior Program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6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CEO</w:t>
            </w:r>
          </w:p>
        </w:tc>
      </w:tr>
      <w:tr>
        <w:trPr/>
        <w:tc>
          <w:tcPr>
            <w:tcW w:w="402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June 24,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June 30, 2021</w:t>
            </w:r>
          </w:p>
        </w:tc>
      </w:tr>
      <w:tr>
        <w:trPr/>
        <w:tc>
          <w:tcPr>
            <w:tcW w:w="1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1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8</w:t>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center"/>
        <w:rPr/>
      </w:pPr>
      <w:r>
        <w:rPr>
          <w:rFonts w:ascii="Arial;sans-serif" w:hAnsi="Arial;sans-serif"/>
          <w:b/>
          <w:color w:val="000000"/>
          <w:sz w:val="20"/>
        </w:rPr>
        <w:t>GRANT AGREEMENT</w:t>
      </w:r>
      <w:r>
        <w:rPr>
          <w:rFonts w:ascii="Arial;sans-serif" w:hAnsi="Arial;sans-serif"/>
          <w:b w:val="false"/>
          <w:color w:val="000000"/>
          <w:sz w:val="20"/>
        </w:rPr>
        <w:br/>
        <w:t>Investment ID INV-026060</w:t>
      </w:r>
    </w:p>
    <w:p>
      <w:pPr>
        <w:pStyle w:val="TextBody"/>
        <w:bidi w:val="0"/>
        <w:spacing w:lineRule="auto" w:line="288" w:before="0" w:after="240"/>
        <w:jc w:val="center"/>
        <w:rPr/>
      </w:pPr>
      <w:r>
        <w:rPr>
          <w:rFonts w:ascii="Arial;sans-serif" w:hAnsi="Arial;sans-serif"/>
          <w:b/>
          <w:color w:val="000000"/>
          <w:sz w:val="20"/>
          <w:u w:val="single"/>
        </w:rPr>
        <w:t>ATTACHMENT A</w:t>
        <w:br/>
      </w:r>
      <w:r>
        <w:rPr>
          <w:rFonts w:ascii="Arial;sans-serif" w:hAnsi="Arial;sans-serif"/>
          <w:b w:val="false"/>
          <w:color w:val="000000"/>
          <w:sz w:val="20"/>
        </w:rPr>
        <w:t>GRANT AMOUNT AND REPORTING &amp; PAYMENT SCHEDULE</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GRANT AMOUNT</w:t>
            </w:r>
            <w:r>
              <w:rPr>
                <w:rFonts w:ascii="Arial;sans-serif" w:hAnsi="Arial;sans-serif"/>
                <w:b w:val="false"/>
                <w:color w:val="000000"/>
                <w:sz w:val="20"/>
              </w:rPr>
              <w:br/>
              <w:t>The Foundation will pay You up to the total grant amount specified in the Reporting &amp; Payment Schedule below. The Foundation's Primary Contact must approve in writing any Budget cost category change of more than 10%.</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REPORTING &amp; PAYMENT SCHEDULE</w:t>
            </w:r>
            <w:r>
              <w:rPr>
                <w:rFonts w:ascii="Arial;sans-serif" w:hAnsi="Arial;sans-serif"/>
                <w:b w:val="false"/>
                <w:color w:val="000000"/>
                <w:sz w:val="20"/>
              </w:rPr>
              <w:br/>
              <w:t>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REPORTING</w:t>
            </w:r>
            <w:r>
              <w:rPr>
                <w:rFonts w:ascii="Arial;sans-serif" w:hAnsi="Arial;sans-serif"/>
                <w:b w:val="false"/>
                <w:color w:val="000000"/>
                <w:sz w:val="20"/>
              </w:rPr>
              <w:br/>
              <w:t>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w:t>
            </w:r>
          </w:p>
        </w:tc>
      </w:tr>
    </w:tbl>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ACCOUNTING FOR PERSONNEL TIME</w:t>
            </w:r>
            <w:r>
              <w:rPr>
                <w:rFonts w:ascii="Arial;sans-serif" w:hAnsi="Arial;sans-serif"/>
                <w:b w:val="false"/>
                <w:color w:val="000000"/>
                <w:sz w:val="20"/>
              </w:rPr>
              <w:br/>
              <w:t>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8</w:t>
                      </w:r>
                    </w:p>
                  </w:txbxContent>
                </v:textbox>
                <w10:wrap type="none"/>
              </v:rect>
            </w:pict>
          </mc:Fallback>
        </mc:AlternateContent>
      </w:r>
    </w:p>
    <w:tbl>
      <w:tblPr>
        <w:tblW w:w="9806" w:type="dxa"/>
        <w:jc w:val="left"/>
        <w:tblInd w:w="0" w:type="dxa"/>
        <w:tblLayout w:type="fixed"/>
        <w:tblCellMar>
          <w:top w:w="28" w:type="dxa"/>
          <w:left w:w="28" w:type="dxa"/>
          <w:bottom w:w="28" w:type="dxa"/>
          <w:right w:w="28" w:type="dxa"/>
        </w:tblCellMar>
      </w:tblPr>
      <w:tblGrid>
        <w:gridCol w:w="575"/>
        <w:gridCol w:w="506"/>
        <w:gridCol w:w="509"/>
        <w:gridCol w:w="1204"/>
        <w:gridCol w:w="1204"/>
        <w:gridCol w:w="1207"/>
        <w:gridCol w:w="235"/>
        <w:gridCol w:w="235"/>
        <w:gridCol w:w="235"/>
        <w:gridCol w:w="419"/>
        <w:gridCol w:w="419"/>
        <w:gridCol w:w="421"/>
        <w:gridCol w:w="803"/>
        <w:gridCol w:w="416"/>
        <w:gridCol w:w="416"/>
        <w:gridCol w:w="294"/>
        <w:gridCol w:w="294"/>
        <w:gridCol w:w="41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806" w:type="dxa"/>
            <w:gridSpan w:val="18"/>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REPORTING &amp; PAYMENT SCHEDULE</w:t>
            </w:r>
          </w:p>
        </w:tc>
      </w:tr>
      <w:tr>
        <w:trPr/>
        <w:tc>
          <w:tcPr>
            <w:tcW w:w="15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Investment Period</w:t>
            </w:r>
          </w:p>
        </w:tc>
        <w:tc>
          <w:tcPr>
            <w:tcW w:w="36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Target, Milestone, or Reporting Deliverable</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Due By</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Payment Date</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Payment Amount (U.S.$)</w:t>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Countersigned Agreement </w:t>
            </w:r>
          </w:p>
        </w:tc>
        <w:tc>
          <w:tcPr>
            <w:tcW w:w="705"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0"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11,453,099 </w:t>
            </w:r>
          </w:p>
        </w:tc>
        <w:tc>
          <w:tcPr>
            <w:tcW w:w="414"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637" w:type="dxa"/>
            <w:gridSpan w:val="6"/>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590" w:type="dxa"/>
            <w:gridSpan w:val="3"/>
            <w:vMerge w:val="restart"/>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637" w:type="dxa"/>
            <w:gridSpan w:val="6"/>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590" w:type="dxa"/>
            <w:gridSpan w:val="3"/>
            <w:vMerge w:val="continue"/>
            <w:tcBorders>
              <w:top w:val="single" w:sz="4" w:space="0" w:color="000000"/>
              <w:left w:val="single" w:sz="4" w:space="0" w:color="000000"/>
            </w:tcBorders>
            <w:tcMar>
              <w:top w:w="30" w:type="dxa"/>
              <w:left w:w="75" w:type="dxa"/>
              <w:bottom w:w="0" w:type="dxa"/>
              <w:right w:w="0" w:type="dxa"/>
            </w:tcMar>
            <w:vAlign w:val="center"/>
          </w:tcPr>
          <w:p>
            <w:pPr>
              <w:pStyle w:val="Normal"/>
              <w:bidi w:val="0"/>
              <w:jc w:val="left"/>
              <w:rPr/>
            </w:pPr>
            <w:r>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bottom w:val="single" w:sz="4" w:space="0" w:color="000000"/>
              <w:right w:val="single" w:sz="4" w:space="0" w:color="000000"/>
            </w:tcBorders>
            <w:shd w:fill="D0CECE" w:val="cle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w:t>
            </w:r>
            <w:r>
              <w:rPr>
                <w:color w:val="000000"/>
              </w:rPr>
              <w:t xml:space="preserve"> </w:t>
            </w:r>
          </w:p>
        </w:tc>
        <w:tc>
          <w:tcPr>
            <w:tcW w:w="36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bottom w:val="single" w:sz="4" w:space="0" w:color="000000"/>
            </w:tcBorders>
            <w:shd w:fill="D0CECE" w:val="clear"/>
            <w:tcMar>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r>
      <w:tr>
        <w:trPr/>
        <w:tc>
          <w:tcPr>
            <w:tcW w:w="7169"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 xml:space="preserve">Total Grant Amount </w:t>
            </w:r>
          </w:p>
        </w:tc>
        <w:tc>
          <w:tcPr>
            <w:tcW w:w="16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Up to $48,945,928</w:t>
            </w:r>
          </w:p>
        </w:tc>
        <w:tc>
          <w:tcPr>
            <w:tcW w:w="10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ATTACHMENT B</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TERMS &amp; CONDITIONS</w:t>
      </w:r>
    </w:p>
    <w:tbl>
      <w:tblPr>
        <w:tblW w:w="5805" w:type="dxa"/>
        <w:jc w:val="left"/>
        <w:tblInd w:w="0" w:type="dxa"/>
        <w:tblLayout w:type="fixed"/>
        <w:tblCellMar>
          <w:top w:w="28" w:type="dxa"/>
          <w:left w:w="28" w:type="dxa"/>
          <w:bottom w:w="28" w:type="dxa"/>
          <w:right w:w="28" w:type="dxa"/>
        </w:tblCellMar>
      </w:tblPr>
      <w:tblGrid>
        <w:gridCol w:w="1855"/>
        <w:gridCol w:w="1630"/>
        <w:gridCol w:w="2320"/>
      </w:tblGrid>
      <w:tr>
        <w:trPr/>
        <w:tc>
          <w:tcPr>
            <w:tcW w:w="185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 xml:space="preserve">This Agreement is subject to the following terms and conditions. </w:t>
            </w:r>
          </w:p>
        </w:tc>
      </w:tr>
    </w:tbl>
    <w:tbl>
      <w:tblPr>
        <w:tblW w:w="2085" w:type="dxa"/>
        <w:jc w:val="left"/>
        <w:tblInd w:w="0" w:type="dxa"/>
        <w:tblLayout w:type="fixed"/>
        <w:tblCellMar>
          <w:top w:w="28" w:type="dxa"/>
          <w:left w:w="28" w:type="dxa"/>
          <w:bottom w:w="28" w:type="dxa"/>
          <w:right w:w="28" w:type="dxa"/>
        </w:tblCellMar>
      </w:tblPr>
      <w:tblGrid>
        <w:gridCol w:w="667"/>
        <w:gridCol w:w="586"/>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PROJECT SUPPORT</w:t>
            </w:r>
          </w:p>
        </w:tc>
      </w:tr>
    </w:tbl>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PROJECT DESCRIPTION AND CHARITABLE PURPOSE</w:t>
            </w:r>
            <w:r>
              <w:rPr>
                <w:rFonts w:ascii="Arial;sans-serif" w:hAnsi="Arial;sans-serif"/>
                <w:b w:val="false"/>
                <w:color w:val="000000"/>
                <w:sz w:val="20"/>
              </w:rPr>
              <w:br/>
              <w:t>The Foundation is awarding You this grant to carry out the project described in the Investment Document  ("</w:t>
            </w:r>
            <w:r>
              <w:rPr>
                <w:rFonts w:ascii="Arial;sans-serif" w:hAnsi="Arial;sans-serif"/>
                <w:b w:val="false"/>
                <w:i/>
                <w:color w:val="000000"/>
                <w:sz w:val="20"/>
              </w:rPr>
              <w:t>Project</w:t>
            </w:r>
            <w:r>
              <w:rPr>
                <w:rFonts w:ascii="Arial;sans-serif" w:hAnsi="Arial;sans-serif"/>
                <w:b w:val="false"/>
                <w:color w:val="000000"/>
                <w:sz w:val="20"/>
              </w:rPr>
              <w:t xml:space="preserve">") in order to further the Charitable Purpose. The Foundation, in its discretion, may approve in writing any request by You to make non-material changes to the Investment Document. </w:t>
            </w:r>
          </w:p>
        </w:tc>
      </w:tr>
    </w:tbl>
    <w:tbl>
      <w:tblPr>
        <w:tblW w:w="2951" w:type="dxa"/>
        <w:jc w:val="left"/>
        <w:tblInd w:w="0" w:type="dxa"/>
        <w:tblLayout w:type="fixed"/>
        <w:tblCellMar>
          <w:top w:w="28" w:type="dxa"/>
          <w:left w:w="28" w:type="dxa"/>
          <w:bottom w:w="28" w:type="dxa"/>
          <w:right w:w="28" w:type="dxa"/>
        </w:tblCellMar>
      </w:tblPr>
      <w:tblGrid>
        <w:gridCol w:w="934"/>
        <w:gridCol w:w="821"/>
        <w:gridCol w:w="824"/>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MANAGEMENT OF FUNDS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USE OF FUNDS</w:t>
            </w:r>
            <w:r>
              <w:rPr>
                <w:rFonts w:ascii="Arial;sans-serif" w:hAnsi="Arial;sans-serif"/>
                <w:b w:val="false"/>
                <w:color w:val="000000"/>
                <w:sz w:val="20"/>
              </w:rPr>
              <w:br/>
              <w:t xml:space="preserve">You may not use funds provided under this Agreement </w:t>
            </w:r>
            <w:r>
              <w:rPr>
                <w:rFonts w:ascii="Arial;sans-serif" w:hAnsi="Arial;sans-serif"/>
                <w:b w:val="false"/>
                <w:i/>
                <w:color w:val="000000"/>
                <w:sz w:val="20"/>
              </w:rPr>
              <w:t>("Grant Funds")</w:t>
            </w:r>
            <w:r>
              <w:rPr>
                <w:color w:val="000000"/>
              </w:rPr>
              <w:t xml:space="preserve"> </w:t>
            </w:r>
            <w:r>
              <w:rPr>
                <w:rFonts w:ascii="Arial;sans-serif" w:hAnsi="Arial;sans-serif"/>
                <w:b w:val="false"/>
                <w:color w:val="000000"/>
                <w:sz w:val="20"/>
              </w:rPr>
              <w:t>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w:t>
            </w:r>
          </w:p>
        </w:tc>
      </w:tr>
    </w:tbl>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INVESTMENT OF FUNDS</w:t>
            </w:r>
            <w:r>
              <w:rPr>
                <w:rFonts w:ascii="Arial;sans-serif" w:hAnsi="Arial;sans-serif"/>
                <w:b w:val="false"/>
                <w:color w:val="000000"/>
                <w:sz w:val="20"/>
              </w:rPr>
              <w:br/>
              <w:t>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w:t>
            </w:r>
            <w:r>
              <w:rPr>
                <w:rFonts w:ascii="Arial;sans-serif" w:hAnsi="Arial;sans-serif"/>
                <w:b w:val="false"/>
                <w:i/>
                <w:color w:val="000000"/>
                <w:sz w:val="20"/>
              </w:rPr>
              <w:t>Income</w:t>
            </w:r>
            <w:r>
              <w:rPr>
                <w:rFonts w:ascii="Arial;sans-serif" w:hAnsi="Arial;sans-serif"/>
                <w:b w:val="false"/>
                <w:color w:val="000000"/>
                <w:sz w:val="20"/>
              </w:rPr>
              <w:t>"). Any Income must be used for the Project.</w:t>
            </w:r>
          </w:p>
        </w:tc>
      </w:tr>
    </w:tbl>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SEGREGATION OF FUNDS</w:t>
            </w:r>
            <w:r>
              <w:rPr>
                <w:rFonts w:ascii="Arial;sans-serif" w:hAnsi="Arial;sans-serif"/>
                <w:b w:val="false"/>
                <w:color w:val="000000"/>
                <w:sz w:val="20"/>
              </w:rPr>
              <w:br/>
              <w:t>You must maintain Grant Funds in a physically separate bank account or a separate bookkeeping account maintained as part of Your financial records and dedicated to the Project.</w:t>
            </w:r>
          </w:p>
        </w:tc>
      </w:tr>
    </w:tbl>
    <w:tbl>
      <w:tblPr>
        <w:tblW w:w="1844" w:type="dxa"/>
        <w:jc w:val="left"/>
        <w:tblInd w:w="0" w:type="dxa"/>
        <w:tblLayout w:type="fixed"/>
        <w:tblCellMar>
          <w:top w:w="28" w:type="dxa"/>
          <w:left w:w="28" w:type="dxa"/>
          <w:bottom w:w="28" w:type="dxa"/>
          <w:right w:w="28" w:type="dxa"/>
        </w:tblCellMar>
      </w:tblPr>
      <w:tblGrid>
        <w:gridCol w:w="590"/>
        <w:gridCol w:w="518"/>
        <w:gridCol w:w="736"/>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GLOBAL ACCESS</w:t>
            </w:r>
          </w:p>
        </w:tc>
      </w:tr>
    </w:tbl>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GLOBAL ACCESS COMMITMENT</w:t>
            </w:r>
            <w:r>
              <w:rPr>
                <w:rFonts w:ascii="Arial;sans-serif" w:hAnsi="Arial;sans-serif"/>
                <w:b w:val="false"/>
                <w:color w:val="000000"/>
                <w:sz w:val="20"/>
              </w:rPr>
              <w:br/>
              <w:t>You will conduct and manage the Project and the Funded Developments in a manner that ensures Global Access. Your Global Access commitments will survive the term of this Agreement. "</w:t>
            </w:r>
            <w:r>
              <w:rPr>
                <w:rFonts w:ascii="Arial;sans-serif" w:hAnsi="Arial;sans-serif"/>
                <w:b w:val="false"/>
                <w:i/>
                <w:color w:val="000000"/>
                <w:sz w:val="20"/>
              </w:rPr>
              <w:t>Funded Developments</w:t>
            </w:r>
            <w:r>
              <w:rPr>
                <w:rFonts w:ascii="Arial;sans-serif" w:hAnsi="Arial;sans-serif"/>
                <w:b w:val="false"/>
                <w:color w:val="000000"/>
                <w:sz w:val="20"/>
              </w:rPr>
              <w:t>" means the products, services, processes, technologies, materials, software, data, other innovations, and intellectual property resulting from the Project (including modifications, improvements, and further developments to Background Technology). "</w:t>
            </w:r>
            <w:r>
              <w:rPr>
                <w:rFonts w:ascii="Arial;sans-serif" w:hAnsi="Arial;sans-serif"/>
                <w:b w:val="false"/>
                <w:i/>
                <w:color w:val="000000"/>
                <w:sz w:val="20"/>
              </w:rPr>
              <w:t>Background Technology</w:t>
            </w:r>
            <w:r>
              <w:rPr>
                <w:rFonts w:ascii="Arial;sans-serif" w:hAnsi="Arial;sans-serif"/>
                <w:b w:val="false"/>
                <w:color w:val="000000"/>
                <w:sz w:val="20"/>
              </w:rPr>
              <w:t>" means any and all products, services, processes, technologies, materials, software, data, or other innovations, and intellectual property created by You or a third party prior to or outside of the Project used as part of the Project. "</w:t>
            </w:r>
            <w:r>
              <w:rPr>
                <w:rFonts w:ascii="Arial;sans-serif" w:hAnsi="Arial;sans-serif"/>
                <w:b w:val="false"/>
                <w:i/>
                <w:color w:val="000000"/>
                <w:sz w:val="20"/>
              </w:rPr>
              <w:t>Global Access</w:t>
            </w:r>
            <w:r>
              <w:rPr>
                <w:rFonts w:ascii="Arial;sans-serif" w:hAnsi="Arial;sans-serif"/>
                <w:b w:val="false"/>
                <w:color w:val="000000"/>
                <w:sz w:val="20"/>
              </w:rPr>
              <w:t>"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HUMANITARIAN LICENSE</w:t>
            </w:r>
            <w:r>
              <w:rPr>
                <w:rFonts w:ascii="Arial;sans-serif" w:hAnsi="Arial;sans-serif"/>
                <w:b w:val="false"/>
                <w:color w:val="000000"/>
                <w:sz w:val="20"/>
              </w:rPr>
              <w:br/>
              <w:t>Subject to applicable laws and for the purpose of achieving Global Access, You grant the Foundation a nonexclusive, perpetual, irrevocable, worldwide, royalty-free, fully paid up, sublicensable license to make, use, sell, offer to sell, import, distribute, copy, create derivative works, publicly perform, and display Funded Developments and Essential Background Technology. “Essential Background Technology” means Background Technology that is: (a) owned, controlled, or developed by You, or in-licensed with the right to sublicense; and (b) either incorporated into a Funded Development or reasonably required to exercise the license to a Funded Development. You confirm that You have retained sufficient rights in the Funded Developments and Essential Background Technology to grant this license. You must ensure this license survives the assignment or transfer of Funded Developments or Essential Background Technology. On request, You must promptly make available the Funded Developments and Essential Background Technology to the Foundation for use solely under this license. If You demonstrate to the satisfaction of the Foundation that Global Access can best be achieved without this license, the Foundation and You will make good faith efforts to modify or terminate this license, as appropriate.</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PUBLICATION</w:t>
            </w:r>
            <w:r>
              <w:rPr>
                <w:rFonts w:ascii="Arial;sans-serif" w:hAnsi="Arial;sans-serif"/>
                <w:b w:val="false"/>
                <w:color w:val="000000"/>
                <w:sz w:val="20"/>
              </w:rPr>
              <w:br/>
              <w:t>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t>
            </w:r>
            <w:r>
              <w:rPr>
                <w:rFonts w:ascii="Arial;sans-serif" w:hAnsi="Arial;sans-serif"/>
                <w:b w:val="false"/>
                <w:color w:val="0000FF"/>
                <w:sz w:val="20"/>
                <w:u w:val="single"/>
              </w:rPr>
              <w:t>www.gatesfoundation.org/How-We-Work/General-Information/Open-Access-Policy</w:t>
            </w:r>
            <w:r>
              <w:rPr>
                <w:rFonts w:ascii="Arial;sans-serif" w:hAnsi="Arial;sans-serif"/>
                <w:b w:val="false"/>
                <w:color w:val="000000"/>
                <w:sz w:val="20"/>
              </w:rPr>
              <w:t>,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w:t>
            </w:r>
          </w:p>
        </w:tc>
      </w:tr>
    </w:tbl>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INTELLECTUAL PROPERTY REPORTING</w:t>
            </w:r>
            <w:r>
              <w:rPr>
                <w:rFonts w:ascii="Arial;sans-serif" w:hAnsi="Arial;sans-serif"/>
                <w:b w:val="false"/>
                <w:color w:val="000000"/>
                <w:sz w:val="20"/>
              </w:rPr>
              <w:br/>
              <w:t>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w:t>
            </w:r>
          </w:p>
        </w:tc>
      </w:tr>
    </w:tbl>
    <w:tbl>
      <w:tblPr>
        <w:tblW w:w="3837" w:type="dxa"/>
        <w:jc w:val="left"/>
        <w:tblInd w:w="0" w:type="dxa"/>
        <w:tblLayout w:type="fixed"/>
        <w:tblCellMar>
          <w:top w:w="28" w:type="dxa"/>
          <w:left w:w="28" w:type="dxa"/>
          <w:bottom w:w="28" w:type="dxa"/>
          <w:right w:w="28" w:type="dxa"/>
        </w:tblCellMar>
      </w:tblPr>
      <w:tblGrid>
        <w:gridCol w:w="1256"/>
        <w:gridCol w:w="1102"/>
        <w:gridCol w:w="1107"/>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SUBGRANTS AND SUBCONTRACTS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SUBGRANTS AND SUBCONTRACTS </w:t>
            </w:r>
            <w:r>
              <w:rPr>
                <w:rFonts w:ascii="Arial;sans-serif" w:hAnsi="Arial;sans-serif"/>
                <w:b w:val="false"/>
                <w:color w:val="000000"/>
                <w:sz w:val="20"/>
              </w:rPr>
              <w:br/>
              <w:t xml:space="preserve">You may not make subgrants under this Agreement. You have the exclusive right to select subcontractors to assist with the Project. </w:t>
            </w:r>
          </w:p>
        </w:tc>
      </w:tr>
    </w:tbl>
    <w:tbl>
      <w:tblPr>
        <w:tblW w:w="10205" w:type="dxa"/>
        <w:jc w:val="left"/>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RESPONSIBILITY FOR OTHERS</w:t>
            </w:r>
            <w:r>
              <w:rPr>
                <w:rFonts w:ascii="Arial;sans-serif" w:hAnsi="Arial;sans-serif"/>
                <w:b w:val="false"/>
                <w:color w:val="000000"/>
                <w:sz w:val="20"/>
              </w:rPr>
              <w:br/>
              <w:t>You are responsible for (a) all acts and omissions of any of Your trustees, directors, officers, employees, subgrantees, subcontractors, contingent workers, agents, and affiliates assisting with the Project, and (b) ensuring their compliance with the terms of this Agreement.</w:t>
            </w:r>
          </w:p>
        </w:tc>
      </w:tr>
    </w:tbl>
    <w:tbl>
      <w:tblPr>
        <w:tblW w:w="2846" w:type="dxa"/>
        <w:jc w:val="left"/>
        <w:tblInd w:w="0" w:type="dxa"/>
        <w:tblLayout w:type="fixed"/>
        <w:tblCellMar>
          <w:top w:w="28" w:type="dxa"/>
          <w:left w:w="28" w:type="dxa"/>
          <w:bottom w:w="28" w:type="dxa"/>
          <w:right w:w="28" w:type="dxa"/>
        </w:tblCellMar>
      </w:tblPr>
      <w:tblGrid>
        <w:gridCol w:w="896"/>
        <w:gridCol w:w="787"/>
        <w:gridCol w:w="791"/>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PROHIBITED ACTIVITIES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ANTI-TERRORISM</w:t>
            </w:r>
            <w:r>
              <w:rPr>
                <w:rFonts w:ascii="Arial;sans-serif" w:hAnsi="Arial;sans-serif"/>
                <w:b w:val="false"/>
                <w:color w:val="000000"/>
                <w:sz w:val="20"/>
              </w:rPr>
              <w:br/>
              <w:t>You will not use funds provided under this Agreement, directly or indirectly, in support of activities (a) prohibited by U.S. laws relating to combating terrorism; (b) with persons on the List of Specially Designated Nationals (</w:t>
            </w:r>
            <w:r>
              <w:rPr>
                <w:rFonts w:ascii="Arial;sans-serif" w:hAnsi="Arial;sans-serif"/>
                <w:b w:val="false"/>
                <w:color w:val="0000FF"/>
                <w:sz w:val="20"/>
                <w:u w:val="single"/>
              </w:rPr>
              <w:t>www.treasury.gov/sdn</w:t>
            </w:r>
            <w:r>
              <w:rPr>
                <w:rFonts w:ascii="Arial;sans-serif" w:hAnsi="Arial;sans-serif"/>
                <w:b w:val="false"/>
                <w:color w:val="000000"/>
                <w:sz w:val="20"/>
              </w:rPr>
              <w:t>) or entities owned or controlled by such persons; or (c) in or with countries or territories against which the U.S. maintains comprehensive sanctions (currently, Cuba, Iran, Syria, North Korea, and the Crimea Region of Ukraine), including paying or reimbursing the expenses of persons from such countries or territories, unless such activities are fully authorized by the U.S. government under applicable law and specifically approved by the Foundation in its sole discretion.</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8"/>
        <w:gridCol w:w="2871"/>
        <w:gridCol w:w="4066"/>
      </w:tblGrid>
      <w:tr>
        <w:trPr/>
        <w:tc>
          <w:tcPr>
            <w:tcW w:w="326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ANTI-CORRUPTION; ANTI-BRIBERY</w:t>
            </w:r>
            <w:r>
              <w:rPr>
                <w:rFonts w:ascii="Arial;sans-serif" w:hAnsi="Arial;sans-serif"/>
                <w:b w:val="false"/>
                <w:color w:val="000000"/>
                <w:sz w:val="20"/>
              </w:rPr>
              <w:br/>
              <w:t xml:space="preserve">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t>
            </w:r>
            <w:r>
              <w:rPr>
                <w:rFonts w:ascii="Arial;sans-serif" w:hAnsi="Arial;sans-serif"/>
                <w:b w:val="false"/>
                <w:color w:val="0000FF"/>
                <w:sz w:val="20"/>
                <w:u w:val="single"/>
              </w:rPr>
              <w:t>www.learnfoundationlaw.org</w:t>
            </w: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POLITICAL ACTIVITY AND ADVOCACY</w:t>
            </w:r>
            <w:r>
              <w:rPr>
                <w:rFonts w:ascii="Arial;sans-serif" w:hAnsi="Arial;sans-serif"/>
                <w:b w:val="false"/>
                <w:color w:val="000000"/>
                <w:sz w:val="20"/>
              </w:rPr>
              <w:br/>
              <w:t xml:space="preserve">You may not use Grant Funds to influence the outcome of any election for public office or to carry on any voter registration drive. You may not use Grant Funds to support lobbying activity or to otherwise support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 </w:t>
            </w:r>
          </w:p>
        </w:tc>
      </w:tr>
    </w:tbl>
    <w:tbl>
      <w:tblPr>
        <w:tblW w:w="840" w:type="dxa"/>
        <w:jc w:val="left"/>
        <w:tblInd w:w="0" w:type="dxa"/>
        <w:tblLayout w:type="fixed"/>
        <w:tblCellMar>
          <w:top w:w="28" w:type="dxa"/>
          <w:left w:w="28" w:type="dxa"/>
          <w:bottom w:w="28" w:type="dxa"/>
          <w:right w:w="28" w:type="dxa"/>
        </w:tblCellMar>
      </w:tblPr>
      <w:tblGrid>
        <w:gridCol w:w="269"/>
        <w:gridCol w:w="236"/>
        <w:gridCol w:w="335"/>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OTHER</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PUBLICITY</w:t>
            </w:r>
            <w:r>
              <w:rPr>
                <w:rFonts w:ascii="Arial;sans-serif" w:hAnsi="Arial;sans-serif"/>
                <w:b w:val="false"/>
                <w:color w:val="000000"/>
                <w:sz w:val="20"/>
              </w:rPr>
              <w:br/>
              <w:t>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t>
            </w:r>
            <w:r>
              <w:rPr>
                <w:rFonts w:ascii="Arial;sans-serif" w:hAnsi="Arial;sans-serif"/>
                <w:b w:val="false"/>
                <w:color w:val="0000FF"/>
                <w:sz w:val="20"/>
                <w:u w:val="single"/>
                <w:shd w:fill="FFFFFF" w:val="clear"/>
              </w:rPr>
              <w:t>www.gatesfoundation.org/brandguidelines</w:t>
            </w:r>
            <w:r>
              <w:rPr>
                <w:rFonts w:ascii="Arial;sans-serif" w:hAnsi="Arial;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LEGAL ENTITY AND AUTHORITY </w:t>
            </w:r>
            <w:r>
              <w:rPr>
                <w:rFonts w:ascii="Arial;sans-serif" w:hAnsi="Arial;sans-serif"/>
                <w:b w:val="false"/>
                <w:color w:val="000000"/>
                <w:sz w:val="20"/>
              </w:rPr>
              <w:br/>
              <w:t>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w:t>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0"/>
              </w:rPr>
              <w:t>COMPLIANCE WITH LAWS</w:t>
            </w:r>
            <w:r>
              <w:rPr>
                <w:rFonts w:ascii="Arial;sans-serif" w:hAnsi="Arial;sans-serif"/>
                <w:b w:val="false"/>
                <w:color w:val="000000"/>
                <w:sz w:val="20"/>
              </w:rPr>
              <w:br/>
              <w:t>In carrying out the Project, You will comply with all applicable laws, regulations, and rules and will not infringe, misappropriate, or violate the intellectual property, privacy, or publicity rights of any third party.</w:t>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COMPLIANCE WITH REQUIREMENTS</w:t>
            </w:r>
            <w:r>
              <w:rPr>
                <w:rFonts w:ascii="Arial;sans-serif" w:hAnsi="Arial;sans-serif"/>
                <w:b w:val="false"/>
                <w:color w:val="000000"/>
                <w:sz w:val="20"/>
              </w:rPr>
              <w:br/>
              <w:t>You will conduct, control, manage, and monitor the Project in compliance with all applicable ethical, legal, regulatory, and safety requirements, including applicable international, national, local, and institutional standards ("</w:t>
            </w:r>
            <w:r>
              <w:rPr>
                <w:rFonts w:ascii="Arial;sans-serif" w:hAnsi="Arial;sans-serif"/>
                <w:b w:val="false"/>
                <w:i/>
                <w:color w:val="000000"/>
                <w:sz w:val="20"/>
              </w:rPr>
              <w:t>Requirements</w:t>
            </w:r>
            <w:r>
              <w:rPr>
                <w:rFonts w:ascii="Arial;sans-serif" w:hAnsi="Arial;sans-serif"/>
                <w:b w:val="false"/>
                <w:color w:val="000000"/>
                <w:sz w:val="20"/>
              </w:rPr>
              <w:t>"). You will obtain and maintain all necessary approvals, consents, and reviews before conducting the applicable activity. As a part of Your annual progress report to the Foundation, You must report whether the Project activities were conducted in compliance with all Requirements.</w:t>
              <w:br/>
              <w:br/>
              <w:t>If the Project involves:</w:t>
              <w:br/>
              <w:t>a. any protected information (including personally identifiable, protected health, or third-party confidential), You will not disclose this information to the Foundation without obtaining the Foundation's prior written approval and all necessary consents to disclose such information;</w:t>
              <w:br/>
              <w:t>b. children or vulnerable subjects, You will obtain any necessary consents and approvals unique to these subjects; and/or</w:t>
              <w:br/>
              <w:t>c. any trial involving human subjects, You will adhere to current Good Clinical Practice as defined by the International Council on Harmonisation (ICH) E-6 Standards (or local regulations if more stringent) and will obtain applicable trial insurance.</w:t>
              <w:br/>
              <w:br/>
              <w:t>Any activities by the Foundation in reviewing documents and providing input or funding does not modify Your responsibility for determining and complying with all Requirements for the Project.</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RELIANCE</w:t>
            </w:r>
            <w:r>
              <w:rPr>
                <w:rFonts w:ascii="Arial;sans-serif" w:hAnsi="Arial;sans-serif"/>
                <w:b w:val="false"/>
                <w:color w:val="000000"/>
                <w:sz w:val="20"/>
              </w:rPr>
              <w:br/>
              <w:t>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INDEMNIFICATION</w:t>
            </w:r>
            <w:r>
              <w:rPr>
                <w:rFonts w:ascii="Arial;sans-serif" w:hAnsi="Arial;sans-serif"/>
                <w:b w:val="false"/>
                <w:color w:val="000000"/>
                <w:sz w:val="20"/>
              </w:rPr>
              <w:br/>
              <w:t>If the Project involves clinical trials, trials involving human subjects, post-approval studies, field trials involving genetically modified organisms, experimental medicine, or the provision of medical/health services ("</w:t>
            </w:r>
            <w:r>
              <w:rPr>
                <w:rFonts w:ascii="Arial;sans-serif" w:hAnsi="Arial;sans-serif"/>
                <w:b w:val="false"/>
                <w:i/>
                <w:color w:val="000000"/>
                <w:sz w:val="20"/>
              </w:rPr>
              <w:t>Indemnified Activities</w:t>
            </w:r>
            <w:r>
              <w:rPr>
                <w:rFonts w:ascii="Arial;sans-serif" w:hAnsi="Arial;sans-serif"/>
                <w:b w:val="false"/>
                <w:color w:val="000000"/>
                <w:sz w:val="20"/>
              </w:rPr>
              <w:t>"), You will indemnify, defend, and hold harmless the Foundation and its trustees, employees, and agents ("</w:t>
            </w:r>
            <w:r>
              <w:rPr>
                <w:rFonts w:ascii="Arial;sans-serif" w:hAnsi="Arial;sans-serif"/>
                <w:b w:val="false"/>
                <w:i/>
                <w:color w:val="000000"/>
                <w:sz w:val="20"/>
              </w:rPr>
              <w:t>Indemnified Parties</w:t>
            </w:r>
            <w:r>
              <w:rPr>
                <w:rFonts w:ascii="Arial;sans-serif" w:hAnsi="Arial;sans-serif"/>
                <w:b w:val="false"/>
                <w:color w:val="000000"/>
                <w:sz w:val="20"/>
              </w:rPr>
              <w:t>") from and against any and all demands, claims, actions, suits, losses, damages (including property damage, bodily injury, and wrongful death), arbitration and legal proceedings, judgments, settlements, or costs or expenses (including reasonable attorneys' fees and expenses) (collectively, "</w:t>
            </w:r>
            <w:r>
              <w:rPr>
                <w:rFonts w:ascii="Arial;sans-serif" w:hAnsi="Arial;sans-serif"/>
                <w:b w:val="false"/>
                <w:i/>
                <w:color w:val="000000"/>
                <w:sz w:val="20"/>
              </w:rPr>
              <w:t>Claims</w:t>
            </w:r>
            <w:r>
              <w:rPr>
                <w:rFonts w:ascii="Arial;sans-serif" w:hAnsi="Arial;sans-serif"/>
                <w:b w:val="false"/>
                <w:color w:val="000000"/>
                <w:sz w:val="20"/>
              </w:rPr>
              <w:t>") arising out of or relating to the acts or omissions, actual or alleged, of You or Your employees, subgrantees, subcontractors, contingent workers, agents, and affiliates with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INSURANCE</w:t>
            </w:r>
            <w:r>
              <w:rPr>
                <w:rFonts w:ascii="Arial;sans-serif" w:hAnsi="Arial;sans-serif"/>
                <w:b w:val="false"/>
                <w:color w:val="000000"/>
                <w:sz w:val="20"/>
              </w:rPr>
              <w:br/>
              <w:t>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w:t>
            </w:r>
          </w:p>
        </w:tc>
      </w:tr>
    </w:tbl>
    <w:tbl>
      <w:tblPr>
        <w:tblW w:w="2595" w:type="dxa"/>
        <w:jc w:val="left"/>
        <w:tblInd w:w="0" w:type="dxa"/>
        <w:tblLayout w:type="fixed"/>
        <w:tblCellMar>
          <w:top w:w="28" w:type="dxa"/>
          <w:left w:w="28" w:type="dxa"/>
          <w:bottom w:w="28" w:type="dxa"/>
          <w:right w:w="28" w:type="dxa"/>
        </w:tblCellMar>
      </w:tblPr>
      <w:tblGrid>
        <w:gridCol w:w="831"/>
        <w:gridCol w:w="730"/>
        <w:gridCol w:w="103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TERM AND TERMINATION</w:t>
            </w:r>
          </w:p>
        </w:tc>
      </w:tr>
    </w:tbl>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TERM</w:t>
            </w:r>
            <w:r>
              <w:rPr>
                <w:rFonts w:ascii="Arial;sans-serif" w:hAnsi="Arial;sans-serif"/>
                <w:b w:val="false"/>
                <w:color w:val="000000"/>
                <w:sz w:val="20"/>
              </w:rPr>
              <w:br/>
              <w:t>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w:t>
            </w:r>
          </w:p>
        </w:tc>
      </w:tr>
    </w:tbl>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TERMINATION</w:t>
            </w:r>
            <w:r>
              <w:rPr>
                <w:rFonts w:ascii="Arial;sans-serif" w:hAnsi="Arial;sans-serif"/>
                <w:b w:val="false"/>
                <w:color w:val="000000"/>
                <w:sz w:val="20"/>
              </w:rPr>
              <w:br/>
              <w:t>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w:t>
            </w:r>
          </w:p>
        </w:tc>
      </w:tr>
    </w:tbl>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RETURN OF FUNDS</w:t>
            </w:r>
            <w:r>
              <w:rPr>
                <w:rFonts w:ascii="Arial;sans-serif" w:hAnsi="Arial;sans-serif"/>
                <w:b w:val="false"/>
                <w:color w:val="000000"/>
                <w:sz w:val="20"/>
              </w:rPr>
              <w:br/>
              <w:t xml:space="preserve">Any Grant Funds, plus any Income, that have not been used for, or committed to, the Project upon expiration or termination of this Agreement, must be returned promptly to the Foundation. </w:t>
            </w:r>
          </w:p>
        </w:tc>
      </w:tr>
    </w:tbl>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MONITORING, REVIEW, AND AUDIT</w:t>
            </w:r>
            <w:r>
              <w:rPr>
                <w:rFonts w:ascii="Arial;sans-serif" w:hAnsi="Arial;sans-serif"/>
                <w:b w:val="false"/>
                <w:color w:val="000000"/>
                <w:sz w:val="20"/>
              </w:rPr>
              <w:br/>
              <w:t>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INTERNAL OR THIRD PARTY AUDIT</w:t>
            </w:r>
            <w:r>
              <w:rPr>
                <w:rFonts w:ascii="Arial;sans-serif" w:hAnsi="Arial;sans-serif"/>
                <w:b w:val="false"/>
                <w:color w:val="000000"/>
                <w:sz w:val="20"/>
              </w:rPr>
              <w:br/>
              <w:t>If during the term of this Agreement You are audited by your internal audit department or by a third party, You will provide the audit report to the Foundation upon request, including the management letter and a detailed plan for remedying any deficiencies observed ("</w:t>
            </w:r>
            <w:r>
              <w:rPr>
                <w:rFonts w:ascii="Arial;sans-serif" w:hAnsi="Arial;sans-serif"/>
                <w:b w:val="false"/>
                <w:i/>
                <w:color w:val="000000"/>
                <w:sz w:val="20"/>
              </w:rPr>
              <w:t>Remediation Plan</w:t>
            </w:r>
            <w:r>
              <w:rPr>
                <w:rFonts w:ascii="Arial;sans-serif" w:hAnsi="Arial;sans-serif"/>
                <w:b w:val="false"/>
                <w:color w:val="000000"/>
                <w:sz w:val="20"/>
              </w:rPr>
              <w:t>"). The Remediation Plan must include (a) details of actions You will take to correct any deficiencies observed, and (b) target dates for successful completion of the actions to correct the deficiencies.</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RECORD KEEPING </w:t>
            </w:r>
            <w:r>
              <w:rPr>
                <w:rFonts w:ascii="Arial;sans-serif" w:hAnsi="Arial;sans-serif"/>
                <w:b w:val="false"/>
                <w:color w:val="000000"/>
                <w:sz w:val="20"/>
              </w:rPr>
              <w:br/>
              <w:t>You will maintain complete and accurate accounting records and copies of any reports submitted to the Foundation relating to the Project. You will retain such records and reports for 4 years after Grant Funds have been fully spent. At the Foundation's request, You will make such records and reports available to enable the Foundation to monitor and evaluate how Grant Funds have been used or committed.</w:t>
            </w:r>
          </w:p>
        </w:tc>
      </w:tr>
    </w:tbl>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SURVIVAL</w:t>
            </w:r>
            <w:r>
              <w:rPr>
                <w:rFonts w:ascii="Arial;sans-serif" w:hAnsi="Arial;sans-serif"/>
                <w:b w:val="false"/>
                <w:color w:val="000000"/>
                <w:sz w:val="20"/>
              </w:rPr>
              <w:br/>
              <w:t>A Party's obligations under this Agreement will be continuous and survive expiration or termination of this Agreement as expressly provided in this Agreement or otherwise required by law or intended by their nature.</w:t>
            </w:r>
          </w:p>
        </w:tc>
      </w:tr>
    </w:tbl>
    <w:tbl>
      <w:tblPr>
        <w:tblW w:w="1170" w:type="dxa"/>
        <w:jc w:val="left"/>
        <w:tblInd w:w="0" w:type="dxa"/>
        <w:tblLayout w:type="fixed"/>
        <w:tblCellMar>
          <w:top w:w="28" w:type="dxa"/>
          <w:left w:w="28" w:type="dxa"/>
          <w:bottom w:w="28" w:type="dxa"/>
          <w:right w:w="28" w:type="dxa"/>
        </w:tblCellMar>
      </w:tblPr>
      <w:tblGrid>
        <w:gridCol w:w="374"/>
        <w:gridCol w:w="329"/>
        <w:gridCol w:w="467"/>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pPr>
            <w:r>
              <w:rPr>
                <w:rFonts w:ascii="Arial;sans-serif" w:hAnsi="Arial;sans-serif"/>
                <w:b/>
                <w:color w:val="000000"/>
                <w:sz w:val="20"/>
              </w:rPr>
              <w:t>GENERAL</w:t>
            </w:r>
            <w:r>
              <w:rPr>
                <w:color w:val="000000"/>
              </w:rPr>
              <w:t xml:space="preserve"> </w:t>
            </w:r>
          </w:p>
        </w:tc>
      </w:tr>
    </w:tbl>
    <w:tbl>
      <w:tblPr>
        <w:tblW w:w="10205" w:type="dxa"/>
        <w:jc w:val="left"/>
        <w:tblInd w:w="0" w:type="dxa"/>
        <w:tblLayout w:type="fixed"/>
        <w:tblCellMar>
          <w:top w:w="28" w:type="dxa"/>
          <w:left w:w="28" w:type="dxa"/>
          <w:bottom w:w="28" w:type="dxa"/>
          <w:right w:w="28" w:type="dxa"/>
        </w:tblCellMar>
      </w:tblPr>
      <w:tblGrid>
        <w:gridCol w:w="3268"/>
        <w:gridCol w:w="2868"/>
        <w:gridCol w:w="4069"/>
      </w:tblGrid>
      <w:tr>
        <w:trPr/>
        <w:tc>
          <w:tcPr>
            <w:tcW w:w="32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ENTIRE AGREEMENT, CONFLICTS, AND AMENDMENTS</w:t>
            </w:r>
            <w:r>
              <w:rPr>
                <w:rFonts w:ascii="Arial;sans-serif" w:hAnsi="Arial;sans-serif"/>
                <w:b w:val="false"/>
                <w:color w:val="000000"/>
                <w:sz w:val="20"/>
              </w:rPr>
              <w:br/>
              <w:t>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w:t>
            </w:r>
          </w:p>
        </w:tc>
      </w:tr>
    </w:tbl>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NOTICES AND APPROVALS</w:t>
            </w:r>
            <w:r>
              <w:rPr>
                <w:rFonts w:ascii="Arial;sans-serif" w:hAnsi="Arial;sans-serif"/>
                <w:b w:val="false"/>
                <w:color w:val="000000"/>
                <w:sz w:val="20"/>
              </w:rPr>
              <w:br/>
              <w:t>Written notices, requests, and approvals under this Agreement must be delivered by mail or email to the other Party's primary contact specified on the Agreement Summary &amp; Signature Page, or as otherwise directed by the other Party.</w:t>
            </w:r>
          </w:p>
        </w:tc>
      </w:tr>
    </w:tbl>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SEVERABILITY</w:t>
            </w:r>
            <w:r>
              <w:rPr>
                <w:rFonts w:ascii="Arial;sans-serif" w:hAnsi="Arial;sans-serif"/>
                <w:b w:val="false"/>
                <w:color w:val="000000"/>
                <w:sz w:val="20"/>
              </w:rPr>
              <w:br/>
              <w:t>Each provision of this Agreement must be interpreted in a way that is enforceable under applicable law. If any provision is held unenforceable, the rest of the Agreement will remain in effect.</w:t>
            </w:r>
          </w:p>
        </w:tc>
      </w:tr>
    </w:tbl>
    <w:tbl>
      <w:tblPr>
        <w:tblW w:w="10205" w:type="dxa"/>
        <w:jc w:val="left"/>
        <w:tblInd w:w="0" w:type="dxa"/>
        <w:tblLayout w:type="fixed"/>
        <w:tblCellMar>
          <w:top w:w="28" w:type="dxa"/>
          <w:left w:w="28" w:type="dxa"/>
          <w:bottom w:w="28" w:type="dxa"/>
          <w:right w:w="28" w:type="dxa"/>
        </w:tblCellMar>
      </w:tblPr>
      <w:tblGrid>
        <w:gridCol w:w="3411"/>
        <w:gridCol w:w="2812"/>
        <w:gridCol w:w="3982"/>
      </w:tblGrid>
      <w:tr>
        <w:trPr/>
        <w:tc>
          <w:tcPr>
            <w:tcW w:w="3411"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ASSIGNMENT</w:t>
            </w:r>
            <w:r>
              <w:rPr>
                <w:rFonts w:ascii="Arial;sans-serif" w:hAnsi="Arial;sans-serif"/>
                <w:b w:val="false"/>
                <w:color w:val="000000"/>
                <w:sz w:val="20"/>
              </w:rPr>
              <w:br/>
              <w:t>You may not assign, or transfer by operation of law or court order, any of Your rights or obligations under this Agreement without the Foundation's prior written approval. This Agreement will bind and benefit any permitted successors and assigns.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COUNTERPARTS AND ELECTRONIC SIGNATURES</w:t>
            </w:r>
            <w:r>
              <w:rPr>
                <w:rFonts w:ascii="Arial;sans-serif" w:hAnsi="Arial;sans-serif"/>
                <w:b w:val="false"/>
                <w:color w:val="000000"/>
                <w:sz w:val="20"/>
              </w:rPr>
              <w:br/>
              <w:t>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AMENDMENT 1</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to</w:t>
        <w:br/>
        <w:t>GRANT AGREEMENT</w:t>
        <w:b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76"/>
        <w:gridCol w:w="602"/>
        <w:gridCol w:w="556"/>
        <w:gridCol w:w="2447"/>
        <w:gridCol w:w="2435"/>
        <w:gridCol w:w="3389"/>
      </w:tblGrid>
      <w:tr>
        <w:trPr/>
        <w:tc>
          <w:tcPr>
            <w:tcW w:w="77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AMENDMENT INFORMATION</w:t>
            </w:r>
          </w:p>
        </w:tc>
      </w:tr>
      <w:tr>
        <w:trPr/>
        <w:tc>
          <w:tcPr>
            <w:tcW w:w="19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Daré Bioscience, Inc., effective June 30, 2021, and bearing Investment ID INV-026060</w:t>
            </w:r>
          </w:p>
        </w:tc>
      </w:tr>
      <w:tr>
        <w:trPr/>
        <w:tc>
          <w:tcPr>
            <w:tcW w:w="19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Amendment Purpose:</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Reporting &amp; Payment Schedule Change</w:t>
            </w:r>
          </w:p>
        </w:tc>
      </w:tr>
      <w:tr>
        <w:trPr/>
        <w:tc>
          <w:tcPr>
            <w:tcW w:w="19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November 23, 2022</w:t>
            </w:r>
          </w:p>
        </w:tc>
      </w:tr>
      <w:tr>
        <w:trPr/>
        <w:tc>
          <w:tcPr>
            <w:tcW w:w="1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THIS AMENDMENT</w:t>
      </w:r>
      <w:r>
        <w:rPr>
          <w:color w:val="000000"/>
        </w:rPr>
        <w:t xml:space="preserve">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32" w:before="0" w:after="0"/>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0" w:after="0"/>
        <w:jc w:val="left"/>
        <w:rPr/>
      </w:pPr>
      <w:r>
        <w:rPr/>
      </w:r>
    </w:p>
    <w:tbl>
      <w:tblPr>
        <w:tblW w:w="10031" w:type="dxa"/>
        <w:jc w:val="left"/>
        <w:tblInd w:w="0" w:type="dxa"/>
        <w:tblLayout w:type="fixed"/>
        <w:tblCellMar>
          <w:top w:w="28" w:type="dxa"/>
          <w:left w:w="28" w:type="dxa"/>
          <w:bottom w:w="28" w:type="dxa"/>
          <w:right w:w="28" w:type="dxa"/>
        </w:tblCellMar>
      </w:tblPr>
      <w:tblGrid>
        <w:gridCol w:w="619"/>
        <w:gridCol w:w="544"/>
        <w:gridCol w:w="546"/>
        <w:gridCol w:w="1294"/>
        <w:gridCol w:w="1294"/>
        <w:gridCol w:w="1297"/>
        <w:gridCol w:w="249"/>
        <w:gridCol w:w="249"/>
        <w:gridCol w:w="251"/>
        <w:gridCol w:w="449"/>
        <w:gridCol w:w="449"/>
        <w:gridCol w:w="451"/>
        <w:gridCol w:w="280"/>
        <w:gridCol w:w="1856"/>
        <w:gridCol w:w="20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031" w:type="dxa"/>
            <w:gridSpan w:val="15"/>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Countersigned Grant Agreement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2021</w:t>
            </w:r>
          </w:p>
        </w:tc>
        <w:tc>
          <w:tcPr>
            <w:tcW w:w="280"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11,453,099.00 </w:t>
            </w:r>
          </w:p>
        </w:tc>
        <w:tc>
          <w:tcPr>
            <w:tcW w:w="203"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2022</w:t>
            </w:r>
          </w:p>
        </w:tc>
        <w:tc>
          <w:tcPr>
            <w:tcW w:w="280"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6"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7,960,608.00 </w:t>
            </w:r>
          </w:p>
        </w:tc>
        <w:tc>
          <w:tcPr>
            <w:tcW w:w="203"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8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856"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03"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8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856"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03"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8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856"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03"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8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856"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03"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8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856"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03"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47445"/>
                <wp:effectExtent l="0" t="0" r="0" b="0"/>
                <wp:wrapNone/>
                <wp:docPr id="66" name="Frame6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5203" w:type="dxa"/>
                              <w:jc w:val="left"/>
                              <w:tblInd w:w="0" w:type="dxa"/>
                              <w:tblLayout w:type="fixed"/>
                              <w:tblCellMar>
                                <w:top w:w="28" w:type="dxa"/>
                                <w:left w:w="28" w:type="dxa"/>
                                <w:bottom w:w="28" w:type="dxa"/>
                                <w:right w:w="28" w:type="dxa"/>
                              </w:tblCellMar>
                            </w:tblPr>
                            <w:tblGrid>
                              <w:gridCol w:w="819"/>
                              <w:gridCol w:w="720"/>
                              <w:gridCol w:w="725"/>
                              <w:gridCol w:w="344"/>
                              <w:gridCol w:w="344"/>
                              <w:gridCol w:w="346"/>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 1 of 2</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5203" w:type="dxa"/>
                        <w:jc w:val="left"/>
                        <w:tblInd w:w="0" w:type="dxa"/>
                        <w:tblLayout w:type="fixed"/>
                        <w:tblCellMar>
                          <w:top w:w="28" w:type="dxa"/>
                          <w:left w:w="28" w:type="dxa"/>
                          <w:bottom w:w="28" w:type="dxa"/>
                          <w:right w:w="28" w:type="dxa"/>
                        </w:tblCellMar>
                      </w:tblPr>
                      <w:tblGrid>
                        <w:gridCol w:w="819"/>
                        <w:gridCol w:w="720"/>
                        <w:gridCol w:w="725"/>
                        <w:gridCol w:w="344"/>
                        <w:gridCol w:w="344"/>
                        <w:gridCol w:w="346"/>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 1 of 2</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tbl>
      <w:tblPr>
        <w:tblW w:w="4930" w:type="dxa"/>
        <w:jc w:val="left"/>
        <w:tblInd w:w="0" w:type="dxa"/>
        <w:tblLayout w:type="fixed"/>
        <w:tblCellMar>
          <w:top w:w="28" w:type="dxa"/>
          <w:left w:w="28" w:type="dxa"/>
          <w:bottom w:w="28" w:type="dxa"/>
          <w:right w:w="28" w:type="dxa"/>
        </w:tblCellMar>
      </w:tblPr>
      <w:tblGrid>
        <w:gridCol w:w="171"/>
        <w:gridCol w:w="151"/>
        <w:gridCol w:w="151"/>
        <w:gridCol w:w="153"/>
        <w:gridCol w:w="153"/>
        <w:gridCol w:w="153"/>
        <w:gridCol w:w="153"/>
        <w:gridCol w:w="153"/>
        <w:gridCol w:w="153"/>
        <w:gridCol w:w="499"/>
        <w:gridCol w:w="499"/>
        <w:gridCol w:w="501"/>
        <w:gridCol w:w="260"/>
        <w:gridCol w:w="1591"/>
        <w:gridCol w:w="189"/>
      </w:tblGrid>
      <w:tr>
        <w:trPr/>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2022</w:t>
            </w:r>
          </w:p>
        </w:tc>
        <w:tc>
          <w:tcPr>
            <w:tcW w:w="260"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4,436,204.00 </w:t>
            </w:r>
          </w:p>
        </w:tc>
        <w:tc>
          <w:tcPr>
            <w:tcW w:w="189"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6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5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89"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6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5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89"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2890" w:type="dxa"/>
            <w:gridSpan w:val="12"/>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Amended Total Grant Amount</w:t>
            </w:r>
          </w:p>
        </w:tc>
        <w:tc>
          <w:tcPr>
            <w:tcW w:w="20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Up to $48,945,928.00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4695"/>
                <wp:effectExtent l="0" t="0" r="0" b="0"/>
                <wp:wrapNone/>
                <wp:docPr id="67" name="Frame66"/>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p>
                            <w:pPr>
                              <w:pStyle w:val="TextBody"/>
                              <w:bidi w:val="0"/>
                              <w:spacing w:before="0" w:after="0"/>
                              <w:jc w:val="left"/>
                              <w:rPr/>
                            </w:pPr>
                            <w:r>
                              <w:rPr/>
                            </w:r>
                            <w:r>
                              <w:br w:type="page"/>
                            </w:r>
                          </w:p>
                          <w:tbl>
                            <w:tblPr>
                              <w:tblW w:w="4694" w:type="dxa"/>
                              <w:jc w:val="left"/>
                              <w:tblInd w:w="0" w:type="dxa"/>
                              <w:tblLayout w:type="fixed"/>
                              <w:tblCellMar>
                                <w:top w:w="28" w:type="dxa"/>
                                <w:left w:w="28" w:type="dxa"/>
                                <w:bottom w:w="28" w:type="dxa"/>
                                <w:right w:w="28" w:type="dxa"/>
                              </w:tblCellMar>
                            </w:tblPr>
                            <w:tblGrid>
                              <w:gridCol w:w="744"/>
                              <w:gridCol w:w="653"/>
                              <w:gridCol w:w="658"/>
                              <w:gridCol w:w="309"/>
                              <w:gridCol w:w="309"/>
                              <w:gridCol w:w="311"/>
                              <w:gridCol w:w="501"/>
                              <w:gridCol w:w="501"/>
                              <w:gridCol w:w="70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Page 2 of 2</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Version: August 2022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694" w:type="dxa"/>
                        <w:jc w:val="left"/>
                        <w:tblInd w:w="0" w:type="dxa"/>
                        <w:tblLayout w:type="fixed"/>
                        <w:tblCellMar>
                          <w:top w:w="28" w:type="dxa"/>
                          <w:left w:w="28" w:type="dxa"/>
                          <w:bottom w:w="28" w:type="dxa"/>
                          <w:right w:w="28" w:type="dxa"/>
                        </w:tblCellMar>
                      </w:tblPr>
                      <w:tblGrid>
                        <w:gridCol w:w="744"/>
                        <w:gridCol w:w="653"/>
                        <w:gridCol w:w="658"/>
                        <w:gridCol w:w="309"/>
                        <w:gridCol w:w="309"/>
                        <w:gridCol w:w="311"/>
                        <w:gridCol w:w="501"/>
                        <w:gridCol w:w="501"/>
                        <w:gridCol w:w="70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Page 2 of 2</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Version: August 2022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82" w:after="283"/>
        <w:jc w:val="center"/>
        <w:rPr>
          <w:rFonts w:ascii="Arial;sans-serif" w:hAnsi="Arial;sans-serif"/>
          <w:b/>
          <w:color w:val="000000"/>
          <w:sz w:val="20"/>
        </w:rPr>
      </w:pPr>
      <w:r>
        <w:rPr>
          <w:rFonts w:ascii="Arial;sans-serif" w:hAnsi="Arial;sans-serif"/>
          <w:b/>
          <w:color w:val="000000"/>
          <w:sz w:val="20"/>
        </w:rPr>
        <w:t>AMENDMENT 2</w:t>
      </w:r>
    </w:p>
    <w:p>
      <w:pPr>
        <w:pStyle w:val="TextBody"/>
        <w:bidi w:val="0"/>
        <w:spacing w:lineRule="atLeast" w:line="229" w:before="1" w:after="283"/>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tLeast" w:line="229"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3" w:after="283"/>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228" w:after="283"/>
        <w:jc w:val="center"/>
        <w:rPr>
          <w:rFonts w:ascii="Arial;sans-serif" w:hAnsi="Arial;sans-serif"/>
          <w:b/>
          <w:color w:val="000000"/>
          <w:sz w:val="20"/>
          <w:u w:val="single"/>
        </w:rPr>
      </w:pPr>
      <w:r>
        <w:rPr>
          <w:rFonts w:ascii="Arial;sans-serif" w:hAnsi="Arial;sans-serif"/>
          <w:b/>
          <w:color w:val="000000"/>
          <w:sz w:val="20"/>
          <w:u w:val="single"/>
        </w:rPr>
        <w:t>AMENDMENT SUMMARY PAGE</w:t>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778"/>
        <w:gridCol w:w="605"/>
        <w:gridCol w:w="560"/>
        <w:gridCol w:w="2443"/>
        <w:gridCol w:w="2431"/>
        <w:gridCol w:w="3388"/>
      </w:tblGrid>
      <w:tr>
        <w:trPr/>
        <w:tc>
          <w:tcPr>
            <w:tcW w:w="7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w:t>
            </w:r>
          </w:p>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ID INV-026060</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9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0"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September 14, 2023</w:t>
            </w:r>
          </w:p>
        </w:tc>
      </w:tr>
    </w:tbl>
    <w:p>
      <w:pPr>
        <w:pStyle w:val="TextBody"/>
        <w:bidi w:val="0"/>
        <w:spacing w:lineRule="auto" w:line="288" w:before="228" w:after="283"/>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3" w:after="283"/>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10" w:after="1"/>
        <w:jc w:val="left"/>
        <w:rPr/>
      </w:pPr>
      <w:r>
        <w:rPr/>
      </w:r>
    </w:p>
    <w:tbl>
      <w:tblPr>
        <w:tblW w:w="10000" w:type="dxa"/>
        <w:jc w:val="left"/>
        <w:tblInd w:w="0" w:type="dxa"/>
        <w:tblLayout w:type="fixed"/>
        <w:tblCellMar>
          <w:top w:w="28" w:type="dxa"/>
          <w:left w:w="28" w:type="dxa"/>
          <w:bottom w:w="28" w:type="dxa"/>
          <w:right w:w="28" w:type="dxa"/>
        </w:tblCellMar>
      </w:tblPr>
      <w:tblGrid>
        <w:gridCol w:w="619"/>
        <w:gridCol w:w="544"/>
        <w:gridCol w:w="546"/>
        <w:gridCol w:w="1282"/>
        <w:gridCol w:w="1282"/>
        <w:gridCol w:w="1289"/>
        <w:gridCol w:w="250"/>
        <w:gridCol w:w="250"/>
        <w:gridCol w:w="250"/>
        <w:gridCol w:w="449"/>
        <w:gridCol w:w="449"/>
        <w:gridCol w:w="451"/>
        <w:gridCol w:w="685"/>
        <w:gridCol w:w="685"/>
        <w:gridCol w:w="969"/>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000"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ind w:left="0" w:right="0" w:firstLine="43"/>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center"/>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ind w:left="0" w:right="0" w:hanging="449"/>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7"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7"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7"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2021</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7"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$11,453,099.00</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4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2022</w:t>
            </w:r>
          </w:p>
        </w:tc>
        <w:tc>
          <w:tcPr>
            <w:tcW w:w="2339"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4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$7,960,608.00</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3"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72185"/>
                <wp:effectExtent l="0" t="0" r="0" b="0"/>
                <wp:wrapNone/>
                <wp:docPr id="68" name="Frame67"/>
                <a:graphic xmlns:a="http://schemas.openxmlformats.org/drawingml/2006/main">
                  <a:graphicData uri="http://schemas.microsoft.com/office/word/2010/wordprocessingShape">
                    <wps:wsp>
                      <wps:cNvSpPr txBox="1"/>
                      <wps:spPr>
                        <a:xfrm>
                          <a:off x="0" y="0"/>
                          <a:ext cx="6480175" cy="972185"/>
                        </a:xfrm>
                        <a:prstGeom prst="rect"/>
                        <a:solidFill>
                          <a:srgbClr val="FFFFFF"/>
                        </a:solidFill>
                      </wps:spPr>
                      <wps:txb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55pt;mso-wrap-distance-left:0pt;mso-wrap-distance-right:0pt;mso-wrap-distance-top:0pt;mso-wrap-distance-bottom:0pt;margin-top:0pt;mso-position-vertical:top;mso-position-vertical-relative:text;margin-left:0pt;mso-position-horizontal:left;mso-position-horizontal-relative:text">
                <v:textbo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427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404"/>
        <w:gridCol w:w="404"/>
        <w:gridCol w:w="5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6"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November 2022</w:t>
            </w:r>
          </w:p>
        </w:tc>
        <w:tc>
          <w:tcPr>
            <w:tcW w:w="138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63"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$4,436,204.00</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29"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93" w:after="283"/>
              <w:jc w:val="left"/>
              <w:rPr/>
            </w:pPr>
            <w:r>
              <w:rPr/>
            </w:r>
          </w:p>
          <w:p>
            <w:pPr>
              <w:pStyle w:val="TableContents"/>
              <w:bidi w:val="0"/>
              <w:spacing w:lineRule="auto" w:line="288" w:before="0" w:after="0"/>
              <w:ind w:left="0" w:right="0" w:hanging="269"/>
              <w:jc w:val="left"/>
              <w:rPr>
                <w:rFonts w:ascii="Arial;sans-serif" w:hAnsi="Arial;sans-serif"/>
                <w:b w:val="false"/>
                <w:color w:val="000000"/>
                <w:sz w:val="20"/>
              </w:rPr>
            </w:pPr>
            <w:r>
              <w:rPr>
                <w:rFonts w:ascii="Arial;sans-serif" w:hAnsi="Arial;sans-serif"/>
                <w:b w:val="false"/>
                <w:color w:val="000000"/>
                <w:sz w:val="20"/>
              </w:rPr>
              <w:t>September 2023</w:t>
            </w:r>
          </w:p>
        </w:tc>
        <w:tc>
          <w:tcPr>
            <w:tcW w:w="138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08"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$4,500,000.00</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47445"/>
                <wp:effectExtent l="0" t="0" r="0" b="0"/>
                <wp:wrapNone/>
                <wp:docPr id="69" name="Frame6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230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150"/>
        <w:gridCol w:w="150"/>
        <w:gridCol w:w="150"/>
        <w:gridCol w:w="145"/>
        <w:gridCol w:w="145"/>
        <w:gridCol w:w="20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6"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47445"/>
                <wp:effectExtent l="0" t="0" r="0" b="0"/>
                <wp:wrapNone/>
                <wp:docPr id="70" name="Frame6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tbl>
      <w:tblPr>
        <w:tblW w:w="230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150"/>
        <w:gridCol w:w="150"/>
        <w:gridCol w:w="150"/>
        <w:gridCol w:w="145"/>
        <w:gridCol w:w="145"/>
        <w:gridCol w:w="20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8"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8"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bottom w:val="single" w:sz="4" w:space="0" w:color="000000"/>
              <w:right w:val="single" w:sz="4" w:space="0" w:color="000000"/>
            </w:tcBorders>
            <w:shd w:fill="BEBEBE"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47445"/>
                <wp:effectExtent l="0" t="0" r="0" b="0"/>
                <wp:wrapNone/>
                <wp:docPr id="71" name="Frame7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7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435"/>
        <w:gridCol w:w="435"/>
        <w:gridCol w:w="6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91"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91"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2887" w:type="dxa"/>
            <w:gridSpan w:val="12"/>
            <w:tcBorders>
              <w:top w:val="single" w:sz="4" w:space="0" w:color="000000"/>
              <w:left w:val="single" w:sz="4" w:space="0" w:color="000000"/>
              <w:bottom w:val="single" w:sz="4" w:space="0" w:color="000000"/>
            </w:tcBorders>
            <w:shd w:fill="C0C0C0" w:val="clear"/>
            <w:tcMar>
              <w:top w:w="30" w:type="dxa"/>
              <w:bottom w:w="30" w:type="dxa"/>
              <w:right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47445"/>
                <wp:effectExtent l="0" t="0" r="0" b="0"/>
                <wp:wrapNone/>
                <wp:docPr id="72" name="Frame7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Arial;sans-serif" w:hAnsi="Arial;sans-serif"/>
          <w:b/>
          <w:color w:val="000000"/>
          <w:sz w:val="20"/>
        </w:rPr>
        <w:t>AMENDMENT 3</w:t>
        <w:br/>
      </w:r>
      <w:r>
        <w:rPr>
          <w:rFonts w:ascii="Arial;sans-serif" w:hAnsi="Arial;sans-serif"/>
          <w:b w:val="false"/>
          <w:color w:val="000000"/>
          <w:sz w:val="20"/>
        </w:rPr>
        <w:t>to</w:t>
        <w:br/>
      </w:r>
      <w:r>
        <w:rPr>
          <w:rFonts w:ascii="Arial;sans-serif" w:hAnsi="Arial;sans-serif"/>
          <w:b/>
          <w:color w:val="000000"/>
          <w:sz w:val="20"/>
        </w:rPr>
        <w:t>GRANT AGREEMENT</w:t>
        <w:br/>
      </w:r>
      <w:r>
        <w:rPr>
          <w:rFonts w:ascii="Arial;sans-serif" w:hAnsi="Arial;sans-serif"/>
          <w:b w:val="false"/>
          <w:color w:val="000000"/>
          <w:sz w:val="20"/>
        </w:rP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62"/>
        <w:gridCol w:w="581"/>
        <w:gridCol w:w="531"/>
        <w:gridCol w:w="2468"/>
        <w:gridCol w:w="2455"/>
        <w:gridCol w:w="3408"/>
      </w:tblGrid>
      <w:tr>
        <w:trPr/>
        <w:tc>
          <w:tcPr>
            <w:tcW w:w="7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 ID INV-026060</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1" w:before="0" w:after="0"/>
              <w:jc w:val="left"/>
              <w:rPr>
                <w:color w:val="000000"/>
              </w:rPr>
            </w:pPr>
            <w:r>
              <w:rPr>
                <w:color w:val="000000"/>
              </w:rPr>
              <w:t>“</w:t>
            </w:r>
            <w:r>
              <w:rPr>
                <w:rFonts w:ascii="Arial;sans-serif" w:hAnsi="Arial;sans-serif"/>
                <w:b w:val="false"/>
                <w:color w:val="000000"/>
                <w:sz w:val="20"/>
              </w:rPr>
              <w:t>Amendment Date”:</w:t>
            </w:r>
          </w:p>
        </w:tc>
        <w:tc>
          <w:tcPr>
            <w:tcW w:w="83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1" w:before="0" w:after="0"/>
              <w:jc w:val="left"/>
              <w:rPr>
                <w:rFonts w:ascii="Arial;sans-serif" w:hAnsi="Arial;sans-serif"/>
                <w:b w:val="false"/>
                <w:color w:val="000000"/>
                <w:sz w:val="20"/>
              </w:rPr>
            </w:pPr>
            <w:r>
              <w:rPr>
                <w:rFonts w:ascii="Arial;sans-serif" w:hAnsi="Arial;sans-serif"/>
                <w:b w:val="false"/>
                <w:color w:val="000000"/>
                <w:sz w:val="20"/>
              </w:rPr>
              <w:t>Date of this email</w:t>
            </w:r>
          </w:p>
        </w:tc>
      </w:tr>
    </w:tbl>
    <w:p>
      <w:pPr>
        <w:pStyle w:val="TextBody"/>
        <w:bidi w:val="0"/>
        <w:spacing w:lineRule="auto" w:line="288" w:before="200" w:after="200"/>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lineRule="auto" w:line="288" w:before="200" w:after="200"/>
        <w:jc w:val="left"/>
        <w:rPr/>
      </w:pPr>
      <w:r>
        <w:rPr>
          <w:rFonts w:ascii="Arial;sans-serif" w:hAnsi="Arial;sans-serif"/>
          <w:b/>
          <w:color w:val="000000"/>
          <w:sz w:val="20"/>
        </w:rPr>
        <w:t>REPORTING &amp; PAYMENT SCHEDULE</w:t>
        <w:br/>
      </w: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tbl>
      <w:tblPr>
        <w:tblW w:w="10205" w:type="dxa"/>
        <w:jc w:val="left"/>
        <w:tblInd w:w="0" w:type="dxa"/>
        <w:tblLayout w:type="fixed"/>
        <w:tblCellMar>
          <w:top w:w="28" w:type="dxa"/>
          <w:left w:w="28" w:type="dxa"/>
          <w:bottom w:w="28" w:type="dxa"/>
          <w:right w:w="28" w:type="dxa"/>
        </w:tblCellMar>
      </w:tblPr>
      <w:tblGrid>
        <w:gridCol w:w="614"/>
        <w:gridCol w:w="540"/>
        <w:gridCol w:w="542"/>
        <w:gridCol w:w="1271"/>
        <w:gridCol w:w="1266"/>
        <w:gridCol w:w="1269"/>
        <w:gridCol w:w="247"/>
        <w:gridCol w:w="247"/>
        <w:gridCol w:w="249"/>
        <w:gridCol w:w="448"/>
        <w:gridCol w:w="446"/>
        <w:gridCol w:w="448"/>
        <w:gridCol w:w="332"/>
        <w:gridCol w:w="2040"/>
        <w:gridCol w:w="24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6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1" w:after="283"/>
              <w:ind w:left="0" w:right="0" w:firstLine="45"/>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center"/>
              <w:rPr>
                <w:rFonts w:ascii="Arial;sans-serif" w:hAnsi="Arial;sans-serif"/>
                <w:b w:val="false"/>
                <w:i/>
                <w:color w:val="000000"/>
                <w:sz w:val="20"/>
              </w:rPr>
            </w:pPr>
            <w:r>
              <w:rPr>
                <w:rFonts w:ascii="Arial;sans-serif" w:hAnsi="Arial;sans-serif"/>
                <w:b w:val="false"/>
                <w:i/>
                <w:color w:val="000000"/>
                <w:sz w:val="20"/>
              </w:rPr>
              <w:t>Due By</w:t>
            </w:r>
          </w:p>
        </w:tc>
        <w:tc>
          <w:tcPr>
            <w:tcW w:w="1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center"/>
              <w:rPr>
                <w:rFonts w:ascii="Arial;sans-serif" w:hAnsi="Arial;sans-serif"/>
                <w:b w:val="false"/>
                <w:i/>
                <w:color w:val="000000"/>
                <w:sz w:val="20"/>
              </w:rPr>
            </w:pPr>
            <w:r>
              <w:rPr>
                <w:rFonts w:ascii="Arial;sans-serif" w:hAnsi="Arial;sans-serif"/>
                <w:b w:val="false"/>
                <w:i/>
                <w:color w:val="000000"/>
                <w:sz w:val="20"/>
              </w:rPr>
              <w:t>Payment Date</w:t>
            </w:r>
          </w:p>
        </w:tc>
        <w:tc>
          <w:tcPr>
            <w:tcW w:w="2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1" w:after="283"/>
              <w:ind w:left="0" w:right="0" w:firstLine="295"/>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8" w:after="283"/>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4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8" w:after="283"/>
              <w:jc w:val="center"/>
              <w:rPr>
                <w:rFonts w:ascii="Arial;sans-serif" w:hAnsi="Arial;sans-serif"/>
                <w:b w:val="false"/>
                <w:color w:val="000000"/>
                <w:sz w:val="20"/>
              </w:rPr>
            </w:pPr>
            <w:r>
              <w:rPr>
                <w:rFonts w:ascii="Arial;sans-serif" w:hAnsi="Arial;sans-serif"/>
                <w:b w:val="false"/>
                <w:color w:val="000000"/>
                <w:sz w:val="20"/>
              </w:rPr>
              <w:t>July 2021</w:t>
            </w:r>
          </w:p>
        </w:tc>
        <w:tc>
          <w:tcPr>
            <w:tcW w:w="2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8" w:after="283"/>
              <w:jc w:val="right"/>
              <w:rPr>
                <w:rFonts w:ascii="Arial;sans-serif" w:hAnsi="Arial;sans-serif"/>
                <w:b w:val="false"/>
                <w:color w:val="000000"/>
                <w:sz w:val="20"/>
              </w:rPr>
            </w:pPr>
            <w:r>
              <w:rPr>
                <w:rFonts w:ascii="Arial;sans-serif" w:hAnsi="Arial;sans-serif"/>
                <w:b w:val="false"/>
                <w:color w:val="000000"/>
                <w:sz w:val="20"/>
              </w:rPr>
              <w:t>$11,453,099.00</w:t>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2022</w:t>
            </w:r>
          </w:p>
        </w:tc>
        <w:tc>
          <w:tcPr>
            <w:tcW w:w="332"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7,960,608.00 </w:t>
            </w:r>
          </w:p>
        </w:tc>
        <w:tc>
          <w:tcPr>
            <w:tcW w:w="246"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restart"/>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2618"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continue"/>
            <w:tcBorders>
              <w:top w:val="single" w:sz="4" w:space="0" w:color="000000"/>
              <w:left w:val="single" w:sz="4" w:space="0" w:color="000000"/>
            </w:tcBorders>
            <w:tcMar>
              <w:top w:w="30" w:type="dxa"/>
              <w:left w:w="74"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261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6" w:type="dxa"/>
            <w:gridSpan w:val="3"/>
            <w:vMerge w:val="continue"/>
            <w:tcBorders>
              <w:top w:val="single" w:sz="4" w:space="0" w:color="000000"/>
              <w:left w:val="single" w:sz="4" w:space="0" w:color="000000"/>
            </w:tcBorders>
            <w:tcMar>
              <w:top w:w="30" w:type="dxa"/>
              <w:left w:w="74"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342"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261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2022</w:t>
            </w:r>
          </w:p>
        </w:tc>
        <w:tc>
          <w:tcPr>
            <w:tcW w:w="261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$4,436,204.00</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972185"/>
                <wp:effectExtent l="0" t="0" r="0" b="0"/>
                <wp:wrapNone/>
                <wp:docPr id="73" name="Frame72"/>
                <a:graphic xmlns:a="http://schemas.openxmlformats.org/drawingml/2006/main">
                  <a:graphicData uri="http://schemas.microsoft.com/office/word/2010/wordprocessingShape">
                    <wps:wsp>
                      <wps:cNvSpPr txBox="1"/>
                      <wps:spPr>
                        <a:xfrm>
                          <a:off x="0" y="0"/>
                          <a:ext cx="6480175" cy="972185"/>
                        </a:xfrm>
                        <a:prstGeom prst="rect"/>
                        <a:solidFill>
                          <a:srgbClr val="FFFFFF"/>
                        </a:solidFill>
                      </wps:spPr>
                      <wps:txb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55pt;mso-wrap-distance-left:0pt;mso-wrap-distance-right:0pt;mso-wrap-distance-top:0pt;mso-wrap-distance-bottom:0pt;margin-top:0pt;mso-position-vertical:top;mso-position-vertical-relative:text;margin-left:0pt;mso-position-horizontal:left;mso-position-horizontal-relative:text">
                <v:textbo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09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359"/>
        <w:gridCol w:w="359"/>
        <w:gridCol w:w="361"/>
        <w:gridCol w:w="211"/>
        <w:gridCol w:w="1291"/>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September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2023</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Scheduled:</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April 2024</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0"/>
              <w:jc w:val="right"/>
              <w:rPr/>
            </w:pPr>
            <w:r>
              <w:rPr/>
            </w:r>
          </w:p>
        </w:tc>
      </w:tr>
    </w:tbl>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47445"/>
                <wp:effectExtent l="0" t="0" r="0" b="0"/>
                <wp:wrapNone/>
                <wp:docPr id="74" name="Frame7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31" w:type="dxa"/>
        <w:jc w:val="left"/>
        <w:tblInd w:w="0" w:type="dxa"/>
        <w:tblLayout w:type="fixed"/>
        <w:tblCellMar>
          <w:top w:w="28" w:type="dxa"/>
          <w:left w:w="28" w:type="dxa"/>
          <w:bottom w:w="28" w:type="dxa"/>
          <w:right w:w="28" w:type="dxa"/>
        </w:tblCellMar>
      </w:tblPr>
      <w:tblGrid>
        <w:gridCol w:w="268"/>
        <w:gridCol w:w="236"/>
        <w:gridCol w:w="236"/>
        <w:gridCol w:w="239"/>
        <w:gridCol w:w="239"/>
        <w:gridCol w:w="239"/>
        <w:gridCol w:w="239"/>
        <w:gridCol w:w="239"/>
        <w:gridCol w:w="239"/>
        <w:gridCol w:w="239"/>
        <w:gridCol w:w="239"/>
        <w:gridCol w:w="239"/>
        <w:gridCol w:w="597"/>
        <w:gridCol w:w="597"/>
        <w:gridCol w:w="846"/>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740"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14"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204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14"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left"/>
              <w:rPr>
                <w:sz w:val="4"/>
                <w:szCs w:val="4"/>
              </w:rPr>
            </w:pPr>
            <w:r>
              <w:rPr>
                <w:sz w:val="4"/>
                <w:szCs w:val="4"/>
              </w:rPr>
            </w:r>
          </w:p>
        </w:tc>
        <w:tc>
          <w:tcPr>
            <w:tcW w:w="204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717"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2891" w:type="dxa"/>
            <w:gridSpan w:val="12"/>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112" w:after="283"/>
              <w:jc w:val="left"/>
              <w:rPr>
                <w:rFonts w:ascii="Arial;sans-serif" w:hAnsi="Arial;sans-serif"/>
                <w:b/>
                <w:color w:val="000000"/>
                <w:sz w:val="20"/>
              </w:rPr>
            </w:pPr>
            <w:r>
              <w:rPr>
                <w:rFonts w:ascii="Arial;sans-serif" w:hAnsi="Arial;sans-serif"/>
                <w:b/>
                <w:color w:val="000000"/>
                <w:sz w:val="20"/>
              </w:rPr>
              <w:t>Amended Total Grant Amount</w:t>
            </w:r>
          </w:p>
        </w:tc>
        <w:tc>
          <w:tcPr>
            <w:tcW w:w="2040"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tLeast" w:line="227" w:before="0" w:after="0"/>
              <w:jc w:val="right"/>
              <w:rPr>
                <w:rFonts w:ascii="Arial;sans-serif" w:hAnsi="Arial;sans-serif"/>
                <w:b/>
                <w:color w:val="000000"/>
                <w:sz w:val="20"/>
              </w:rPr>
            </w:pPr>
            <w:r>
              <w:rPr>
                <w:rFonts w:ascii="Arial;sans-serif" w:hAnsi="Arial;sans-serif"/>
                <w:b/>
                <w:color w:val="000000"/>
                <w:sz w:val="20"/>
              </w:rPr>
              <w:t>Up to $48,945,928.00</w:t>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47445"/>
                <wp:effectExtent l="0" t="0" r="0" b="0"/>
                <wp:wrapNone/>
                <wp:docPr id="75" name="Frame7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82" w:after="283"/>
        <w:jc w:val="center"/>
        <w:rPr>
          <w:rFonts w:ascii="Arial;sans-serif" w:hAnsi="Arial;sans-serif"/>
          <w:b/>
          <w:color w:val="000000"/>
          <w:sz w:val="20"/>
        </w:rPr>
      </w:pPr>
      <w:r>
        <w:rPr>
          <w:rFonts w:ascii="Arial;sans-serif" w:hAnsi="Arial;sans-serif"/>
          <w:b/>
          <w:color w:val="000000"/>
          <w:sz w:val="20"/>
        </w:rPr>
        <w:t>AMENDMENT 4</w:t>
      </w:r>
    </w:p>
    <w:p>
      <w:pPr>
        <w:pStyle w:val="TextBody"/>
        <w:bidi w:val="0"/>
        <w:spacing w:lineRule="atLeast" w:line="229" w:before="1" w:after="283"/>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tLeast" w:line="229"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3" w:after="283"/>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228" w:after="283"/>
        <w:jc w:val="center"/>
        <w:rPr>
          <w:rFonts w:ascii="Arial;sans-serif" w:hAnsi="Arial;sans-serif"/>
          <w:b/>
          <w:color w:val="000000"/>
          <w:sz w:val="20"/>
          <w:u w:val="single"/>
        </w:rPr>
      </w:pPr>
      <w:r>
        <w:rPr>
          <w:rFonts w:ascii="Arial;sans-serif" w:hAnsi="Arial;sans-serif"/>
          <w:b/>
          <w:color w:val="000000"/>
          <w:sz w:val="20"/>
          <w:u w:val="single"/>
        </w:rPr>
        <w:t>AMENDMENT SUMMARY PAGE</w:t>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778"/>
        <w:gridCol w:w="605"/>
        <w:gridCol w:w="560"/>
        <w:gridCol w:w="2443"/>
        <w:gridCol w:w="2431"/>
        <w:gridCol w:w="3388"/>
      </w:tblGrid>
      <w:tr>
        <w:trPr/>
        <w:tc>
          <w:tcPr>
            <w:tcW w:w="7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w:t>
            </w:r>
          </w:p>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ID INV-026060</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9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1"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1" w:before="0" w:after="0"/>
              <w:jc w:val="left"/>
              <w:rPr>
                <w:rFonts w:ascii="Arial;sans-serif" w:hAnsi="Arial;sans-serif"/>
                <w:b w:val="false"/>
                <w:color w:val="000000"/>
                <w:sz w:val="20"/>
              </w:rPr>
            </w:pPr>
            <w:r>
              <w:rPr>
                <w:rFonts w:ascii="Arial;sans-serif" w:hAnsi="Arial;sans-serif"/>
                <w:b w:val="false"/>
                <w:color w:val="000000"/>
                <w:sz w:val="20"/>
              </w:rPr>
              <w:t>Date of this email</w:t>
            </w:r>
          </w:p>
        </w:tc>
      </w:tr>
    </w:tbl>
    <w:p>
      <w:pPr>
        <w:pStyle w:val="TextBody"/>
        <w:bidi w:val="0"/>
        <w:spacing w:lineRule="auto" w:line="288" w:before="228" w:after="283"/>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3" w:after="283"/>
        <w:jc w:val="both"/>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10" w:after="1"/>
        <w:jc w:val="left"/>
        <w:rPr/>
      </w:pPr>
      <w:r>
        <w:rPr/>
      </w:r>
    </w:p>
    <w:tbl>
      <w:tblPr>
        <w:tblW w:w="10205" w:type="dxa"/>
        <w:jc w:val="left"/>
        <w:tblInd w:w="0" w:type="dxa"/>
        <w:tblLayout w:type="fixed"/>
        <w:tblCellMar>
          <w:top w:w="28" w:type="dxa"/>
          <w:left w:w="28" w:type="dxa"/>
          <w:bottom w:w="28" w:type="dxa"/>
          <w:right w:w="28" w:type="dxa"/>
        </w:tblCellMar>
      </w:tblPr>
      <w:tblGrid>
        <w:gridCol w:w="612"/>
        <w:gridCol w:w="538"/>
        <w:gridCol w:w="540"/>
        <w:gridCol w:w="1265"/>
        <w:gridCol w:w="1234"/>
        <w:gridCol w:w="1234"/>
        <w:gridCol w:w="246"/>
        <w:gridCol w:w="246"/>
        <w:gridCol w:w="247"/>
        <w:gridCol w:w="483"/>
        <w:gridCol w:w="481"/>
        <w:gridCol w:w="484"/>
        <w:gridCol w:w="329"/>
        <w:gridCol w:w="2020"/>
        <w:gridCol w:w="246"/>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6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43" w:after="283"/>
              <w:jc w:val="left"/>
              <w:rPr>
                <w:rFonts w:ascii="Arial;sans-serif" w:hAnsi="Arial;sans-serif"/>
                <w:b w:val="false"/>
                <w:i/>
                <w:color w:val="000000"/>
                <w:sz w:val="19"/>
              </w:rPr>
            </w:pPr>
            <w:r>
              <w:rPr>
                <w:rFonts w:ascii="Arial;sans-serif" w:hAnsi="Arial;sans-serif"/>
                <w:b w:val="false"/>
                <w:i/>
                <w:color w:val="000000"/>
                <w:sz w:val="19"/>
              </w:rPr>
              <w:t>Investment Period</w:t>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5" w:after="283"/>
              <w:ind w:left="0" w:right="0" w:hanging="836"/>
              <w:jc w:val="left"/>
              <w:rPr>
                <w:rFonts w:ascii="Arial;sans-serif" w:hAnsi="Arial;sans-serif"/>
                <w:b w:val="false"/>
                <w:i/>
                <w:color w:val="000000"/>
                <w:sz w:val="19"/>
              </w:rPr>
            </w:pPr>
            <w:r>
              <w:rPr>
                <w:rFonts w:ascii="Arial;sans-serif" w:hAnsi="Arial;sans-serif"/>
                <w:b w:val="false"/>
                <w:i/>
                <w:color w:val="000000"/>
                <w:sz w:val="19"/>
              </w:rPr>
              <w:t>Target, Milestone, or Reporting Deliverable</w:t>
            </w:r>
          </w:p>
        </w:tc>
        <w:tc>
          <w:tcPr>
            <w:tcW w:w="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43" w:after="283"/>
              <w:jc w:val="center"/>
              <w:rPr>
                <w:rFonts w:ascii="Arial;sans-serif" w:hAnsi="Arial;sans-serif"/>
                <w:b w:val="false"/>
                <w:i/>
                <w:color w:val="000000"/>
                <w:sz w:val="19"/>
              </w:rPr>
            </w:pPr>
            <w:r>
              <w:rPr>
                <w:rFonts w:ascii="Arial;sans-serif" w:hAnsi="Arial;sans-serif"/>
                <w:b w:val="false"/>
                <w:i/>
                <w:color w:val="000000"/>
                <w:sz w:val="19"/>
              </w:rPr>
              <w:t>Due By</w:t>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5" w:after="283"/>
              <w:ind w:left="0" w:right="0" w:hanging="176"/>
              <w:jc w:val="left"/>
              <w:rPr>
                <w:rFonts w:ascii="Arial;sans-serif" w:hAnsi="Arial;sans-serif"/>
                <w:b w:val="false"/>
                <w:i/>
                <w:color w:val="000000"/>
                <w:sz w:val="19"/>
              </w:rPr>
            </w:pPr>
            <w:r>
              <w:rPr>
                <w:rFonts w:ascii="Arial;sans-serif" w:hAnsi="Arial;sans-serif"/>
                <w:b w:val="false"/>
                <w:i/>
                <w:color w:val="000000"/>
                <w:sz w:val="19"/>
              </w:rPr>
              <w:t>Payment Date</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5" w:after="283"/>
              <w:ind w:left="0" w:right="0" w:firstLine="280"/>
              <w:jc w:val="left"/>
              <w:rPr>
                <w:rFonts w:ascii="Arial;sans-serif" w:hAnsi="Arial;sans-serif"/>
                <w:b w:val="false"/>
                <w:i/>
                <w:color w:val="000000"/>
                <w:sz w:val="19"/>
              </w:rPr>
            </w:pPr>
            <w:r>
              <w:rPr>
                <w:rFonts w:ascii="Arial;sans-serif" w:hAnsi="Arial;sans-serif"/>
                <w:b w:val="false"/>
                <w:i/>
                <w:color w:val="000000"/>
                <w:sz w:val="19"/>
              </w:rPr>
              <w:t>Payment Amount (U.S.$)</w:t>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2" w:after="283"/>
              <w:jc w:val="left"/>
              <w:rPr>
                <w:rFonts w:ascii="Arial;sans-serif" w:hAnsi="Arial;sans-serif"/>
                <w:b w:val="false"/>
                <w:color w:val="000000"/>
                <w:sz w:val="19"/>
              </w:rPr>
            </w:pPr>
            <w:r>
              <w:rPr>
                <w:rFonts w:ascii="Arial;sans-serif" w:hAnsi="Arial;sans-serif"/>
                <w:b w:val="false"/>
                <w:color w:val="000000"/>
                <w:sz w:val="19"/>
              </w:rPr>
              <w:t>Countersigned Agreement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2" w:after="283"/>
              <w:jc w:val="left"/>
              <w:rPr>
                <w:rFonts w:ascii="Arial;sans-serif" w:hAnsi="Arial;sans-serif"/>
                <w:b w:val="false"/>
                <w:color w:val="000000"/>
                <w:sz w:val="19"/>
              </w:rPr>
            </w:pPr>
            <w:r>
              <w:rPr>
                <w:rFonts w:ascii="Arial;sans-serif" w:hAnsi="Arial;sans-serif"/>
                <w:b w:val="false"/>
                <w:color w:val="000000"/>
                <w:sz w:val="19"/>
              </w:rPr>
              <w:t>July 2021</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2" w:after="283"/>
              <w:jc w:val="right"/>
              <w:rPr>
                <w:rFonts w:ascii="Arial;sans-serif" w:hAnsi="Arial;sans-serif"/>
                <w:b w:val="false"/>
                <w:color w:val="000000"/>
                <w:sz w:val="19"/>
              </w:rPr>
            </w:pPr>
            <w:r>
              <w:rPr>
                <w:rFonts w:ascii="Arial;sans-serif" w:hAnsi="Arial;sans-serif"/>
                <w:b w:val="false"/>
                <w:color w:val="000000"/>
                <w:sz w:val="19"/>
              </w:rPr>
              <w:t>$11,453,099.00</w:t>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448"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July 2022</w:t>
            </w:r>
          </w:p>
        </w:tc>
        <w:tc>
          <w:tcPr>
            <w:tcW w:w="329"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20"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7,960,608.00 </w:t>
            </w:r>
          </w:p>
        </w:tc>
        <w:tc>
          <w:tcPr>
            <w:tcW w:w="246"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restart"/>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448"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2595"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4" w:space="0" w:color="000000"/>
              <w:left w:val="single" w:sz="4" w:space="0" w:color="000000"/>
            </w:tcBorders>
            <w:tcMar>
              <w:top w:w="30" w:type="dxa"/>
              <w:left w:w="74"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2595"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0" w:type="dxa"/>
            <w:gridSpan w:val="3"/>
            <w:vMerge w:val="continue"/>
            <w:tcBorders>
              <w:top w:val="single" w:sz="4" w:space="0" w:color="000000"/>
              <w:left w:val="single" w:sz="4" w:space="0" w:color="000000"/>
            </w:tcBorders>
            <w:tcMar>
              <w:top w:w="30" w:type="dxa"/>
              <w:left w:w="74"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4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2595"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26"/>
              <w:jc w:val="left"/>
              <w:rPr>
                <w:rFonts w:ascii="Arial;sans-serif" w:hAnsi="Arial;sans-serif"/>
                <w:b w:val="false"/>
                <w:color w:val="000000"/>
                <w:sz w:val="19"/>
              </w:rPr>
            </w:pPr>
            <w:r>
              <w:rPr>
                <w:rFonts w:ascii="Arial;sans-serif" w:hAnsi="Arial;sans-serif"/>
                <w:b w:val="false"/>
                <w:color w:val="000000"/>
                <w:sz w:val="19"/>
              </w:rPr>
              <w:t>November 2022</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$4,436,204.00</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72185"/>
                <wp:effectExtent l="0" t="0" r="0" b="0"/>
                <wp:wrapNone/>
                <wp:docPr id="76" name="Frame75"/>
                <a:graphic xmlns:a="http://schemas.openxmlformats.org/drawingml/2006/main">
                  <a:graphicData uri="http://schemas.microsoft.com/office/word/2010/wordprocessingShape">
                    <wps:wsp>
                      <wps:cNvSpPr txBox="1"/>
                      <wps:spPr>
                        <a:xfrm>
                          <a:off x="0" y="0"/>
                          <a:ext cx="6480175" cy="972185"/>
                        </a:xfrm>
                        <a:prstGeom prst="rect"/>
                        <a:solidFill>
                          <a:srgbClr val="FFFFFF"/>
                        </a:solidFill>
                      </wps:spPr>
                      <wps:txb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55pt;mso-wrap-distance-left:0pt;mso-wrap-distance-right:0pt;mso-wrap-distance-top:0pt;mso-wrap-distance-bottom:0pt;margin-top:0pt;mso-position-vertical:top;mso-position-vertical-relative:text;margin-left:0pt;mso-position-horizontal:left;mso-position-horizontal-relative:text">
                <v:textbox>
                  <w:txbxContent>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4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211"/>
        <w:gridCol w:w="1291"/>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52"/>
              <w:jc w:val="center"/>
              <w:rPr>
                <w:rFonts w:ascii="Arial;sans-serif" w:hAnsi="Arial;sans-serif"/>
                <w:b w:val="false"/>
                <w:color w:val="000000"/>
                <w:sz w:val="19"/>
              </w:rPr>
            </w:pPr>
            <w:r>
              <w:rPr>
                <w:rFonts w:ascii="Arial;sans-serif" w:hAnsi="Arial;sans-serif"/>
                <w:b w:val="false"/>
                <w:color w:val="000000"/>
                <w:sz w:val="19"/>
              </w:rPr>
              <w:t>September 2023</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April 2024</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ind w:left="0" w:right="0" w:hanging="226"/>
              <w:jc w:val="center"/>
              <w:rPr>
                <w:rFonts w:ascii="Arial;sans-serif" w:hAnsi="Arial;sans-serif"/>
                <w:b w:val="false"/>
                <w:color w:val="000000"/>
                <w:sz w:val="19"/>
              </w:rPr>
            </w:pPr>
            <w:r>
              <w:rPr>
                <w:rFonts w:ascii="Arial;sans-serif" w:hAnsi="Arial;sans-serif"/>
                <w:b w:val="false"/>
                <w:color w:val="000000"/>
                <w:sz w:val="19"/>
              </w:rPr>
              <w:t>November 2024</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2,500,000.00 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w:t>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656"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w:t>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left w:w="68" w:type="dxa"/>
              <w:bottom w:w="3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47445"/>
                <wp:effectExtent l="0" t="0" r="0" b="0"/>
                <wp:wrapNone/>
                <wp:docPr id="77" name="Frame7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437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435"/>
        <w:gridCol w:w="435"/>
        <w:gridCol w:w="6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4"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55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vMerge w:val="restart"/>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558"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558"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bottom w:val="single" w:sz="4" w:space="0" w:color="000000"/>
              <w:right w:val="single" w:sz="4" w:space="0" w:color="000000"/>
            </w:tcBorders>
            <w:tcMar>
              <w:top w:w="30" w:type="dxa"/>
              <w:left w:w="68" w:type="dxa"/>
              <w:bottom w:w="3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558" w:type="dxa"/>
            <w:gridSpan w:val="3"/>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2887" w:type="dxa"/>
            <w:gridSpan w:val="12"/>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112" w:after="283"/>
              <w:jc w:val="lef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tLeast" w:line="227" w:before="0" w:after="0"/>
              <w:jc w:val="right"/>
              <w:rPr>
                <w:rFonts w:ascii="Arial;sans-serif" w:hAnsi="Arial;sans-serif"/>
                <w:b/>
                <w:color w:val="000000"/>
                <w:sz w:val="20"/>
              </w:rPr>
            </w:pPr>
            <w:r>
              <w:rPr>
                <w:rFonts w:ascii="Arial;sans-serif" w:hAnsi="Arial;sans-serif"/>
                <w:b/>
                <w:color w:val="000000"/>
                <w:sz w:val="20"/>
              </w:rPr>
              <w:t>Up to</w:t>
            </w:r>
          </w:p>
          <w:p>
            <w:pPr>
              <w:pStyle w:val="TableContents"/>
              <w:bidi w:val="0"/>
              <w:spacing w:lineRule="atLeast" w:line="213" w:before="0" w:after="0"/>
              <w:jc w:val="right"/>
              <w:rPr>
                <w:rFonts w:ascii="Arial;sans-serif" w:hAnsi="Arial;sans-serif"/>
                <w:b/>
                <w:color w:val="000000"/>
                <w:sz w:val="20"/>
              </w:rPr>
            </w:pPr>
            <w:r>
              <w:rPr>
                <w:rFonts w:ascii="Arial;sans-serif" w:hAnsi="Arial;sans-serif"/>
                <w:b/>
                <w:color w:val="000000"/>
                <w:sz w:val="20"/>
              </w:rPr>
              <w:t>$48,945,928.00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47445"/>
                <wp:effectExtent l="0" t="0" r="0" b="0"/>
                <wp:wrapNone/>
                <wp:docPr id="78" name="Frame7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819"/>
                        <w:gridCol w:w="720"/>
                        <w:gridCol w:w="725"/>
                        <w:gridCol w:w="185"/>
                        <w:gridCol w:w="185"/>
                        <w:gridCol w:w="185"/>
                        <w:gridCol w:w="558"/>
                        <w:gridCol w:w="558"/>
                        <w:gridCol w:w="78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Arial;sans-serif" w:hAnsi="Arial;sans-serif"/>
          <w:b/>
          <w:color w:val="000000"/>
          <w:sz w:val="20"/>
        </w:rPr>
        <w:t>AMENDMENT 5</w:t>
      </w:r>
      <w:r>
        <w:rPr>
          <w:rFonts w:ascii="Arial;sans-serif" w:hAnsi="Arial;sans-serif"/>
          <w:b w:val="false"/>
          <w:color w:val="000000"/>
          <w:sz w:val="20"/>
        </w:rPr>
        <w:br/>
        <w:t>to</w:t>
        <w:br/>
      </w:r>
      <w:r>
        <w:rPr>
          <w:rFonts w:ascii="Arial;sans-serif" w:hAnsi="Arial;sans-serif"/>
          <w:b/>
          <w:color w:val="000000"/>
          <w:sz w:val="20"/>
        </w:rPr>
        <w:t>GRANT AGREEMENT</w:t>
        <w:br/>
      </w:r>
      <w:r>
        <w:rPr>
          <w:rFonts w:ascii="Arial;sans-serif" w:hAnsi="Arial;sans-serif"/>
          <w:b w:val="false"/>
          <w:color w:val="000000"/>
          <w:sz w:val="20"/>
        </w:rP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53"/>
        <w:gridCol w:w="496"/>
        <w:gridCol w:w="484"/>
        <w:gridCol w:w="2550"/>
        <w:gridCol w:w="2474"/>
        <w:gridCol w:w="3448"/>
      </w:tblGrid>
      <w:tr>
        <w:trPr/>
        <w:tc>
          <w:tcPr>
            <w:tcW w:w="75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283"/>
              <w:jc w:val="left"/>
              <w:rPr>
                <w:rFonts w:ascii="Arial;sans-serif" w:hAnsi="Arial;sans-serif"/>
                <w:b/>
                <w:color w:val="000000"/>
                <w:sz w:val="21"/>
              </w:rPr>
            </w:pPr>
            <w:r>
              <w:rPr>
                <w:rFonts w:ascii="Arial;sans-serif" w:hAnsi="Arial;sans-serif"/>
                <w:b/>
                <w:color w:val="000000"/>
                <w:sz w:val="21"/>
              </w:rPr>
              <w:t>AMENDMENT INFORMATION</w:t>
            </w:r>
          </w:p>
        </w:tc>
      </w:tr>
      <w:tr>
        <w:trPr/>
        <w:tc>
          <w:tcPr>
            <w:tcW w:w="17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47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Grant agreement between the Gates Foundation, formerly known as the Bill &amp; Melinda Gates Foundation, and Dare Bioscience, Inc., effective June 30, 2021, as amended, and bearing Investment ID INV-026060</w:t>
            </w:r>
          </w:p>
        </w:tc>
      </w:tr>
      <w:tr>
        <w:trPr/>
        <w:tc>
          <w:tcPr>
            <w:tcW w:w="17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Amendment Purpose:</w:t>
            </w:r>
          </w:p>
        </w:tc>
        <w:tc>
          <w:tcPr>
            <w:tcW w:w="847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7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472"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July 2, 2025</w:t>
            </w:r>
          </w:p>
        </w:tc>
      </w:tr>
    </w:tbl>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tbl>
      <w:tblPr>
        <w:tblW w:w="8790" w:type="dxa"/>
        <w:jc w:val="left"/>
        <w:tblInd w:w="0" w:type="dxa"/>
        <w:tblLayout w:type="fixed"/>
        <w:tblCellMar>
          <w:top w:w="28" w:type="dxa"/>
          <w:left w:w="28" w:type="dxa"/>
          <w:bottom w:w="28" w:type="dxa"/>
          <w:right w:w="28" w:type="dxa"/>
        </w:tblCellMar>
      </w:tblPr>
      <w:tblGrid>
        <w:gridCol w:w="418"/>
        <w:gridCol w:w="368"/>
        <w:gridCol w:w="369"/>
        <w:gridCol w:w="1269"/>
        <w:gridCol w:w="1269"/>
        <w:gridCol w:w="1272"/>
        <w:gridCol w:w="250"/>
        <w:gridCol w:w="250"/>
        <w:gridCol w:w="250"/>
        <w:gridCol w:w="449"/>
        <w:gridCol w:w="449"/>
        <w:gridCol w:w="451"/>
        <w:gridCol w:w="504"/>
        <w:gridCol w:w="504"/>
        <w:gridCol w:w="71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8790"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300" w:before="0" w:after="283"/>
              <w:jc w:val="left"/>
              <w:rPr>
                <w:rFonts w:ascii="Arial;sans-serif" w:hAnsi="Arial;sans-serif"/>
                <w:b/>
                <w:color w:val="000000"/>
                <w:sz w:val="21"/>
              </w:rPr>
            </w:pPr>
            <w:r>
              <w:rPr>
                <w:rFonts w:ascii="Arial;sans-serif" w:hAnsi="Arial;sans-serif"/>
                <w:b/>
                <w:color w:val="000000"/>
                <w:sz w:val="21"/>
              </w:rPr>
              <w:t>REPORTING &amp; PAYMENT SCHEDULE</w:t>
            </w:r>
          </w:p>
        </w:tc>
      </w:tr>
      <w:tr>
        <w:trPr/>
        <w:tc>
          <w:tcPr>
            <w:tcW w:w="11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xml:space="preserve">Investment </w:t>
              <w:br/>
              <w:t>Period</w:t>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Payment Date</w:t>
            </w:r>
          </w:p>
        </w:tc>
        <w:tc>
          <w:tcPr>
            <w:tcW w:w="17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xml:space="preserve">Payment Amount </w:t>
              <w:br/>
              <w:t>(U.S.$)</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2021</w:t>
            </w:r>
          </w:p>
        </w:tc>
        <w:tc>
          <w:tcPr>
            <w:tcW w:w="17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$11,453,099.00</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2022</w:t>
            </w:r>
          </w:p>
        </w:tc>
        <w:tc>
          <w:tcPr>
            <w:tcW w:w="172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$7,960,608.00</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11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p>
                  </w:txbxContent>
                </v:textbox>
                <w10:wrap type="none"/>
              </v:rect>
            </w:pict>
          </mc:Fallback>
        </mc:AlternateContent>
      </w:r>
    </w:p>
    <w:tbl>
      <w:tblPr>
        <w:tblW w:w="451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474"/>
        <w:gridCol w:w="474"/>
        <w:gridCol w:w="6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 2022</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$4,436,204.00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September 2023</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$4,500,000.00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April 2024</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$1,000,000.00</w:t>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p>
                  </w:txbxContent>
                </v:textbox>
                <w10:wrap type="none"/>
              </v:rect>
            </w:pict>
          </mc:Fallback>
        </mc:AlternateContent>
      </w:r>
    </w:p>
    <w:tbl>
      <w:tblPr>
        <w:tblW w:w="445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489"/>
        <w:gridCol w:w="489"/>
        <w:gridCol w:w="491"/>
        <w:gridCol w:w="474"/>
        <w:gridCol w:w="474"/>
        <w:gridCol w:w="6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c>
          <w:tcPr>
            <w:tcW w:w="1621"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2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2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 2024</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$2,500,000.00</w:t>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2025</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$6,000,000.00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October 2025</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$4,000,000.00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p>
                  </w:txbxContent>
                </v:textbox>
                <w10:wrap type="none"/>
              </v:rect>
            </w:pict>
          </mc:Fallback>
        </mc:AlternateContent>
      </w:r>
    </w:p>
    <w:tbl>
      <w:tblPr>
        <w:tblW w:w="461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505"/>
        <w:gridCol w:w="505"/>
        <w:gridCol w:w="7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c>
          <w:tcPr>
            <w:tcW w:w="1726"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726"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726"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2887" w:type="dxa"/>
            <w:gridSpan w:val="12"/>
            <w:tcBorders>
              <w:top w:val="single" w:sz="4" w:space="0" w:color="000000"/>
              <w:left w:val="single" w:sz="4" w:space="0" w:color="000000"/>
              <w:bottom w:val="single" w:sz="4" w:space="0" w:color="000000"/>
            </w:tcBorders>
            <w:shd w:fill="C0C0C0" w:val="clear"/>
            <w:tcMar>
              <w:top w:w="3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Amended Total Grant Amount</w:t>
            </w:r>
          </w:p>
        </w:tc>
        <w:tc>
          <w:tcPr>
            <w:tcW w:w="17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color w:val="000000"/>
                <w:sz w:val="20"/>
              </w:rPr>
              <w:t>$48,945,928.00</w:t>
            </w:r>
          </w:p>
        </w:tc>
      </w:tr>
    </w:tbl>
    <w:p>
      <w:pPr>
        <w:pStyle w:val="TextBody"/>
        <w:bidi w:val="0"/>
        <w:spacing w:before="4" w:after="283"/>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240"/>
        <w:jc w:val="both"/>
        <w:rPr/>
      </w:pPr>
      <w:r>
        <w:rPr/>
      </w:r>
    </w:p>
    <w:p>
      <w:pPr>
        <w:pStyle w:val="TextBody"/>
        <w:bidi w:val="0"/>
        <w:jc w:val="left"/>
        <w:rPr/>
      </w:pPr>
      <w:r>
        <w:rPr/>
      </w:r>
    </w:p>
    <w:p>
      <w:pPr>
        <w:pStyle w:val="TextBody"/>
        <w:bidi w:val="0"/>
        <w:spacing w:before="0" w:after="0"/>
        <w:jc w:val="center"/>
        <w:rPr/>
      </w:pPr>
      <w:bookmarkStart w:id="1" w:name="exhibit103_gatesagreemen.htm"/>
      <w:bookmarkStart w:id="2" w:name="ksexhibit103_gatesagreemen"/>
      <w:bookmarkEnd w:id="1"/>
      <w:bookmarkEnd w:id="2"/>
      <w:r>
        <w:rPr/>
        <w:drawing>
          <wp:inline distT="0" distB="0" distL="0" distR="0">
            <wp:extent cx="10048875" cy="13001625"/>
            <wp:effectExtent l="0" t="0" r="0" b="0"/>
            <wp:docPr id="8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jc w:val="center"/>
        <w:rPr>
          <w:color w:val="FFFFFF"/>
          <w:sz w:val="2"/>
        </w:rPr>
      </w:pPr>
      <w:r>
        <w:rPr>
          <w:color w:val="FFFFFF"/>
          <w:sz w:val="2"/>
        </w:rPr>
        <w:t xml:space="preserve">1 of 9 Exhibit 10.3 CERTAIN INFORMATION HAS BEEN EXCLUDED FROM THIS EXHIBIT BECAUSE IT IS BOTH NOT MATERIAL AND IS THE TYPE THAT THE REGISTRANT TREATS AS PRIVATE OR CONFIDENTIAL. IN THIS EXHIBIT, “[***]” INDICATES WHERE SUCH INFORMATION HAS BEEN OMITTED. GRANT AGREEMENT Investment ID INV-074353 AGREEMENT SUMMARY &amp; SIGNATURE PAGE GRANTEE INFORMATION Name: Dare Bioscience, Inc. Tax Status: Not exempt from federal income tax under U.S. IRC § 501(c)(3) You confirm that the above information is correct and agree to notify the Foundation immediately of any change. Expenditure Responsibility: This Agreement is subject to "expenditure responsibility" requirements under the U.S. Internal Revenue Code. Mailing Address: 3655 Nobel Drive Suite 260, San Diego, California 92122, USA Primary Contact: Elizabeth Proos, Vice President, Product Development, [***] FOUNDATION INFORMATION Mailing Address: P. O. Box 23350, Seattle, Washington 98102, USA Primary Contact: Kirsten Vogelsong, Senior Program Officer, Contraceptive Development, [***] AGREEMENT INFORMATION Title: Development of a novel non-hormonal contraceptive “Charitable Purpose": To de-risk the development of a non-hormonal intravaginal contraceptive, suitable for and acceptable to women in LMIC settings who need or would prefer to use such a product to avoid an unplanned pregnancy. "Start Date": Date of last signature "End Date": October 31, 2026 This Agreement includes and incorporates by this reference: This Agreement Summary &amp; Signature Page and: • Grant Amount and Reporting &amp; Payment Schedule (Attachment A) • Terms and Conditions (Attachment B) • Investment Document (date submitted [***]) • Budget (date submitted [***]) THIS AGREEMENT is between Dare Bioscience, Inc.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 BILL &amp; MELINDA GATES FOUNDATION /s/ Kirsten Vogelsong DARE BIOSCIENCE, INC. /s/ Sabrina Johnson By: Kirsten Vogelsong By: Sabrina Johnson Title: Senior Program Officer Title: CEO November 11, 2024 November 11, 2024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9 GRANT AGREEMENT Investment ID INV-074353 ATTACHMENT A GRANT AMOUNT AND REPORTING &amp; PAYMENT SCHEDULE GRANT AMOUNT The Foundation will pay You up to the total grant amount specified in the Reporting &amp; Payment Schedule below. The Foundation's Primary Contact must approve in writing any Budget cost category change of more than 10%. REPORTING &amp; PAYMENT SCHEDULE 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 REPORTING 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 In addition to reports listed below that are required to be submitted to the Foundation, You will furnish to the Foundation, within 30 days after they become available, quarterly (unaudited) and annual (audited) financial statements. You will also inform the Foundation, within a reasonable time of discovery, of any situation where Your existing cash reserves are not sufficient for the purposes of continuing Your standard business operations for the next 240 days. ACCOUNTING FOR PERSONNEL TIME 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 REPORTING &amp; PAYMENT SCHEDULE Investment Period Target, Milestone, or Reporting Deliverable Due By Payment Date Payment Amount (U.S.$) Countersigned Agreement [***] [***] $5,393,118.00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9 [***] [***] [***] [***] [***] [***] [***] [***] [***] [***] [***] [***] Up to $[***] [***] [***] [***] [***] [***] [***] [***] [***] [***] [***] [***] [***] [***] [***] [***] Up to $[***] [***] Up to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9 [***] [***] [***] [***] [***] Total Grant Amount Up to $10,683,142.00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9 GRANT AGREEMENT Investment ID INV-074353 ATTACHMENT B TERMS &amp; CONDITIONS This Agreement is subject to the following terms and conditions. PROJECT SUPPORT PROJECT DESCRIPTION AND CHARITABLE PURPOSE The Foundation is awarding You this grant to carry out the project described in the Investment Document ("Project") in order to further the Charitable Purpose. The Foundation, in its discretion, may approve in writing any request by You to make non-material changes to the Investment Document. MANAGEMENT OF FUNDS USE OF FUNDS You may not use funds provided under this Agreement ("Grant Funds") 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 INVESTMENT OF FUNDS 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"Income"). Any Income must be used for the Project. SEGREGATION OF FUNDS You must maintain Grant Funds in a physically separate bank account or a separate bookkeeping account maintained as part of Your financial records and dedicated to the Project. GLOBAL ACCESS GLOBAL ACCESS COMMITMENT You will conduct and manage the Project and the Funded Developments in a manner that ensures Global Access. Your Global Access commitments will survive the term of this Agreement. "Funded Developments" means the products, services, processes, technologies, materials, software, data, other innovations, and intellectual property resulting from the Project (including modifications, improvements, and further developments to Background Technology). "Background Technology" means any and all products, services, processes, technologies, materials, software, data, or other innovations, and intellectual property created by You or a third party prior to or outside of the Project used as part of the Project. "Global Access"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 GLOBAL ACCESS MILESTONES [***] HUMANITARIAN LICENSE Subject to applicable laws and for the purpose of achieving Global Access, You grant the Foundation a nonexclusive, perpetual, irrevocable, worldwide, royalty-free, fully paid up, sublicensable license to make, use, sell, offer to sell, import, distribute, copy, create derivative works, publicly perform, and display Funded Developments and Essential Background Technology. “Essential Background Technology” means Background Technology that is: (a) owned, controlled, or developed by You, or in-licensed with the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of 9 sublicense; and (b) either incorporated into a Funded Development or reasonably required to exercise the license to a Funded Development. You confirm that You have retained sufficient rights in the Funded Developments and Essential Background Technology to grant this license. You must ensure this license survives the assignment or transfer of Funded Developments or Essential Background Technology. On request, You must promptly make available the Funded Developments and Essential Background Technology to the Foundation for use solely under this license. If You demonstrate to the satisfaction of the Foundation that Global Access can best be achieved without this license, the Foundation and You will make good faith efforts to modify or terminate this license, as appropriate. PUBLICATION 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www.gatesfoundation.org/How-We-Work/General- Information/Open-Access-Policy,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 INTELLECTUAL PROPERTY REPORTING 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 SUBGRANTS AND SUBCONTRACTS SUBGRANTS AND SUBCONTRACTS You may not make subgrants under this Agreement. You have the exclusive right to select subcontractors to assist with the Project. RESPONSIBILITY FOR OTHERS You are responsible for (a) all acts and omissions of any of Your trustees, directors, officers, employees, subgrantees, subcontractors, contingent workers, agents, and affiliates assisting with the Project, and (b) ensuring their compliance with the terms of this Agreement. PROHIBITED ACTIVITIES ANTI-TERRORISM You will not use funds provided under this Agreement, directly or indirectly, in support of activities (a) prohibited by U.S. laws relating to combating terrorism; (b) with persons on the List of Specially Designated Nationals (www.treasury.gov/sdn) or entities owned or controlled by such persons; or (c) in or with countries or territories against which the U.S. maintains comprehensive sanctions (currently, Cuba, Iran, Syria, North Korea, and the Crimea Region and so-called Luhansk and Donetsk People’s Republics of Ukraine), including paying or reimbursing the expenses of persons from such countries or territories, unless such activities are fully authorized by the U.S. government under applicable law and specifically approved by the Foundation in its sole discretion. ANTI-CORRUPTION; ANTI-BRIBERY 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www.learnfoundationlaw.org. POLITICAL ACTIVITY AND ADVOCACY You may not use Grant Funds to influence the outcome of any election for public office or to carry on any voter registration drive. You may not use Grant Funds to support lobbying activity or to otherwise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9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 OTHER PUBLICITY 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www.gatesfoundation.org/brandguidelines. LEGAL ENTITY AND AUTHORITY 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 COMPLIANCE WITH LAWS In carrying out the Project, You will comply with all applicable laws, regulations, and rules and will not infringe, misappropriate, or violate the intellectual property, privacy, or publicity rights of any third party. COMPLIANCE WITH REQUIREMENTS You will conduct, control, manage, and monitor the Project in compliance with all applicable ethical, legal, regulatory, and safety requirements, including applicable international, national, local, and institutional standards ("Requirements"). You will obtain and maintain all necessary approvals, consents, and reviews before conducting the applicable activity. As a part of Your annual progress report to the Foundation, You must report whether the Project activities were conducted in compliance with all Requirements. If the Project involves: a. any protected information (including personally identifiable, protected health, or third-party confidential), You will not disclose this information to the Foundation without obtaining the Foundation's prior written approval and all necessary consents to disclose such information; b. children or vulnerable subjects, You will obtain any necessary consents and approvals unique to these subjects; and/or c. any trial involving human subjects, You will adhere to current Good Clinical Practice as defined by the International Council on Harmonisation (ICH) E-6 Standards (or local regulations if more stringent) and will obtain applicable trial insurance. Any activities by the Foundation in reviewing documents and providing input or funding does not modify Your responsibility for determining and complying with all Requirements for the Project. RELIANCE 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 INDEMNIFICATION If the Project involves clinical trials, trials involving human subjects, post-approval studies, field trials involving genetically modified organisms, experimental medicine, or the provision of medical/health services ("Indemnified Activities"), You will indemnify, defend, and hold harmless the Foundation and its trustees, employees, and agents ("Indemnified Parties") from and against any and all demands, claims, actions, suits, losses, damages (including property damage, bodily injury, and wrongful death), arbitration and legal proceedings, judgments, settlements, or costs or expenses (including reasonable attorneys' fees and expenses) (collectively, "Claims") arising out of or relating to the acts or omissions, actual or alleged, of You or Your employees, subgrantees, subcontractors, contingent workers, agents, and affiliates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of 9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 INSURANCE 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 TERM AND TERMINATION TERM 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 TERMINATION 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 RETURN OF FUNDS Any Grant Funds, plus any Income, that have not been used for, or committed to, the Project upon expiration or termination of this Agreement, must be returned promptly to the Foundation. MONITORING, REVIEW, AND AUDIT 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or its designee,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 INTERNAL OR THIRD PARTY AUDIT If during the term of this Agreement You are audited by your internal audit department or by a third party, You will provide the audit report to the Foundation upon request, including the management letter and a detailed plan for remedying any deficiencies observed ("Remediation Plan"). The Remediation Plan must include (a) details of actions You will take to correct any deficiencies observed, and (b) target dates for successful completion of the actions to correct the deficiencies. RECORD KEEPING You will maintain complete and accurate accounting records and copies of any reports submitted to the Foundation relating to the Project. You will retain such records and reports for 4 years after Grant Funds have been fully spent. At the request of the Foundation, or its designee, You will make such records and reports available to enable the Foundation to monitor and evaluate how Grant Funds have been used or committed. SURVIVAL A Party's obligations under this Agreement will be continuous and survive expiration or termination of this Agreement as expressly provided in this Agreement or otherwise required by law or intended by their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0"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9 GENERAL ENTIRE AGREEMENT, CONFLICTS, AND AMENDMENTS 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 NOTICES AND APPROVALS Written notices, requests, and approvals under this Agreement must be delivered by mail or email to the other Party's primary contact specified on the Agreement Summary &amp; Signature Page, or as otherwise directed by the other Party. SEVERABILITY Each provision of this Agreement must be interpreted in a way that is enforceable under applicable law. If any provision is held unenforceable, the rest of the Agreement will remain in effect. ASSIGNMENT You may not assign, or transfer by operation of law or court order, any of Your rights or obligations under this Agreement without the Foundation's prior written approval. This Agreement will bind and benefit any permitted successors and assigns. COUNTERPARTS AND ELECTRONIC SIGNATURES 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SMRH:4898-6472-9098.7 Investment ID INV-074353 1 of 2 Version: August 2022 AMENDMENT 1 to GRANT AGREEMENT Investment ID INV-074353 AMENDMENT SUMMARY PAGE AMENDMENT INFORMATION Agreement to be Amended: Grant agreement between the Bill &amp; Melinda Gates Foundation and Dare Bioscience, Inc., effective November 11, 2024, as amended, and bearing Investment ID INV-074353 Amendment Purpose: Payment &amp; Reporting Schedule Change “Amendment Date”: Date of this email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November 2024 $5,393,118.00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SMRH:4898-6472-9098.7 Investment ID INV-074353 2 of 2 Version: August 2022 [***] [***] [***] Up to $[***] [***] [***] [***] [***] [***] [***] [***] [***] [***] [***] [***] [***] [***] Up to $[***] [***] [***] [***] Up to $[***] [***] [***] [***] [***] [***] [***] [***] [***] [***] [***] [***] [***] [***] [***] [***] [***] [***] [***] Amended Total Grant Amount Up to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1 of 3 Version: August 2022 AMENDMENT 2 to GRANT AGREEMENT Investment ID INV-074353 AMENDMENT SUMMARY PAGE AMENDMENT INFORMATION Agreement to be Amended: Grant agreement between the Gates Foundation, formerly known as the Bill &amp; Melinda Gates Foundation, and Dare Bioscience, Inc., effective November 11, 2024, and bearing Investment ID INV-074353 Amendment Purpose: Reporting and Payment Schedule Change “Amendment Date”: Date of this Email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2 of 3 Version: August 2022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3 of 3 Version: August 2022 [***] [***] [***] [***] [***] [***] [***] [***] [***] [***] [***] [***] [***] [***] [***] [***] [***] [***] [***] [***] Amended Total Grant Amount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1 of 3 Version: August 2022 AMENDMENT 3 to GRANT AGREEMENT Investment ID INV-074353 AMENDMENT SUMMARY PAGE AMENDMENT INFORMATION Agreement to be Amended: Grant agreement between the Gates Foundation, formerly known as the Bill &amp; Melinda Gates Foundation, and Dare Bioscience, Inc., effective November 11, 2024, as amended, and bearing Investment ID INV-074353 Amendment Purpose: No Cost Extension “Amendment Date”: Date of this Email Amended “End Date”: The term of the Agreement is extended by changing the End Date to January 31, 2027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2 of 3 Version: August 2022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3 of 3 Version: August 2022 [***] [***] [***] [***] [***] [***] [***] [***] [***] [***] [***] [***] [***] [***] [***] [***] [***] [***] [***] [***] [***] [***] [***] [***] Amended Total Grant Amount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4 to GRANT AGREEMENT Investment ID INV-074353 AMENDMENT SUMMARY &amp; SIGNATURE PAGE AMENDMENT INFORMATION Agreement to be Amended: Grant agreement between the Gates Foundation, formerly known as the Bill &amp; Melinda Gates Foundation, and Dare Bioscience, Inc., effective November 11, 2024, as amended, and bearing Investment ID INV-074353 Amendment Purpose: Revise Payment &amp; Reporting Schedule Amendment Date: Date of last signature This Amendment includes and incorporates into the Agreement by this reference: This Amendment Summary &amp; Signature Page and: - Attachment A-4 - Investment Document (date updated [***]) THIS AMENDMENT amends, and is made part of, the above-referenced Agreement and is effective as of the date of last signature.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The Parties enter into this Amendment by having their authorized representatives sign below. Facsimile and electronic signatures will be binding for all purposes. GATES FOUNDATION DARE BIOSCIENCE, INC. /s/ Kirsten Vogelsong /s/ Sabrina Johnson By: Kirsten Vogelsong By: Sabrina Johnson Title: Senior Program Officer Title: CEO October 7, 2025 October 7, 2025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4 AMENDMENT 4 to GRANT AGREEMENT Investment ID INV-074353 ATTACHMENT A - 4 The Parties agree to amend the Agreement as provided below.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4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4 [***] [***] [***] [***] [***] [***] [***] [***] [***] [***] [***] Amended Total Grant Amount $10,683,142.00 COUNTERPARTS AND ELECTRONIC SIGNATURES Except as may be prohibited by applicable law or regulation, this Amendment may be signed in counterparts, by facsimile, PDF, or other electronic means, each of which will be deemed an original and all of which when taken together will constitute one agreement. Facsimile and electronic signatures will be binding for all purposes.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13, 2025 </w:t>
      </w:r>
    </w:p>
    <w:tbl>
      <w:tblPr>
        <w:tblW w:w="5069" w:type="dxa"/>
        <w:jc w:val="right"/>
        <w:tblInd w:w="0" w:type="dxa"/>
        <w:tblLayout w:type="fixed"/>
        <w:tblCellMar>
          <w:top w:w="28" w:type="dxa"/>
          <w:left w:w="28" w:type="dxa"/>
          <w:bottom w:w="28" w:type="dxa"/>
          <w:right w:w="28" w:type="dxa"/>
        </w:tblCellMar>
      </w:tblPr>
      <w:tblGrid>
        <w:gridCol w:w="1621"/>
        <w:gridCol w:w="1422"/>
        <w:gridCol w:w="2026"/>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September 30, 2025,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November 13, 2025 </w:t>
      </w:r>
    </w:p>
    <w:p>
      <w:pPr>
        <w:pStyle w:val="TextBody"/>
        <w:bidi w:val="0"/>
        <w:spacing w:lineRule="auto" w:line="288" w:before="0" w:after="0"/>
        <w:jc w:val="left"/>
        <w:rPr>
          <w:color w:val="000000"/>
        </w:rPr>
      </w:pPr>
      <w:r>
        <w:rPr>
          <w:color w:val="000000"/>
        </w:rPr>
        <w:t> </w:t>
      </w:r>
    </w:p>
    <w:tbl>
      <w:tblPr>
        <w:tblW w:w="5039" w:type="dxa"/>
        <w:jc w:val="right"/>
        <w:tblInd w:w="0" w:type="dxa"/>
        <w:tblLayout w:type="fixed"/>
        <w:tblCellMar>
          <w:top w:w="28" w:type="dxa"/>
          <w:left w:w="28" w:type="dxa"/>
          <w:bottom w:w="28" w:type="dxa"/>
          <w:right w:w="28" w:type="dxa"/>
        </w:tblCellMar>
      </w:tblPr>
      <w:tblGrid>
        <w:gridCol w:w="1611"/>
        <w:gridCol w:w="1414"/>
        <w:gridCol w:w="2014"/>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 w:name="nul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01914/000164117225018393/form8-k.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40624</Words>
  <Characters>229199</Characters>
  <CharactersWithSpaces>267868</CharactersWithSpaces>
  <Paragraphs>3194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exhibit103_gatesagreemen</dc:title>
</cp:coreProperties>
</file>