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Filed pursuant to Rule 424(b)(5)</w:t>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Registration No. 333-278380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PROSPECTUS SUPPLEMENT</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Prospectus dated May 10,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74720" cy="996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4720" cy="9969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4,085,687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293,894 Pre-Funded Warrants to Purchase Shares of Common Stock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offering 4,085,687 shares of our common stock and, in lieu of shares of common stock to certain investors, 293,894 pre-funded warrants to purchase shares of our common stock, at a public offering price of $1.37 per share of common stock and $1.3699 per pre-funded warrant, which is equal to the public offering price per share of common stock, minus $0.0001, and the exercise price of each pre-funded warrant will be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offering the pre-funded warrants to those investors whose purchase of shares of common stock in this offering would result in the purchaser, together with its affiliates and certain related parties, beneficially owning more than 4.99% (or, at the election of the purchaser, 9.99%) of our outstanding shares of common stock following the consummation of this offering in lieu of the shares of common stock that would result in such excess ownership. Each pre-funded warrant will be exercisable for one share of common stock. Each pre-funded warrant will be exercisable upon issuance and will expire when exercised in full. This prospectus supplement also relates to the offering of the shares of common stock issuable upon the exercise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 concurrent private placement, we are also offering to the investors in this offering Series A warrants to purchase up to 4,379,581 shares of our common stock (the “Series A warrants”) and Series B warrants to purchase up to 4,379,581 shares of our common stock and/or pre-funded warrants (the “Series B warrants” and together with the Series A warrants, the “common warrants”). The exercise price per share of common stock issuable upon exercise of the common warrants will be $1.37. The exercise price per pre-funded warrant issuable upon exercise of the Series B warrants will be the foregoing exercise price per share of common stock minus $0.0001, and each pre-funded warrant will be exercisable for one share of common stock at an exercise price of $0.0001 per share of common stock. The right of a holder to exercise the common warrants is subject to obtaining such approval from our stockholders as may be required by the rules of The Nasdaq Stock Market (“Nasdaq”) to permit exercise of the common warrants, and, if required and obtained, the warrants will be exercisable beginning on the effective date of such stockholder approval, and the Series A warrants will expire five years from such date, and the Series B warrants will expire two years from such date. If we are unable to obtain such stockholder approval, the common warrants will not be exercisable and therefore they will have no value. We agreed to hold a meeting of our stockholders on or prior to the 90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after the date the common warrants are issued to obtain the stockholder approval and to solicit proxies in favor of the stockholder approval. If we do not obtain stockholder approval at the first meeting, we agreed to call a meeting every 60 days thereafter to seek stockholder approval until the earlier of the date on which stockholder approval is obtained or the common warrants are no longer outstanding. The common warrants and the shares of common stock and/or pre-funded warrants issuable upon exercise thereof (and the shares of common stock issuable upon exercise of such pre-funded warrants) are being offered pursuant to an exemption provided by Section 4(a)(2) of the Securities Act and/or Rule 506(b) promulgated thereunder, and they are not being offered pursuant 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under the symbol “DARE.” On August 13, 2026, the last reported sale price of our common stock on The Nasdaq Capital Market was $1.37 per share. There is no established public trading market for the pre-funded warrants or the common warrants, and we do not expect a market to develop. We do not intend to apply for listing of the pre-funded warrants or the common warrants on The Nasdaq Capital Market or any other securities exchange or nationally recognized trading system. Without an active trading market, the liquidity of the pre-funded warrants and the common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the date of this prospectus supplement, the aggregate market value of our common stock held by our non-affiliates was $32,957,771 based upon 15,187,913 shares of our outstanding common stock held by non-affiliates at the per share price of $2.17, the closing sale price of our common stock on The Nasdaq Capital Market on June 18, 2026 (a date within 60 days of the date hereof). Pursuant to General Instruction I.B.6 of Form S-3, in no event will we sell securities in a public offering with a value exceeding one-third of our “public float” (i.e., the aggregate market value of our common stock held by our non-affiliates), or $10,985,924, in any 12-calendar-month period so long as our public float remains below $75.0 million. During the 12-calendar months prior to and including the date of this prospectus supplement (but excluding this offering), we have not sold any of our securities in reliance on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engaged Ladenburg Thalmann &amp; Co. Inc. (the “placement agent”) to act as our exclusive placement agent in connection with this offering. The placement agent has agreed to use its reasonable best efforts to arrange for the sale of the securities offered by this prospectus supplement and the accompanying prospectus. The placement agent is not purchasing or selling any of the securities we are offering and the placement agent is not required to arrange for the purchase or sale of any specific number of securities or dollar amount. We have agreed to pay the placement agent the fees set forth in the table below, which assumes that we sell all of the securities offered by this prospectus supplement and the accompanying prospectus. There is no arrangement for funds to be received in escrow, trust or similar arrangement. There is no minimum offering requirement as a condition of closing of this offering. We may sell fewer than all of the securities offered hereby, which may significantly reduce the amount of proceeds received by us.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supplement.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should read this prospectus supplement, the accompanying prospectus, and the additional information described under the headings “Where You Can Find More Information” and “Incorporation of Documents by Reference” carefully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Investing in our securities involves significant risks. Please carefully consider the risks discussed in the section entitled “Risk Factors” beginning on page S-6 of this prospectus supplement and under similar headings in the documents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 “smaller reporting company” under applicable Securities and Exchange Commission rules and are subject to reduced public company reporting requirements. See “Prospectus Supplement Summary—Implications of Being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3980"/>
        <w:gridCol w:w="60"/>
        <w:gridCol w:w="195"/>
        <w:gridCol w:w="949"/>
        <w:gridCol w:w="60"/>
        <w:gridCol w:w="60"/>
        <w:gridCol w:w="319"/>
        <w:gridCol w:w="1560"/>
        <w:gridCol w:w="60"/>
        <w:gridCol w:w="60"/>
        <w:gridCol w:w="155"/>
        <w:gridCol w:w="1415"/>
        <w:gridCol w:w="75"/>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 xml:space="preserve">Per Pre-Funded </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Total</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Public offering price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49"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5,999,996.58</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Placement agent fees(1)</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49"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0.0959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0.0959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419,999.76</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Proceeds, before expenses, to us (2)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49"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5,579,996.82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rFonts w:ascii="Arial;Helvetica;Sans-Serif" w:hAnsi="Arial;Helvetica;Sans-Serif"/>
                <w:sz w:val="20"/>
              </w:rPr>
              <w:t>(1)</w:t>
            </w:r>
            <w:r>
              <w:rPr/>
              <w:t xml:space="preserve"> </w:t>
            </w:r>
          </w:p>
        </w:tc>
        <w:tc>
          <w:tcPr>
            <w:tcW w:w="9954"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We have agreed to pay the placement agent a fee equal to 7.0% of the gross proceeds of the securities sold by us in this offering. We have also agreed to reimburse the placement agent for certain offering-related expenses, including its legal fees and expenses and other out-of-pocket expenses in an amount up to $105,000. In addition, we have agreed to issue to the placement agent, or its designees, warrants to purchase a number of shares of our common stock equal to 4.0% of the number of shares of common stock and pre-funded warrants issued in this offering. See the section titled “Plan of Distribution” for additional information.</w:t>
            </w:r>
          </w:p>
        </w:tc>
      </w:tr>
      <w:tr>
        <w:trPr/>
        <w:tc>
          <w:tcPr>
            <w:tcW w:w="251" w:type="dxa"/>
            <w:tcBorders/>
            <w:vAlign w:val="center"/>
          </w:tcPr>
          <w:p>
            <w:pPr>
              <w:pStyle w:val="TableContents"/>
              <w:bidi w:val="0"/>
              <w:spacing w:before="0" w:after="283"/>
              <w:jc w:val="left"/>
              <w:rPr/>
            </w:pPr>
            <w:r>
              <w:rPr/>
              <w:t xml:space="preserve">(2) </w:t>
            </w:r>
          </w:p>
        </w:tc>
        <w:tc>
          <w:tcPr>
            <w:tcW w:w="9954" w:type="dxa"/>
            <w:tcBorders/>
            <w:vAlign w:val="center"/>
          </w:tcPr>
          <w:p>
            <w:pPr>
              <w:pStyle w:val="TableContents"/>
              <w:bidi w:val="0"/>
              <w:spacing w:before="0" w:after="283"/>
              <w:jc w:val="both"/>
              <w:rPr/>
            </w:pPr>
            <w:r>
              <w:rPr/>
              <w:t xml:space="preserve">The above summary of offering proceeds does not give effect to any proceeds from the cash exercise of the pre-funded warrants issued in this offering.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Neither the SEC nor any state securities commission has approved or disapproved of these securities or passed upon the accuracy or adequacy of this prospectus supplement or the accompanying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delivery to purchasers of the securities being offered pursuant to this prospectus supplement is expected to be made on or about August 17, 2026, subject to satisfaction of certain customary closing conditions.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Ladenburg Thalmann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date of this prospectus supplement is August 14,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TABLE OF CONTENTS</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6595" w:type="dxa"/>
        <w:jc w:val="left"/>
        <w:tblInd w:w="0" w:type="dxa"/>
        <w:tblLayout w:type="fixed"/>
        <w:tblCellMar>
          <w:top w:w="0" w:type="dxa"/>
          <w:left w:w="0" w:type="dxa"/>
          <w:bottom w:w="0" w:type="dxa"/>
          <w:right w:w="0" w:type="dxa"/>
        </w:tblCellMar>
      </w:tblPr>
      <w:tblGrid>
        <w:gridCol w:w="6095"/>
        <w:gridCol w:w="500"/>
      </w:tblGrid>
      <w:tr>
        <w:trPr/>
        <w:tc>
          <w:tcPr>
            <w:tcW w:w="6095"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Page</w:t>
            </w:r>
          </w:p>
        </w:tc>
      </w:tr>
      <w:tr>
        <w:trPr/>
        <w:tc>
          <w:tcPr>
            <w:tcW w:w="6095" w:type="dxa"/>
            <w:tcBorders/>
            <w:shd w:fill="CCEEFF" w:val="clear"/>
            <w:vAlign w:val="center"/>
          </w:tcPr>
          <w:p>
            <w:pPr>
              <w:pStyle w:val="TableContents"/>
              <w:bidi w:val="0"/>
              <w:spacing w:before="0" w:after="283"/>
              <w:jc w:val="left"/>
              <w:rPr/>
            </w:pPr>
            <w:hyperlink w:anchor="ak_001">
              <w:r>
                <w:rPr>
                  <w:rStyle w:val="InternetLink"/>
                  <w:rFonts w:ascii="Arial;Helvetica;Sans-Serif" w:hAnsi="Arial;Helvetica;Sans-Serif"/>
                  <w:b w:val="false"/>
                  <w:i w:val="false"/>
                  <w:caps w:val="false"/>
                  <w:smallCaps w:val="false"/>
                  <w:sz w:val="20"/>
                </w:rPr>
                <w:t>ABOUT THIS PROSPECTUS SUPPLEMENT</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S-ii</w:t>
            </w:r>
          </w:p>
        </w:tc>
      </w:tr>
      <w:tr>
        <w:trPr/>
        <w:tc>
          <w:tcPr>
            <w:tcW w:w="6095" w:type="dxa"/>
            <w:tcBorders/>
            <w:shd w:fill="FFFFFF" w:val="clear"/>
            <w:vAlign w:val="center"/>
          </w:tcPr>
          <w:p>
            <w:pPr>
              <w:pStyle w:val="TableContents"/>
              <w:bidi w:val="0"/>
              <w:spacing w:before="0" w:after="283"/>
              <w:jc w:val="left"/>
              <w:rPr/>
            </w:pPr>
            <w:hyperlink w:anchor="ak_002">
              <w:r>
                <w:rPr>
                  <w:rStyle w:val="InternetLink"/>
                  <w:rFonts w:ascii="Arial;Helvetica;Sans-Serif" w:hAnsi="Arial;Helvetica;Sans-Serif"/>
                  <w:b w:val="false"/>
                  <w:i w:val="false"/>
                  <w:caps w:val="false"/>
                  <w:smallCaps w:val="false"/>
                  <w:sz w:val="20"/>
                </w:rPr>
                <w:t>SPECIAL NOTE REGARDING FORWARD-LOOKING STATEMENTS</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S-iii</w:t>
            </w:r>
          </w:p>
        </w:tc>
      </w:tr>
      <w:tr>
        <w:trPr/>
        <w:tc>
          <w:tcPr>
            <w:tcW w:w="6095" w:type="dxa"/>
            <w:tcBorders/>
            <w:shd w:fill="CCEEFF" w:val="clear"/>
            <w:vAlign w:val="center"/>
          </w:tcPr>
          <w:p>
            <w:pPr>
              <w:pStyle w:val="TableContents"/>
              <w:bidi w:val="0"/>
              <w:spacing w:before="0" w:after="283"/>
              <w:jc w:val="left"/>
              <w:rPr/>
            </w:pPr>
            <w:hyperlink w:anchor="ak_003">
              <w:r>
                <w:rPr>
                  <w:rStyle w:val="InternetLink"/>
                  <w:rFonts w:ascii="Arial;Helvetica;Sans-Serif" w:hAnsi="Arial;Helvetica;Sans-Serif"/>
                  <w:b w:val="false"/>
                  <w:i w:val="false"/>
                  <w:caps w:val="false"/>
                  <w:smallCaps w:val="false"/>
                  <w:sz w:val="20"/>
                </w:rPr>
                <w:t>PROSPECTUS SUPPLEMENT SUMMARY</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w:t>
            </w:r>
          </w:p>
        </w:tc>
      </w:tr>
      <w:tr>
        <w:trPr/>
        <w:tc>
          <w:tcPr>
            <w:tcW w:w="6095" w:type="dxa"/>
            <w:tcBorders/>
            <w:shd w:fill="FFFFFF" w:val="clear"/>
            <w:vAlign w:val="center"/>
          </w:tcPr>
          <w:p>
            <w:pPr>
              <w:pStyle w:val="TableContents"/>
              <w:bidi w:val="0"/>
              <w:spacing w:before="0" w:after="283"/>
              <w:jc w:val="left"/>
              <w:rPr/>
            </w:pPr>
            <w:hyperlink w:anchor="ak_004">
              <w:r>
                <w:rPr>
                  <w:rStyle w:val="InternetLink"/>
                  <w:rFonts w:ascii="Arial;Helvetica;Sans-Serif" w:hAnsi="Arial;Helvetica;Sans-Serif"/>
                  <w:b w:val="false"/>
                  <w:i w:val="false"/>
                  <w:caps w:val="false"/>
                  <w:smallCaps w:val="false"/>
                  <w:sz w:val="20"/>
                </w:rPr>
                <w:t>THE OFFERING</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S-4</w:t>
            </w:r>
          </w:p>
        </w:tc>
      </w:tr>
      <w:tr>
        <w:trPr/>
        <w:tc>
          <w:tcPr>
            <w:tcW w:w="6095" w:type="dxa"/>
            <w:tcBorders/>
            <w:shd w:fill="CCEEFF" w:val="clear"/>
            <w:vAlign w:val="center"/>
          </w:tcPr>
          <w:p>
            <w:pPr>
              <w:pStyle w:val="TableContents"/>
              <w:bidi w:val="0"/>
              <w:spacing w:before="0" w:after="283"/>
              <w:jc w:val="left"/>
              <w:rPr/>
            </w:pPr>
            <w:hyperlink w:anchor="ak_005">
              <w:r>
                <w:rPr>
                  <w:rStyle w:val="InternetLink"/>
                  <w:rFonts w:ascii="Arial;Helvetica;Sans-Serif" w:hAnsi="Arial;Helvetica;Sans-Serif"/>
                  <w:b w:val="false"/>
                  <w:i w:val="false"/>
                  <w:caps w:val="false"/>
                  <w:smallCaps w:val="false"/>
                  <w:sz w:val="20"/>
                </w:rPr>
                <w:t>RISK FACTORS</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S-6</w:t>
            </w:r>
          </w:p>
        </w:tc>
      </w:tr>
      <w:tr>
        <w:trPr/>
        <w:tc>
          <w:tcPr>
            <w:tcW w:w="6095" w:type="dxa"/>
            <w:tcBorders/>
            <w:shd w:fill="FFFFFF" w:val="clear"/>
            <w:vAlign w:val="center"/>
          </w:tcPr>
          <w:p>
            <w:pPr>
              <w:pStyle w:val="TableContents"/>
              <w:bidi w:val="0"/>
              <w:spacing w:before="0" w:after="283"/>
              <w:jc w:val="left"/>
              <w:rPr/>
            </w:pPr>
            <w:hyperlink w:anchor="ak_006">
              <w:r>
                <w:rPr>
                  <w:rStyle w:val="InternetLink"/>
                  <w:rFonts w:ascii="Arial;Helvetica;Sans-Serif" w:hAnsi="Arial;Helvetica;Sans-Serif"/>
                  <w:b w:val="false"/>
                  <w:i w:val="false"/>
                  <w:caps w:val="false"/>
                  <w:smallCaps w:val="false"/>
                  <w:sz w:val="20"/>
                </w:rPr>
                <w:t>USE OF PROCEEDS</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S-12</w:t>
            </w:r>
          </w:p>
        </w:tc>
      </w:tr>
      <w:tr>
        <w:trPr/>
        <w:tc>
          <w:tcPr>
            <w:tcW w:w="6095" w:type="dxa"/>
            <w:tcBorders/>
            <w:shd w:fill="CCEEFF" w:val="clear"/>
            <w:vAlign w:val="center"/>
          </w:tcPr>
          <w:p>
            <w:pPr>
              <w:pStyle w:val="TableContents"/>
              <w:bidi w:val="0"/>
              <w:spacing w:before="0" w:after="283"/>
              <w:jc w:val="left"/>
              <w:rPr/>
            </w:pPr>
            <w:hyperlink w:anchor="ak_007">
              <w:r>
                <w:rPr>
                  <w:rStyle w:val="InternetLink"/>
                  <w:rFonts w:ascii="Arial;Helvetica;Sans-Serif" w:hAnsi="Arial;Helvetica;Sans-Serif"/>
                  <w:b w:val="false"/>
                  <w:i w:val="false"/>
                  <w:caps w:val="false"/>
                  <w:smallCaps w:val="false"/>
                  <w:sz w:val="20"/>
                </w:rPr>
                <w:t>DIVIDEND POLICY</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S-12</w:t>
            </w:r>
          </w:p>
        </w:tc>
      </w:tr>
      <w:tr>
        <w:trPr/>
        <w:tc>
          <w:tcPr>
            <w:tcW w:w="6095" w:type="dxa"/>
            <w:tcBorders/>
            <w:shd w:fill="FFFFFF" w:val="clear"/>
            <w:vAlign w:val="center"/>
          </w:tcPr>
          <w:p>
            <w:pPr>
              <w:pStyle w:val="TableContents"/>
              <w:bidi w:val="0"/>
              <w:spacing w:before="0" w:after="283"/>
              <w:jc w:val="left"/>
              <w:rPr/>
            </w:pPr>
            <w:hyperlink w:anchor="ak_008">
              <w:r>
                <w:rPr>
                  <w:rStyle w:val="InternetLink"/>
                  <w:rFonts w:ascii="Arial;Helvetica;Sans-Serif" w:hAnsi="Arial;Helvetica;Sans-Serif"/>
                  <w:b w:val="false"/>
                  <w:i w:val="false"/>
                  <w:caps w:val="false"/>
                  <w:smallCaps w:val="false"/>
                  <w:sz w:val="20"/>
                </w:rPr>
                <w:t>DILUTION</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S-13</w:t>
            </w:r>
          </w:p>
        </w:tc>
      </w:tr>
      <w:tr>
        <w:trPr/>
        <w:tc>
          <w:tcPr>
            <w:tcW w:w="6095" w:type="dxa"/>
            <w:tcBorders/>
            <w:shd w:fill="CCEEFF" w:val="clear"/>
            <w:vAlign w:val="center"/>
          </w:tcPr>
          <w:p>
            <w:pPr>
              <w:pStyle w:val="TableContents"/>
              <w:bidi w:val="0"/>
              <w:spacing w:before="0" w:after="283"/>
              <w:jc w:val="left"/>
              <w:rPr/>
            </w:pPr>
            <w:hyperlink w:anchor="ak_009">
              <w:r>
                <w:rPr>
                  <w:rStyle w:val="InternetLink"/>
                  <w:rFonts w:ascii="Arial;Helvetica;Sans-Serif" w:hAnsi="Arial;Helvetica;Sans-Serif"/>
                  <w:b w:val="false"/>
                  <w:i w:val="false"/>
                  <w:caps w:val="false"/>
                  <w:smallCaps w:val="false"/>
                  <w:sz w:val="20"/>
                </w:rPr>
                <w:t>PLAN OF DISTRIBUTION</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S-14</w:t>
            </w:r>
          </w:p>
        </w:tc>
      </w:tr>
      <w:tr>
        <w:trPr/>
        <w:tc>
          <w:tcPr>
            <w:tcW w:w="6095" w:type="dxa"/>
            <w:tcBorders/>
            <w:shd w:fill="FFFFFF" w:val="clear"/>
            <w:vAlign w:val="center"/>
          </w:tcPr>
          <w:p>
            <w:pPr>
              <w:pStyle w:val="TableContents"/>
              <w:bidi w:val="0"/>
              <w:spacing w:before="0" w:after="283"/>
              <w:jc w:val="left"/>
              <w:rPr/>
            </w:pPr>
            <w:hyperlink w:anchor="ak_010">
              <w:r>
                <w:rPr>
                  <w:rStyle w:val="InternetLink"/>
                  <w:rFonts w:ascii="Arial;Helvetica;Sans-Serif" w:hAnsi="Arial;Helvetica;Sans-Serif"/>
                  <w:b w:val="false"/>
                  <w:i w:val="false"/>
                  <w:caps w:val="false"/>
                  <w:smallCaps w:val="false"/>
                  <w:sz w:val="20"/>
                </w:rPr>
                <w:t>DESCRIPTION OF SECURITIES WE ARE OFFERING</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S-17</w:t>
            </w:r>
          </w:p>
        </w:tc>
      </w:tr>
      <w:tr>
        <w:trPr/>
        <w:tc>
          <w:tcPr>
            <w:tcW w:w="6095" w:type="dxa"/>
            <w:tcBorders/>
            <w:shd w:fill="CCEEFF" w:val="clear"/>
            <w:vAlign w:val="center"/>
          </w:tcPr>
          <w:p>
            <w:pPr>
              <w:pStyle w:val="TableContents"/>
              <w:bidi w:val="0"/>
              <w:spacing w:before="0" w:after="283"/>
              <w:jc w:val="left"/>
              <w:rPr/>
            </w:pPr>
            <w:hyperlink w:anchor="ak_011">
              <w:r>
                <w:rPr>
                  <w:rStyle w:val="InternetLink"/>
                  <w:rFonts w:ascii="Arial;Helvetica;Sans-Serif" w:hAnsi="Arial;Helvetica;Sans-Serif"/>
                  <w:b w:val="false"/>
                  <w:i w:val="false"/>
                  <w:caps w:val="false"/>
                  <w:smallCaps w:val="false"/>
                  <w:sz w:val="20"/>
                </w:rPr>
                <w:t>PRIVATE PLACEMENT TRANSACTION</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S-18</w:t>
            </w:r>
          </w:p>
        </w:tc>
      </w:tr>
      <w:tr>
        <w:trPr/>
        <w:tc>
          <w:tcPr>
            <w:tcW w:w="6095" w:type="dxa"/>
            <w:tcBorders/>
            <w:shd w:fill="FFFFFF" w:val="clear"/>
            <w:vAlign w:val="center"/>
          </w:tcPr>
          <w:p>
            <w:pPr>
              <w:pStyle w:val="TableContents"/>
              <w:bidi w:val="0"/>
              <w:spacing w:before="0" w:after="283"/>
              <w:jc w:val="left"/>
              <w:rPr/>
            </w:pPr>
            <w:hyperlink w:anchor="ak_012">
              <w:r>
                <w:rPr>
                  <w:rStyle w:val="InternetLink"/>
                  <w:rFonts w:ascii="Arial;Helvetica;Sans-Serif" w:hAnsi="Arial;Helvetica;Sans-Serif"/>
                  <w:b w:val="false"/>
                  <w:i w:val="false"/>
                  <w:caps w:val="false"/>
                  <w:smallCaps w:val="false"/>
                  <w:sz w:val="20"/>
                </w:rPr>
                <w:t>LEGAL MATTERS</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S-19</w:t>
            </w:r>
          </w:p>
        </w:tc>
      </w:tr>
      <w:tr>
        <w:trPr/>
        <w:tc>
          <w:tcPr>
            <w:tcW w:w="6095" w:type="dxa"/>
            <w:tcBorders/>
            <w:shd w:fill="CCEEFF" w:val="clear"/>
            <w:vAlign w:val="center"/>
          </w:tcPr>
          <w:p>
            <w:pPr>
              <w:pStyle w:val="TableContents"/>
              <w:bidi w:val="0"/>
              <w:spacing w:before="0" w:after="283"/>
              <w:jc w:val="left"/>
              <w:rPr/>
            </w:pPr>
            <w:hyperlink w:anchor="ak_013">
              <w:r>
                <w:rPr>
                  <w:rStyle w:val="InternetLink"/>
                  <w:rFonts w:ascii="Arial;Helvetica;Sans-Serif" w:hAnsi="Arial;Helvetica;Sans-Serif"/>
                  <w:b w:val="false"/>
                  <w:i w:val="false"/>
                  <w:caps w:val="false"/>
                  <w:smallCaps w:val="false"/>
                  <w:sz w:val="20"/>
                </w:rPr>
                <w:t>EXPERTS</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S-19</w:t>
            </w:r>
          </w:p>
        </w:tc>
      </w:tr>
      <w:tr>
        <w:trPr/>
        <w:tc>
          <w:tcPr>
            <w:tcW w:w="6095" w:type="dxa"/>
            <w:tcBorders/>
            <w:shd w:fill="FFFFFF" w:val="clear"/>
            <w:vAlign w:val="center"/>
          </w:tcPr>
          <w:p>
            <w:pPr>
              <w:pStyle w:val="TableContents"/>
              <w:bidi w:val="0"/>
              <w:spacing w:before="0" w:after="283"/>
              <w:jc w:val="left"/>
              <w:rPr/>
            </w:pPr>
            <w:hyperlink w:anchor="ak_014">
              <w:r>
                <w:rPr>
                  <w:rStyle w:val="InternetLink"/>
                  <w:rFonts w:ascii="Arial;Helvetica;Sans-Serif" w:hAnsi="Arial;Helvetica;Sans-Serif"/>
                  <w:b w:val="false"/>
                  <w:i w:val="false"/>
                  <w:caps w:val="false"/>
                  <w:smallCaps w:val="false"/>
                  <w:sz w:val="20"/>
                </w:rPr>
                <w:t>WHERE YOU CAN FIND MORE INFORMATION</w:t>
              </w:r>
            </w:hyperlink>
          </w:p>
        </w:tc>
        <w:tc>
          <w:tcPr>
            <w:tcW w:w="50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S-20</w:t>
            </w:r>
          </w:p>
        </w:tc>
      </w:tr>
      <w:tr>
        <w:trPr/>
        <w:tc>
          <w:tcPr>
            <w:tcW w:w="6095" w:type="dxa"/>
            <w:tcBorders/>
            <w:shd w:fill="CCEEFF" w:val="clear"/>
            <w:vAlign w:val="center"/>
          </w:tcPr>
          <w:p>
            <w:pPr>
              <w:pStyle w:val="TableContents"/>
              <w:bidi w:val="0"/>
              <w:spacing w:before="0" w:after="283"/>
              <w:jc w:val="left"/>
              <w:rPr/>
            </w:pPr>
            <w:hyperlink w:anchor="ak_015">
              <w:r>
                <w:rPr>
                  <w:rStyle w:val="InternetLink"/>
                  <w:rFonts w:ascii="Arial;Helvetica;Sans-Serif" w:hAnsi="Arial;Helvetica;Sans-Serif"/>
                  <w:b w:val="false"/>
                  <w:i w:val="false"/>
                  <w:caps w:val="false"/>
                  <w:smallCaps w:val="false"/>
                  <w:sz w:val="20"/>
                </w:rPr>
                <w:t>INCORPORATION OF DOCUMENTS BY REFERENCE</w:t>
              </w:r>
            </w:hyperlink>
          </w:p>
        </w:tc>
        <w:tc>
          <w:tcPr>
            <w:tcW w:w="500" w:type="dxa"/>
            <w:tcBorders/>
            <w:shd w:fill="CCEEFF"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S-20</w:t>
            </w:r>
          </w:p>
        </w:tc>
      </w:tr>
    </w:tbl>
    <w:p>
      <w:pPr>
        <w:pStyle w:val="TextBody"/>
        <w:bidi w:val="0"/>
        <w:spacing w:before="0" w:after="0"/>
        <w:ind w:left="0" w:right="0" w:hanging="0"/>
        <w:jc w:val="center"/>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625"/>
        <w:gridCol w:w="245"/>
      </w:tblGrid>
      <w:tr>
        <w:trPr/>
        <w:tc>
          <w:tcPr>
            <w:tcW w:w="7625" w:type="dxa"/>
            <w:tcBorders/>
            <w:shd w:fill="CCEEFF" w:val="clear"/>
            <w:vAlign w:val="center"/>
          </w:tcPr>
          <w:p>
            <w:pPr>
              <w:pStyle w:val="TableContents"/>
              <w:bidi w:val="0"/>
              <w:spacing w:before="0" w:after="283"/>
              <w:jc w:val="left"/>
              <w:rPr/>
            </w:pPr>
            <w:hyperlink w:anchor="MS_013">
              <w:r>
                <w:rPr>
                  <w:rStyle w:val="InternetLink"/>
                  <w:rFonts w:ascii="Arial;Helvetica;Sans-Serif" w:hAnsi="Arial;Helvetica;Sans-Serif"/>
                  <w:sz w:val="20"/>
                </w:rPr>
                <w:t>About This Prospectus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w:t>
            </w:r>
          </w:p>
        </w:tc>
      </w:tr>
      <w:tr>
        <w:trPr/>
        <w:tc>
          <w:tcPr>
            <w:tcW w:w="7625" w:type="dxa"/>
            <w:tcBorders/>
            <w:shd w:fill="FFFFFF" w:val="clear"/>
            <w:vAlign w:val="center"/>
          </w:tcPr>
          <w:p>
            <w:pPr>
              <w:pStyle w:val="TableContents"/>
              <w:bidi w:val="0"/>
              <w:spacing w:before="0" w:after="283"/>
              <w:jc w:val="left"/>
              <w:rPr/>
            </w:pPr>
            <w:hyperlink w:anchor="MS_014">
              <w:r>
                <w:rPr>
                  <w:rStyle w:val="InternetLink"/>
                  <w:rFonts w:ascii="Arial;Helvetica;Sans-Serif" w:hAnsi="Arial;Helvetica;Sans-Serif"/>
                  <w:sz w:val="20"/>
                </w:rPr>
                <w:t>Prospectus Summary</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w:t>
            </w:r>
          </w:p>
        </w:tc>
      </w:tr>
      <w:tr>
        <w:trPr/>
        <w:tc>
          <w:tcPr>
            <w:tcW w:w="7625" w:type="dxa"/>
            <w:tcBorders/>
            <w:shd w:fill="CCEEFF" w:val="clear"/>
            <w:vAlign w:val="center"/>
          </w:tcPr>
          <w:p>
            <w:pPr>
              <w:pStyle w:val="TableContents"/>
              <w:bidi w:val="0"/>
              <w:spacing w:before="0" w:after="283"/>
              <w:jc w:val="left"/>
              <w:rPr/>
            </w:pPr>
            <w:hyperlink w:anchor="MS_015">
              <w:r>
                <w:rPr>
                  <w:rStyle w:val="InternetLink"/>
                  <w:rFonts w:ascii="Arial;Helvetica;Sans-Serif" w:hAnsi="Arial;Helvetica;Sans-Serif"/>
                  <w:sz w:val="20"/>
                </w:rPr>
                <w:t>Risk Factors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8</w:t>
            </w:r>
          </w:p>
        </w:tc>
      </w:tr>
      <w:tr>
        <w:trPr/>
        <w:tc>
          <w:tcPr>
            <w:tcW w:w="7625" w:type="dxa"/>
            <w:tcBorders/>
            <w:shd w:fill="FFFFFF" w:val="clear"/>
            <w:vAlign w:val="center"/>
          </w:tcPr>
          <w:p>
            <w:pPr>
              <w:pStyle w:val="TableContents"/>
              <w:bidi w:val="0"/>
              <w:spacing w:before="0" w:after="283"/>
              <w:jc w:val="left"/>
              <w:rPr/>
            </w:pPr>
            <w:hyperlink w:anchor="MS_016">
              <w:r>
                <w:rPr>
                  <w:rStyle w:val="InternetLink"/>
                  <w:rFonts w:ascii="Arial;Helvetica;Sans-Serif" w:hAnsi="Arial;Helvetica;Sans-Serif"/>
                  <w:sz w:val="20"/>
                </w:rPr>
                <w:t>Cautionary Note Regarding Forward-Looking Statements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9</w:t>
            </w:r>
          </w:p>
        </w:tc>
      </w:tr>
      <w:tr>
        <w:trPr/>
        <w:tc>
          <w:tcPr>
            <w:tcW w:w="7625" w:type="dxa"/>
            <w:tcBorders/>
            <w:shd w:fill="CCEEFF" w:val="clear"/>
            <w:vAlign w:val="center"/>
          </w:tcPr>
          <w:p>
            <w:pPr>
              <w:pStyle w:val="TableContents"/>
              <w:bidi w:val="0"/>
              <w:spacing w:before="0" w:after="283"/>
              <w:jc w:val="left"/>
              <w:rPr/>
            </w:pPr>
            <w:hyperlink w:anchor="p_001">
              <w:r>
                <w:rPr>
                  <w:rStyle w:val="InternetLink"/>
                  <w:rFonts w:ascii="Arial;Helvetica;Sans-Serif" w:hAnsi="Arial;Helvetica;Sans-Serif"/>
                  <w:sz w:val="20"/>
                </w:rPr>
                <w:t>Use of Proceeds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11</w:t>
            </w:r>
          </w:p>
        </w:tc>
      </w:tr>
      <w:tr>
        <w:trPr/>
        <w:tc>
          <w:tcPr>
            <w:tcW w:w="7625" w:type="dxa"/>
            <w:tcBorders/>
            <w:shd w:fill="FFFFFF" w:val="clear"/>
            <w:vAlign w:val="center"/>
          </w:tcPr>
          <w:p>
            <w:pPr>
              <w:pStyle w:val="TableContents"/>
              <w:bidi w:val="0"/>
              <w:spacing w:before="0" w:after="283"/>
              <w:jc w:val="left"/>
              <w:rPr/>
            </w:pPr>
            <w:hyperlink w:anchor="p_002">
              <w:r>
                <w:rPr>
                  <w:rStyle w:val="InternetLink"/>
                  <w:rFonts w:ascii="Arial;Helvetica;Sans-Serif" w:hAnsi="Arial;Helvetica;Sans-Serif"/>
                  <w:sz w:val="20"/>
                </w:rPr>
                <w:t>Plan of Distribution</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w:t>
            </w:r>
          </w:p>
        </w:tc>
      </w:tr>
      <w:tr>
        <w:trPr/>
        <w:tc>
          <w:tcPr>
            <w:tcW w:w="7625" w:type="dxa"/>
            <w:tcBorders/>
            <w:shd w:fill="CCEEFF" w:val="clear"/>
            <w:vAlign w:val="center"/>
          </w:tcPr>
          <w:p>
            <w:pPr>
              <w:pStyle w:val="TableContents"/>
              <w:bidi w:val="0"/>
              <w:spacing w:before="0" w:after="283"/>
              <w:jc w:val="left"/>
              <w:rPr/>
            </w:pPr>
            <w:hyperlink w:anchor="p_003">
              <w:r>
                <w:rPr>
                  <w:rStyle w:val="InternetLink"/>
                  <w:rFonts w:ascii="Arial;Helvetica;Sans-Serif" w:hAnsi="Arial;Helvetica;Sans-Serif"/>
                  <w:sz w:val="20"/>
                </w:rPr>
                <w:t>Description of Common Stock</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14</w:t>
            </w:r>
          </w:p>
        </w:tc>
      </w:tr>
      <w:tr>
        <w:trPr/>
        <w:tc>
          <w:tcPr>
            <w:tcW w:w="7625" w:type="dxa"/>
            <w:tcBorders/>
            <w:shd w:fill="FFFFFF" w:val="clear"/>
            <w:vAlign w:val="center"/>
          </w:tcPr>
          <w:p>
            <w:pPr>
              <w:pStyle w:val="TableContents"/>
              <w:bidi w:val="0"/>
              <w:spacing w:before="0" w:after="283"/>
              <w:jc w:val="left"/>
              <w:rPr/>
            </w:pPr>
            <w:hyperlink w:anchor="p_004">
              <w:r>
                <w:rPr>
                  <w:rStyle w:val="InternetLink"/>
                  <w:rFonts w:ascii="Arial;Helvetica;Sans-Serif" w:hAnsi="Arial;Helvetica;Sans-Serif"/>
                  <w:sz w:val="20"/>
                </w:rPr>
                <w:t>Description of Preferred Stock</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15</w:t>
            </w:r>
          </w:p>
        </w:tc>
      </w:tr>
      <w:tr>
        <w:trPr/>
        <w:tc>
          <w:tcPr>
            <w:tcW w:w="7625" w:type="dxa"/>
            <w:tcBorders/>
            <w:shd w:fill="CCEEFF" w:val="clear"/>
            <w:vAlign w:val="center"/>
          </w:tcPr>
          <w:p>
            <w:pPr>
              <w:pStyle w:val="TableContents"/>
              <w:bidi w:val="0"/>
              <w:spacing w:before="0" w:after="283"/>
              <w:jc w:val="left"/>
              <w:rPr/>
            </w:pPr>
            <w:hyperlink w:anchor="p_005">
              <w:r>
                <w:rPr>
                  <w:rStyle w:val="InternetLink"/>
                  <w:rFonts w:ascii="Arial;Helvetica;Sans-Serif" w:hAnsi="Arial;Helvetica;Sans-Serif"/>
                  <w:sz w:val="20"/>
                </w:rPr>
                <w:t>Description of Debt Securities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16</w:t>
            </w:r>
          </w:p>
        </w:tc>
      </w:tr>
      <w:tr>
        <w:trPr/>
        <w:tc>
          <w:tcPr>
            <w:tcW w:w="7625" w:type="dxa"/>
            <w:tcBorders/>
            <w:shd w:fill="FFFFFF" w:val="clear"/>
            <w:vAlign w:val="center"/>
          </w:tcPr>
          <w:p>
            <w:pPr>
              <w:pStyle w:val="TableContents"/>
              <w:bidi w:val="0"/>
              <w:spacing w:before="0" w:after="283"/>
              <w:jc w:val="left"/>
              <w:rPr/>
            </w:pPr>
            <w:hyperlink w:anchor="p_006">
              <w:r>
                <w:rPr>
                  <w:rStyle w:val="InternetLink"/>
                  <w:rFonts w:ascii="Arial;Helvetica;Sans-Serif" w:hAnsi="Arial;Helvetica;Sans-Serif"/>
                  <w:sz w:val="20"/>
                </w:rPr>
                <w:t>Description of Warrants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22</w:t>
            </w:r>
          </w:p>
        </w:tc>
      </w:tr>
      <w:tr>
        <w:trPr/>
        <w:tc>
          <w:tcPr>
            <w:tcW w:w="7625" w:type="dxa"/>
            <w:tcBorders/>
            <w:shd w:fill="CCEEFF" w:val="clear"/>
            <w:vAlign w:val="center"/>
          </w:tcPr>
          <w:p>
            <w:pPr>
              <w:pStyle w:val="TableContents"/>
              <w:bidi w:val="0"/>
              <w:spacing w:before="0" w:after="283"/>
              <w:jc w:val="left"/>
              <w:rPr/>
            </w:pPr>
            <w:hyperlink w:anchor="p_007">
              <w:r>
                <w:rPr>
                  <w:rStyle w:val="InternetLink"/>
                  <w:rFonts w:ascii="Arial;Helvetica;Sans-Serif" w:hAnsi="Arial;Helvetica;Sans-Serif"/>
                  <w:sz w:val="20"/>
                </w:rPr>
                <w:t>Description of Rights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24</w:t>
            </w:r>
          </w:p>
        </w:tc>
      </w:tr>
      <w:tr>
        <w:trPr/>
        <w:tc>
          <w:tcPr>
            <w:tcW w:w="7625" w:type="dxa"/>
            <w:tcBorders/>
            <w:shd w:fill="FFFFFF" w:val="clear"/>
            <w:vAlign w:val="center"/>
          </w:tcPr>
          <w:p>
            <w:pPr>
              <w:pStyle w:val="TableContents"/>
              <w:bidi w:val="0"/>
              <w:spacing w:before="0" w:after="283"/>
              <w:jc w:val="left"/>
              <w:rPr/>
            </w:pPr>
            <w:hyperlink w:anchor="p_008">
              <w:r>
                <w:rPr>
                  <w:rStyle w:val="InternetLink"/>
                  <w:rFonts w:ascii="Arial;Helvetica;Sans-Serif" w:hAnsi="Arial;Helvetica;Sans-Serif"/>
                  <w:sz w:val="20"/>
                </w:rPr>
                <w:t>Description of Purchase Contracts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w:t>
            </w:r>
          </w:p>
        </w:tc>
      </w:tr>
      <w:tr>
        <w:trPr/>
        <w:tc>
          <w:tcPr>
            <w:tcW w:w="7625" w:type="dxa"/>
            <w:tcBorders/>
            <w:shd w:fill="CCEEFF" w:val="clear"/>
            <w:vAlign w:val="center"/>
          </w:tcPr>
          <w:p>
            <w:pPr>
              <w:pStyle w:val="TableContents"/>
              <w:bidi w:val="0"/>
              <w:spacing w:before="0" w:after="283"/>
              <w:jc w:val="left"/>
              <w:rPr/>
            </w:pPr>
            <w:hyperlink w:anchor="p_009">
              <w:r>
                <w:rPr>
                  <w:rStyle w:val="InternetLink"/>
                  <w:rFonts w:ascii="Arial;Helvetica;Sans-Serif" w:hAnsi="Arial;Helvetica;Sans-Serif"/>
                  <w:sz w:val="20"/>
                </w:rPr>
                <w:t>Description of Units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26</w:t>
            </w:r>
          </w:p>
        </w:tc>
      </w:tr>
      <w:tr>
        <w:trPr/>
        <w:tc>
          <w:tcPr>
            <w:tcW w:w="7625" w:type="dxa"/>
            <w:tcBorders/>
            <w:shd w:fill="FFFFFF" w:val="clear"/>
            <w:vAlign w:val="center"/>
          </w:tcPr>
          <w:p>
            <w:pPr>
              <w:pStyle w:val="TableContents"/>
              <w:bidi w:val="0"/>
              <w:spacing w:before="0" w:after="283"/>
              <w:jc w:val="left"/>
              <w:rPr/>
            </w:pPr>
            <w:hyperlink w:anchor="p_010">
              <w:r>
                <w:rPr>
                  <w:rStyle w:val="InternetLink"/>
                  <w:rFonts w:ascii="Arial;Helvetica;Sans-Serif" w:hAnsi="Arial;Helvetica;Sans-Serif"/>
                  <w:sz w:val="20"/>
                </w:rPr>
                <w:t>Forms of Securities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27</w:t>
            </w:r>
          </w:p>
        </w:tc>
      </w:tr>
      <w:tr>
        <w:trPr/>
        <w:tc>
          <w:tcPr>
            <w:tcW w:w="7625" w:type="dxa"/>
            <w:tcBorders/>
            <w:shd w:fill="CCEEFF" w:val="clear"/>
            <w:vAlign w:val="center"/>
          </w:tcPr>
          <w:p>
            <w:pPr>
              <w:pStyle w:val="TableContents"/>
              <w:bidi w:val="0"/>
              <w:spacing w:before="0" w:after="283"/>
              <w:jc w:val="left"/>
              <w:rPr/>
            </w:pPr>
            <w:hyperlink w:anchor="p_011">
              <w:r>
                <w:rPr>
                  <w:rStyle w:val="InternetLink"/>
                  <w:rFonts w:ascii="Arial;Helvetica;Sans-Serif" w:hAnsi="Arial;Helvetica;Sans-Serif"/>
                  <w:sz w:val="20"/>
                </w:rPr>
                <w:t>Certain Provisions of Delaware Law and of Our Certificate of Incorporation and By-Laws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29</w:t>
            </w:r>
          </w:p>
        </w:tc>
      </w:tr>
      <w:tr>
        <w:trPr/>
        <w:tc>
          <w:tcPr>
            <w:tcW w:w="7625" w:type="dxa"/>
            <w:tcBorders/>
            <w:shd w:fill="FFFFFF" w:val="clear"/>
            <w:vAlign w:val="center"/>
          </w:tcPr>
          <w:p>
            <w:pPr>
              <w:pStyle w:val="TableContents"/>
              <w:bidi w:val="0"/>
              <w:spacing w:before="0" w:after="283"/>
              <w:jc w:val="left"/>
              <w:rPr/>
            </w:pPr>
            <w:hyperlink w:anchor="p_012">
              <w:r>
                <w:rPr>
                  <w:rStyle w:val="InternetLink"/>
                  <w:rFonts w:ascii="Arial;Helvetica;Sans-Serif" w:hAnsi="Arial;Helvetica;Sans-Serif"/>
                  <w:sz w:val="20"/>
                </w:rPr>
                <w:t>Legal Matters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r>
        <w:trPr/>
        <w:tc>
          <w:tcPr>
            <w:tcW w:w="7625" w:type="dxa"/>
            <w:tcBorders/>
            <w:shd w:fill="CCEEFF" w:val="clear"/>
            <w:vAlign w:val="center"/>
          </w:tcPr>
          <w:p>
            <w:pPr>
              <w:pStyle w:val="TableContents"/>
              <w:bidi w:val="0"/>
              <w:spacing w:before="0" w:after="283"/>
              <w:jc w:val="left"/>
              <w:rPr/>
            </w:pPr>
            <w:hyperlink w:anchor="p_014">
              <w:r>
                <w:rPr>
                  <w:rStyle w:val="InternetLink"/>
                  <w:rFonts w:ascii="Arial;Helvetica;Sans-Serif" w:hAnsi="Arial;Helvetica;Sans-Serif"/>
                  <w:sz w:val="20"/>
                </w:rPr>
                <w:t>Experts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r>
        <w:trPr/>
        <w:tc>
          <w:tcPr>
            <w:tcW w:w="7625" w:type="dxa"/>
            <w:tcBorders/>
            <w:shd w:fill="FFFFFF" w:val="clear"/>
            <w:vAlign w:val="center"/>
          </w:tcPr>
          <w:p>
            <w:pPr>
              <w:pStyle w:val="TableContents"/>
              <w:bidi w:val="0"/>
              <w:spacing w:before="0" w:after="283"/>
              <w:jc w:val="left"/>
              <w:rPr/>
            </w:pPr>
            <w:hyperlink w:anchor="p_015">
              <w:r>
                <w:rPr>
                  <w:rStyle w:val="InternetLink"/>
                  <w:rFonts w:ascii="Arial;Helvetica;Sans-Serif" w:hAnsi="Arial;Helvetica;Sans-Serif"/>
                  <w:sz w:val="20"/>
                </w:rPr>
                <w:t>Where You Can Find More Information</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r>
        <w:trPr/>
        <w:tc>
          <w:tcPr>
            <w:tcW w:w="7625" w:type="dxa"/>
            <w:tcBorders/>
            <w:shd w:fill="CCEEFF" w:val="clear"/>
            <w:vAlign w:val="center"/>
          </w:tcPr>
          <w:p>
            <w:pPr>
              <w:pStyle w:val="TableContents"/>
              <w:bidi w:val="0"/>
              <w:spacing w:before="0" w:after="283"/>
              <w:jc w:val="left"/>
              <w:rPr/>
            </w:pPr>
            <w:hyperlink w:anchor="p_016">
              <w:r>
                <w:rPr>
                  <w:rStyle w:val="InternetLink"/>
                  <w:rFonts w:ascii="Arial;Helvetica;Sans-Serif" w:hAnsi="Arial;Helvetica;Sans-Serif"/>
                  <w:sz w:val="20"/>
                </w:rPr>
                <w:t>Incorporation of Documents by Reference</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 w:name="ak_001"/>
      <w:bookmarkEnd w:id="2"/>
      <w:r>
        <w:rPr>
          <w:rFonts w:ascii="Arial;Helvetica;Sans-Serif" w:hAnsi="Arial;Helvetica;San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supplement and the accompanying prospectus relate to the offering of our common stock or, in lieu thereof, pre-funded warrants and the shares of our common stock issuable upon exercise thereof. You should read this prospectus supplement, the accompanying prospectus, the documents incorporated by reference into this prospectus supplement and the accompanying prospectus,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by Reference.”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supplement and the accompanying prospectus are part of a “shelf” registration statement on Form S-3 (File No. 333-278380) that we initially filed with the Securities and Exchange Commission (the “SEC”) on March 29, 2024, and that became effective on May 10, 2024. 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into the accompanying prospectus, provides more general information, some of which may not apply to this offering. Generally, when we refer to this prospectus, we are referring to the combined document consisting of this prospectus supplement and the accompanying prospectus. To the extent there is a conflict between the information contained in this prospectus supplement, on the one hand, and the information contained in the accompanying prospectus or in any document incorporated by reference into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You should rely only on the information contained in, or incorporated by reference into, this prospectus supplement, the accompanying prospectus and in any free writing prospectus that we have authorized for use in connection with this offering. </w:t>
      </w:r>
      <w:r>
        <w:rPr>
          <w:rFonts w:ascii="Arial;Helvetica;Sans-Serif" w:hAnsi="Arial;Helvetica;Sans-Serif"/>
          <w:b/>
          <w:i w:val="false"/>
          <w:caps w:val="false"/>
          <w:smallCaps w:val="false"/>
          <w:sz w:val="20"/>
        </w:rPr>
        <w:t>Neither we nor the placement agent have authorized anyone to provide you with information that is different from or in addition to that contained or incorporated by reference in this prospectus supplement, the accompanying prospectus or any free writing prospectus prepared by us or on our behalf. Neither we nor the placement agent take any responsibility for, and can provide no assurance as to the reliability of, any information that others may provide. Neither we nor the placement agent are making an offer to sell or soliciting an offer to buy shares of our common stock or pre-funded warrants under any circumstance in any jurisdiction where the offer or solicitation is not permitted. You should not assume that the information contained in this prospectus supplement, the accompanying prospectus and any free writing prospectus is accurate as of any date other than the respective date of each of those documents, or that any information in documents that we have incorporated by reference is accurate as of any date other than the date of the document incorporated by reference, regardless of the time of delivery of this prospectus supplement or any sale of shares of our common stock or pre-funded warrants hereunder. Our business, financial condition, results of operations and prospects may have changed, potentially materially,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supplement, the accompanying prospectus, and the information incorporated herein and therein by reference includes trademarks, service marks and trade names owned by us or other companies. All trademarks, service marks or trade names appearing in or incorporated by reference into this prospectus supplement or the accompanying prospectus are the property of their respective owners. Solely for convenience, the trademarks, service marks and trade names appearing in or incorporated by reference into this prospectus supplement or the accompanying prospectus may be referred to without the symbols “®” and “™”, but such references should not be construed as any indication that their respective owners will not assert, to the fullest extent under applicable law, their rights thereto. Use or display by us of other parties’ trademarks, service marks or trade names is not intended to and does not imply a relationship with, or endorsements or sponsorship of, us by the trademark, service mark or trade name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representations, warranties and covenants made by us in any agreement that is filed as an exhibit to any document that is incorporated by reference into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indicated, information contained in this prospectus supplement, the accompanying prospectus, and in the documents we incorporate by reference herein and therein concerning our industry and the markets in which we operate, including our general expectations and market position, market opportunity and market size, is based on information from various sources, including peer reviewed journals, formal presentations at medical and scientific society meetings and third-parties commissioned by us or our licensors or licensees to provide market research and analysis, and is subject to a number of assumptions and limitations. Although we are responsible for all of the disclosure contained in this prospectus supplement, the accompanying prospectus, and in the documents we incorporate by reference, and we believe the information from industry publications and other third-party sources included herein and therein is reliable, such information is inherently imprecise.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the context otherwise requires, “Daré,” “the Company,” “we,” “us,” “our” and similar terms refer to Daré Bioscience, Inc. and its consolidated subsidiaries. When we refer to “you” we mean the purchasers of the securities we offer under this prospectus supplement and accompanying prospectus.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 w:name="ak_002"/>
      <w:bookmarkEnd w:id="3"/>
      <w:r>
        <w:rPr>
          <w:rFonts w:ascii="Arial;Helvetica;Sans-Serif" w:hAnsi="Arial;Helvetica;San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supplement, the accompanying prospectus, and the information incorporated herein and therein by reference contain “forward-looking statements” within the meaning of Section 27A of the Securities Act of 1933, as amended, or the Securities Act, and Section 21E of the Securities Exchange Act of 1934, as amended, or the Exchange Act, which are subject to the safe harbor created by those sections for such statements. All statements, other than statements of historical facts, including statements regarding our strategy, future operations, future financial position, projected revenue, funding and expenses, prospects, plans and objectives of management, are forward-looking statements. Forward-looking statements, in some cases, can be identified by terms such as “aim,” “goal,” “prepare,” “believe,” “may,” “will,” “estimate,” “continue,” “anticipate,” “design,” “intend,” “expect,” “could,” “can,” “plan,” “potential,” “predict,” “seek,” “pursue,” “should,” “would,” “contemplate,” “accelerate,” “project,” “target,” “tend to,” or the negative version of these words and similar expressions. We have based our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raise additional capital, under favorable terms or at all, to fund our operating needs and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maintain the listing of our common stock on The Nasdaq Capital Market or another nationally recognized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generate significant revenue from sales of DARE to PLAY and other potential compounded drugs under Section 503B of the Federal Food, Drug, and Cosmetic Act, or FDCA;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maintain and enter into arrangements with outsourcing facilities on commercially reasonable terms required to compound and distribute the compounded drugs that we seek to make available under Section 503B of the FDCA;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removal of sildenafil citrate or any other bulk drug substance needed to compound the compounded drugs that we seek to make available under Section 503B of the FDCA from the FDA’s list of bulk drug substances that can be compounded under Section 503B of the FDCA;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third parties on which we will rely to bring to market, or assist us in bringing to market, compounded drugs;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change in regulatory requirements related to compounded drugs under Section 503B of the FDCA;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or delays in commencement or completion, or the termination or suspension, of our current or planned clinical or preclinical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trial outcomes and results of preclinical development;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complete development of our product candidates or submit and obtain United States Food and Drug Administration, or FDA, or foreign regulatory authority approval for our product candidates on projected timelines or budgets,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third parties on which we rely to conduct nonclinical studies and clinical trials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or a failure of a strategic collaborator, to successfully commercialize our product candidates, if approved, or our failure to otherwise monetize our portfolio programs and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scope of product development programs we pursue;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Termination by Organon of our out-license agreement for commercialization of XACIATO® (clindamycin phosphate) vaginal gel 2%, or XACIATO;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amount of future upside-sharing milestone payments from XOMA under our traditional and synthetic royalty purchase agreements, if any;</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S-iii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third parties on which we rely to commercialize, or assist us in commercializing, XACIATO and any future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with maintaining existing collaborations relating to the development and/or commercialization of our product candidates, or establishing new ones on a timely basis or on acceptable terms,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terms and conditions of any future strategic collaborations relating to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degree of market acceptance that XACIATO and any future product achieves;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Coverage and reimbursement levels for XACIATO and any future product by government health care programs, private health insurance companies and other third-party payors;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loss of, or inability to attract,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change in the FDA’s prior determination that the Center for Devices and Radiological Health would lead the review of a premarket approval application for potential marketing approval of Ovaprene;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change in regulatory requirements for our product candidates, including the development pathway pursuant to Section 505(b)(2) of the FDCA, or the FDA’s 505(b)(2) pathway;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Unfavorable differences between preliminary, interim or topline clinical study data reported by us and final study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select product candidates that capitalize on the most scientifically, clinically or commercially promising or profitable indications or therapeutic areas within women’s health including due to our limited financial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or impairment of our in-licensed rights to develop and commercialize XACIATO, our product candidates, and DARE to PLAY or potential other Section 503B compounded drugs;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amount of our payment and other obligations under our in-license and acquisition agreements for XACIATO, our product candidates, and DARE to PLAY or potential other Section 503B compounded drugs;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Developments by our competitors that make XACIATO, or any potential product we develop, less competitive or obsolete;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Unfavorable or unanticipated macroeconomic factors, geopolitical events or conflicts, public health emergencies, or natural disasters;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Weak interest in women’s health relative to other healthcare sectors from the investment community or from pharmaceutical companies and other potential development and commercialization collaborators;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Cyber-attacks, security breaches or similar events compromising our technology systems and data, our financial resources and other assets, or the technology systems and data of third parties on which we rely;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Difficulty in introducing branded products in a market made up of generic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adequately protect or enforce our, or our licensor’s,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patent protection for the active ingredients in XACIATO and certain of our product candidates that expose them to competition from other formulations using the same active ingredients;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risk of failure associated with product candidates in preclinical stages of development that may lead investors to assign them little to no value and make these assets difficult to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Dependence on grants and other financial awards from governmental entities and private foundations to advance the development of several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or other developments concerning our intellectual property rights;</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S-iv</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Actual and anticipated fluctuations in our quarterly or annual operating results or results that differ from investors’ expectations for such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Price and volume fluctuations in the stock market, and in our stock in particular, which could cause investors to experience losses and subject us to securities class-action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liability claims or governmental investigations;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Increased costs as a result of operating as a public company, and substantial time devoted by our management to compliance initiatives and corporate governance practices.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statements that “we believe” and similar statements reflect our beliefs and opinions on the relevant subject. These statements are based upon information available to us as of the time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should read this prospectus supplement, the accompanying prospectus, the information incorporated herein and therein by reference, particularly in the sections of such documents titled “Risk Factors” and “Management’s Discussion and Analysis of Financial Condition and Results of Operations,” and the documents that have been filed as exhibits to the registration statement of which this prospectus supplement is a part completely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Any forward-looking statement in this prospectus supplement, the accompanying prospectus, and the information incorporated herein and therein by reference speaks only as of the date of the respective document. We do not undertake any obligation to publicly update any forward-looking statement to reflect events or circumstances after the date on which the statement is made or to reflect the occurrence of unanticipated events, except as required by law.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Arial;Helvetica;Sans-Serif" w:hAnsi="Arial;Helvetica;Sans-Serif"/>
          <w:b/>
          <w:i w:val="false"/>
          <w:caps w:val="false"/>
          <w:smallCaps w:val="false"/>
          <w:sz w:val="20"/>
          <w:bdr w:val="single" w:sz="8" w:space="1" w:color="000000"/>
        </w:rPr>
      </w:pPr>
      <w:bookmarkStart w:id="4" w:name="ak_003"/>
      <w:bookmarkEnd w:id="4"/>
      <w:r>
        <w:rPr>
          <w:rFonts w:ascii="Arial;Helvetica;Sans-Serif" w:hAnsi="Arial;Helvetica;Sans-Serif"/>
          <w:b/>
          <w:i w:val="false"/>
          <w:caps w:val="false"/>
          <w:smallCaps w:val="false"/>
          <w:sz w:val="20"/>
          <w:bdr w:val="single" w:sz="8" w:space="1" w:color="000000"/>
        </w:rPr>
        <w:t>PROSPECTUS SUPPLEMENT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caps w:val="false"/>
          <w:smallCaps w:val="false"/>
          <w:sz w:val="20"/>
          <w:bdr w:val="single" w:sz="8" w:space="1" w:color="000000"/>
        </w:rPr>
      </w:pPr>
      <w:r>
        <w:rPr>
          <w:rFonts w:ascii="Arial;Helvetica;Sans-Serif" w:hAnsi="Arial;Helvetica;Sans-Serif"/>
          <w:b w:val="false"/>
          <w:i/>
          <w:caps w:val="false"/>
          <w:smallCaps w:val="false"/>
          <w:sz w:val="20"/>
          <w:bdr w:val="single" w:sz="8" w:space="1" w:color="000000"/>
        </w:rPr>
        <w:t>This summary highlights selected information contained elsewhere in this prospectus supplement, the accompanying prospectus, and the documents that are incorporated herein and therein by reference. This summary does not contain all of the information you should consider before making an investment decision. Before you decide to invest in our securities, you should read the entire prospectus supplement, the accompanying prospectus and the documents incorporated herein and therein carefully, including the risk factors and the financial statements and related notes contained in our Annual Report on Form 10-K for the year ended December 31, 2025 and in our Quarterly Report on Form 10-Q for the period ended June 30, 2026.</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Business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are a purpose-driven health biotech company solely focused on closing the gap in women’s health between promising science and real-world solutions. Every innovation we advance is based in advanced science and backed by rigorous, peer-reviewed research. From contraception to menopause, sexual health to fertility, vaginal health to infectious disease, we’re working to close critical gaps in care using science that serves her needs. In March 2025, we announced an expansion of our business model to include a dual-path approach to bringing new products to market. For select proprietary formulations, we are pursuing both traditional FDA approval and earlier market access via Section 503B compounding. We believe this strategy allows us to respond to clinician and patient demand for timely access while continuing to generate the data necessary to seek FDA approval and support long-term value creation.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use the term “Section 503B compounding,” “503B compounding,” or similar terms to refer to the production and supply of compounded drugs by outsourcing facilities registered under Section 503B of the FDCA without patient-specific prescriptions in accordance with Section 503B of the FDCA.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Section 503B Compounding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Our proprietary topical cream formulation of sildenafil is our first product to market under Section 503B. The compounded drug is branded as DARE to PLAY Sildenafil Cream and became available for pre-order fulfillment by prescription in the U.S. in December 2025. We expect product to begin shipping and to record revenue from sales thereof in the third quarter of 2026, however, we do not expect the amount of such revenue, if any, to be material during 2026. The amount of potential revenue we may generate remains uncertain because we are in the early stages of executing against our Section 503B compounding strategy, we rely on a third-party Section 503B-registered outsourcing facility to manufacture DARE to PLAY and to obtain and maintain all state-level pharmacy and outsourcing facility licenses required to fulfill DARE to PLAY prescriptions, and, as an organization, we have no experience in and limited infrastructure for commercializing products.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are also taking action to bring our proprietary estradiol progesterone intravaginal ring (DARE-HRT1) to market under Section 503B. The compounded product will be branded as DARE to RECLAIM. We are targeting to have DARE to RECLAIM available in 2027. There are no FDA-approved products that provide estradiol and progesterone together in a non-oral monthly form.</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Consumer Health Products - DARE to RESTORE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launched our first consumer health product, Flora Sync LF5, in June 2026 under the brand family DARE to RESTORE. Flora Sync LF5 is a vaginal probiotic suppository formulated with Limosilactobacillus fermentum LF5, a clinically studied probiotic strain originally isolated from the vaginal microbiome of women with no reported history of yeast infections, manufactured by Probiotical S.p.A. in Italy. Flora Sync LF5 is available in the United States exclusively through the DARE Health Hub, an online platform operated by Medvantx Pharmacy.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Our Pipeline: Clinical Stage and Pre-Clinical Stage Programs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Sildenafil Cream, 3.6%, or Sildenafil Cream, an investigational cream formulation of sildenafil, the active ingredient in Viagra®, for topical administration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an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2025 10-K and “—Recent Events—Product Candidate Updates,” below, for additional information regarding our product candidates.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XACIATO®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The first FDA-approved product to emerge from our portfolio is XACIATO® (clindamycin phosphate) vaginal gel 2%, or XACIATO, was approved by the FDA in December 2021, as a single-dose prescription medication for the treatment of bacterial vaginosis in females 12 years of age and older. In 2022, we licensed exclusive worldwide rights to develop, manufacture and commercialize XACIATO to Organon and in April 2024, we sold our rights to all royalty and potential milestone payments based on net sales of XACIATO under our agreement with Organon to XOMA.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Operations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Our primary operations consist of research and development activities to advance our portfolio of product candidates through late-stage clinical development and/or regulatory approval, and commercialization activities for the 503B and consumer health products we seek to bring to market. Until we secure additional capital to fund our operating needs, we will focus our research and development resources primarily on advancement of Ovaprene. In addition, we expect to incur significant research and development expenses for the DARE-LARC1 and DARE-HPV programs, but we also expect such expenses will be supported by non-dilutive funding, with respect to DARE-LARC1, through IND-enabling preclinical work, and with respect to DARE-HPV, through our ongoing Phase 2 clinical study.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have limited sales, marketing and distribution infrastructure, and currently, we do not intend to build our own sales force or marketing and distribution infrastructure. However, reflecting the shift in our business model, we have been and will be allocating resources to support commercial execution activities, including entering into and maintaining relationships with 503B-registered outsourcing facilities, dispensing pharmacies, telehealth providers and other third parties to help bring our proprietary formulations to market.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will need to raise substantial additional capital to continue to fund our operations and execute our current business strategy. Our business is subject to a number of risks common to biopharmaceutical companies and the process of developing and obtaining regulatory approvals for prescription drug and drug/device products in the United States and in foreign jurisdictions is inherently uncertain and requires the expenditure of substantial financial resources without any guarantee of success. The commercialization of a product and compliance with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Recent Events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Commercial Launch of First Consumer Health Product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As discussed above, our first consumer health product, Flora Sync LF5, became available for purchase in the U.S. in June 2026.</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caps w:val="false"/>
          <w:smallCaps w:val="false"/>
          <w:sz w:val="20"/>
          <w:bdr w:val="single" w:sz="8" w:space="1" w:color="000000"/>
        </w:rPr>
      </w:pPr>
      <w:r>
        <w:rPr>
          <w:rFonts w:ascii="Arial;Helvetica;Sans-Serif" w:hAnsi="Arial;Helvetica;Sans-Serif"/>
          <w:b/>
          <w:i/>
          <w:caps w:val="false"/>
          <w:smallCaps w:val="false"/>
          <w:sz w:val="20"/>
          <w:bdr w:val="single" w:sz="8" w:space="1" w:color="000000"/>
        </w:rPr>
        <w:t>Product Candidate Updates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caps w:val="false"/>
          <w:smallCaps w:val="false"/>
          <w:sz w:val="20"/>
          <w:bdr w:val="single" w:sz="8" w:space="1" w:color="000000"/>
        </w:rPr>
      </w:pPr>
      <w:r>
        <w:rPr>
          <w:rFonts w:ascii="Arial;Helvetica;Sans-Serif" w:hAnsi="Arial;Helvetica;Sans-Serif"/>
          <w:b w:val="false"/>
          <w:i/>
          <w:caps w:val="false"/>
          <w:smallCaps w:val="false"/>
          <w:sz w:val="20"/>
          <w:bdr w:val="single" w:sz="8" w:space="1" w:color="000000"/>
        </w:rPr>
        <w:t>Ovaprene®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Enrollment is ongoing in our pivotal Phase 3 multicenter, single-arm, non-comparative clinical study of Ovaprene to evaluate its effectiveness as a contraceptive along with its safety and acceptability (ClinicalTrials.gov ID: NCT06127199). We intend to maintain active recruitment at five study sites, supported by funding received under a grant agreement we entered into in November 2024.</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In May 2026, the study’s data safety monitoring board (DSMB), an independent group of experts which evaluates the safety and integrity of the study, conducted a second planned interim analysis and recommended the study continue without modification. As was the case with the data presented to the DSMB in July 2025, these interim data showed that approximately 9% of the women treated in the study had experienced a pregnancy. No new types of adverse events or tolerability concerns were identified. Neither an increase in the frequency of adverse events nor the emergence of new types of adverse events was observed with prolonged Ovaprene use. Approximately 12% of participants discontinued the study due to vaginal odor, the most commonly reported product-related adverse event, which is a 5% decrease compared to data reviewed by the DSMB in July 2025. No serious adverse events related to the study device were identified. A majority of participants who had completed the study reported they would be very likely or likely to use Ovaprene if it became available.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For the interim analysis, the DSMB reviewed data from 339 study subjects, contributing 1,789 menstrual cycles of safety data. The study protocol calls for at least 2,500 cycles of exposure and expects that at least 250 subjects would complete 13 menstrual cycles of use, whom we refer to as completers. Based on current enrollment trends, we expect to achieve 2,500 menstrual cycles of exposure before 250 completers. Interim data reviewed by the DSMB indicate that prolonged product use was not associated with the emergence of new types of adverse events or an increase in the frequency of adverse events, which we believe may support the sufficiency of fewer than 250 completers to evaluate Ovaprene’s safety profile. We engaged with the FDA regarding these findings and proposed amending the study protocol to remove the specific expectation of at least 250 completers. In August 2026, the FDA approved our proposed protocol amendment, but also cautioned that it believes implementing the proposed modification would result in a study that is not able to generate sufficient evidence of Ovaprene’s safety profile to support a favorable premarket approval decision. We intend to continue engagement with FDA on this point as well as the additional study design and future premarket approval submission considerations it provided. Based on the interim safety data reviewed by the DSMB, including the absence of new types of adverse events or increased frequency of adverse events with prolonged use, and the study’s expected achievement of at least 2,500 menstrual cycles of exposure, we believe the amended protocol will generate sufficient safety data to support a premarket approval submission, although there can be no assurance that the FDA will agree. We currently expect to proceed to amend the protocol to eliminate the 250 completer expectation and to enroll sufficient women in 2026 to achieve at least 2,500 menstrual cycles of exposure in 2027, supporting a top line data announcement in 2027.</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caps w:val="false"/>
          <w:smallCaps w:val="false"/>
          <w:sz w:val="20"/>
          <w:bdr w:val="single" w:sz="8" w:space="1" w:color="000000"/>
        </w:rPr>
      </w:pPr>
      <w:r>
        <w:rPr>
          <w:rFonts w:ascii="Arial;Helvetica;Sans-Serif" w:hAnsi="Arial;Helvetica;Sans-Serif"/>
          <w:b w:val="false"/>
          <w:i/>
          <w:caps w:val="false"/>
          <w:smallCaps w:val="false"/>
          <w:sz w:val="20"/>
          <w:bdr w:val="single" w:sz="8" w:space="1" w:color="000000"/>
        </w:rPr>
        <w:t>DARE-HPV</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In May 2026, we announced the initiation of a randomized, placebo-controlled, double-blinded Phase 2 clinical study of DARE-HPV to evaluate the safety and antiviral activity of a lower and higher dose of DARE-HPV in approximately 100 women with persistent high-risk HPV infection (ClinicalTrials.gov ID: NCT07601074). The primary endpoint is HPV clearance rate at three months post end of treatment. Secondary endpoints include safety, tolerability, and reduction in viral load. The ongoing Phase 2 study is supported by ARPA-H award funding. We currently expect to report topline data from the study in 2027.</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Nasdaq Listing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On July 13, 2026, in accordance with Nasdaq Listing Rule 5815(d)(4)(B), we received a delisting determination letter from the Listing Qualifications Staff (the “Staff”) of The Nasdaq Stock Market LLC (“Nasdaq”). The Staff informed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and the Staff was not permitted to grant additional time for us to regain compliance because, as previously reported, we were subject to a mandatory monitoring period of one-year from July 24, 2025 due to previous noncompliance with Nasdaq Listing Rule 5550(b)(1). We were permitted to request an appeal of the Staff’s delisting determination and a hearing to address the deficiency before a Nasdaq Hearing Panel (the “Panel”). We timely submitted the hearing request, which stayed the suspension and delisting of our common stock at least pending the issuance of the Panel’s decision following the hearing and the expiration of any extension period that may be granted by the Panel. The hearing has been scheduled for late August 2026. Pursuant to published Nasdaq guidance, the Panel typically issues its decision within 30 days of the hearing.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 xml:space="preserve">Following the hearing, the Panel may, as it deems appropriate, grant an extension period not to exceed 180 days from the date of the Staff’s delisting determination letter for us to evidence compliance with Nasdaq Listing Rule 5550(b), suspend and delist our common stock from The Nasdaq Capital Market, or find us in compliance with all applicable listing standards. There can be no assurance that our hearing before the Panel will result in a favorable outcome or, if any extension period is granted, that we will regain compliance with Nasdaq Listing Rule 5550(b) within such extension period or that we will be successful in otherwise maintaining the listing of our common stock on The Nasdaq Capital Market. See the risk factor titled, </w:t>
      </w:r>
      <w:r>
        <w:rPr>
          <w:rFonts w:ascii="Arial;Helvetica;Sans-Serif" w:hAnsi="Arial;Helvetica;Sans-Serif"/>
          <w:b w:val="false"/>
          <w:i/>
          <w:caps w:val="false"/>
          <w:smallCaps w:val="false"/>
          <w:sz w:val="20"/>
          <w:bdr w:val="single" w:sz="8" w:space="1" w:color="00000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r>
        <w:rPr>
          <w:rFonts w:ascii="Arial;Helvetica;Sans-Serif" w:hAnsi="Arial;Helvetica;Sans-Serif"/>
          <w:b w:val="false"/>
          <w:i w:val="false"/>
          <w:caps w:val="false"/>
          <w:smallCaps w:val="false"/>
          <w:sz w:val="20"/>
          <w:bdr w:val="single" w:sz="8" w:space="1" w:color="000000"/>
        </w:rPr>
        <w:t>, under the heading “Risk Factors,” below.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qualify as a “smaller reporting company” under the rules promulgated under the Securities Act and the Exchange Act. As a result, we have chosen, and may continue to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greater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Company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 Our principal executive offices are located at 3655 Nobel Drive, Suite 260, San Diego, California, 92122, and our telephone number is 858-926-7655. Our website address is www.darebioscience.com. The information on our website is not incorporated by reference into this prospectus supplement or the accompanying prospectus and should not be considered to be part of this document.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Arial;Helvetica;Sans-Serif" w:hAnsi="Arial;Helvetica;Sans-Serif"/>
          <w:b/>
          <w:i w:val="false"/>
          <w:caps w:val="false"/>
          <w:smallCaps w:val="false"/>
          <w:sz w:val="20"/>
          <w:bdr w:val="single" w:sz="8" w:space="1" w:color="000000"/>
        </w:rPr>
      </w:pPr>
      <w:bookmarkStart w:id="5" w:name="ak_004"/>
      <w:bookmarkEnd w:id="5"/>
      <w:r>
        <w:rPr>
          <w:rFonts w:ascii="Arial;Helvetica;Sans-Serif" w:hAnsi="Arial;Helvetica;Sans-Serif"/>
          <w:b/>
          <w:i w:val="false"/>
          <w:caps w:val="false"/>
          <w:smallCaps w:val="false"/>
          <w:sz w:val="20"/>
          <w:bdr w:val="single" w:sz="8" w:space="1" w:color="000000"/>
        </w:rPr>
        <w:t>THE OFFERING</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25"/>
        <w:gridCol w:w="60"/>
        <w:gridCol w:w="8620"/>
      </w:tblGrid>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 offered by us</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offering 4,085,687 shares of our common stock at a public offering price of $1.37 per share.</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Pre-funded warrants offered by us</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also offering pre-funded warrants to purchase 293,894 shares of our common stock at a public offering price of $1.3699 per pre-funded warrant, which is equal to the public offering price per share of common stock, minus $0.0001, and the exercise price of each pre-funded warrant will be $0.0001 per share. Each pre-funded warrant will be exercisable for one share of common stock, will be exercisable upon issuance, and will expire when exercised in full. See “Description of Pre-funded Warrants.”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supplement also relates to the offering of the shares of common stock issuable upon the exercise of the pre-funded warrants.</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Concurrent private placement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 concurrent private placement, we are also offering, to the purchasers of pre-funded warrants and common stock in this offering, Series A warrants and Series B warrants to purchase up to an aggregate of 8,759,162 shares of common stock and/or pre-funded warrants. Neither the Series A warrants, the Series B warrants, nor the shares of common stock or pre-funded warrants issuable upon exercise thereof (nor the shares of common stock issuable upon exercise of such pre-funded warrants) are being offered pursuant to this prospectus supplement and the accompanying prospectus. Such securities are being offered pursuant to the exemption provided in Section 4(a)(2) of the Securities Act and Rule 506(b) promulgated thereunder. There is no public trading market for the Series A warrants or the Series B warrants (or the pre-funded warrants issuable upon exercise thereof), and we do not expect a market to develop. None of the Series A warrants or the Series B warrants (or the pre-funded warrants issuable upon exercise thereof) are or will be listed for trading on any national securities exchange or any over-the-counter trading platform.</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 to be outstanding immediately after this offering</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19,375,189 shares (or 19,669,083 shares if holders of the pre-funded warrants exercise the pre-funded warrants in full).</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estimate that the net proceeds from this offering will be approximately $5.4 million, after deducting the placement agent fees and commissions and estimated offering expenses payable by us. We currently intend to use the net proceeds from this offering for working capital and general corporate purposes, including to support our 503B compounding and consumer health business strategies, research and development activities, general and administrative costs, and to meet working capital needs. See “Use of Proceeds” on page S-12 of this prospectus supplement.</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Investing in our securities involves significant risks. See “Risk Factors” beginning on page S-6 of this prospectus supplement.</w:t>
            </w:r>
          </w:p>
        </w:tc>
      </w:tr>
      <w:tr>
        <w:trPr/>
        <w:tc>
          <w:tcPr>
            <w:tcW w:w="1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Nasdaq listing</w:t>
            </w:r>
          </w:p>
        </w:tc>
        <w:tc>
          <w:tcPr>
            <w:tcW w:w="60" w:type="dxa"/>
            <w:tcBorders/>
            <w:vAlign w:val="center"/>
          </w:tcPr>
          <w:p>
            <w:pPr>
              <w:pStyle w:val="TableContents"/>
              <w:bidi w:val="0"/>
              <w:spacing w:before="0" w:after="283"/>
              <w:jc w:val="left"/>
              <w:rPr/>
            </w:pPr>
            <w:r>
              <w:rPr/>
              <w:t> </w:t>
            </w:r>
          </w:p>
        </w:tc>
        <w:tc>
          <w:tcPr>
            <w:tcW w:w="86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under the symbol “DARE.” There is no public trading market for the pre-funded warrants, and we do not expect a market to develop. We do not intend to list the pre-funded warrants on The Nasdaq Capital Market or any other national securities exchange or any other nationally recognized trading system.</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Placement Agent Warrants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In connection with this offering, we will also issue warrants to the placement agent or its designees to purchase up to 175,183 shares of our common stock at an exercise price of $2.12 per share (collectively, the “placement agent warrants”). For additional information, see “Plan of Distribution” on page S-14. This prospectus supplement does not relate to the offering of such warrants or the shares of common stock issuable upon exercise of such warrants.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i w:val="false"/>
          <w:caps w:val="false"/>
          <w:smallCaps w:val="false"/>
          <w:sz w:val="20"/>
          <w:bdr w:val="single" w:sz="8" w:space="1" w:color="000000"/>
        </w:rPr>
      </w:pPr>
      <w:r>
        <w:rPr>
          <w:rFonts w:ascii="Arial;Helvetica;Sans-Serif" w:hAnsi="Arial;Helvetica;Sans-Serif"/>
          <w:b/>
          <w:i w:val="false"/>
          <w:caps w:val="false"/>
          <w:smallCaps w:val="false"/>
          <w:sz w:val="20"/>
          <w:bdr w:val="single" w:sz="8" w:space="1" w:color="000000"/>
        </w:rPr>
        <w:t>Outstanding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The number of shares of our common stock to be outstanding immediately after this offering, as stated above, is based on 15,169,502 shares of common stock outstanding as of June 30, 2026, and excludes the 293,894 shares of common stock issuable upon the exercise of the pre-funded warrants being offered by us in this offering and the 8,759,162 shares of common stock issuable upon the exercise of the common warrants being offered by us in the concurrent private placement and the 175,183 shares of common stock issuable upon the exercise of the placement agent warrants, as well as, as of June 30, 2026:</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1,875,910 shares of our common stock issuable upon the exercise of outstanding stock options with a weighted average exercise price of $7.48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145,969 shares of our common stock issuable upon settlement of outstanding restricted stock units;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1,427,206 shares of common stock reserved for issuance under our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1,940,371 shares of common stock issuable upon the exercise of outstanding warrants with a weighted average exercise price of $4.90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151,800 shares of common stock issuable upon the conversion of outstanding shares of preferred stock;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20,150 shares of common stock issuable upon the conversion of preferred stock, and 20,150 shares of common stock issuable upon the exercise of warrants with an exercise price of $4.00 per share, in each case, issuable upon exercise outstanding unit warrants to purchase shares of preferred stock and warrants with an exercise price of $6.25 per unit.</w:t>
            </w:r>
          </w:p>
        </w:tc>
      </w:tr>
    </w:tbl>
    <w:p>
      <w:pPr>
        <w:pStyle w:val="TextBody"/>
        <w:bidi w:val="0"/>
        <w:spacing w:before="0" w:after="0"/>
        <w:ind w:left="1440" w:right="0" w:hanging="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Subsequent to June 30, 2026 and as of the date of this prospectus supplement 120,000 shares of our common stock have been issued and sold under our equity line arrangement. We have agreed not to sell any shares of our common stock under our equity line arrangement or under our at-the-market offering program for 120 days and 60 days, respectively, following the closing date of this offering.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000000"/>
        </w:rPr>
      </w:pPr>
      <w:r>
        <w:rPr>
          <w:rFonts w:ascii="Arial;Helvetica;Sans-Serif" w:hAnsi="Arial;Helvetica;Sans-Serif"/>
          <w:b w:val="false"/>
          <w:i w:val="false"/>
          <w:caps w:val="false"/>
          <w:smallCaps w:val="false"/>
          <w:sz w:val="20"/>
          <w:bdr w:val="single" w:sz="8" w:space="1" w:color="000000"/>
        </w:rPr>
        <w:t>Except as otherwise indicated, all information in this prospectus supplement, including the number of shares of common stock outstanding immediately after this offering, reflects and assumes: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exercise of any warrants outstanding as of June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exercise of either the common warrants issuable in the concurrent private placement or the placement agent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conversion of any shares of preferred stock outstanding as of June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issuance, exercise or settlement of stock-based awards under our equity incentive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sales of preferred stock or warrants under our Regulation A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sales of our common stock under our equity line arrangement or at-the-market offering program.</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6" w:name="ak_005"/>
      <w:bookmarkEnd w:id="6"/>
      <w:r>
        <w:rPr>
          <w:rFonts w:ascii="Arial;Helvetica;Sans-Serif" w:hAnsi="Arial;Helvetica;San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An investment in our common stock and pre-funded warrants involves a high degree of risk. Before deciding whether to invest in our common stock and pre-funded warrants, you should consider carefully the risks described below and discussed under the sections captioned “Risk Factors” in Part I, Item 1A of our Annual Report on Form 10-K for the year ended December 31, 2025, which is incorporated by reference in this prospectus supplement and the accompanying prospectus in its entirety, together with other information in this prospectus supplement, the accompanying prospectus, and the information and documents incorporated by reference that we have authorized for use in connection with this offering. If any of these risks actually occur, our business, financial condition, results of operations or cash flows could be seriously harmed. This could cause the trading price of our common stock and the value of our pre-funded warrants to decline, resulting in a loss of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Risks Related to Our Common Stock, Pre-Funded Warrants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This is a reasonable best efforts offering, with no minimum amount of securities required to be sold, and we may sell fewer than all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placement agent has agreed to use its reasonable best efforts to solicit offers to purchase the securities offered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complete this offering. As there is no minimum offering amount required as a condition to the closing of this offering, the actual offering amount, placement agent fees and proceeds to us are not presently determinable and may be substantially less than the maximum amounts set forth in this prospectus. We may sell fewer than all of the securities offered hereby, which would significantly reduce the amount of proceeds received by us, and investors in this offering will not receive a refund in the event that we do not sell all of the securities offered in this offering. The success of this offering will impact our ability to use the proceeds to execute our business plans. We may have insufficient capital to implement our business plans, potentially resulting in greater operating losses or dilution unless we are able to raise capital from alternative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We will need to raise substantial additional capital to continue our operations and execute our business strategy, and we may not be able to raise adequate capital on a timely basis,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history of losses from operations, we expect significant losses from operations, net losses and negative cash flows from operations for at least the next several years as we develop and seek to bring to market 503B compounded drugs and our product candidates and as we seek to potentially acquire or license and develop additional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June 30, 2026, we had an accumulated deficit of approximately $194.7 million and we incurred a net loss of approximately $6.0 million, and we had negative cash flow from operations of approximately $12.3 million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received grant funds under grant agreements with private foundations. The grant funds received under these agreements may be applied solely toward direct costs for the projects funded under these grant agreements, or grant-funded projects, subject to an indirect cost allowance of approximately 5% to 22%. In accordance with GAAP, grant funds received under these grant agreements but not yet expended on direct costs for grant-funded projects and the associated indirect cost allowance are recorded both in cash and cash equivalents and in the deferred grant funding liability in our condensed consolidated balance sheets. As of June 30, 2026, our deferred grant funding liability, which is classified as a current liability on our condensed consolidated balance sheets, was approximately $15.0 million. As we incur and expense direct costs for grant-funded projects, the deferred grant funding liability is reduced accordingly. However, the deferred grant funding liability may not always correspond directly to the amount of grant funds and the associated indirect cost allowance remaining in cash and cash equivalents. This can occur when we incur direct costs for grant-funded projects in a particular period, thereby reducing our cash, but the related expense is not recognized in the same period due to timing differences under GAAP, resulting in no corresponding reduction of the deferred grant funding liability. As a result of these timing differences, when this occurs, a portion of our cash and cash equivalents that has already been disbursed for grant-funded project costs continues to be reflected in the deferred grant funding liability until the related expense is recognized under GAAP. At June 30, 2026, we had cash and cash equivalents of approximately $12.6 million, all of which represented grant funds received under grant agreements with the private foundations. As of June 30, 2026, we had a working capital deficit, which is calculated as current assets minus current liabilities, including the deferred grant funding liability, of approximately $0.2 million.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that our existing cash and cash equivalents will be sufficient to fund our operating needs, including planned commercial launch activities for DARE to PLAY, into the fourth quarter of 2026. We will need additional capital to fund our operating needs beyond that time and to meet our current obligations as they become due. These circumstances raise substantial doubt about our ability to continue as a going concern. Advancing our investigational products through clinical development and pursuing regulatory approval and commercialization will require substantial additional investment. We will need to raise substantial additional capital to continue to fund our operations and execute our current business strategy. The amount and timing of our capital needs have and will continue to depend highly on many factors, as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management may devote significant time and we may incur substantial costs in pursuing, evaluating and negotiating potential capital-raising transactions and those efforts may not prove successful on a timely basis, or at all. If we cannot raise adequate additional capital when needed, we may be forced to reduce, or even terminate our operations. We may delay, scale back or eliminate one or more of our 503B compounded drug offerings and/or our product development programs; relinquish rights under our license agreements with third parties relating to our 503B compounded drug offerings and/or our product candidates; forgo opportunities to expand our 503B compounded drug offerings and/or our product portfolio; take other measures to reduce our expenses; reorganize or merge with another entity; or file for bankruptcy or cease operations. For example, in recent years, due to our limited capital resources, we have focused our resources primarily on the advancement of Ovaprene and Sildenafil Cream, unless a program has been supported by grant or other non-dilutive funding, and we have delayed R&amp;D activities for other programs. If we become unable to continue as a going concern, we may have to liquidate our assets, and might realize significantly less than the values at which they are carried on our financial statements, and our stockholders may lose all or part of their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capital needs have depended on, and will continue to depend on, many factors that are highly variable and difficult to predict,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503B compounded drug offerings and/or product development programs we choose to pursue;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initiation, type, number, scope, progress, expansions, results, costs, and timing of clinical trials and preclinical studies of our product candidates that we are pursuing or may choose to pursue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for 503B compounded drugs;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for clinical supplies of product candidates and, if applicable, commercial product at sufficient scale;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regulatory submissions to and the timing and outcome of decisions by the FDA and other regulatory authorities on our applications to commence and advance clinical development of and to market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 and timing of payments to third parties required under acquisition, in-license and other agreements relating to our rights to develop and commercialize our product and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commercialization activities we undertake or engage third parties to undertake for any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 and timing of future royalty, milestone or other payments, if any, we receive under any future out-licensing agreement or the Royalty Purchase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maintain, and establish new, strategic collaborations relating to the development and/or commercialization of our product and product candidates, and the terms and timing of such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acquire, in-license, or otherwise invest in new product candidates or technologies and the terms of any such transaction;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Should we add product candidates to our portfolio, should our existing product candidates require testing or other capital-intensive development activities that we do not anticipate, should the duration of our clinical trials be longer than anticipated, should manufacturing and supply be disrupted, or should regulatory approvals be delayed, our cash resources will be further strained. Should our 503B business strategy and/or product development efforts succeed, we will need to develop and implement a commercialization plan for each 503B compounded drug and/or product, which may also require significant resources to create and implement. In addition, the terms of any collaboration agreements for development and/or commercialization of our product and product candidates may significantly impact our need for additional capital. Because of these uncertainties and the other risks and uncertainties discussed in the risk factors section of our periodic reports filed with the SEC, we cannot reasonably estimate the amount of funding necessary to successfully complete development of and seek regulatory approval for our product candidates or to commercialize any approved products. In addition, we may seek additional capital due to favorable market conditions or strategic considerations even if we believe we have sufficient funds for our planned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seek to raise additional capital through a variety of means, including equity, equity-linked or debt securities offerings, government or other grant funding, strategic collaborations or alliances, debt, royalty monetization or other structured financings, or other similar types of arrangements. Our past success in raising capital through equity offerings, grant funding, collaboration agreements, and royalty monetization transactions should not be viewed as any indication we will be successful in raising capital through those or any other means in the future. We expect that our ability to raise additional capital and the amount of capital available to us will depend not only on progress we and our collaborators make toward successfully developing, obtaining regulatory approval for and commercializing our product and product candidates, but also on factors outside of our control, such as macroeconomic and financial market conditions. To the extent we seek to obtain additional capital before achieving clinical, regulatory and/or sales milestones or when our stock price or trading volume or both are low, or when the general market for biopharmaceutical or women’s health companies is weak, additional capital may not be available to us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Unstable and unfavorable market and economic conditions may harm our ability to raise additional capital. The occurrence or continued occurrence of macroeconomic factors or events similar to those experienced in recent years, such as a U.S. economic crisis or recession or recessionary concerns, inflation, rising interest rates, public health emergencies, geopolitical conflict (such as the wars in Ukraine and the Middle East), natural/environmental disasters, supply-chain disruptions, terrorist attacks, strained trade and other relations between the U.S. and a number of other countries, social and political discord and unrest in the U.S. and other countries, and government shutdowns, among others, increase market volatility and have long-term adverse effects on the U.S. and global economies and financial markets. Volatility and deterioration in the financial markets and liquidity constraints or other adverse developments affecting financial institutions may make equity or debt financings more difficult, more costly or more dilutive and may increase competition for, or limit the availability of, funding from other third-party sources, such as from strategic collaborations and government and other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common stock could be subject to immediate suspension of trading from The Nasdaq Capital Market and delisting if we do not obtain a favorable outcome from the Nasdaq Hearing Panel following our upcoming hearing, which could, among other things, limit demand for our common stock, substantially impair our ability to raise additional capital and have an adverse effect on the market price of, and the efficiency of the trading market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were not in compliance with the stockholders’ equity rule or the market value of listed securities rule from August 2024 until July 24, 2025, and we were not in compliance with the minimum bid price rule from July 2023 until July 2024 and from December 2022 until January 2023. Although we regained compliance with the applicable rule in each instance, there can be no assurance that we will continue to satisfy those or other continued listing requirements and maintain the listing of our common stock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Nasdaq confirmed on July 24, 2025, that we regained compliance with the stockholders’ equity rule, it also informed us that, pursuant to Nasdaq Listing Rule 5815(d)(4)(B), we would be subject to a mandatory panel monitor for a period of one year from that date, and that if, within that one-year period, the Staff determines that we are out of compliance with the stockholders’ equity rule, the Staff will issue a delisting determination letter, and we will have an opportunity to request a new hearing with Nasdaq’s Hearings Panel. Notwithstanding Nasdaq Listing Rule 5810(c)(2), we will not be permitted to provide a plan of compliance to the Staff with respect to such non-compliance, the Staff will not be permitted to grant us additional time to regain compliance, and we will not be afforded a cure period pursuant to Nasdaq Listing Rule 5810(c)(3). The foregoing would limit our ability to remedy any future non-compliance with the stockholders’ equity rule, and would increase the likelihood that our common stock could be delisted, if we were to fall out of compliance with the stockholders’ equity rule during the one-year monitoring period.</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July 13, 2026, we received a delisting determination letter from the Staff in accordance with Nasdaq Listing Rule 5815(d)(4)(B) informing us that because our Quarterly Report on Form 10-Q for the period ended March 31, 2026 reported stockholders’ equity of less than $2.5 million and, as of July 13, 2026, we did not meet the alternative requirements of $35 million in market value of listed securities or $500,000 in net income from continuing operations, we no longer complied with Nasdaq Listing Rule 5550(b). Pursuant to Nasdaq Listing Rule 5815, we were permitted to request an appeal of the Staff’s delisting determination and a hearing to address the listing deficiency before the Panel. We timely submitted the hearing request, which stayed the suspension and delisting of our common stock at least pending the issuance of the Panel’s decision following the hearing and the expiration of any extension period that may be granted by the Panel. The hearing has been scheduled for late August 2026. Pursuant to published Nasdaq guidance, the Panel typically issues its decision within 30 days of the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the hearing, the Panel may, as it deems appropriate, grant an extension period not to exceed 180 days from the date of the Staff’s delisting determination letter for us to evidence compliance with Nasdaq Listing Rule 5550(b), suspend and delist our common stock from The Nasdaq Capital Market, or find us in compliance with all applicable listing standards. There can be no assurance that our hearing before the Panel will result in a favorable outcome or, if any extension period is granted, that we will regain compliance with Nasdaq Listing Rule 5550(b) within such extension period or that we will be successful in otherwise maintaining the listing of our common stock on The Nasdaq Capital Market. If the Panel issues a decision to delist our common stock, unless the Panel’s decision specifies to the contrary, Nasdaq will immediately take action to suspend trading of our common stock. If the Panel issues a delisting decision, we will have an opportunity to appeal the decision to the Nasdaq Listing and Hearing Review Council (the “Listing Council”). If the Panel issues a delisting decision and we do not appeal the decision or if the Listing Council does not call the matter for review or withdraws its call for review, Nasdaq will follow the procedures described in Nasdaq Listing Rule 5830 to submit an application on Form 25 to the SEC to delist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suspension or delisting of our common stock, or the commencement of delisting proceedings, for whatever reason, including the ongoing process that began with the July 13, 2026 Staff delisting determination letter,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As an investor participating in this offering, you will experience immediate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price per share of our common stock being offered is substantially higher than the net tangible book value per share of our common stock outstanding prior to this offering. As a result, investors purchasing common stock or pre-funded warrants in this offering will experience immediate and substantial dilution to the extent of the difference between the public offering price per share or pre-funded warrant and the net tangible book value per share of our common stock. After giving effect to the sale of 4,085,687 shares of our common stock and 293,894 pre-funded warrants in this offering at the offering price of $1.37 per share and $1.3699 per pre-funded warrant and based on our net tangible book value as of June 30, 2026 of $(0.04) per share, if you purchase shares of common stock in this offering you will suffer substantial and immediate dilution of $1.12 per share in the net tangible book value of the common stock, assuming no exercise of the pre-funded warrants and excluding any resulting accounting associated with the pre-funded warrants. The future exercise of outstanding options and warrants and vesting of restricted stock units will result in further dilution of your investment. Furthermore, if the pre-funded warrants are exercised, you will incur further dilution. See the section entitled “Dilution” below for a more detailed discussion of the dilution you will incur if you purchase common stock or pre-funded warrants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Our management will have broad discretion over the actual amounts and timing of the expenditures of the proceeds we receive in this offering and might not apply the proceeds in ways that enhance our financial condition or operating results or increase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intend to use the net proceeds we receive from this offering for general corporate purposes, including to support our 503B compounding and consumer health business strategies, research and development activities, general and administrative costs, and to meet working capital needs. This expected use of our net proceeds from this offering represents our intention based upon our current plans and business conditions. The amount and timing of our actual expenditures may vary significantly depending on numerous factors and actual expenses to operate our business. Because of the number and variability of factors that will determine our use of the proceeds from this offering, their ultimate use may vary substantially from their currently intended use. As a result, our management will retain broad discretion over the allocation of the net proceeds we receive from this offering and could spend the proceeds in ways that do not necessarily improve our financial condition or operating results or enhance the value of our common stock and your investment therein. See “Use of Proceeds” located elsewhere in this prospectus supplement for additional information.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There is no public market for the pre-funded warrants being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is no public trading market for the pre-funded warrants being offered in this offering, and we do not expect a market to develop. In addition, we do not intend to apply to list the pre-funded warrants on any securities exchange or nationally recognized trading system. Without an active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Holders of pre-funded warrants purchased in this offering will have no rights as holders of our common stock with respect to the shares of common stock underlying such pre-funded warrants until such holders exercise their pre-funded warrants and acquire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Until holders of pre-funded warrants acquire shares of our common stock upon exercise of the pre-funded warrants, holders of pre-funded warrants will have no rights with respect to the shares of our common stock underlying such pre-funded warrants including with respect to dividends and voting rights. Upon exercise of the pre-funded warrants, the holders will be entitled to exercise the rights of a holder of our common stock with respect to the shares of common stock underlying such pre-funded warrants only as to matters for which the record date occurs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Holders of pre-funded warrants may not be permitted to exercise them to the extent it results in their beneficial ownership of our common stock exceeding specified percentages.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pre-funded warrants that we are offering will have a beneficial ownership limitation provision providing that the holder may not exercise any portion of the pre-funded warrant if the holder, together with its affiliates, would beneficially own in excess of 4.99% (or 9.99% at the election of the holder prior to the issuance of the warrant) of the number of shares of our common stock outstanding immediately after giving effect to such exercise; provided, however, that upon 61 days’ prior notice to us, a holder may increase or decrease the beneficial ownership limitation percentage, provided that the beneficial ownership limitation percentage may not exceed 9.99%. As a result, you may not be able to exercise your warrants at a time when it would be financially beneficial for you to do so. In such circumstance you could seek to sell your pre-funded warrants to realize value, but you may be unable to do so in the absence of an established trading market for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Future sales of our common stock or other securities convertible into our common stock, or the perception that such sales or issuances could occur, could cause the market value of our common stock to decline and could result in dilution of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of directors is authorized, without stockholder approval unless required by Nasdaq listing rules, to cause us to raise capital through the issuance of shares of our common stock, or securities convertible into or exercisable for our common stock, including preferred stock, options, warrants and other rights, on terms and for consideration as our board of directors in its sole discretion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Raising capital through the issuance of our securities may depress our stock price and substantially dilute our existing stockholders. The terms of securities issued may include liquidation or other preferences that may materially adversely affect the rights of our existing stockholders. Debt and other structured financings, if available, would increase our fixed payment obligations and may involve covenants requiring us to maintain specified financial ratios or a specified cash balance, or limiting or restricting our ability to take specific actions, such as incurring additional debt, acquiring, selling or licensing intellectual property rights, and making capital expenditures, or impose other operating restrictions that could adversely impact our ability to operate our business and pursue our strategic objectives. We could also be required to meet certain milestones in connection with a debt financing and the failure to achieve such milestones by certain dates may force us to relinquish rights to some of our technologies, product candidates or products, or otherwise agree to terms unfavorable to us. In addition, we may forego part or all of potentially valuable streams of future payments (e.g., milestone and/or royalty revenue) to raise immediate capital to fund our operations and advance our development programs, such as in the case of our royalty interest financing agreement and the Royalty Purchase Agreements. Moreover, the lower our cash balance when we seek to raise additional capital, the more difficult, costly or dilutive to our existing stockholders it may be for us to raise additional capital.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required to seek additional capital through arrangements with collaborators at an earlier stage of development or commercialization of our technologies, product candidates or products than otherwise would be desirable, in which case we may grant rights to our technologies, product candidates or products on terms that may not be as favorable to us or grant rights that we would otherwise prefer to retain. If we raise capital through new collaborations, strategic alliances or other similar types of arrangements, we may relinquish valuable rights to future revenue streams. Licensing agreements likely would significantly reduce our control over the development or commercialization of the licensed technology, product candidates or products, and our collaborators may become unable or unwilling to devote adequate resources to realize their full potential value. If we obtain funding through grants from governmental entities or private organizations, such parties may impose restrictions on our rights to technologies, product candidates or products developed with such funding, obtain rights to license such technologies, product candidates or products to third parties (e.g., if we are unable or unwilling to commercialize a product or make it available to certain patient populations in a timely manner or at certain prices), or require future royalty or other payments if such technologies, product candidates or products are commercialized.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of substantial amounts of our securities, or the perception that such sales or issuances could occur, could cause the market price of our common stock to decrease significantly. We cannot predict the effect, if any, of future sales of our securities, including securities issued pursuant to this offering, or the availability of our common stock for future sales on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You may experience further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raise additional capital, we may in the future issue additional common stock or other securities convertible into or exchangeable or exercisable for common stock, including under the ATM sales agreement,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common stock, or securities convertible or exchangeable or exercisable into common stock,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Future sales of substantial amounts of our common stock could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large number of shares issued in this offering may be sold in the market following this offering, which may depress the market price of our common stock. The common stock issued in this offering and the common stock issued from time to time upon exercise of the pre-funded warrants will be freely tradable without restriction or further registration under the Securities Act. Sales of a substantial number of our common stock in the public market following this offering could cause the market price of our common stock to decline. If there are more common stock offered for sale than buyers are willing to purchase, then the market price of our common stock may decline to a market price at which buyers are willing to purchase the offered shares and sellers remain willing to sell the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7" w:name="ak_006"/>
      <w:bookmarkEnd w:id="7"/>
      <w:r>
        <w:rPr>
          <w:rFonts w:ascii="Arial;Helvetica;Sans-Serif" w:hAnsi="Arial;Helvetica;San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estimate that the net proceeds to us from this offering will be approximately $5.4 million, after deducting placement agent fees and commissions and estimated offering expenses payable by us. We will receive nominal proceeds upon exercise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retain broad discretion over the use of the net proceeds from this offering. We currently intend to use the net proceeds from this offering for working capital and general corporate purposes, including to support our 503B compounding and consumer health business strategies, research and development activities, general and administrative costs, and to meet working capital needs. We may also use a portion of the net proceeds to acquire or invest in businesses, technologies, and products or product candidates, although we have no current plans, commitments or agreements with respect to any acquisitions as of the date of this prospectus supplement. Pending the use of net proceeds from this offering, we plan to invest the net proceeds in short-term interest-bearing investment-grade securities, certificates of deposit or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expected use of net proceeds from this offering represents our current intentions based upon our present plans and business conditions. The amounts we actually expend in these areas may vary significantly from our current intentions and will depend upon a number of factors, including the commercial success of the products we seek to bring to market under Section 503B and of the consumer health products we bring to market, product candidate development, and actual expenses to operate our business. As of the date of this prospectus supplement,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expect to require significant additional funding in the future, together with the net proceeds from this offering, to continue to execute against our 503B compounding and consumer health business strategies and to advance the development of, and seek regulatory approval for, our product candidates. While we may seek to obtain additional capital through one or more equity offerings, debt financings, government or other grant funding, or other third-party funding transactions, including potential strategic alliances and licensing or collaboration agreements, we cannot provide any assurance that adequate additional capital will be available on favorable terms, if at all. The unavailability or inadequacy of additional capital in the future when and as needed could force us to modify, curtail, delay, or suspend some or all aspects of our current planned operations, including by delaying, postponing, or canceling clinical trials or limiting the number of clinical trial sites of one or more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ak_007"/>
      <w:bookmarkEnd w:id="8"/>
      <w:r>
        <w:rPr>
          <w:rFonts w:ascii="Arial;Helvetica;Sans-Serif" w:hAnsi="Arial;Helvetica;San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paid cash dividends on our common stock and we do not anticipate paying cash dividends on our common stock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9" w:name="ak_008"/>
      <w:bookmarkEnd w:id="9"/>
      <w:r>
        <w:rPr>
          <w:rFonts w:ascii="Arial;Helvetica;Sans-Serif" w:hAnsi="Arial;Helvetica;Sans-Serif"/>
          <w:b/>
          <w:i w:val="false"/>
          <w:caps w:val="false"/>
          <w:smallCaps w:val="false"/>
          <w:sz w:val="20"/>
        </w:rPr>
        <w:t>DILUTION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purchase securities in this offering, your ownership interest will be diluted immediately to the extent of the difference between the price per share of our common stock or price per pre-funded warrant, as applicable, you pay in this offering and the adjusted net tangible book value per share of our common stock immediately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June 30, 2026, our net tangible book value was $(560,100), or approximately $(0.04) per share of common stock. Net tangible book value per share is equal to our total tangible assets, less our total liabilities, divided by the number of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After giving effect to the sale in this offering of 4,085,687 shares of common stock and of pre-funded warrants to purchase 293,894 shares of our common stock at the public offering price of $1.37 per share of common stock and $1.3699 per pre-funded warrant (and excluding shares of our common stock issued and any proceeds received upon exercise of the pre-funded warrants or any resulting accounting associated with the pre-funded warrants), after deducting placement agent fees and commissions and estimated offering expenses payable by us, our as adjusted net tangible book value as of June 30, 2026 would have been approximately $4.8 million, or approximately $0.25 per share of common stock. This represents an immediate increase in net tangible book value of $0.29 per share to our existing stockholders and an immediate dilution of $1.12 per share to investors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illustrates this dilution on a per share basis. The amounts in the table below assume the holders of the pre-funded warrants offered hereby do not exercise the pre-funded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0"/>
        <w:gridCol w:w="60"/>
        <w:gridCol w:w="155"/>
        <w:gridCol w:w="560"/>
        <w:gridCol w:w="95"/>
        <w:gridCol w:w="60"/>
        <w:gridCol w:w="155"/>
        <w:gridCol w:w="485"/>
        <w:gridCol w:w="75"/>
      </w:tblGrid>
      <w:tr>
        <w:trPr/>
        <w:tc>
          <w:tcPr>
            <w:tcW w:w="856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Offering price per share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4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1.37</w:t>
            </w:r>
          </w:p>
        </w:tc>
        <w:tc>
          <w:tcPr>
            <w:tcW w:w="75" w:type="dxa"/>
            <w:tcBorders/>
            <w:shd w:fill="CCEEFF" w:val="clear"/>
            <w:vAlign w:val="center"/>
          </w:tcPr>
          <w:p>
            <w:pPr>
              <w:pStyle w:val="TableContents"/>
              <w:bidi w:val="0"/>
              <w:spacing w:before="0" w:after="283"/>
              <w:jc w:val="left"/>
              <w:rPr/>
            </w:pPr>
            <w:r>
              <w:rPr/>
              <w:t> </w:t>
            </w:r>
          </w:p>
        </w:tc>
      </w:tr>
      <w:tr>
        <w:trPr/>
        <w:tc>
          <w:tcPr>
            <w:tcW w:w="856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5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(0.04</w:t>
            </w:r>
          </w:p>
        </w:tc>
        <w:tc>
          <w:tcPr>
            <w:tcW w:w="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56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560" w:type="dxa"/>
            <w:tcBorders/>
            <w:shd w:fill="FFFF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As adjusted net tangible book value per share on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0.25</w:t>
            </w:r>
          </w:p>
        </w:tc>
        <w:tc>
          <w:tcPr>
            <w:tcW w:w="75" w:type="dxa"/>
            <w:tcBorders/>
            <w:shd w:fill="FFFFFF" w:val="clear"/>
            <w:vAlign w:val="center"/>
          </w:tcPr>
          <w:p>
            <w:pPr>
              <w:pStyle w:val="TableContents"/>
              <w:bidi w:val="0"/>
              <w:spacing w:before="0" w:after="283"/>
              <w:jc w:val="left"/>
              <w:rPr/>
            </w:pPr>
            <w:r>
              <w:rPr/>
              <w:t> </w:t>
            </w:r>
          </w:p>
        </w:tc>
      </w:tr>
      <w:tr>
        <w:trPr/>
        <w:tc>
          <w:tcPr>
            <w:tcW w:w="8560" w:type="dxa"/>
            <w:tcBorders/>
            <w:shd w:fill="CCEEFF" w:val="cle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Dilution per share to investors purchasing common stock in this offering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48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holders of the pre-funded warrants exercise the pre-funded warrants in full, our as adjusted net tangible book value per share of common stock after giving effect to this offering would have been approximately $0.25, and the dilution in as adjusted net tangible book value per share to new investors participating in this offering would have been $1.12.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tables are calculated based on 15,169,502 shares of common stock outstanding as of June 30, 2026, and excludes the 293,894 shares of common stock issuable upon the exercise of the pre-funded warrants being offered by us in this offering, the 8,759,162 shares of common stock issuable upon the exercise of the common warrants being offered by us in the concurrent private placement, the 175,183 shares of common stock issuable upon the exercise of the placement agent warrants, as well as, as of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1,875,910 shares of our common stock issuable upon the exercise of outstanding stock options with a weighted average exercise price of $7.48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145,969 shares of our common stock issuable upon settlement of outstanding restricted stock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1,427,206 shares of common stock reserved for issuance under our equity incentive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1,940,371 shares of common stock issuable upon the exercise of outstanding warrants with a weighted average exercise price of $4.90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151,800 shares of common stock issuable upon the conversion of outstanding shares of preferred stock;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20,150 shares of common stock issuable upon the conversion of preferred stock, and 20,150 shares of common stock issuable upon the exercise of warrants with an exercise price of $4.00 per share, in each case, issuable upon exercise outstanding unit warrants to purchase shares of preferred stock and warrants with an exercise price of $6.25 per unit.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Subsequent to June 30, 2026 and as of the date of this prospectus supplement 120,000 shares of our common stock have been issued and sold under our equity line arrangement. We have agreed not to sell any shares of our common stock under our equity line arrangement or under our at-the-market offering program for 120 days and 60 days, respectively, following the closing date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as otherwise indicated, all information in this prospectus supplement, including the number of shares of common stock outstanding immediately after this offering, reflects and assumes: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exercise of any warrants outstanding as of June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exercise of either the common warrants issuable in the concurrent private placement or the placement agent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conversion of any shares of preferred stock outstanding as of June 30,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issuance, exercise or settlement of stock-based awards under our equity incentive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sales of preferred stock or warrants under our Regulation A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sales of our common stock under our equity line arrangement or at-the-market offering program.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extent that any outstanding stock options or warrants are exercised, outstanding restricted stock units are vested or settled, new equity awards are granted and exercised or settled under our equity incentive plans, outstanding shares of preferred stock are converted into shares of our common stock, or we issue additional shares of common stock or securities convertible or exercisable into shares of our common stock in the future, including under our Regulation A offering, our equity line arrangement, or at-the-market offering program, or in connection with other capital raising transactions, there will be further dilution to investors in this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0" w:name="ak_009"/>
      <w:bookmarkEnd w:id="10"/>
      <w:r>
        <w:rPr>
          <w:rFonts w:ascii="Arial;Helvetica;Sans-Serif" w:hAnsi="Arial;Helvetica;San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Ladenburg Thalmann &amp; Co. Inc. has agreed to act as our exclusive placement agent in connection with this offering, subject to the terms and conditions of the Placement Agency Agreement, dated August 14, 2026. The placement agent is not purchasing or selling any of the securities offered by this prospectus supplement, nor is it required to arrange the purchase or sale of any specific number or dollar amount of securities but has agreed to use its reasonable best efforts to arrange for the sale of all of the securities offered hereby. We may not sell the entire amount of securities offered pursuant to this prospectus. The terms of this offering were subject to market conditions and negotiations between us, the placement agent and prospective investors. This is a best efforts offering and there is no minimum offering amount required as a condition to the closing of this offering. Because there is no minimum offering amount required as a condition to closing this offering, we may sell fewer than all of the securities offered hereby, which may significantly reduce the amount of proceeds received by us. The placement agent does not guarantee that it will be able to raise new capital in any prospective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this offering, we entered into a securities purchase agreement with the investors. The agreement includes representations and warranties by us and the investor. We will only sell to such investors who have entered into the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deliver the securities being issued to the investors upon receipt of such investors’ funds for the purchase of the securities offered pursuant to this prospectus supplement. We expect to deliver the shares of our common stock being offered pursuant to this prospectus supplement on or about August 17,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agreed to indemnify the placement agent against specified liabilities, including liabilities under the Securities Act, and to contribute to payments the placement agent may be required to make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agreed to pay the placement agent a fee based on the aggregate proceeds as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3980"/>
        <w:gridCol w:w="60"/>
        <w:gridCol w:w="195"/>
        <w:gridCol w:w="949"/>
        <w:gridCol w:w="60"/>
        <w:gridCol w:w="60"/>
        <w:gridCol w:w="319"/>
        <w:gridCol w:w="1560"/>
        <w:gridCol w:w="60"/>
        <w:gridCol w:w="60"/>
        <w:gridCol w:w="155"/>
        <w:gridCol w:w="1415"/>
        <w:gridCol w:w="75"/>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 xml:space="preserve">Per Pre-Funded </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Total</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Public offering price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49"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1.3699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5,999,996.58</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Placement agent fees(1)</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49"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0.0959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60"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0.0959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5" w:type="dxa"/>
            <w:tcBorders/>
            <w:shd w:fill="FFFF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419,999.76</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Proceeds, before expenses, to us (2)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949"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560"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1.2740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415" w:type="dxa"/>
            <w:tcBorders/>
            <w:shd w:fill="CCEEFF" w:val="clear"/>
            <w:vAlign w:val="center"/>
          </w:tcPr>
          <w:p>
            <w:pPr>
              <w:pStyle w:val="TableContents"/>
              <w:bidi w:val="0"/>
              <w:spacing w:before="0" w:after="283"/>
              <w:jc w:val="right"/>
              <w:rPr>
                <w:rFonts w:ascii="Arial;Helvetica;Sans-Serif" w:hAnsi="Arial;Helvetica;Sans-Serif"/>
              </w:rPr>
            </w:pPr>
            <w:r>
              <w:rPr>
                <w:rFonts w:ascii="Arial;Helvetica;Sans-Serif" w:hAnsi="Arial;Helvetica;Sans-Serif"/>
              </w:rPr>
              <w:t>5,579,996.82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rFonts w:ascii="Arial;Helvetica;Sans-Serif" w:hAnsi="Arial;Helvetica;Sans-Serif"/>
                <w:sz w:val="20"/>
              </w:rPr>
              <w:t>(1)</w:t>
            </w:r>
            <w:r>
              <w:rPr/>
              <w:t xml:space="preserve"> </w:t>
            </w:r>
          </w:p>
        </w:tc>
        <w:tc>
          <w:tcPr>
            <w:tcW w:w="9926"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We have agreed to pay the placement agent a cash fee equal to 7.0% of the gross proceeds we receive from the sale of the common stock and pre-funded warrants. We have also agreed to reimburse the placement agent for its offering-related expenses in an amount up to $105,000.</w:t>
            </w:r>
          </w:p>
        </w:tc>
      </w:tr>
      <w:tr>
        <w:trPr/>
        <w:tc>
          <w:tcPr>
            <w:tcW w:w="279" w:type="dxa"/>
            <w:tcBorders/>
            <w:vAlign w:val="center"/>
          </w:tcPr>
          <w:p>
            <w:pPr>
              <w:pStyle w:val="TableContents"/>
              <w:bidi w:val="0"/>
              <w:spacing w:before="0" w:after="283"/>
              <w:jc w:val="left"/>
              <w:rPr/>
            </w:pPr>
            <w:r>
              <w:rPr/>
              <w:t xml:space="preserve">(2) </w:t>
            </w:r>
          </w:p>
        </w:tc>
        <w:tc>
          <w:tcPr>
            <w:tcW w:w="9926" w:type="dxa"/>
            <w:tcBorders/>
            <w:vAlign w:val="center"/>
          </w:tcPr>
          <w:p>
            <w:pPr>
              <w:pStyle w:val="TableContents"/>
              <w:bidi w:val="0"/>
              <w:spacing w:before="0" w:after="283"/>
              <w:jc w:val="both"/>
              <w:rPr/>
            </w:pPr>
            <w:r>
              <w:rPr/>
              <w:t xml:space="preserve">The above summary of offering proceeds does not give effect to any proceeds from the cash exercise of the pre-funded warrants issued in this offering. </w:t>
            </w:r>
          </w:p>
        </w:tc>
      </w:tr>
      <w:tr>
        <w:trPr/>
        <w:tc>
          <w:tcPr>
            <w:tcW w:w="279" w:type="dxa"/>
            <w:tcBorders/>
            <w:vAlign w:val="center"/>
          </w:tcPr>
          <w:p>
            <w:pPr>
              <w:pStyle w:val="TableContents"/>
              <w:bidi w:val="0"/>
              <w:spacing w:before="0" w:after="283"/>
              <w:jc w:val="left"/>
              <w:rPr/>
            </w:pPr>
            <w:r>
              <w:rPr/>
              <w:t> </w:t>
            </w:r>
          </w:p>
        </w:tc>
        <w:tc>
          <w:tcPr>
            <w:tcW w:w="992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estimate the total expenses of this offering payable by us, excluding the cash fee payable to the placement agent, will be approximately $225,000.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also agreed to issue to the placement agent or its designees warrants to purchase 175,183 shares of common stock (which represents 4.0% of the aggregate number of shares of common stock and pre-funded warrants issued in this offering) with an exercise price of $2.12 per share (representing 155% of the per share offering price) and exercisable from time to time, in whole or in part, during a period commencing from the Stockholder Approval Date and expiring five years from the commencement of the sales in this offering. These warrants will otherwise have substantially the same terms as the common warrants offered in the concurrent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Tail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also agreed to pay the placement agent a fee equal to the cash fee in this offering, if, within 180 days after the date of termination or expiration of our engagement of the placement agent, we sell any of our securities to any investor in this offering or who was contacted by the placement agent for purposes of investing this offering and who was brought “over the wall,” subject to customary exceptions; provided, however, that if we terminate the engagement of the placement agent for cause as contemplated by FINRA Rule 5110(g)(5)(B)(i), our obligations to pay the tail fee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Lock-up Agreements and Other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officers and directors have agreed to be subject to a lock-up period of 60 days following the date of closing of this offering. This means that, during the lock-up period, such persons may not offer, sell, contract to sell, hypothecate, pledge or otherwise dispose of any shares of our common stock or securities convertible into, or exercisable or exchangeable for, shares of common stock,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addition, pursuant to the placement agency agreement and the securities purchase agreement we will enter into with the investors in this offering, subject to certain exceptions, we have agreed not to: (i) issue, enter into any agreement to issue, or announce the issuance or proposed issuance of, any shares of our common stock or common stock equivalents until 60 days after the closing of this offering, and (ii) effect or enter into an agreement to effect any issuance of common stock or common stock equivalents involving a Variable Rate Transaction (as defined in such agreements) until 180 days after the closing of this offering; provided, that, from and after 60 days after the closing, we can issue shares of common stock under our existing “at the market” offering program (or a successor thereto), and from and after 120 days after closing, we can issue shares of common stock under our existing equity line arrangement (or a successor thereto).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Electronic Offer, Sale and Distribution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prospectus supplement in electronic format may be made available on the websites maintained by the placement agent, if any, and the placement agent may distribute prospectuses electronically. Other than the prospectus in electronic format, the information on the websites is not part of this prospectus supplement or the registration statement of which this prospectus supplement forms a part, has not been approved or endorsed by us or the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public offering price of the securities offered by this prospectus supplement will be determined by negotiation between us, the placement agent and prospective investors. Among the factors that will be considered in determining the final public offering price are our history and its prospects; the industry in which we operate; our past and present operating results; and the general condition of the securities markets at this time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public offering price stated on the cover page of this prospectus supplement should not be considered an indication of the actual value of the securities sold in this offering. That price is subject to change as a result of market conditions and other factors and we cannot assure you that the securities sold in this offering can be resold at or above the public offering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may in the future perform, various commercial and investment banking and financial advisory services for us and our affiliates, for which they received or will receive customary fees and expenses. Except for services provided in connection with this offering, the placement agent has not provided any investment banking or other financial services to us during the 180-day period preceding the date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securities offered hereby. Any such short positions could adversely affect future trading prices of the securities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Selling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action has been taken in any jurisdiction (except in the United States) that would permit a public offering of the securities offered hereby, or the possession, circulation or distribution of this prospectus supplement or any other material relating to us or the securities offered hereby in any jurisdiction where action for that purpose is required. Accordingly, the securities offered hereby may not be offered or sold, directly or indirectly, and neither this prospectus supplement nor any other material or advertisements in connection with the securities offered hereby may be distributed or published, in or from any country or jurisdiction except in compliance with any applicable laws, rules and regulations of any such country or jurisdiction.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11" w:name="ak_010"/>
      <w:bookmarkEnd w:id="11"/>
      <w:r>
        <w:rPr>
          <w:rFonts w:ascii="Arial;Helvetica;Sans-Serif" w:hAnsi="Arial;Helvetica;Sans-Serif"/>
          <w:b/>
          <w:i w:val="false"/>
          <w:caps w:val="false"/>
          <w:smallCaps w:val="false"/>
          <w:sz w:val="20"/>
        </w:rPr>
        <w:t>DESCRIPTION OF SECURITIES WE ARE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“Description of Common Stock” on page 14 of the accompanying prospectus for a description of the material terms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summary of certain terms and provisions of the pre-funded warrants is not complete and is subject to, and qualified in its entirety by, the provisions of the form of pre-funded warrant, which has been or will be filed as an exhibit to a Current Report on Form 8-K in connection with this offering and incorporated by reference into the registration statement of which this prospectus supplement forms a part. See the section titled “Where You Can Find More Information” in this prospectus supplement. Prospective investors should carefully review the terms and provisions of the form of pre-funded warrant for a complete description of the terms and conditions of the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Duration, Exercise Price and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pre-funded warrant offered hereby will have an initial exercise price per share of common stock equal to $0.0001. The pre-funded warrants will be immediately exercisable and will expire when exercised in full. The exercise price and number of shares of common stock issuable upon exercise is subject to appropriate adjustment in the event of stock dividends, stock splits, reorganizations or similar events affecting our common stock and the exercise price. The pre-funded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pre-funded warrants will be exercisable, at the option of each holder, in whole or in part, by delivering to us a duly executed exercise notice accompanied by payment in full for the number of shares of common stock purchased upon such exercise (except in the case of a cashless exercise as discussed below). A holder (together with its affiliates) may not exercise any portion of the pre-funded warrant to the extent that the holder would own more than 4.99% of the outstanding shares of common stock immediately after exercise, except that upon at least 61 days’ prior notice from the holder to us, the holder may increase the amount of beneficial ownership of outstanding shares after exercising the holder’s pre-funded warrants up to 9.99% of the number of our shares of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lieu of making the cash payment otherwise contemplated to be made to us upon such exercise in payment of the aggregate exercise price of the pre-funded warrant, the holder may elect instead to receive upon such exercise (either in whole or in part) the net number of shares of common stock determined according to a formula set forth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fractional shares of common stock will be issued upon the exercise of the pre-funded warrants. Rather, the number of shares of common stock to be issued will be, at our election, either rounded up to the next whole share or we will pay a cash adjustment in respect of such final fraction in an amount equal to such fraction multiplied by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applicable laws, a pre-funded warrant may be transferred at the option of the holder upon surrender of the pre-funded warrants to us together with the appropriate instruments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is no trading market available for the pre-funded warrants on any securities exchange or nationally recognized trading system, and we do not expect a trading market to develop. We do not intend to list the pre-funded warrants on any securities exchange or nationally recognized trading market. Without a trading market, the liquidity of the pre-funded warrants will be extremely limited. The shares of common stock issuable upon exercise of the pre-funded warrants are currently traded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caps w:val="false"/>
          <w:smallCaps w:val="false"/>
          <w:sz w:val="20"/>
        </w:rPr>
        <w:t>Rights</w:t>
      </w:r>
      <w:r>
        <w:rPr>
          <w:rFonts w:ascii="Arial;Helvetica;Sans-Serif" w:hAnsi="Arial;Helvetica;Sans-Serif"/>
          <w:b/>
          <w:i w:val="false"/>
          <w:caps w:val="false"/>
          <w:smallCaps w:val="false"/>
          <w:sz w:val="20"/>
        </w:rPr>
        <w:t xml:space="preserve"> </w:t>
      </w:r>
      <w:r>
        <w:rPr>
          <w:rFonts w:ascii="Arial;Helvetica;Sans-Serif" w:hAnsi="Arial;Helvetica;Sans-Serif"/>
          <w:b/>
          <w:i/>
          <w:caps w:val="false"/>
          <w:smallCaps w:val="false"/>
          <w:sz w:val="20"/>
        </w:rPr>
        <w:t>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than by virtue of such holder’s ownership of shares of common stock, the holders of the pre-funded warrants do not have the rights or privileges of holders of our shares of common stock, including any voting rights, until they exercise their pre-funded warrants. However, the pre-funded warrants do provide that the holders of the pre-funded warrants have the right to participate in distributions or dividends paid on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Waivers and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term of the pre-funded warrants may be amended or waived without our written consent and written consent of the holder thereof.</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2" w:name="ak_011"/>
      <w:bookmarkEnd w:id="12"/>
      <w:r>
        <w:rPr>
          <w:rFonts w:ascii="Arial;Helvetica;Sans-Serif" w:hAnsi="Arial;Helvetica;Sans-Serif"/>
          <w:b/>
          <w:i w:val="false"/>
          <w:caps w:val="false"/>
          <w:smallCaps w:val="false"/>
          <w:sz w:val="20"/>
        </w:rPr>
        <w:t>PRIVATE PLACEMENT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 concurrent private placement, we are offering to the purchasers of shares of common stock and pre-funded warrants in this offering Series A warrants to purchase up to 4,379,581 shares of our common stock and Series B warrants to purchase up to 4,379,581 shares of our common stock and/or pre-funded warrants. The common warrants and the shares of common stock issuable upon exercise thereof are not being registered under the Securities Act, are not being offered pursuant to this prospectus supplement and the accompanying prospectus, and are being offered pursuant to the exemption provided in Section 4(a)(2) under the Securities Act and/or Rule 506(b) promulgated thereunder. Accordingly, the investors may only sell such securities pursuant to an effective registration statement under the Securities Act covering the resale of those securities or an exemption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summary of certain terms and provisions of the common warrants is not complete and is subject to, and qualified in its entirety by, the provisions of the form of common warrants, which has been or will be filed as an exhibit to a Current Report on Form 8-K in connection with this offering and incorporated by reference into the registration statement of which this prospectus supplement forms a part. See the section titled “Where You Can Find More Information” in this prospectus supplement. Prospective investors should carefully review the terms and provisions of the forms of common warrant for a complete description of the terms and conditions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 per share of common stock issuable upon exercise of the common warrants will be $1.37. The exercise price per pre-funded warrant issuable upon exercise of the Series B warrants will be the foregoing exercise price per share of common stock minus $0.0001, and each pre-funded warrant will be exercisable for one share of common stock at an exercise price of $0.0001 per share of common stock. The exercise price is subject to adjustment in the event of stock dividends, stock splits, rights offerings or other distributions to holders of common stock, reorganizations or similar events affecting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right of a holder to exercise the common warrants is subject to obtaining such approval from our stockholders as may be required by Nasdaq rules to permit exercise of the common warrants, and, if required and obtained, the warrants will be exercisable beginning on the effective date of such stockholder approval, and the Series A warrants will expire five years from such date, and the Series B warrants will expire two years from such date. If we are unable to obtain such stockholder approval, the common warrants will not be exercisable and therefore they will have no value. We agreed to hold a meeting of our stockholders on or prior to the 90th day after the date the common warrants are issued to obtain the stockholder approval and to solicit proxies in favor of the stockholder approval. If we do not obtain stockholder approval at the first meeting, we agreed to call a meeting every 60 days thereafter to seek stockholder approval until the earlier of the date on which stockholder approval is obtained or the common warrants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the foregoing, the common warrants will be exercisable, at the option of each holder, in whole or in part, by delivering to us a duly executed exercise notice accompanied by payment in full for the number of shares of common stock purchased upon such exercise (except in the case of a cashless exercise as discussed below). A holder (together with its affiliates) may not exercise any portion of a common warrant to the extent that the holder would own more than 4.99% of the outstanding shares of common stock immediately after exercise, except that upon at least 61 days’ prior notice from the holder to us, the holder may increase the amount of beneficial ownership of outstanding shares after exercising the holder’s common warrants up to 9.99% of the number of our shares of common stock outstanding immediately after giving effect to the exercise, as such percentage ownership is determined in accordance with the terms of the common warrants. Purchasers of common warrants may also elect prior to the issuance of the common warrants to have the initial exercise limitation set at 9.99% of our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at the time a holder exercises its common warrants, a registration statement registering the resale of the shares of common stock underlying the common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fractional shares of common stock will be issued upon the exercise of the common warrants. Rather, the number of shares of common stock to be issued will be, at our election, either rounded up to the next whole share or we will pay a cash adjustment in respect of such final fraction in an amount equal to such fraction multiplied by the exercise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applicable laws, a common warrant may be transferred at the option of the holder upon surrender thereof to us together with the appropriate instruments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is no trading market available for the common warrants on any securities exchange or nationally recognized trading system, and we do not expect a trading market to develop. We do not intend to list the common warrants on any securities exchange or nationally recognized trading market. Without a trading market, the liquidity of the common warrants will be extremely limited. The shares of common stock issuable upon exercise of the common warrants are currently traded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caps w:val="false"/>
          <w:smallCaps w:val="false"/>
          <w:sz w:val="20"/>
        </w:rPr>
        <w:t>Rights</w:t>
      </w:r>
      <w:r>
        <w:rPr>
          <w:rFonts w:ascii="Arial;Helvetica;Sans-Serif" w:hAnsi="Arial;Helvetica;Sans-Serif"/>
          <w:b/>
          <w:i w:val="false"/>
          <w:caps w:val="false"/>
          <w:smallCaps w:val="false"/>
          <w:sz w:val="20"/>
        </w:rPr>
        <w:t xml:space="preserve"> </w:t>
      </w:r>
      <w:r>
        <w:rPr>
          <w:rFonts w:ascii="Arial;Helvetica;Sans-Serif" w:hAnsi="Arial;Helvetica;Sans-Serif"/>
          <w:b/>
          <w:i/>
          <w:caps w:val="false"/>
          <w:smallCaps w:val="false"/>
          <w:sz w:val="20"/>
        </w:rPr>
        <w:t>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than by virtue of such holder’s ownership of shares of common stock, the holders of the common warrants do not have the rights or privileges of holders of our shares of common stock, including any voting rights, until they exercise their common warrants. However, the common warrants do provide that the holders of the common warrants have the right to participate in distributions or dividends paid on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common warrants will be entitled to receive upon exercise thereof the kind and amount of securities, cash or other property that the holders would have received had they exercised the common warrants immediately prior to such fundamental transaction without regard to any limitations on exercise contained in the common warrants. In addition, in the event of a fundamental transaction, the holders of the common warrants have the right to require us or a successor entity to redeem the common warrants for cash in the amount of the Black-Scholes Value (as defined in each common warrant) of the unexercised portion of the common warrants concurrently with or within 30 days following the consummation of a fundamental transaction. However, in the event of a fundamental transaction which is not in our control, including a fundamental transaction not approved by our board of directors, the holders of the common warrants will only be entitled to receive from us or our successor entity, as of the date of consummation of such fundamental transaction the same type or form of consideration (and in the same proportion), at the Black Scholes Value of the unexercised portion of the common warrant that is being offered and paid to the holders of our common stock in connection with the fundamental transaction, whether that consideration is in the form of cash, stock or any combination of cash and stock, or whether the holders of our common stock are given the choice to receive alternative forms of consideration in connection with the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Waivers and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term of the common warrants may be amended or waived without our written consent and written consent of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Resale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agreed to file a registration statement with the SEC within 30 calendar days of the closing of this offering to register the resale of the shares of common stock issuable upon exercise of the common warrants, and to use commercially reasonable efforts to cause such registration statement to become effective within 60 days (or 90 days in the event of a “full review” by the SEC) following the initial filing and to keep such registration statement effective at all times until the earlier of (i) the date all such shares have been sold pursuant to the registration statement or Rule 144 and (ii) the date all such shares are eligible for sale under Rule 144 without volume or manner-of-sale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3" w:name="ak_012"/>
      <w:bookmarkEnd w:id="13"/>
      <w:r>
        <w:rPr>
          <w:rFonts w:ascii="Arial;Helvetica;Sans-Serif" w:hAnsi="Arial;Helvetica;San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validity of the securities offered by this prospectus supplement will be passed upon for us by Sheppard, Mullin, Richter &amp; Hampton, LLP, San Diego, California. Certain legal matters related to this offering will be passed upon for the placement agent by Ellenoff Grossman &amp; Schole LLP,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4" w:name="ak_013"/>
      <w:bookmarkEnd w:id="14"/>
      <w:r>
        <w:rPr>
          <w:rFonts w:ascii="Arial;Helvetica;Sans-Serif" w:hAnsi="Arial;Helvetica;San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consolidated financial statements incorporated herein by reference to our Annual Report on Form 10-K for the year ended December 31, 2025 have been so incorporated in reliance on the report (which contains an explanatory paragraph relating to our ability to continue as a going concern as described in Note 1 to the financial statements) of Haskell &amp; White LLP,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5" w:name="ak_014"/>
      <w:bookmarkEnd w:id="15"/>
      <w:r>
        <w:rPr>
          <w:rFonts w:ascii="Arial;Helvetica;Sans-Serif" w:hAnsi="Arial;Helvetica;San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subject to the reporting requirements of the Exchange Act and file annual, quarterly and current reports, proxy statements and other information with the SEC. The SEC maintains a website that contains reports, proxy and information statements and other information regarding issuers, such as our company, that file documents electronically with the SEC. Our SEC filings are available to the public at the SEC’s website address at </w:t>
      </w:r>
      <w:r>
        <w:rPr>
          <w:rFonts w:ascii="Arial;Helvetica;Sans-Serif" w:hAnsi="Arial;Helvetica;Sans-Serif"/>
          <w:b w:val="false"/>
          <w:i/>
          <w:caps w:val="false"/>
          <w:smallCaps w:val="false"/>
          <w:sz w:val="20"/>
        </w:rPr>
        <w:t>http://www.sec.gov</w:t>
      </w:r>
      <w:r>
        <w:rPr>
          <w:rFonts w:ascii="Arial;Helvetica;Sans-Serif" w:hAnsi="Arial;Helvetica;Sans-Serif"/>
          <w:b w:val="false"/>
          <w:i w:val="false"/>
          <w:caps w:val="false"/>
          <w:smallCaps w:val="false"/>
          <w:sz w:val="20"/>
        </w:rPr>
        <w:t>. The information on the SEC’s website is not part of this prospectus supplement, and any references to the SEC’s website or any other website are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also maintain a website at </w:t>
      </w:r>
      <w:r>
        <w:rPr>
          <w:rFonts w:ascii="Arial;Helvetica;Sans-Serif" w:hAnsi="Arial;Helvetica;Sans-Serif"/>
          <w:b w:val="false"/>
          <w:i/>
          <w:caps w:val="false"/>
          <w:smallCaps w:val="false"/>
          <w:sz w:val="20"/>
        </w:rPr>
        <w:t>www.darebioscience.com</w:t>
      </w:r>
      <w:r>
        <w:rPr>
          <w:rFonts w:ascii="Arial;Helvetica;Sans-Serif" w:hAnsi="Arial;Helvetica;Sans-Serif"/>
          <w:b w:val="false"/>
          <w:i w:val="false"/>
          <w:caps w:val="false"/>
          <w:smallCaps w:val="false"/>
          <w:sz w:val="20"/>
        </w:rPr>
        <w:t>, through which you can access our SEC filings. The information set forth on our website is not part of this prospectus supplement. We have included our website address in this prospectus supplement solely as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supplement and the accompanying prospectus are only part of a registration statement on Form S-3 that we filed with the SEC. This prospectus supplement and the accompanying prospectus omit some information contained in the registration statement in accordance with the SEC rules and regulations. You should review the information in and schedules and/or exhibits to the registration statement for further information about us and the securities being offered pursuant to this prospectus supplement and the accompanying prospectus. Statements in this prospectus supplement and the accompanying prospectus concerning any document we filed as an exhibit or schedule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bookmarkStart w:id="16" w:name="ak_015"/>
      <w:bookmarkEnd w:id="16"/>
      <w:r>
        <w:rPr>
          <w:rFonts w:ascii="Arial;Helvetica;Sans-Serif" w:hAnsi="Arial;Helvetica;Sans-Serif"/>
          <w:b/>
          <w:i w:val="false"/>
          <w:caps w:val="false"/>
          <w:smallCaps w:val="false"/>
          <w:sz w:val="20"/>
        </w:rPr>
        <w:t>INCORPORATION OF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allows us to “incorporate by reference” into this prospectus supplement the information that we file with the SEC, which means that we can disclose important information to you by referring you to those publicly available documents.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The information that we incorporate by reference is an important part of this prospectus supplement and the accompanying prospectus. We incorporate by reference the documents listed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Annual Report on </w:t>
            </w:r>
            <w:hyperlink r:id="rId3">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b w:val="false"/>
                <w:i w:val="false"/>
                <w:caps w:val="false"/>
                <w:smallCaps w:val="false"/>
                <w:sz w:val="20"/>
              </w:rPr>
              <w:t xml:space="preserve"> for the fiscal year ended December 31, 2025, filed with the SEC on March 26, 2026 (the “Annual Report”), including all material incorporated by reference therein from our definitive Proxy Statement on </w:t>
            </w:r>
            <w:hyperlink r:id="rId4">
              <w:r>
                <w:rPr>
                  <w:rStyle w:val="InternetLink"/>
                  <w:rFonts w:ascii="Arial;Helvetica;Sans-Serif" w:hAnsi="Arial;Helvetica;Sans-Serif"/>
                  <w:b w:val="false"/>
                  <w:i w:val="false"/>
                  <w:caps w:val="false"/>
                  <w:smallCaps w:val="false"/>
                  <w:sz w:val="20"/>
                </w:rPr>
                <w:t>Schedule 14A</w:t>
              </w:r>
            </w:hyperlink>
            <w:r>
              <w:rPr>
                <w:rFonts w:ascii="Arial;Helvetica;Sans-Serif" w:hAnsi="Arial;Helvetica;Sans-Serif"/>
                <w:b w:val="false"/>
                <w:i w:val="false"/>
                <w:caps w:val="false"/>
                <w:smallCaps w:val="false"/>
                <w:sz w:val="20"/>
              </w:rPr>
              <w:t xml:space="preserve"> for our 2026 annual meeting of stockholders filed with the SEC on April 28,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Quarterly Report on Form 10-Q for the fiscal quarters ended </w:t>
            </w:r>
            <w:hyperlink r:id="rId5">
              <w:r>
                <w:rPr>
                  <w:rStyle w:val="InternetLink"/>
                  <w:rFonts w:ascii="Arial;Helvetica;Sans-Serif" w:hAnsi="Arial;Helvetica;Sans-Serif"/>
                  <w:b w:val="false"/>
                  <w:i w:val="false"/>
                  <w:caps w:val="false"/>
                  <w:smallCaps w:val="false"/>
                  <w:sz w:val="20"/>
                </w:rPr>
                <w:t>March 31, 2026</w:t>
              </w:r>
            </w:hyperlink>
            <w:r>
              <w:rPr>
                <w:rFonts w:ascii="Arial;Helvetica;Sans-Serif" w:hAnsi="Arial;Helvetica;Sans-Serif"/>
                <w:b w:val="false"/>
                <w:i w:val="false"/>
                <w:caps w:val="false"/>
                <w:smallCaps w:val="false"/>
                <w:sz w:val="20"/>
              </w:rPr>
              <w:t xml:space="preserve"> and </w:t>
            </w:r>
            <w:hyperlink r:id="rId6">
              <w:r>
                <w:rPr>
                  <w:rStyle w:val="InternetLink"/>
                  <w:rFonts w:ascii="Arial;Helvetica;Sans-Serif" w:hAnsi="Arial;Helvetica;Sans-Serif"/>
                  <w:b w:val="false"/>
                  <w:i w:val="false"/>
                  <w:caps w:val="false"/>
                  <w:smallCaps w:val="false"/>
                  <w:sz w:val="20"/>
                </w:rPr>
                <w:t>June 30, 2026</w:t>
              </w:r>
            </w:hyperlink>
            <w:r>
              <w:rPr>
                <w:rFonts w:ascii="Arial;Helvetica;Sans-Serif" w:hAnsi="Arial;Helvetica;Sans-Serif"/>
                <w:b w:val="false"/>
                <w:i w:val="false"/>
                <w:caps w:val="false"/>
                <w:smallCaps w:val="false"/>
                <w:sz w:val="20"/>
              </w:rPr>
              <w:t>, filed with the SEC on May 14, 2026 and August 13,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Current Reports on Form 8-K filed with the SEC on </w:t>
            </w:r>
            <w:hyperlink r:id="rId7">
              <w:r>
                <w:rPr>
                  <w:rStyle w:val="InternetLink"/>
                  <w:rFonts w:ascii="Arial;Helvetica;Sans-Serif" w:hAnsi="Arial;Helvetica;Sans-Serif"/>
                  <w:b w:val="false"/>
                  <w:i w:val="false"/>
                  <w:caps w:val="false"/>
                  <w:smallCaps w:val="false"/>
                  <w:sz w:val="20"/>
                </w:rPr>
                <w:t>January 29, 2026</w:t>
              </w:r>
            </w:hyperlink>
            <w:r>
              <w:rPr>
                <w:rFonts w:ascii="Arial;Helvetica;Sans-Serif" w:hAnsi="Arial;Helvetica;Sans-Serif"/>
                <w:b w:val="false"/>
                <w:i w:val="false"/>
                <w:caps w:val="false"/>
                <w:smallCaps w:val="false"/>
                <w:sz w:val="20"/>
              </w:rPr>
              <w:t xml:space="preserve">, </w:t>
            </w:r>
            <w:hyperlink r:id="rId8">
              <w:r>
                <w:rPr>
                  <w:rStyle w:val="InternetLink"/>
                  <w:rFonts w:ascii="Arial;Helvetica;Sans-Serif" w:hAnsi="Arial;Helvetica;Sans-Serif"/>
                  <w:b w:val="false"/>
                  <w:i w:val="false"/>
                  <w:caps w:val="false"/>
                  <w:smallCaps w:val="false"/>
                  <w:sz w:val="20"/>
                </w:rPr>
                <w:t>March 9, 2026</w:t>
              </w:r>
            </w:hyperlink>
            <w:r>
              <w:rPr>
                <w:rFonts w:ascii="Arial;Helvetica;Sans-Serif" w:hAnsi="Arial;Helvetica;Sans-Serif"/>
                <w:b w:val="false"/>
                <w:i w:val="false"/>
                <w:caps w:val="false"/>
                <w:smallCaps w:val="false"/>
                <w:sz w:val="20"/>
              </w:rPr>
              <w:t xml:space="preserve">, </w:t>
            </w:r>
            <w:hyperlink r:id="rId9">
              <w:r>
                <w:rPr>
                  <w:rStyle w:val="InternetLink"/>
                  <w:rFonts w:ascii="Arial;Helvetica;Sans-Serif" w:hAnsi="Arial;Helvetica;Sans-Serif"/>
                  <w:b w:val="false"/>
                  <w:i w:val="false"/>
                  <w:caps w:val="false"/>
                  <w:smallCaps w:val="false"/>
                  <w:sz w:val="20"/>
                </w:rPr>
                <w:t>March 17, 2026</w:t>
              </w:r>
            </w:hyperlink>
            <w:r>
              <w:rPr>
                <w:rFonts w:ascii="Arial;Helvetica;Sans-Serif" w:hAnsi="Arial;Helvetica;Sans-Serif"/>
                <w:b w:val="false"/>
                <w:i w:val="false"/>
                <w:caps w:val="false"/>
                <w:smallCaps w:val="false"/>
                <w:sz w:val="20"/>
              </w:rPr>
              <w:t xml:space="preserve">, </w:t>
            </w:r>
            <w:hyperlink r:id="rId10">
              <w:r>
                <w:rPr>
                  <w:rStyle w:val="InternetLink"/>
                  <w:rFonts w:ascii="Arial;Helvetica;Sans-Serif" w:hAnsi="Arial;Helvetica;Sans-Serif"/>
                  <w:b w:val="false"/>
                  <w:i w:val="false"/>
                  <w:caps w:val="false"/>
                  <w:smallCaps w:val="false"/>
                  <w:sz w:val="20"/>
                </w:rPr>
                <w:t>April 13, 2026</w:t>
              </w:r>
            </w:hyperlink>
            <w:r>
              <w:rPr>
                <w:rFonts w:ascii="Arial;Helvetica;Sans-Serif" w:hAnsi="Arial;Helvetica;Sans-Serif"/>
                <w:b w:val="false"/>
                <w:i w:val="false"/>
                <w:caps w:val="false"/>
                <w:smallCaps w:val="false"/>
                <w:sz w:val="20"/>
              </w:rPr>
              <w:t xml:space="preserve">, </w:t>
            </w:r>
            <w:hyperlink r:id="rId11">
              <w:r>
                <w:rPr>
                  <w:rStyle w:val="InternetLink"/>
                  <w:rFonts w:ascii="Arial;Helvetica;Sans-Serif" w:hAnsi="Arial;Helvetica;Sans-Serif"/>
                  <w:b w:val="false"/>
                  <w:i w:val="false"/>
                  <w:caps w:val="false"/>
                  <w:smallCaps w:val="false"/>
                  <w:sz w:val="20"/>
                </w:rPr>
                <w:t>April 17, 2026</w:t>
              </w:r>
            </w:hyperlink>
            <w:r>
              <w:rPr>
                <w:rFonts w:ascii="Arial;Helvetica;Sans-Serif" w:hAnsi="Arial;Helvetica;Sans-Serif"/>
                <w:b w:val="false"/>
                <w:i w:val="false"/>
                <w:caps w:val="false"/>
                <w:smallCaps w:val="false"/>
                <w:sz w:val="20"/>
              </w:rPr>
              <w:t xml:space="preserve">, </w:t>
            </w:r>
            <w:hyperlink r:id="rId12">
              <w:r>
                <w:rPr>
                  <w:rStyle w:val="InternetLink"/>
                  <w:rFonts w:ascii="Arial;Helvetica;Sans-Serif" w:hAnsi="Arial;Helvetica;Sans-Serif"/>
                  <w:b w:val="false"/>
                  <w:i w:val="false"/>
                  <w:caps w:val="false"/>
                  <w:smallCaps w:val="false"/>
                  <w:sz w:val="20"/>
                </w:rPr>
                <w:t>April 20, 2026</w:t>
              </w:r>
            </w:hyperlink>
            <w:r>
              <w:rPr>
                <w:rFonts w:ascii="Arial;Helvetica;Sans-Serif" w:hAnsi="Arial;Helvetica;Sans-Serif"/>
                <w:b w:val="false"/>
                <w:i w:val="false"/>
                <w:caps w:val="false"/>
                <w:smallCaps w:val="false"/>
                <w:sz w:val="20"/>
              </w:rPr>
              <w:t xml:space="preserve">, </w:t>
            </w:r>
            <w:hyperlink r:id="rId13">
              <w:r>
                <w:rPr>
                  <w:rStyle w:val="InternetLink"/>
                  <w:rFonts w:ascii="Arial;Helvetica;Sans-Serif" w:hAnsi="Arial;Helvetica;Sans-Serif"/>
                  <w:b w:val="false"/>
                  <w:i w:val="false"/>
                  <w:caps w:val="false"/>
                  <w:smallCaps w:val="false"/>
                  <w:sz w:val="20"/>
                </w:rPr>
                <w:t>May 7, 2026</w:t>
              </w:r>
            </w:hyperlink>
            <w:r>
              <w:rPr>
                <w:rFonts w:ascii="Arial;Helvetica;Sans-Serif" w:hAnsi="Arial;Helvetica;Sans-Serif"/>
                <w:b w:val="false"/>
                <w:i w:val="false"/>
                <w:caps w:val="false"/>
                <w:smallCaps w:val="false"/>
                <w:sz w:val="20"/>
              </w:rPr>
              <w:t xml:space="preserve">, </w:t>
            </w:r>
            <w:hyperlink r:id="rId14">
              <w:r>
                <w:rPr>
                  <w:rStyle w:val="InternetLink"/>
                  <w:rFonts w:ascii="Arial;Helvetica;Sans-Serif" w:hAnsi="Arial;Helvetica;Sans-Serif"/>
                  <w:b w:val="false"/>
                  <w:i w:val="false"/>
                  <w:caps w:val="false"/>
                  <w:smallCaps w:val="false"/>
                  <w:sz w:val="20"/>
                </w:rPr>
                <w:t>May 18, 2026</w:t>
              </w:r>
            </w:hyperlink>
            <w:r>
              <w:rPr>
                <w:rFonts w:ascii="Arial;Helvetica;Sans-Serif" w:hAnsi="Arial;Helvetica;Sans-Serif"/>
                <w:b w:val="false"/>
                <w:i w:val="false"/>
                <w:caps w:val="false"/>
                <w:smallCaps w:val="false"/>
                <w:sz w:val="20"/>
              </w:rPr>
              <w:t xml:space="preserve">, </w:t>
            </w:r>
            <w:hyperlink r:id="rId15">
              <w:r>
                <w:rPr>
                  <w:rStyle w:val="InternetLink"/>
                  <w:rFonts w:ascii="Arial;Helvetica;Sans-Serif" w:hAnsi="Arial;Helvetica;Sans-Serif"/>
                  <w:b w:val="false"/>
                  <w:i w:val="false"/>
                  <w:caps w:val="false"/>
                  <w:smallCaps w:val="false"/>
                  <w:sz w:val="20"/>
                </w:rPr>
                <w:t>June 12, 2026</w:t>
              </w:r>
            </w:hyperlink>
            <w:r>
              <w:rPr>
                <w:rFonts w:ascii="Arial;Helvetica;Sans-Serif" w:hAnsi="Arial;Helvetica;Sans-Serif"/>
                <w:b w:val="false"/>
                <w:i w:val="false"/>
                <w:caps w:val="false"/>
                <w:smallCaps w:val="false"/>
                <w:sz w:val="20"/>
              </w:rPr>
              <w:t xml:space="preserve">, and </w:t>
            </w:r>
            <w:hyperlink r:id="rId16">
              <w:r>
                <w:rPr>
                  <w:rStyle w:val="InternetLink"/>
                  <w:rFonts w:ascii="Arial;Helvetica;Sans-Serif" w:hAnsi="Arial;Helvetica;Sans-Serif"/>
                  <w:b w:val="false"/>
                  <w:i w:val="false"/>
                  <w:caps w:val="false"/>
                  <w:smallCaps w:val="false"/>
                  <w:sz w:val="20"/>
                </w:rPr>
                <w:t>July 17, 2026</w:t>
              </w:r>
            </w:hyperlink>
            <w:r>
              <w:rPr>
                <w:rFonts w:ascii="Arial;Helvetica;Sans-Serif" w:hAnsi="Arial;Helvetica;Sans-Serif"/>
                <w:b w:val="false"/>
                <w:i w:val="false"/>
                <w:caps w:val="false"/>
                <w:smallCaps w:val="false"/>
                <w:sz w:val="20"/>
              </w:rPr>
              <w:t xml:space="preserve"> (except for any information furnished under Items 2.02 or 7.01 of Form 8-K and all exhibits related to such items);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the description of our common stock contained in our Registration Statement on </w:t>
            </w:r>
            <w:hyperlink r:id="rId17">
              <w:r>
                <w:rPr>
                  <w:rStyle w:val="InternetLink"/>
                  <w:rFonts w:ascii="Arial;Helvetica;Sans-Serif" w:hAnsi="Arial;Helvetica;Sans-Serif"/>
                  <w:b w:val="false"/>
                  <w:i w:val="false"/>
                  <w:caps w:val="false"/>
                  <w:smallCaps w:val="false"/>
                  <w:sz w:val="20"/>
                </w:rPr>
                <w:t>Form 8-A</w:t>
              </w:r>
            </w:hyperlink>
            <w:r>
              <w:rPr>
                <w:rFonts w:ascii="Arial;Helvetica;Sans-Serif" w:hAnsi="Arial;Helvetica;Sans-Serif"/>
                <w:b w:val="false"/>
                <w:i w:val="false"/>
                <w:caps w:val="false"/>
                <w:smallCaps w:val="false"/>
                <w:sz w:val="20"/>
              </w:rPr>
              <w:t xml:space="preserve"> filed with the SEC on April 4, 2014, including any amendment or report filed for the purpose of updating such description, including the description of our securities in Exhibit 4.5 of the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file number for each of the documents listed above is 001-36395.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all documents filed by us with the SEC pursuant to Sections 13(a), 13(c), 14 and 15(d) of the Exchange Act after the date of this prospectus supplement and prior to the termination of this offering shall be deemed to be incorporated by reference into this prospectus supplement and to be a part hereof from the date of filing such reports and other documents (excluding, in each case, any information deemed furnished and not filed, including any exhibit furnished with any Current Report on Form 8-K that is related to Item 2.02 or Item 7.01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provide to each person, including any beneficial owner, to whom this prospectus supplement is delivered, upon written or oral request and at no cost to the requester, a copy of any or all reports or documents that are incorporated by reference into this prospectus supplement, but not delivered with the prospectus supplement. Such written or oral requests should be directed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3655 Nobel Drive, Suite 260</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92122</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Chief Executive Officer</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Telephone: (858) 926-7655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You may also access these documents on our website, </w:t>
      </w:r>
      <w:r>
        <w:rPr>
          <w:rFonts w:ascii="Arial;Helvetica;Sans-Serif" w:hAnsi="Arial;Helvetica;Sans-Serif"/>
          <w:b w:val="false"/>
          <w:i/>
          <w:caps w:val="false"/>
          <w:smallCaps w:val="false"/>
          <w:sz w:val="20"/>
        </w:rPr>
        <w:t>www.darebioscience.com</w:t>
      </w:r>
      <w:r>
        <w:rPr>
          <w:rFonts w:ascii="Arial;Helvetica;Sans-Serif" w:hAnsi="Arial;Helvetica;Sans-Serif"/>
          <w:b w:val="false"/>
          <w:i w:val="false"/>
          <w:caps w:val="false"/>
          <w:smallCaps w:val="false"/>
          <w:sz w:val="20"/>
        </w:rPr>
        <w:t>. The information contained on, or that can be accessed through, our website is not a part of this prospectus supplement. We have included our website address in this prospectus supplement solely as an inactive textual reference.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57475"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657475" cy="990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$200,000,000</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COMMON STOCK</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PREFERRED STOCK</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DEBT SECURITIES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WARRANTS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RIGHTS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PURCHASE CONTRACTS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will allow us to issue, from time to time at prices and on terms to be determined at or prior to the time of the offering, up to $200,000,000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 or any combination of our equity securities upon the performance of purchase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under the symbol “DARE.” On March 27, 2024, the last reported sale price of our common stock was $0.55. On March 28, 2024, the date we filed our Annual Report on Form 10-K for the fiscal year ended December 31, 2023, our prospectus became subject to the offering limits in General Instruction I.B.6 of Form S-3. As of the date hereof, the aggregate market value of our common stock held by non-affiliates pursuant to General Instruction I.B.6 of Form S-3 is $57,034,284, which was calculated based on 99,362,864 shares of our common stock outstanding held by non-affiliates and a price of $0.57 per share, the closing price of our common stock on February 29, 2024. As of the date of this prospectus, we have not offered or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 The applicable prospectus supplement will contain information, where applicable, as to any other listing, if any, on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Investing in our securities involves a high degree of risk. Before deciding whether to invest in our securities, you should consider carefully the risks that we have described on page 8 of this prospectus under the caption “Risk Factors,” as well as in the documents incorporated by reference in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date of this prospectus is May 10, 2024</w:t>
      </w:r>
    </w:p>
    <w:p>
      <w:pPr>
        <w:pStyle w:val="TextBody"/>
        <w:bidi w:val="0"/>
        <w:spacing w:before="0" w:after="0"/>
        <w:ind w:left="0" w:right="0" w:firstLine="72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625"/>
        <w:gridCol w:w="245"/>
      </w:tblGrid>
      <w:tr>
        <w:trPr/>
        <w:tc>
          <w:tcPr>
            <w:tcW w:w="7625" w:type="dxa"/>
            <w:tcBorders/>
            <w:shd w:fill="CCEEFF" w:val="clear"/>
            <w:vAlign w:val="center"/>
          </w:tcPr>
          <w:p>
            <w:pPr>
              <w:pStyle w:val="TableContents"/>
              <w:bidi w:val="0"/>
              <w:spacing w:before="0" w:after="283"/>
              <w:jc w:val="left"/>
              <w:rPr/>
            </w:pPr>
            <w:hyperlink w:anchor="MS_013">
              <w:r>
                <w:rPr>
                  <w:rStyle w:val="InternetLink"/>
                  <w:rFonts w:ascii="Arial;Helvetica;Sans-Serif" w:hAnsi="Arial;Helvetica;Sans-Serif"/>
                  <w:sz w:val="20"/>
                </w:rPr>
                <w:t>About This Prospectus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w:t>
            </w:r>
          </w:p>
        </w:tc>
      </w:tr>
      <w:tr>
        <w:trPr/>
        <w:tc>
          <w:tcPr>
            <w:tcW w:w="7625" w:type="dxa"/>
            <w:tcBorders/>
            <w:shd w:fill="FFFFFF" w:val="clear"/>
            <w:vAlign w:val="center"/>
          </w:tcPr>
          <w:p>
            <w:pPr>
              <w:pStyle w:val="TableContents"/>
              <w:bidi w:val="0"/>
              <w:spacing w:before="0" w:after="283"/>
              <w:jc w:val="left"/>
              <w:rPr/>
            </w:pPr>
            <w:hyperlink w:anchor="MS_014">
              <w:r>
                <w:rPr>
                  <w:rStyle w:val="InternetLink"/>
                  <w:rFonts w:ascii="Arial;Helvetica;Sans-Serif" w:hAnsi="Arial;Helvetica;Sans-Serif"/>
                  <w:sz w:val="20"/>
                </w:rPr>
                <w:t>Prospectus Summary</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w:t>
            </w:r>
          </w:p>
        </w:tc>
      </w:tr>
      <w:tr>
        <w:trPr/>
        <w:tc>
          <w:tcPr>
            <w:tcW w:w="7625" w:type="dxa"/>
            <w:tcBorders/>
            <w:shd w:fill="CCEEFF" w:val="clear"/>
            <w:vAlign w:val="center"/>
          </w:tcPr>
          <w:p>
            <w:pPr>
              <w:pStyle w:val="TableContents"/>
              <w:bidi w:val="0"/>
              <w:spacing w:before="0" w:after="283"/>
              <w:jc w:val="left"/>
              <w:rPr/>
            </w:pPr>
            <w:hyperlink w:anchor="MS_015">
              <w:r>
                <w:rPr>
                  <w:rStyle w:val="InternetLink"/>
                  <w:rFonts w:ascii="Arial;Helvetica;Sans-Serif" w:hAnsi="Arial;Helvetica;Sans-Serif"/>
                  <w:sz w:val="20"/>
                </w:rPr>
                <w:t>Risk Factors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8</w:t>
            </w:r>
          </w:p>
        </w:tc>
      </w:tr>
      <w:tr>
        <w:trPr/>
        <w:tc>
          <w:tcPr>
            <w:tcW w:w="7625" w:type="dxa"/>
            <w:tcBorders/>
            <w:shd w:fill="FFFFFF" w:val="clear"/>
            <w:vAlign w:val="center"/>
          </w:tcPr>
          <w:p>
            <w:pPr>
              <w:pStyle w:val="TableContents"/>
              <w:bidi w:val="0"/>
              <w:spacing w:before="0" w:after="283"/>
              <w:jc w:val="left"/>
              <w:rPr/>
            </w:pPr>
            <w:hyperlink w:anchor="MS_016">
              <w:r>
                <w:rPr>
                  <w:rStyle w:val="InternetLink"/>
                  <w:rFonts w:ascii="Arial;Helvetica;Sans-Serif" w:hAnsi="Arial;Helvetica;Sans-Serif"/>
                  <w:sz w:val="20"/>
                </w:rPr>
                <w:t>Cautionary Note Regarding Forward-Looking Statements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9</w:t>
            </w:r>
          </w:p>
        </w:tc>
      </w:tr>
      <w:tr>
        <w:trPr/>
        <w:tc>
          <w:tcPr>
            <w:tcW w:w="7625" w:type="dxa"/>
            <w:tcBorders/>
            <w:shd w:fill="CCEEFF" w:val="clear"/>
            <w:vAlign w:val="center"/>
          </w:tcPr>
          <w:p>
            <w:pPr>
              <w:pStyle w:val="TableContents"/>
              <w:bidi w:val="0"/>
              <w:spacing w:before="0" w:after="283"/>
              <w:jc w:val="left"/>
              <w:rPr/>
            </w:pPr>
            <w:hyperlink w:anchor="p_001">
              <w:r>
                <w:rPr>
                  <w:rStyle w:val="InternetLink"/>
                  <w:rFonts w:ascii="Arial;Helvetica;Sans-Serif" w:hAnsi="Arial;Helvetica;Sans-Serif"/>
                  <w:sz w:val="20"/>
                </w:rPr>
                <w:t>Use of Proceeds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11</w:t>
            </w:r>
          </w:p>
        </w:tc>
      </w:tr>
      <w:tr>
        <w:trPr/>
        <w:tc>
          <w:tcPr>
            <w:tcW w:w="7625" w:type="dxa"/>
            <w:tcBorders/>
            <w:shd w:fill="FFFFFF" w:val="clear"/>
            <w:vAlign w:val="center"/>
          </w:tcPr>
          <w:p>
            <w:pPr>
              <w:pStyle w:val="TableContents"/>
              <w:bidi w:val="0"/>
              <w:spacing w:before="0" w:after="283"/>
              <w:jc w:val="left"/>
              <w:rPr/>
            </w:pPr>
            <w:hyperlink w:anchor="p_002">
              <w:r>
                <w:rPr>
                  <w:rStyle w:val="InternetLink"/>
                  <w:rFonts w:ascii="Arial;Helvetica;Sans-Serif" w:hAnsi="Arial;Helvetica;Sans-Serif"/>
                  <w:sz w:val="20"/>
                </w:rPr>
                <w:t>Plan of Distribution</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w:t>
            </w:r>
          </w:p>
        </w:tc>
      </w:tr>
      <w:tr>
        <w:trPr/>
        <w:tc>
          <w:tcPr>
            <w:tcW w:w="7625" w:type="dxa"/>
            <w:tcBorders/>
            <w:shd w:fill="CCEEFF" w:val="clear"/>
            <w:vAlign w:val="center"/>
          </w:tcPr>
          <w:p>
            <w:pPr>
              <w:pStyle w:val="TableContents"/>
              <w:bidi w:val="0"/>
              <w:spacing w:before="0" w:after="283"/>
              <w:jc w:val="left"/>
              <w:rPr/>
            </w:pPr>
            <w:hyperlink w:anchor="p_003">
              <w:r>
                <w:rPr>
                  <w:rStyle w:val="InternetLink"/>
                  <w:rFonts w:ascii="Arial;Helvetica;Sans-Serif" w:hAnsi="Arial;Helvetica;Sans-Serif"/>
                  <w:sz w:val="20"/>
                </w:rPr>
                <w:t>Description of Common Stock</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14</w:t>
            </w:r>
          </w:p>
        </w:tc>
      </w:tr>
      <w:tr>
        <w:trPr/>
        <w:tc>
          <w:tcPr>
            <w:tcW w:w="7625" w:type="dxa"/>
            <w:tcBorders/>
            <w:shd w:fill="FFFFFF" w:val="clear"/>
            <w:vAlign w:val="center"/>
          </w:tcPr>
          <w:p>
            <w:pPr>
              <w:pStyle w:val="TableContents"/>
              <w:bidi w:val="0"/>
              <w:spacing w:before="0" w:after="283"/>
              <w:jc w:val="left"/>
              <w:rPr/>
            </w:pPr>
            <w:hyperlink w:anchor="p_004">
              <w:r>
                <w:rPr>
                  <w:rStyle w:val="InternetLink"/>
                  <w:rFonts w:ascii="Arial;Helvetica;Sans-Serif" w:hAnsi="Arial;Helvetica;Sans-Serif"/>
                  <w:sz w:val="20"/>
                </w:rPr>
                <w:t>Description of Preferred Stock</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15</w:t>
            </w:r>
          </w:p>
        </w:tc>
      </w:tr>
      <w:tr>
        <w:trPr/>
        <w:tc>
          <w:tcPr>
            <w:tcW w:w="7625" w:type="dxa"/>
            <w:tcBorders/>
            <w:shd w:fill="CCEEFF" w:val="clear"/>
            <w:vAlign w:val="center"/>
          </w:tcPr>
          <w:p>
            <w:pPr>
              <w:pStyle w:val="TableContents"/>
              <w:bidi w:val="0"/>
              <w:spacing w:before="0" w:after="283"/>
              <w:jc w:val="left"/>
              <w:rPr/>
            </w:pPr>
            <w:hyperlink w:anchor="p_005">
              <w:r>
                <w:rPr>
                  <w:rStyle w:val="InternetLink"/>
                  <w:rFonts w:ascii="Arial;Helvetica;Sans-Serif" w:hAnsi="Arial;Helvetica;Sans-Serif"/>
                  <w:sz w:val="20"/>
                </w:rPr>
                <w:t>Description of Debt Securities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16</w:t>
            </w:r>
          </w:p>
        </w:tc>
      </w:tr>
      <w:tr>
        <w:trPr/>
        <w:tc>
          <w:tcPr>
            <w:tcW w:w="7625" w:type="dxa"/>
            <w:tcBorders/>
            <w:shd w:fill="FFFFFF" w:val="clear"/>
            <w:vAlign w:val="center"/>
          </w:tcPr>
          <w:p>
            <w:pPr>
              <w:pStyle w:val="TableContents"/>
              <w:bidi w:val="0"/>
              <w:spacing w:before="0" w:after="283"/>
              <w:jc w:val="left"/>
              <w:rPr/>
            </w:pPr>
            <w:hyperlink w:anchor="p_006">
              <w:r>
                <w:rPr>
                  <w:rStyle w:val="InternetLink"/>
                  <w:rFonts w:ascii="Arial;Helvetica;Sans-Serif" w:hAnsi="Arial;Helvetica;Sans-Serif"/>
                  <w:sz w:val="20"/>
                </w:rPr>
                <w:t>Description of Warrants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22</w:t>
            </w:r>
          </w:p>
        </w:tc>
      </w:tr>
      <w:tr>
        <w:trPr/>
        <w:tc>
          <w:tcPr>
            <w:tcW w:w="7625" w:type="dxa"/>
            <w:tcBorders/>
            <w:shd w:fill="CCEEFF" w:val="clear"/>
            <w:vAlign w:val="center"/>
          </w:tcPr>
          <w:p>
            <w:pPr>
              <w:pStyle w:val="TableContents"/>
              <w:bidi w:val="0"/>
              <w:spacing w:before="0" w:after="283"/>
              <w:jc w:val="left"/>
              <w:rPr/>
            </w:pPr>
            <w:hyperlink w:anchor="p_007">
              <w:r>
                <w:rPr>
                  <w:rStyle w:val="InternetLink"/>
                  <w:rFonts w:ascii="Arial;Helvetica;Sans-Serif" w:hAnsi="Arial;Helvetica;Sans-Serif"/>
                  <w:sz w:val="20"/>
                </w:rPr>
                <w:t>Description of Rights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24</w:t>
            </w:r>
          </w:p>
        </w:tc>
      </w:tr>
      <w:tr>
        <w:trPr/>
        <w:tc>
          <w:tcPr>
            <w:tcW w:w="7625" w:type="dxa"/>
            <w:tcBorders/>
            <w:shd w:fill="FFFFFF" w:val="clear"/>
            <w:vAlign w:val="center"/>
          </w:tcPr>
          <w:p>
            <w:pPr>
              <w:pStyle w:val="TableContents"/>
              <w:bidi w:val="0"/>
              <w:spacing w:before="0" w:after="283"/>
              <w:jc w:val="left"/>
              <w:rPr/>
            </w:pPr>
            <w:hyperlink w:anchor="p_008">
              <w:r>
                <w:rPr>
                  <w:rStyle w:val="InternetLink"/>
                  <w:rFonts w:ascii="Arial;Helvetica;Sans-Serif" w:hAnsi="Arial;Helvetica;Sans-Serif"/>
                  <w:sz w:val="20"/>
                </w:rPr>
                <w:t>Description of Purchase Contracts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w:t>
            </w:r>
          </w:p>
        </w:tc>
      </w:tr>
      <w:tr>
        <w:trPr/>
        <w:tc>
          <w:tcPr>
            <w:tcW w:w="7625" w:type="dxa"/>
            <w:tcBorders/>
            <w:shd w:fill="CCEEFF" w:val="clear"/>
            <w:vAlign w:val="center"/>
          </w:tcPr>
          <w:p>
            <w:pPr>
              <w:pStyle w:val="TableContents"/>
              <w:bidi w:val="0"/>
              <w:spacing w:before="0" w:after="283"/>
              <w:jc w:val="left"/>
              <w:rPr/>
            </w:pPr>
            <w:hyperlink w:anchor="p_009">
              <w:r>
                <w:rPr>
                  <w:rStyle w:val="InternetLink"/>
                  <w:rFonts w:ascii="Arial;Helvetica;Sans-Serif" w:hAnsi="Arial;Helvetica;Sans-Serif"/>
                  <w:sz w:val="20"/>
                </w:rPr>
                <w:t>Description of Units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26</w:t>
            </w:r>
          </w:p>
        </w:tc>
      </w:tr>
      <w:tr>
        <w:trPr/>
        <w:tc>
          <w:tcPr>
            <w:tcW w:w="7625" w:type="dxa"/>
            <w:tcBorders/>
            <w:shd w:fill="FFFFFF" w:val="clear"/>
            <w:vAlign w:val="center"/>
          </w:tcPr>
          <w:p>
            <w:pPr>
              <w:pStyle w:val="TableContents"/>
              <w:bidi w:val="0"/>
              <w:spacing w:before="0" w:after="283"/>
              <w:jc w:val="left"/>
              <w:rPr/>
            </w:pPr>
            <w:hyperlink w:anchor="p_010">
              <w:r>
                <w:rPr>
                  <w:rStyle w:val="InternetLink"/>
                  <w:rFonts w:ascii="Arial;Helvetica;Sans-Serif" w:hAnsi="Arial;Helvetica;Sans-Serif"/>
                  <w:sz w:val="20"/>
                </w:rPr>
                <w:t>Forms of Securities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27</w:t>
            </w:r>
          </w:p>
        </w:tc>
      </w:tr>
      <w:tr>
        <w:trPr/>
        <w:tc>
          <w:tcPr>
            <w:tcW w:w="7625" w:type="dxa"/>
            <w:tcBorders/>
            <w:shd w:fill="CCEEFF" w:val="clear"/>
            <w:vAlign w:val="center"/>
          </w:tcPr>
          <w:p>
            <w:pPr>
              <w:pStyle w:val="TableContents"/>
              <w:bidi w:val="0"/>
              <w:spacing w:before="0" w:after="283"/>
              <w:jc w:val="left"/>
              <w:rPr/>
            </w:pPr>
            <w:hyperlink w:anchor="p_011">
              <w:r>
                <w:rPr>
                  <w:rStyle w:val="InternetLink"/>
                  <w:rFonts w:ascii="Arial;Helvetica;Sans-Serif" w:hAnsi="Arial;Helvetica;Sans-Serif"/>
                  <w:sz w:val="20"/>
                </w:rPr>
                <w:t>Certain Provisions of Delaware Law and of Our Certificate of Incorporation and By-Laws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29</w:t>
            </w:r>
          </w:p>
        </w:tc>
      </w:tr>
      <w:tr>
        <w:trPr/>
        <w:tc>
          <w:tcPr>
            <w:tcW w:w="7625" w:type="dxa"/>
            <w:tcBorders/>
            <w:shd w:fill="FFFFFF" w:val="clear"/>
            <w:vAlign w:val="center"/>
          </w:tcPr>
          <w:p>
            <w:pPr>
              <w:pStyle w:val="TableContents"/>
              <w:bidi w:val="0"/>
              <w:spacing w:before="0" w:after="283"/>
              <w:jc w:val="left"/>
              <w:rPr/>
            </w:pPr>
            <w:hyperlink w:anchor="p_012">
              <w:r>
                <w:rPr>
                  <w:rStyle w:val="InternetLink"/>
                  <w:rFonts w:ascii="Arial;Helvetica;Sans-Serif" w:hAnsi="Arial;Helvetica;Sans-Serif"/>
                  <w:sz w:val="20"/>
                </w:rPr>
                <w:t>Legal Matters</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r>
        <w:trPr/>
        <w:tc>
          <w:tcPr>
            <w:tcW w:w="7625" w:type="dxa"/>
            <w:tcBorders/>
            <w:shd w:fill="CCEEFF" w:val="clear"/>
            <w:vAlign w:val="center"/>
          </w:tcPr>
          <w:p>
            <w:pPr>
              <w:pStyle w:val="TableContents"/>
              <w:bidi w:val="0"/>
              <w:spacing w:before="0" w:after="283"/>
              <w:jc w:val="left"/>
              <w:rPr/>
            </w:pPr>
            <w:hyperlink w:anchor="p_014">
              <w:r>
                <w:rPr>
                  <w:rStyle w:val="InternetLink"/>
                  <w:rFonts w:ascii="Arial;Helvetica;Sans-Serif" w:hAnsi="Arial;Helvetica;Sans-Serif"/>
                  <w:sz w:val="20"/>
                </w:rPr>
                <w:t>Experts</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r>
        <w:trPr/>
        <w:tc>
          <w:tcPr>
            <w:tcW w:w="7625" w:type="dxa"/>
            <w:tcBorders/>
            <w:shd w:fill="FFFFFF" w:val="clear"/>
            <w:vAlign w:val="center"/>
          </w:tcPr>
          <w:p>
            <w:pPr>
              <w:pStyle w:val="TableContents"/>
              <w:bidi w:val="0"/>
              <w:spacing w:before="0" w:after="283"/>
              <w:jc w:val="left"/>
              <w:rPr/>
            </w:pPr>
            <w:hyperlink w:anchor="p_015">
              <w:r>
                <w:rPr>
                  <w:rStyle w:val="InternetLink"/>
                  <w:rFonts w:ascii="Arial;Helvetica;Sans-Serif" w:hAnsi="Arial;Helvetica;Sans-Serif"/>
                  <w:sz w:val="20"/>
                </w:rPr>
                <w:t>Where You Can Find More Information</w:t>
              </w:r>
            </w:hyperlink>
          </w:p>
        </w:tc>
        <w:tc>
          <w:tcPr>
            <w:tcW w:w="245" w:type="dxa"/>
            <w:tcBorders/>
            <w:shd w:fill="FFFF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r>
        <w:trPr/>
        <w:tc>
          <w:tcPr>
            <w:tcW w:w="7625" w:type="dxa"/>
            <w:tcBorders/>
            <w:shd w:fill="CCEEFF" w:val="clear"/>
            <w:vAlign w:val="center"/>
          </w:tcPr>
          <w:p>
            <w:pPr>
              <w:pStyle w:val="TableContents"/>
              <w:bidi w:val="0"/>
              <w:spacing w:before="0" w:after="283"/>
              <w:jc w:val="left"/>
              <w:rPr/>
            </w:pPr>
            <w:hyperlink w:anchor="p_016">
              <w:r>
                <w:rPr>
                  <w:rStyle w:val="InternetLink"/>
                  <w:rFonts w:ascii="Arial;Helvetica;Sans-Serif" w:hAnsi="Arial;Helvetica;Sans-Serif"/>
                  <w:sz w:val="20"/>
                </w:rPr>
                <w:t>Incorporation of Documents by Reference</w:t>
              </w:r>
            </w:hyperlink>
          </w:p>
        </w:tc>
        <w:tc>
          <w:tcPr>
            <w:tcW w:w="245" w:type="dxa"/>
            <w:tcBorders/>
            <w:shd w:fill="CCEEFF" w:val="cle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33</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Arial;Helvetica;Sans-Serif" w:hAnsi="Arial;Helvetica;Sans-Serif"/>
          <w:b/>
          <w:i w:val="false"/>
          <w:caps w:val="false"/>
          <w:smallCaps w:val="false"/>
          <w:sz w:val="20"/>
        </w:rPr>
      </w:pPr>
      <w:bookmarkStart w:id="17" w:name="MS_013"/>
      <w:bookmarkEnd w:id="17"/>
      <w:r>
        <w:rPr>
          <w:rFonts w:ascii="Arial;Helvetica;Sans-Serif" w:hAnsi="Arial;Helvetica;Sans-Serif"/>
          <w:b/>
          <w:i w:val="false"/>
          <w:caps w:val="false"/>
          <w:smallCaps w:val="false"/>
          <w:sz w:val="20"/>
        </w:rPr>
        <w:t>ABOUT THIS PROSPECTUS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or purchase contracts to purchase any of such securities, either individually or in units, in one or more offerings, with a total value of up to $200,000,000. This prospectus provides you with a general description of the securities we may offer. Each time we offer securities under this prospectus, we will provide a prospectus supplement that will contain specific information about the type or series of securities offered and the terms of that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does not contain all of the information included in the registration statement of which this prospectus forms a part. For a more complete understanding of the offering of the securities, you should refer to the registration statement, including its exhibits. This prospectus, together with any prospectus supplement or free writing prospectus that we subsequently authorize for use in connection with this offering and the documents incorporated by reference into this prospectus, includes all material information relating to the offering of securities under this prospectus. You should carefully read this prospectus, any prospectus supplement or free writing prospectus that we subsequently authorize for use in connection with this offering, the information and documents incorporated herein by reference and the additional information under the headings “Where You Can Find More Information” and “Incorporation of Documents by Reference”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should rely only on the information we have provided or incorporated by reference in this prospectus, or in any prospectus supplement or free writing prospectus that we subsequently authorize for use in connection with this offering. We have not authorized anyone to provide you with information different from that contained or incorporated by reference in this prospectus. If anyone provides you with different or inconsistent information, you should not rely on it. You should assume that the information in this prospectus, or any related prospectus supplement or free writing prospectus, is accurate only as of the date on the front of the document and that any information we have incorporated herein by reference is accurate only as of the date of the document incorporated by reference, regardless of the time of delivery of this prospectus, or such prospectus supplement or free writing prospectus,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not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hereunder and the distribution of this prospectus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indicated, information contained in this prospectus concerning our industry and the markets in which we operate, including our general expectations and market position, market opportunity and market size, is based on information from various sources, including peer reviewed journals, formal presentations at medical and scientific society meetings and third-parties commissioned by us or our licensors to provide market research and analysis, and is subject to a number of assumptions and limitations. Although we are responsible for all of the disclosure contained in this prospectus and we believe the information from industry publications and other third-party sources included in this prospectus is reliable, such information is inherently imprecise.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the extent there are inconsistencies between this prospectus, any related prospectus supplement or free writing prospectus, and any documents incorporated by reference, the document with the most recent date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the context otherwise requires, “Daré,” “Daré Bioscience,” “the Company,” “we,” “us,” “our” and similar terms refer to Daré Bioscience, Inc. and its subsidiaries. When we refer to “you” we mean potential holders of the securities we may offer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8" w:name="MS_014"/>
      <w:bookmarkEnd w:id="18"/>
      <w:r>
        <w:rPr>
          <w:rFonts w:ascii="Arial;Helvetica;Sans-Serif" w:hAnsi="Arial;Helvetica;San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This summary highlights information contained elsewhere in this prospectus. This summary does not contain all of the information you should consider before investing in our securities. We urge you to read this entire prospectus, including our consolidated financial statements, notes to our consolidated financial statements and other information incorporated herein by reference to our other filings with the SEC, or included in any applicable prospectus supplement.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Daré Bioscience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first FDA-approved product to emerge from our portfolio of women’s health product candidates is XACIATO (clindamycin phosphate) vaginal gel 2%, or XACIATO (pronounced zah-she-AH-toe). XACIATO was approved by the FDA in December 2021 as a single-dose prescription medication for the treatment of bacterial vaginosis in females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Accordingly, our potential future revenue from the commercialization of XACIATO will consist of royalties based on net sales and milestone payments from Organon. Organon commenced U.S. marketing of XACIATO in the fourth quarter of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product pipeline includes diverse programs that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also explore opportunities to expand our portfolio by leveraging assets to which we hold rights or obtaining rights to new assets, with continued focus solely on women’s health.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current portfolio includes five product candidates in advanced clinical development (Phase 2-ready to Phase 3):</w:t>
      </w:r>
    </w:p>
    <w:p>
      <w:pPr>
        <w:pStyle w:val="TextBody"/>
        <w:bidi w:val="0"/>
        <w:spacing w:before="0" w:after="0"/>
        <w:ind w:left="0" w:right="0" w:firstLine="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Ovaprene®</w:t>
            </w:r>
            <w:r>
              <w:rPr>
                <w:rFonts w:ascii="Arial;Helvetica;Sans-Serif" w:hAnsi="Arial;Helvetica;Sans-Serif"/>
                <w:b w:val="false"/>
                <w:i w:val="false"/>
                <w:caps w:val="false"/>
                <w:smallCaps w:val="false"/>
                <w:sz w:val="20"/>
              </w:rPr>
              <w:t>, a hormone-free, monthly intravaginal contraceptive;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Sildenafil Cream, 3.6%</w:t>
            </w:r>
            <w:r>
              <w:rPr>
                <w:rFonts w:ascii="Arial;Helvetica;Sans-Serif" w:hAnsi="Arial;Helvetica;Sans-Serif"/>
                <w:b w:val="false"/>
                <w:i w:val="false"/>
                <w:caps w:val="false"/>
                <w:smallCaps w:val="false"/>
                <w:sz w:val="20"/>
              </w:rPr>
              <w:t>, a proprietary cream formulation of sildenafil for topical administration to the female genitalia on demand for the treatment of female sexual arousal disorder (FSAD);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DARE-HRT1</w:t>
            </w:r>
            <w:r>
              <w:rPr>
                <w:rFonts w:ascii="Arial;Helvetica;Sans-Serif" w:hAnsi="Arial;Helvetica;Sans-Serif"/>
                <w:b w:val="false"/>
                <w:i w:val="false"/>
                <w:caps w:val="false"/>
                <w:smallCaps w:val="false"/>
                <w:sz w:val="20"/>
              </w:rPr>
              <w:t xml:space="preserve">, an intravaginal ring designed to deliver both bio-identical estradiol and progesterone together, continuously over a 28-day period, for the treatment of moderate-to-severe vasomotor symptoms, as part of menopausal hormone therapy;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DARE-VVA1</w:t>
            </w:r>
            <w:r>
              <w:rPr>
                <w:rFonts w:ascii="Arial;Helvetica;Sans-Serif" w:hAnsi="Arial;Helvetica;Sans-Serif"/>
                <w:b w:val="false"/>
                <w:i w:val="false"/>
                <w:caps w:val="false"/>
                <w:smallCaps w:val="false"/>
                <w:sz w:val="20"/>
              </w:rPr>
              <w:t>, a proprietary formulation of tamoxifen for intravaginal administration being developed as a hormone-free alternative to estrogen-based therapies for the treatment of moderate-to-severe dyspareunia, or pain during sexual intercourse, a symptom of vulvar and vaginal atrophy associated with menopause; and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DARE-CIN</w:t>
            </w:r>
            <w:r>
              <w:rPr>
                <w:rFonts w:ascii="Arial;Helvetica;Sans-Serif" w:hAnsi="Arial;Helvetica;Sans-Serif"/>
                <w:b w:val="false"/>
                <w:i w:val="false"/>
                <w:caps w:val="false"/>
                <w:smallCaps w:val="false"/>
                <w:sz w:val="20"/>
              </w:rPr>
              <w:t>, a proprietary, fixed-dose formulation of lopinavir and ritonavir in a soft gel vaginal insert for the treatment of cervical intraepithelial neoplasia (CIN) and other human papillomavirus (HPV)-related pathologies.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portfolio also includes five product candidates in Phase 1 clinical development or that we believe are Phase 1-ready: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DARE-PDM1, </w:t>
            </w:r>
            <w:r>
              <w:rPr>
                <w:rFonts w:ascii="Arial;Helvetica;Sans-Serif" w:hAnsi="Arial;Helvetica;Sans-Serif"/>
                <w:b w:val="false"/>
                <w:i w:val="false"/>
                <w:caps w:val="false"/>
                <w:smallCaps w:val="false"/>
                <w:sz w:val="20"/>
              </w:rPr>
              <w:t>a proprietary hydrogel formulation of diclofenac, a nonsteroidal anti-inflammatory drug, for vaginal administration as a treatment for primary dysmenorrhea;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DARE-204 </w:t>
            </w:r>
            <w:r>
              <w:rPr>
                <w:rFonts w:ascii="Arial;Helvetica;Sans-Serif" w:hAnsi="Arial;Helvetica;Sans-Serif"/>
                <w:b w:val="false"/>
                <w:i w:val="false"/>
                <w:caps w:val="false"/>
                <w:smallCaps w:val="false"/>
                <w:sz w:val="20"/>
              </w:rPr>
              <w:t xml:space="preserve">and </w:t>
            </w:r>
            <w:r>
              <w:rPr>
                <w:rFonts w:ascii="Arial;Helvetica;Sans-Serif" w:hAnsi="Arial;Helvetica;Sans-Serif"/>
                <w:b/>
                <w:i w:val="false"/>
                <w:caps w:val="false"/>
                <w:smallCaps w:val="false"/>
                <w:sz w:val="20"/>
              </w:rPr>
              <w:t>DARE-214</w:t>
            </w:r>
            <w:r>
              <w:rPr>
                <w:rFonts w:ascii="Arial;Helvetica;Sans-Serif" w:hAnsi="Arial;Helvetica;Sans-Serif"/>
                <w:b w:val="false"/>
                <w:i w:val="false"/>
                <w:caps w:val="false"/>
                <w:smallCaps w:val="false"/>
                <w:sz w:val="20"/>
              </w:rPr>
              <w:t>, injectable formulations of etonogestrel designed to provide contraception over 6-month and 12-month periods,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DARE-FRT1</w:t>
            </w:r>
            <w:r>
              <w:rPr>
                <w:rFonts w:ascii="Arial;Helvetica;Sans-Serif" w:hAnsi="Arial;Helvetica;Sans-Serif"/>
                <w:b w:val="false"/>
                <w:i w:val="false"/>
                <w:caps w:val="false"/>
                <w:smallCaps w:val="false"/>
                <w:sz w:val="20"/>
              </w:rPr>
              <w:t>, an intravaginal ring designed to deliver bio-identical progesterone continuously for up to 14 days for luteal phase support as part of an in vitro fertilization treatment plan;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DARE-PTB1</w:t>
            </w:r>
            <w:r>
              <w:rPr>
                <w:rFonts w:ascii="Arial;Helvetica;Sans-Serif" w:hAnsi="Arial;Helvetica;Sans-Serif"/>
                <w:b w:val="false"/>
                <w:i w:val="false"/>
                <w:caps w:val="false"/>
                <w:smallCaps w:val="false"/>
                <w:sz w:val="20"/>
              </w:rPr>
              <w:t>, an intravaginal ring designed to deliver bio-identical progesterone continuously for up to 14 days for the prevention of preterm birth.</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our portfolio includes five preclinical stage programs: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DARE-LARC1</w:t>
            </w:r>
            <w:r>
              <w:rPr>
                <w:rFonts w:ascii="Arial;Helvetica;Sans-Serif" w:hAnsi="Arial;Helvetica;Sans-Serif"/>
                <w:b w:val="false"/>
                <w:i w:val="false"/>
                <w:caps w:val="false"/>
                <w:smallCaps w:val="false"/>
                <w:sz w:val="20"/>
              </w:rPr>
              <w:t>, a contraceptive implant delivering levonorgestrel with a woman-centered design that has the potential to be a long-acting, yet convenient and user-controlled contraceptive option;</w:t>
            </w:r>
          </w:p>
        </w:tc>
      </w:tr>
    </w:tbl>
    <w:p>
      <w:pPr>
        <w:pStyle w:val="TextBody"/>
        <w:bidi w:val="0"/>
        <w:spacing w:before="0" w:after="0"/>
        <w:ind w:left="0" w:right="0" w:hanging="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DARE-LBT</w:t>
            </w:r>
            <w:r>
              <w:rPr>
                <w:rFonts w:ascii="Arial;Helvetica;Sans-Serif" w:hAnsi="Arial;Helvetica;Sans-Serif"/>
                <w:b w:val="false"/>
                <w:i w:val="false"/>
                <w:caps w:val="false"/>
                <w:smallCaps w:val="false"/>
                <w:sz w:val="20"/>
              </w:rPr>
              <w:t>, a novel hydrogel formulation for vaginal delivery of live biotherapeutics to support vaginal health;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DARE-GML</w:t>
            </w:r>
            <w:r>
              <w:rPr>
                <w:rFonts w:ascii="Arial;Helvetica;Sans-Serif" w:hAnsi="Arial;Helvetica;Sans-Serif"/>
                <w:b w:val="false"/>
                <w:i w:val="false"/>
                <w:caps w:val="false"/>
                <w:smallCaps w:val="false"/>
                <w:sz w:val="20"/>
              </w:rPr>
              <w:t xml:space="preserve">, an intravaginally-delivered potential multi-target antimicrobial agent formulated with glycerol monolaurate (GML), which has shown broad antimicrobial activity, killing bacteria and viruses;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DARE-RH1</w:t>
            </w:r>
            <w:r>
              <w:rPr>
                <w:rFonts w:ascii="Arial;Helvetica;Sans-Serif" w:hAnsi="Arial;Helvetica;Sans-Serif"/>
                <w:b w:val="false"/>
                <w:i w:val="false"/>
                <w:caps w:val="false"/>
                <w:smallCaps w:val="false"/>
                <w:sz w:val="20"/>
              </w:rPr>
              <w:t>, a novel approach to non-hormonal contraception for both men and women by targeting the CatSper ion channel;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DARE-PTB2</w:t>
            </w:r>
            <w:r>
              <w:rPr>
                <w:rFonts w:ascii="Arial;Helvetica;Sans-Serif" w:hAnsi="Arial;Helvetica;Sans-Serif"/>
                <w:b w:val="false"/>
                <w:i w:val="false"/>
                <w:caps w:val="false"/>
                <w:smallCaps w:val="false"/>
                <w:sz w:val="20"/>
              </w:rPr>
              <w:t>, a novel approach for the prevention and treatment of idiopathic preterm birth through inhibition of a stress response protein.</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product candidates and potential product candidates in our portfolio will require review and approval from the FDA, or a comparable foreign regulatory authority, prior to being marketed or sold. See ITEM 1. “BUSINESS,” in Part I of our Annual Report on Form 10-K for the year ended December 31, 2023 for additional information regarding our product and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Until we secure additional capital to fund our operating needs, we will focus our resources primarily on advancement of Ovaprene and Sildenafil Cream.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need to raise substantial additional capital to continue to fund our operations and execute our current business strategy. We are also subject to a number of other risks common to biopharmaceutical companies, including, but not limited to, dependence on key employees, reliance on third-party collaborators, service providers and suppliers,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claims, and exposure to cybersecurity threats and incidents.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process of developing and obtaining regulatory approvals for prescription drug and drug/device products in the United States and in foreign jurisdictions is inherently uncertain and requires the expenditure of substantial financial resources without any guarantee of success. To the extent we receive regulatory approvals to market and sell our product candidates, the commercialization of any product and compliance with subsequently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Investing in our securities involves a high degree of risk. Before deciding whether to purchase any of our securities, you should carefully consider the risks and uncertainties described in the section captioned “Risk Factors” in this prospectus and the applicable accompanying prospectus supplement, and under similar headings in the documents incorporated by reference into this prospectus and the applicable accompanying prospectus supplement. The occurrence of any of these risk factors could have a material adverse effect on our business, financial condition, results of operations and growth prospects. In these circumstances, the market price of our common stock could decline, and you may lose all or part of your investment in our common stock. These risk factors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will need to raise substantial additional capital to continue our operations, execute our business strategy and remain a going concern, and we may not be able to raise adequate capital on a timely basis, on favorable terms, or at all. Raising additional capital may cause substantial dilution to our stockholders, restrict our operations or require us to relinquish rights in our technologies or product candidates and their future revenue streams.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depends on obtaining the approval of regulatory authorities, and in particular, FDA approval, to market products that we develop. All of our product candidates are investigational, require the conduct and successful completion of clinical studies and nonclinical work, and may never complete development or be submitted for or receive regulatory approval. The FDA’s approval of XACIATO is not predictive of favorable development or marketing approval outcomes for our product candidates.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development is a lengthy and expensive process with an inherently uncertain outcome. Failure to successfully complete clinical trials and nonclinical activities and obtain regulatory approval to market and sell our product candidates on our anticipated timelines at reasonable costs to us, or at all, particularly Ovaprene and Sildenafil Cream, could have a material adverse effect on our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regulatory approval processes of the FDA and comparable foreign authorities are expensive, lengthy, time-consuming, and inherently unpredictable. If we are not able to obtain regulatory approvals for our product candidates, our ability to generate product revenue will be materially impaired.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Drug products and drug/device combination products are complex to manufacture and we face significant challenges in scaling up manufacturing of our product candidates for larger clinical trials and commercial production. Manufacturing and supply delays and disruptions could postpone the initiation of or interrupt our clinical studies, extend the timeframe and cost of development of our product candidates, delay potential regulatory approvals and adversely impact the commercialization of any approved products.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Strategic collaborations are a key part of our strategy and our existing strategic collaborations are important to our business. If we are unable to maintain existing strategic collaborations or establish new ones, or if they are not successful, we may require substantial additional capital to develop and commercialize our products and product candidates and our business and prospects may be materially harmed.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Unless and until one of our product candidates receives regulatory approval, payments under our license agreement with Organon based on net sales of XACIATO represent our only potential source of ongoing revenue and the amount of those net sales is largely outside of our control.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no manufacturing, sales, marketing or distribution infrastructure. We depend heavily on, and expect to continue to rely on, the performance of third parties, including our strategic collaborators, contract manufacturers and suppliers, CROs, medical institutions, and scientific, medical, regulatory and other consultants and advisors, to develop our product candidates and commercialize any approved products. Failure of these third parties to perform as expected could result in substantial delays, increased costs or failures of our product development programs, delayed or unsuccessful commercialization of any approved products, and the need for significant additional capital.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Due in part to our limited financial and human resources, we may fail to effectively execute our product development, regulatory submission and commercialization plans in accordance with communicated timelines, or at all.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loss or impairment of our rights under our license agreements for XACIATO or any of our product candidates could prevent us from developing or commercializing them, which could have a material adverse effect on our business prospects, operations and viability.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commercial success of XACIATO will depend on Organon’s efforts and capabilities and a variety of factors, many of which currently are unknown or uncertain, and if commercialization of XACIATO is not successful, our reputation, business and prospects may suffer.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XACIATO and any future products will face intense competition, including from generic products, and may fail to achieve the degree of market acceptance necessary for commercial success. Our business, operating results and financial condition will suffer if we, or our commercial collaborators, fail to compete effectively and fail to achieve market acceptance.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successfully obtain coverage and adequate reimbursement for XACIATO and any future products from government health care programs and other third-party payors would diminish our ability, or that of a commercial collaborator, to generate net product revenue or net sales. If out-of-pocket costs for products we develop are deemed by women to be unaffordable, a commercial market may never develop.</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relatively small number of employees, and if we fail to attract and retain key personnel or effectively manage our personnel costs, our business may materially suffer.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be successful in our efforts to identify and acquire or in-license additional product candidates or technologies, which may limit our growth potential.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adequately protect or enforce our intellectual property rights, and those of our licensors, could materially harm our proprietary position in the marketplace or prevent or impede the commercialization of XACIATO and any future products.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Lack of patent protection for the active ingredients in certain of our product candidates, including Sildenafil Cream and DARE-HRT1, may limit the commercial opportunity for those products if competitors are able to develop and commercialize safe and effective alternative formulations or methods of delivery of the active ingredients.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Volatility in the financial markets, geopolitical conflicts and events, public health emergencies such as the COVID-19 pandemic and other macroeconomic factors may negatively impact our business, financial condition and results and our stock price, including by increasing the cost and timelines for our clinical development programs or making it more difficult or costly to raise additional capital when needed.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liability lawsuits against us could cause us to incur substantial liabilities and divert management attention from our business.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price of our common stock has been and may continue to be highly volatile and such volatility may be related or unrelated to our performance and operating results. Volatility in our stock price may subject us to increased risk of securities litigation, including class-action lawsuits, which could be expensive and divert management attention.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regain and maintain compliance with the continued listing requirements of the Nasdaq Capital Market, our common stock could be delisted, which could, among other things, limit demand for our common stock, substantially impair our ability to raise additional capital and have an adverse effect on the market price of, and the efficiency of the trading market for, our common stock.</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Future dilution to our existing stockholders from sales and issuances of our common stock through at-the-market, or ATM, offerings, other types of public or private offerings of equity or equity-linked securities and upon the exercise of stock options, or the market’s expectation that such sales could adversely affect our stock price, even if our business is doing well.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been subject to a cyber-related crime and our controls and security measures may not be successful in preventing other cybersecurity incidents in the future. Cyber-attacks, security breaches, loss of data and other disruptions to our information technology systems or those of our strategic collaborators or third-party service providers could compromise sensitive information related to our business, delay or prevent us from accessing critical information, subject us to significant financial loss, or expose us to liability, any of which could adversely affect our business and our reputation.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related to our business and operations, please refer to the annual and quarterly reports incorporated herein by reference, as described under the caption “Incorporation of Documents by Reference” on page 33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incorporated under the laws of the State of Delaware. Our principal executive offices are located at 3655 Nobel Drive, Suite 260, San Diego, California 92122, and our telephone number at that address is (858) 926-7655. We maintain a website at www.darebioscience.com,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is a registered trademark of Daré Bioscience, Inc. Ovaprene® is a registered trademark licensed to Daré Bioscience, Inc. 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Offerings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this prospectus, we may offer shares of our common stock and preferred stock, various series of debt securities and/or warrants, rights or purchase contracts to purchase any of such securities, either individually or in units, with a total value of up to $200,000,000,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designation or classification;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aggregate principal amount or aggregate offering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maturity, if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rates and times of payment of interest or dividends, if any;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redemption, conversion or sinking fund terms, if 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voting or other rights, if 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conversion or exercise prices, if 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names of those agents or underwriters;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applicable fees, discounts and commissions to be paid to them;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details regarding over-allotment options, if 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net proceeds to 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This prospectus may not be used to consummate a sale of any securities unless it is accompanied by a prospectus supplement.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9" w:name="MS_015"/>
      <w:bookmarkEnd w:id="19"/>
      <w:r>
        <w:rPr>
          <w:rFonts w:ascii="Arial;Helvetica;Sans-Serif" w:hAnsi="Arial;Helvetica;San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Investing in our securities involves significant risk. The prospectus supplement applicable to each offering of our securities will contain a discussion of risks related to that offering. Prior to making a decision about investing in our securities, you should carefully consider the specific factors discussed under the heading “Risk Factors” in the applicable prospectus supplement and any related free writing prospectus, together with all of the other information contained or incorporated by reference in the prospectus supplement or contained or incorporated by reference in this prospectus. You should carefully consider the risks, uncertainties and assumptions discussed under the heading “Risk Factors” in our most recent annual report on Form 10-K, as may be amended, supplemented or superseded from time to time by information in quarterly reports on Form 10-Q and current reports on Form 8-K that we file with the SEC after the date of this prospectus, all of which are incorporated herein by reference (other than current reports on Form 8-K, or portions thereof, furnished under Items 2.02 or 7.01 of Form 8-K).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r>
        <w:rPr>
          <w:rFonts w:ascii="Arial;Helvetica;Sans-Serif" w:hAnsi="Arial;Helvetica;San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0" w:name="MS_016"/>
      <w:bookmarkEnd w:id="20"/>
      <w:r>
        <w:rPr>
          <w:rFonts w:ascii="Arial;Helvetica;Sans-Serif" w:hAnsi="Arial;Helvetica;Sans-Serif"/>
          <w:b/>
          <w:i w:val="false"/>
          <w:caps w:val="false"/>
          <w:smallCaps w:val="false"/>
          <w:sz w:val="20"/>
        </w:rPr>
        <w:t>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and the documents incorporated by reference in this prospectus contain or incorporate by reference forward-looking statements that involve substantial risks and uncertainties. All statements, other than statements of historical facts, are forward-looking statements, including statements regarding our strategy, future operations, future financial position, projected costs, prospects, plans and objectives of management.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discussed under the heading “Risk Factors” contained or incorporated in this prospectus and in any related prospectus supplement or free writing prospectus we may authorize for use in connection with a specific offering. These factors and the other cautionary statements contained or incorporated in this prospectus and in the applicable prospectus supplement and any free writing prospectus we may authorize for use in connection with a specific offering should be read as being applicable to all related forward-looking statements whenever they appear in this prospectus. Given these uncertainties, you should not place undue reliance on any forward-looking statement. The following factors are among those that may cause such differences: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Inability to raise additional capital, under favorable terms or at all, to fund our operating needs and continue as a going concern;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number and scope of product development programs we pursue;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Clinical trial outcomes and results of preclinical development;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performance of third parties on which we rely to conduct nonclinical studies and clinical trials of our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Our failure, or a failure of a strategic collaborator, to successfully commercialize our product candidates, if approved, or our failure to otherwise monetize our portfolio programs and assets;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timing and amount of future royalty and milestone payments to us, if any, under our out-license agreements for commercialization of XACIATO™ (clindamycin phosphate) vaginal gel 2%, or XACIATO, and Ovaprene®;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Termination by a collaborator of our respective out-license agreements for commercialization of XACIATO and Ovaprene, or, in the case of Ovaprene, a decision by the collaborator not to make the license grant fully effective following its review of the results of the ongoing pivotal clinical trial of Ovaprene;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performance of third parties on which we rely to commercialize, or assist us in commercializing, XACIATO and any future product;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Difficulties with maintaining existing collaborations relating to the development and/or commercialization of our product candidates, or establishing new ones on a timely basis or on acceptable terms, or at all;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terms and conditions of any future strategic collaborations relating to our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The degree of market acceptance that XACIATO and any future product achieves;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Coverage and reimbursement levels for XACIATO and any future product by government health care programs, private health insurance companies and other third-party payors;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Our loss of, or inability to attract,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A change in the FDA’s prior determination that the Center for Devices and Radiological Health would lead the review of a premarket approval application for potential marketing approval of Ovaprene;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 change in regulatory requirements for our product candidates, including the development pathway pursuant to Section 505(b)(2) of the Federal Food, Drug, and Cosmetic Act, or the FDA’s 505(b)(2) pathway;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Unfavorable differences between preliminary, interim or topline clinical study data reported by us and final study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Failure to select product candidates that capitalize on the most scientifically, clinically or commercially promising or profitable indications or therapeutic areas within women’s health including due to our limited financial resources;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Loss or impairment of our in-licensed rights to develop and commercialize XACIATO and our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Our payment and other obligations under our in-license and acquisition agreements for XACIATO and our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Developments by our competitors that make XACIATO, or any potential product we develop, less competitive or obsolete;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Unfavorable or unanticipated macroeconomic factors, geopolitical events or conflicts, public health emergencies, or natural disasters;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Weak interest in women’s health relative to other healthcare sectors from the investment community or from pharmaceutical companies and other potential development and commercialization collaborators;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Cyber-attacks, security breaches or similar events compromising our technology systems and data, our financial resources and other assets, or the technology systems and data of third parties on which we rely;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Difficulty in introducing branded products in a market made up of generic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Inability to adequately protect or enforce our, or our licensor’s, intellectual property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Lack of patent protection for the active ingredients in XACIATO and certain of our product candidates that expose them to competition from other formulations using the same active ingredients;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Higher risk of failure associated with product candidates in preclinical stages of development that may lead investors to assign them little to no value and make these assets difficult to fund;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Dependence on grant funding to advance the development of several of our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Disputes or other developments concerning our intellectual property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Actual and anticipated fluctuations in our quarterly or annual operating results or results that differ from investors’ expectations for such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Price and volume fluctuations in the stock market, and in our stock in particular, which could cause investors to experience losses and subject us to securities class-action litigation;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Failure to maintain the listing of our common stock on the Nasdaq Capital Market or another nationally recognized exchange;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Product liability claims or governmental investigations;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Increased costs as a result of operating as a public company, and substantial time devoted by our management to compliance initiatives and corporate governance practices.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cautioned not to place undue reliance on forward-looking statements, which speak only as of the date of this prospectus or the date of the document incorporated by reference in this prospectus. We do not undertake any obligation to publicly update any forward-looking statement to reflect events or circumstances after the date on which any statement is made or to reflect the occurrence of unanticipated events, except as required by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1" w:name="p_001"/>
      <w:bookmarkEnd w:id="21"/>
      <w:r>
        <w:rPr>
          <w:rFonts w:ascii="Arial;Helvetica;Sans-Serif" w:hAnsi="Arial;Helvetica;San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have broad discretion over the use of net proceeds from the sale of securities offered hereby. Unless otherwise indicated in the applicable prospectus supplement and any free writing prospectus we may authorize for use in connection with a specific offering, we intend to use the net proceeds from the sale of securities under this prospectus for general corporate purposes, including working capital, operating expenses and capital expenditures. We may also use the net proceeds to repay any debts and/or acquire or invest in complementary businesses, products or technologies, although we have no current commitments or agreements with respect to any such acquisitions or investments as of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determined the amount of net proceeds to be used specifically for the foregoing purposes. As a result, you will be relying on the judgment of our management regarding the application of the proceeds of any sale of securities offered hereby. If a material part of the net proceeds is to be used to repay indebtedness, we will set forth the interest rate and maturity of such indebtedness in a prospectus supplement. Pending use of the net proceeds, we intend to invest the proceeds in interest-bearing, marketable securities.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2" w:name="p_002"/>
      <w:bookmarkEnd w:id="22"/>
      <w:r>
        <w:rPr>
          <w:rFonts w:ascii="Arial;Helvetica;Sans-Serif" w:hAnsi="Arial;Helvetica;San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fixed price or prices, which may be changed from time to time;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market prices prevailing at the time of sale;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prices related to the prevailing market prices;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purchase by an institution of the securities covered under that contract shall not at the time of delivery be prohibited under the laws of the jurisdiction to which that institution is subject;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securities we may offer, other than shares of our common stock, may be new issues of securities with no established trading market. Any agents or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 There is currently no market for any of the securities we may offer hereby, other than our common stock which is listed on the Nasdaq Capital Market. Underwriters may make a market in our common stock, but will not be obligated to do so and may discontinue any market making at any time without notice. We have no current plans for listing of the preferred stock, debt securities, warrants, rights or units on any securities exchange or quotation system; any such listing with respect to any particular preferred stock, debt securities, warrants, rights or units will be described in the applicable prospectus supplement or other offering materials,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Rule 15c6-1 of the Securities Exchange Act of 1934, as amended, or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3" w:name="p_003"/>
      <w:bookmarkEnd w:id="23"/>
      <w:r>
        <w:rPr>
          <w:rFonts w:ascii="Arial;Helvetica;Sans-Serif" w:hAnsi="Arial;Helvetica;San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authorized to issue 240,000,000 shares of common stock, par value $0.0001 per share. As of March 27, 2024, we had 100,581,900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summary of certain provisions of our common stock does not purport to be complete. You should refer to the section of this prospectus entitled “Certain Provisions of Delaware Law and of Our Certificate of Incorporation and Bylaws” and our Restated Certificate of Incorporation, as amended, referred to herein as our restated certificate of incorporation, and our Third Amended and Restated By-laws, as amended, referred to herein as our restated bylaws, both of which are included as exhibits to the registration statement of which this prospectus is a part. The summary below is also qualified by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of our common stock are entitled to one vote for each share held on all matters submitted to a vote of stockholders, except that unless otherwise required by law, holders of our common stock are not entitled to vote on any amendment to our restated certificate of incorporation that relates solely to the terms of one or more outstanding series of preferred stock, if the holders of such affected series are entitled, either separately or together as a class with the holders of one or more such other series, to vote thereon pursuant to our restated certificate of incorporation. Holders of our common stock do not have cumulative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election of directors will be decided by a plurality of the votes cast by the stockholders entitled to vote on the election at a duly held stockholders’ meeting at which a quorum is present. All other questions will be decided by a majority of the votes cast by stockholders entitled to vote thereon at a duly held meeting of stockholders at which a quorum is present, except when a different vote is required by law, our restated certificate of incorporation or restated bylaws.</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of our common stock are entitled to receive proportionately any dividends as may be declared by our board of directors out of legally available funds, subject to any preferential dividend or other rights of any series of preferred stock that we may designate and issue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Liquidation and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of our liquidation, dissolution or winding up, the holders of our common stock will be entitled to share ratably in the net assets legally available for distribution to stockholders after the payment of all of our debts and other liabilities and the satisfaction of any liquidation preference of any then outstanding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No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of our common stock have no preemptive, conversion, subscription or other rights, and there are no redemption or sinking fund provisions applicable to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Rights of Preferred Stock May be Senior to Rights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and liquidation preferences, any or all of which may be greater than the rights of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transfer agent and registrar for our common stock is Equiniti Trust Company, LLC, with offices at 6201 15th Avenue, Brooklyn, NY 11219.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under the symbol “DARE.”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4" w:name="p_004"/>
      <w:bookmarkEnd w:id="24"/>
      <w:r>
        <w:rPr>
          <w:rFonts w:ascii="Arial;Helvetica;Sans-Serif" w:hAnsi="Arial;Helvetica;Sans-Serif"/>
          <w:b/>
          <w:i w:val="false"/>
          <w:caps w:val="false"/>
          <w:smallCaps w:val="false"/>
          <w:sz w:val="20"/>
        </w:rPr>
        <w:t>DESCRIPTION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authorized to issue up to 5,000,000 shares of preferred stock, par value $0.01 per share. As of the date of this prospectus, no shares of our preferred stock were outstanding or designated. The following summary of certain provisions of our preferred stock does not purport to be complete. You should refer to our restated certificate of incorporation and restated bylaws, both of which are included as exhibits to the registration statement of which this prospectus is a part. The summary below is also qualified by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of directors may, from time to time, direct the issuance of shares of preferred stock in one or more series and may, at the time of issuance, determine the rights, preferences and limitations of each series, including voting rights, dividend rights, conversion rights, redemption privileges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unless and only to the extent stockholder approval is required by the listing standards of any securities exchange on which our securities are listed, we may issue shares of preferred stock with voting and conversion rights which could adversely affect the holders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offer a specific series of preferred stock under this prospectus, we will describe the terms of that series of preferred stock in the prospectus supplement for such offering and will file a copy of the amended and restated certificate of incorporation or the certificate of designations establishing the terms of the preferred stock with the SEC. To the extent required, this description will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title and stated value;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shares offered, the liquidation preference, if any, per share and the purchase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dividend rate(s), period(s) and/or payment date(s), or method(s) of calculation for such dividends;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dividends will be cumulative or non-cumulative and, if cumulative, the date from which dividends will accumulate;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procedures for any auction and remarketing,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provisions for a sinking fund,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provisions for redemption, if applicable;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listing of the preferred stock on any securities exchange or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preferred stock will be convertible into our common stock, and, if applicable, the conversion price (or how it will be calculated) and conversion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preferred stock will be exchangeable into debt securities, and, if applicable, the exchange price (or how it will be calculated) and exchange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voting rights, if any, of the preferred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discussion of any material and/or special U.S. federal income tax considerations applicable to the preferred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relative ranking and preferences of the preferred stock as to dividend rights and rights upon liquidation, dissolution or winding up of the affairs of our company;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material limitations on issuance of any class or series of preferred stock ranking pari passu with or senior to the series of preferred stock as to dividend rights and rights upon liquidation, dissolution or winding up of our company.</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transfer agent and registrar for our preferred stock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5" w:name="p_005"/>
      <w:bookmarkEnd w:id="25"/>
      <w:r>
        <w:rPr>
          <w:rFonts w:ascii="Arial;Helvetica;Sans-Serif" w:hAnsi="Arial;Helvetica;San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title or designation;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aggregate principal amount and any limit on the amount that may be issued;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currency or units based on or relating to currencies in which debt securities of such series are denominated and the currency or units in which principal or interest or both will or may be payable;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will issue the series of debt securities in global form, the terms of any global securities and who the depositary will be;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maturity date and the date or dates on which principal will be payable;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the debt securities will be secured or unsecured, and the terms of any secured debt;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terms of the subordination of any series of subordinated debt;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place or places where payments will be payable;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right, if any, to defer payment of interest and the maximum length of any such deferral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date, if any, after which, and the price at which, we may, at our option, redeem the series of debt securities pursuant to any optional redemption provisions;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date, if any, on which, and the price at which we are obligated, pursuant to any mandatory sinking fund provisions or otherwise, to redeem, or at the holder’s option to purchase, the series of debt securities;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indenture will restrict our ability to pay dividends, or will require us to maintain any asset ratios or reserves;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will be restricted from incurring any additional indebtedness;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discussion of any material or special U.S. federal income tax considerations applicable to a series of debt securities;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denominations in which we will issue the series of debt securities, if other than denominations of $1,000 and any integral multiple thereof;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specific terms, preferences, rights or limitations of, or restrictions on, the debt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Consolidation, Merger or Sale; No Protection in Event of a Change of Control or Highly Leveraged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Events of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pay interest when due and our failure continues for 90 days and the time for payment has not been extended or deferred;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pay the principal, or premium, if any, when due and the time for payment has not been extended or delayed;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specified events of bankruptcy, insolvency or reorganization occur as to us.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direction so given by the holder is not in conflict with any law or the applicable indenture;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holder previously has given written notice to the debenture trustee of a continuing event of default with respect to that series;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Modification of Indenture;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fix any ambiguity, defect or inconsistency in the indenture;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change anything that does not materially adversely affect the interests of any holder of debt securities of any series issued pursuant to such indenture.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extending the fixed maturity of the series of debt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reducing the principal amount, reducing the rate of or extending the time of payment of interest, or any premium payable upon the redemption of any debt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reducing the principal amount of discount securities payable upon acceleration of maturity;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the principal of or premium or interest on any debt security payable in currency other than that stated in the debt security;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reducing the percentage of debt securities, the holders of which are required to consent to any amendment or waiver.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transfer or exchange of debt securities of the series;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replace stolen, lost or mutilated debt securities of the series;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paying agencies;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 monies for payment in trust;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compensate and indemnify the trustee;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appoint any successor trustee.</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Information Concerning the Debenture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Subordination of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6" w:name="p_006"/>
      <w:bookmarkEnd w:id="26"/>
      <w:r>
        <w:rPr>
          <w:rFonts w:ascii="Arial;Helvetica;Sans-Serif" w:hAnsi="Arial;Helvetica;Sans-Serif"/>
          <w:b/>
          <w:i w:val="false"/>
          <w:caps w:val="false"/>
          <w:smallCaps w:val="false"/>
          <w:sz w:val="20"/>
        </w:rPr>
        <w:t>DESCRIPTION OF WARRANTS</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specific designation and aggregate number of, and the price at which we will issue, the warrants;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currency or currency units in which the offering price, if any, and the exercise price are payable;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designation, amount and terms of the securities purchasable upon exercise of the warrants;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exercise price for shares of our common stock and the number of shares of common stock to be received upon exercise of the warrants;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exercise price for shares of our preferred stock, the number of shares of preferred stock to be received upon exercise, and a description of that series of our preferred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exercise price for our debt securities, the amount of debt securities to be received upon exercise, and a description of that series of debt securities;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applicable material U.S. federal income tax consequences;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identity of the warrant agent for the warrants and of any other depositories, execution or paying agents, transfer agents, registrars or other agents;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listing, if any, of the warrants or any securities purchasable upon exercise of the warrants on any securities exchange;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date from and after which the warrants and the common stock, preferred stock and/or debt securities will be separately transferable;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minimum or maximum amount of the warrants that may be exercised at any one time;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information with respect to book-entry procedures,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anti-dilution provisions of the warrants,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redemption or call provisions;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warrants may be sold separately or with other securities as parts of units;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additional terms of the warrants, including terms, procedures and limitations relating to the exchange and exercise of the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transfer agent and registrar for any warrants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December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royalty investment financing agreement we entered into in December 2023, we issued a warrant to purchase up to an aggregate of 5,000,000 shares of our common stock. The warrant has a term of five years from the date of issuance and an exercise price of $0.3467 per share, subject to customary adjustment for stock splits and similar transactions. A holder (together with its affiliates) may not exercise any portion of the warrant to the extent that the holder would own more than 4.99% (or, at the election of the holder 9.99%) of our outstanding common stock immediately after exercise. The warrant includes certain rights in favor of the holder upon a “fundamental transaction” as described in the warrant, including the right of the holder to receive from us or the successor entity an amount of cash equal to the Black-Scholes value (as described in the warrants) of the unexercised portion of the warrant on the date of the consummation of such fundamental transaction.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 was allocated a value of $0.8 million using a Black-Scholes option pricing model based on the relative fair value method as they were issued with common stock. The Black-Scholes model used the following assumptions: expected volatility: 85.91%; risk-free interest rate: 4.05%; expected dividend yield: 0%; and expected term: 5 years. The warrant was deemed to be classified as equity and recorded within additional paid in capital on the condensed consolidated balance sheets. As of December 31, 2023, no portion of the warrant has been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September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registered direct offering completed in September 2023, we issued warrants to purchase up to an aggregate of 10,000,000 shares of our common stock. The warrants became exercisable on March 1, 2024, expire March 1, 2029 and have an exercise price of $0.77 per share, subject to customary adjustment for stock splits and similar transactions. A holder (together with its affiliates) may not exercise any portion of a warrant to the extent that the holder would own more than 4.99% (or, at the election of the holder 9.99%) of our outstanding common stock immediately after exercise. The warrants include certain rights in favor of the holders upon a “fundamental transaction” as described in the warrants, including the right of the holders to receive from us or the successor entity an amount of cash equal to the Black-Scholes value (as described in the warrants) of the unexercised portion of the warrants on the date of the consummation of such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warrants were allocated a value of $2.9 million using a Black-Scholes option pricing model based on the relative fair value method as they were issued with common stock. The Black-Scholes model used the following assumptions: expected volatility: 87.77%; risk-free interest rate: 4.29%; expected dividend yield: 0%; and expected term: 5.5 years. The warrants were deemed to be classified as equity and recorded within additional paid in capital on the condensed consolidated balance sheets. As of December 31, 2023, none of the warrants have been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Aquilo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October 4, 2016, we issued Aquilo Partners, L.P. a warrant to purchase 6,500 shares of common stock at an exercise price of $10.00 per share over a 10 year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7" w:name="p_007"/>
      <w:bookmarkEnd w:id="27"/>
      <w:r>
        <w:rPr>
          <w:rFonts w:ascii="Arial;Helvetica;Sans-Serif" w:hAnsi="Arial;Helvetica;Sans-Serif"/>
          <w:b/>
          <w:i w:val="false"/>
          <w:caps w:val="false"/>
          <w:smallCaps w:val="false"/>
          <w:sz w:val="20"/>
        </w:rPr>
        <w:t>DESCRIPTION OF RIGHTS</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date of determining the stockholders entitled to the rights distribution;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aggregate number of shares of common stock, preferred stock or other securities purchasable upon exercise of the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aggregate number of rights issued;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rights are transferrable and the date, if any, on and after which the rights may be separately transferred;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date on which the right to exercise the rights will commence, and the date on which the right to exercise the rights will expire;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method by which holders of rights will be entitled to exercise;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conditions to the completion of the offering,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withdrawal, termination and cancellation rights,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there are any backstop or standby purchaser or purchasers and the terms of their commitment,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stockholders are entitled to oversubscription rights, if 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applicable material U.S. federal income tax considerations;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terms of the rights, including terms, procedures and limitations relating to the distribution, exchange and exercise of the rights, as applicable.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rights agent for any rights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8" w:name="p_008"/>
      <w:bookmarkEnd w:id="28"/>
      <w:r>
        <w:rPr>
          <w:rFonts w:ascii="Arial;Helvetica;Sans-Serif" w:hAnsi="Arial;Helvetica;Sans-Serif"/>
          <w:b/>
          <w:i w:val="false"/>
          <w:caps w:val="false"/>
          <w:smallCaps w:val="false"/>
          <w:sz w:val="20"/>
        </w:rPr>
        <w:t>DESCRIPTION OF PURCHASE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applicable prospectus supplement will describe the terms of any purchase contracts in respect of which this prospectus is being delivered, including, to the extent applicable,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purchase contracts are to be prepaid;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purchase contracts are to be settled by delivery, or by reference or linkage to the value, performance or level of the securities subject to purchase under the purchase contract;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acceleration, cancellation, termination or other provisions relating to the settlement of the purchase contracts;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applicable material U.S. federal income tax considerations;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purchase contracts will be issued in fully registered or global form.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encourage you to read the applicable purchase contract for additional information before you decide whether to purchase any of our purchase contracts.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29" w:name="p_009"/>
      <w:bookmarkEnd w:id="29"/>
      <w:r>
        <w:rPr>
          <w:rFonts w:ascii="Arial;Helvetica;Sans-Serif" w:hAnsi="Arial;Helvetica;San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provisions of the governing unit agreement that differ from those described below;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 and address of the unit agent for any units we offer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Issuance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units in such amounts and in such numerous distinct series as we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0" w:name="p_010"/>
      <w:bookmarkEnd w:id="30"/>
      <w:r>
        <w:rPr>
          <w:rFonts w:ascii="Arial;Helvetica;Sans-Serif" w:hAnsi="Arial;Helvetica;Sans-Serif"/>
          <w:b/>
          <w:i w:val="false"/>
          <w:caps w:val="false"/>
          <w:smallCaps w:val="false"/>
          <w:sz w:val="20"/>
        </w:rPr>
        <w:t>FORMS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debt security, warrant, purchase contract and unit will be represented either by a certificate issued in definitive form to a particular investor or by one or more global securities representing the entire issuance of securities.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purchase contracts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issue our debt securities, warrants, purchase contracts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purchase contract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warrant agreement, purchase contract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that a holder is entitled to give or take under the applicable indenture, warrant agreement, purchase contract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premium, if any, and interest payments on debt securities, and any payments to holders with respect to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1" w:name="p_011"/>
      <w:bookmarkEnd w:id="31"/>
      <w:r>
        <w:rPr>
          <w:rFonts w:ascii="Arial;Helvetica;Sans-Serif" w:hAnsi="Arial;Helvetica;Sans-Serif"/>
          <w:b/>
          <w:i w:val="false"/>
          <w:caps w:val="false"/>
          <w:smallCaps w:val="false"/>
          <w:sz w:val="20"/>
        </w:rPr>
        <w:t>CERTAIN PROVISIONS OF DELAWARE LAW AND OF 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Anti-Takeover Effect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provisions in our restated certificate of incorporation and our restated bylaws and applicable provisions under the Delaware General Corporation Law, or the DGCL, may have an anti-takeover effect,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Classified Board</w:t>
      </w:r>
      <w:r>
        <w:rPr>
          <w:rFonts w:ascii="Arial;Helvetica;Sans-Serif" w:hAnsi="Arial;Helvetica;Sans-Serif"/>
          <w:b w:val="false"/>
          <w:i w:val="false"/>
          <w:caps w:val="false"/>
          <w:smallCaps w:val="false"/>
          <w:sz w:val="20"/>
        </w:rPr>
        <w:t>. We have a classified board of directors with three-year staggered terms, which may delay the ability of stockholders to change the composition of a majority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Number of Directors</w:t>
      </w:r>
      <w:r>
        <w:rPr>
          <w:rFonts w:ascii="Arial;Helvetica;Sans-Serif" w:hAnsi="Arial;Helvetica;Sans-Serif"/>
          <w:b w:val="false"/>
          <w:i w:val="false"/>
          <w:caps w:val="false"/>
          <w:smallCaps w:val="false"/>
          <w:sz w:val="20"/>
        </w:rPr>
        <w:t>. The number of directors on our board of directors is established by our board of directors, which may delay the ability of stockholders to change the composition of a majority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No Cumulative Voting</w:t>
      </w:r>
      <w:r>
        <w:rPr>
          <w:rFonts w:ascii="Arial;Helvetica;Sans-Serif" w:hAnsi="Arial;Helvetica;Sans-Serif"/>
          <w:b w:val="false"/>
          <w:i w:val="false"/>
          <w:caps w:val="false"/>
          <w:smallCaps w:val="false"/>
          <w:sz w:val="20"/>
        </w:rPr>
        <w:t>. Our stockholders cannot cumulate their votes in the election of directors, which limits the ability of minority stockholders to elect director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Filling of Vacancies</w:t>
      </w:r>
      <w:r>
        <w:rPr>
          <w:rFonts w:ascii="Arial;Helvetica;Sans-Serif" w:hAnsi="Arial;Helvetica;Sans-Serif"/>
          <w:b w:val="false"/>
          <w:i w:val="false"/>
          <w:caps w:val="false"/>
          <w:smallCaps w:val="false"/>
          <w:sz w:val="20"/>
        </w:rPr>
        <w:t>. Our board of directors have the exclusive right to elect a director to fill any vacancy or newly created directorship.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Removing Directors</w:t>
      </w:r>
      <w:r>
        <w:rPr>
          <w:rFonts w:ascii="Arial;Helvetica;Sans-Serif" w:hAnsi="Arial;Helvetica;Sans-Serif"/>
          <w:b w:val="false"/>
          <w:i w:val="false"/>
          <w:caps w:val="false"/>
          <w:smallCaps w:val="false"/>
          <w:sz w:val="20"/>
        </w:rPr>
        <w:t>. A director may be removed only for cause and only by the affirmative vote of at least 75% of the votes which all the stockholders would be entitled to cast in any annual election of directors or class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Prohibition on Written Consent</w:t>
      </w:r>
      <w:r>
        <w:rPr>
          <w:rFonts w:ascii="Arial;Helvetica;Sans-Serif" w:hAnsi="Arial;Helvetica;Sans-Serif"/>
          <w:b w:val="false"/>
          <w:i w:val="false"/>
          <w:caps w:val="false"/>
          <w:smallCaps w:val="false"/>
          <w:sz w:val="20"/>
        </w:rPr>
        <w:t>. Our stockholders are prohibited from acting by written consent, which forces stockholder action to be taken at an annual or special meeting of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Calling Special Meetings</w:t>
      </w:r>
      <w:r>
        <w:rPr>
          <w:rFonts w:ascii="Arial;Helvetica;Sans-Serif" w:hAnsi="Arial;Helvetica;Sans-Serif"/>
          <w:b w:val="false"/>
          <w:i w:val="false"/>
          <w:caps w:val="false"/>
          <w:smallCaps w:val="false"/>
          <w:sz w:val="20"/>
        </w:rPr>
        <w:t>. Special meetings of our stockholders may be called only by our board of directors, the chairman of our board of directors or our chief executive officer, which may delay the ability of our stockholders to force consideration of a proposal or to take action, including the 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Advance Notice Procedures</w:t>
      </w:r>
      <w:r>
        <w:rPr>
          <w:rFonts w:ascii="Arial;Helvetica;Sans-Serif" w:hAnsi="Arial;Helvetica;Sans-Serif"/>
          <w:b w:val="false"/>
          <w:i w:val="false"/>
          <w:caps w:val="false"/>
          <w:smallCaps w:val="false"/>
          <w:sz w:val="20"/>
        </w:rPr>
        <w:t>. Stockholders must comply with the advance notice procedures in our restated bylaws to nominate candidates to our board of directors and to propose matters to be acted upon at a stockholders’ meeting, which may discourage or deter a potential acquirer from soliciting proxies to elect the acquirer’s own slate of directors or otherwise attempting to obtain control of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Supermajority Provisions.</w:t>
      </w:r>
      <w:r>
        <w:rPr>
          <w:rFonts w:ascii="Arial;Helvetica;Sans-Serif" w:hAnsi="Arial;Helvetica;Sans-Serif"/>
          <w:b w:val="false"/>
          <w:i w:val="false"/>
          <w:caps w:val="false"/>
          <w:smallCaps w:val="false"/>
          <w:sz w:val="20"/>
        </w:rPr>
        <w:t xml:space="preserve"> The affirmative vote of the holders of at least 75% of the votes which all the stockholders would be entitled to cast in any annual election of directors or class of directors is required to amend or repeal, or to adopt any provision inconsistent with, the provisions in our restated certificate of incorporation that relate to, among other matters, the classification of our board of directors, the number of our directors, the removal of our directors, the filling of vacancies on our board of directors, the prohibition on our stockholders to act by written consent, and the calling of special meetings of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Bylaw Amendments</w:t>
      </w:r>
      <w:r>
        <w:rPr>
          <w:rFonts w:ascii="Arial;Helvetica;Sans-Serif" w:hAnsi="Arial;Helvetica;Sans-Serif"/>
          <w:b w:val="false"/>
          <w:i w:val="false"/>
          <w:caps w:val="false"/>
          <w:smallCaps w:val="false"/>
          <w:sz w:val="20"/>
        </w:rPr>
        <w:t>. Our board of directors, by majority vote, may amend, alter or repeal our restated bylaws and may adopt new bylaws. Our stockholders may not adopt, amend, alter or repeal our restated bylaws or adopt any provision inconsistent therewith, unless such action is approved, in addition to any vote required by our restated certificate of incorporation, by the affirmative vote of holders of at least 75% of the votes that all the stockholders would be entitled to cast in any annual election of directors or class of directors, and the affirmative vote of holders of at least 75% of the votes that all the stockholders would be entitled to cast in any annual election of directors or class of directors is required to amend or repeal, or to adopt any provision inconsistent with, the foregoing. These provisions may inhibit the ability of an acquirer from amending our restated certificate of incorporation or our restated bylaws to facilitate a hostile acquisition and may allow our board of directors to take additional actions to prevent a hostile acquisition.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Preferred Stock</w:t>
      </w:r>
      <w:r>
        <w:rPr>
          <w:rFonts w:ascii="Arial;Helvetica;Sans-Serif" w:hAnsi="Arial;Helvetica;Sans-Serif"/>
          <w:b w:val="false"/>
          <w:i w:val="false"/>
          <w:caps w:val="false"/>
          <w:smallCaps w:val="false"/>
          <w:sz w:val="20"/>
        </w:rPr>
        <w:t>. Our board of directors can determine to issue shares of preferred stock and to determine the price and other terms of those shares, including preferences and voting rights, without stockholder approval, which could significantly dilute the ownership of a hostile acquirer.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Additional Authorized Shares of Capital Stock</w:t>
      </w:r>
      <w:r>
        <w:rPr>
          <w:rFonts w:ascii="Arial;Helvetica;Sans-Serif" w:hAnsi="Arial;Helvetica;Sans-Serif"/>
          <w:b w:val="false"/>
          <w:i w:val="false"/>
          <w:caps w:val="false"/>
          <w:smallCaps w:val="false"/>
          <w:sz w:val="20"/>
        </w:rPr>
        <w:t>. The shares of authorized common stock and preferred stock available for issuance under our restated certificate of incorporation could be issued at such times, under such circumstances, and with such terms as to impede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DGCL Section 203</w:t>
      </w:r>
      <w:r>
        <w:rPr>
          <w:rFonts w:ascii="Arial;Helvetica;Sans-Serif" w:hAnsi="Arial;Helvetica;Sans-Serif"/>
          <w:b w:val="false"/>
          <w:i w:val="false"/>
          <w:caps w:val="false"/>
          <w:smallCaps w:val="false"/>
          <w:sz w:val="20"/>
        </w:rPr>
        <w:t>. We are subject to Section 203 of the DGCL, which, subject to certain exceptions, prohibits a Delaware corporation from engaging in any “business combination” with any “interested stockholder” for three years following the date that such stockholder became an interested stockholder, unless: (i) before such date, the board of directors of the corporation approved either the business combination or the transaction that resulted in the stockholder becoming an interested stockholder; (ii)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(a) by persons who are directors and also officers and (b) by employee stock plans in which employee participants do not have the right to determine confidentially whether shares held subject to the plan will be tendered in a tender or exchange offer; or (iii) on or after such date, the business combination is approved by the board of directors and authorized at an annual or special meeting of stockholders, and not by written consent, by the affirmative vote of at least 66 2⁄3% of the outstanding voting stock not owned by the interested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 “business combination” generally includes mergers or consolidations resulting in a financial benefit to the interested stockholder. The term “interested stockholder” generally means any person, other than the corporation and any direct or indirect majority-owned subsidiary of the corporation, who, together with affiliates and associates, owns (or owned within three years prior to the determination of interested stockholder status) 15% or more of the outstanding voting stock of the corporation. The provisions of Section 203 of the DGCL may deter a hostile takeover or delay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Choice of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restated bylaws provide that, among other things, unless we consent in writing to the selection of an alternative forum, the courts located within the State of Delaware will serve as the sole and exclusive forum for the adjudication of (i) any derivative action or proceeding brought on behalf of us; (ii) any action or proceeding asserting a claim of breach of a fiduciary duty owed by any current or former director, officer or other employee of ours, to us or our stockholders; (iii) any action or proceeding asserting a claim against us or any current or former director, officer or other employee of ours, arising out of or pursuant to any provision of the DGCL, our restated certificate of incorporation or our restated bylaws (as each may be amended from time to time); (iv) any action or proceeding to interpret, apply, enforce or determine the validity of our restated certificate of incorporation or our restated bylaws (including any right, obligation, or remedy thereunder); (v) any action or proceeding as to which the DGCL confers jurisdiction to the Court of Chancery of the State of Delaware; and (vi) any action asserting a claim against us or any director, officer or other employee of ours, governed by the internal affairs doctrine, in all cases to the fullest extent permitted by law and subject to the court’s having personal jurisdiction over the indispensable parties named as defendants. This choice of forum provision will not apply to suits brought to enforce a duty or liability created by the Securities Act, the Exchange Act, or any other claim for which the federal courts have exclusive jurisdiction. In addition, our restated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Our restated bylaws also provides that any person or entity purchasing or otherwise acquiring or holding any interest in any of our securities will be deemed to have notice of and consented to this choice of forum provision.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believe these choice of forum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provisions may have the effect of discouraging lawsuits against us and/or our directors, officers and employees as they may limit a stockholder’s ability to bring a claim in a judicial forum that the stockholder finds favorable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Limitation of Liability and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Section 102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payments of unlawful dividends or unlawful stock purchases or redemptions, (iv) for any transaction from which the director or officer derived an improper personal benefit, or (v) of officers in any action by or in the right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restated certificate of incorporation provides that no director of our corporation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restated certificate of incorporation provides that we will indemnify each individual who was or is a party or threatened to be made a party to any threatened, pending or completed action, suit or proceeding, whether civil, criminal, administrative or investigative (other than an action by or in the right of us), by reason of the fact that such individual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individuals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the Indemnitee reasonably believed to be in, or not opposed to, our best interests, and, with respect to any criminal action or proceeding, such Indemnitee had no reasonable cause to believe the Indemnitee’s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restated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or,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by Indemnitee in connection with such action, suit or proceeding and any appeal therefrom, if the Indemnitee acted in good faith and in a manner which the Indemnitee reasonably believed to be in, or not opposed to, our best interests, except that no indemnification shall be made in respect of any claim, issue or matter as to which the Indemnitee shall have been adjudged to be liable to us, unless, and only to the extent, that the Court of Chancery of Delaware or the court in which such action or suit was brought shall determine upon application that, despite the adjudication of such liability but in view of all the circumstances of the case, the Indemnitee is fairly and reasonably entitled to indemnity for such expenses (including attorneys’ fees) which the Court of Chancery of Delaware or such other court shall deem proper. Notwithstanding the foregoing, to the extent that any Indemnitee has been successful, on the merits or otherwise, such Indemnitee will be indemnified by us against all expenses (including attorneys’ fees) actually and reasonably incurred by or on behalf of the Indemnitee in connection therewith. Without limiting the foregoing, if any action, suit or proceeding is disposed of, on the merits or otherwise (including a disposition without prejudice), without (i) the disposition being adverse to the Indemnitee, (ii) an adjudication that the Indemnitee was liable to us, (iii) a plea of guilty or nolo contendere by the Indemnitee, (iv) an adjudication that the Indemnitee did not act in good faith and in a manner the Indemnitee reasonably believed to be in or not opposed to our best interests, and (v) with respect to any criminal proceeding, an adjudication that Indemnitee had reasonable cause to believe his or her conduct was unlawful, the Indemnitee shall be considered for the purposes hereof to have been wholly successful with respect thereto. If we do not assume the defense, expenses must be advanced to an Indemnitee under certain circumstances.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such individual was or is a party or is threatened to be made a party to any threatened, ending or completed action, suit or proceeding by reason of such position, if such individual acted in good faith and in a manner the individual reasonably believed to be in or not opposed to the best interests of the corporation, and, in any criminal action or proceeding, had no reasonable cause to believe such individual’s conduct was unlawful, except that, in the case of actions brought by or in the right of the corporation, no indemnification shall be made with respect to any claim, issue or matter as to which such individual shall have been adjudged to be liable to the corporation unless and only to the extent that the Court of Chancery or other adjudicating court determines that, despite the adjudication of liability but in view of all of the circumstances of the case, such individual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entered into indemnification agreements with our directors and certain officers, in addition to the indemnification provided in our restated certificate of incorporation, and intend to enter into indemnification agreements with any new directors and executive officers in the future. In general, these agreements provide that we will indemnify the director or officer to the fullest extent permitted by law for claims arising in such individual’s capacity as a director or officer of our company or in connection with their service at our request for another corporation or entity. The indemnification agreements also provide for procedures that will apply in the event that the director or officer makes a claim for indemnification and establish certain presumptions that are favorable to the director or officer,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purchased and intend to maintain insurance on behalf of any individual who is or was a director or officer against any loss arising from any claim asserted against such individual and incurred by the individual in any such capacity, subject to certain exclusions.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discussion of our restated certificate of incorporation, restated bylaws, indemnification agreements and Delaware law is not intended to be exhaustive and is qualified in its entirety by such documents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Dissenter’s Rights of Appraisal and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DGCL, with certain exceptions, our stockholders have appraisal rights in connection with a merger or consolidation of our company. Under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2" w:name="p_012"/>
      <w:bookmarkEnd w:id="32"/>
      <w:r>
        <w:rPr>
          <w:rFonts w:ascii="Arial;Helvetica;Sans-Serif" w:hAnsi="Arial;Helvetica;San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Mintz, Levin, Cohn, Ferris, Glovsky and Popeo, P.C., San Diego, California, will pass upon certain legal matters in connection with the offering and validity of the securities offered by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3" w:name="p_014"/>
      <w:bookmarkEnd w:id="33"/>
      <w:r>
        <w:rPr>
          <w:rFonts w:ascii="Arial;Helvetica;Sans-Serif" w:hAnsi="Arial;Helvetica;San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Haskell &amp; White LLP, an independent registered public accounting firm, has audited our consolidated financial statements included in our Annual Report on Form 10-K for the year ended December 31, 2023, as set forth in its report, which is incorporated by reference in this prospectus and the registration statement. Our financial statements are incorporated by reference in reliance on Haskell &amp; White LLP’s report, given on the authority of said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Mayer Hoffman McCann P.C., an independent registered public accounting firm, has audited our consolidated financial statements included in our Annual Report on Form 10-K for the year ended December 31, 2022, as set forth in its report (which report includes an explanatory paragraph regarding the existence of substantial doubt about our ability to continue as a going concern), which is incorporated by reference in this prospectus and the registration statement. Our financial statements are incorporated by reference in reliance on Mayer Hoffman McCann P.C.’s report, given on the authority of said firm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4" w:name="p_015"/>
      <w:bookmarkEnd w:id="34"/>
      <w:r>
        <w:rPr>
          <w:rFonts w:ascii="Arial;Helvetica;Sans-Serif" w:hAnsi="Arial;Helvetica;San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subject to the reporting requirements of the Exchange Act and file annual, quarterly and current reports, proxy statements and other information with the SEC. The SEC maintains an internet site that contains reports, proxy and information statements and other information regarding issuers, such as our company, that file documents electronically with the SEC. Our SEC filings are available to the public at the SEC’s website address at </w:t>
      </w:r>
      <w:r>
        <w:rPr>
          <w:rFonts w:ascii="Arial;Helvetica;Sans-Serif" w:hAnsi="Arial;Helvetica;Sans-Serif"/>
          <w:b w:val="false"/>
          <w:i/>
          <w:caps w:val="false"/>
          <w:smallCaps w:val="false"/>
          <w:sz w:val="20"/>
        </w:rPr>
        <w:t>http://www.sec.gov</w:t>
      </w:r>
      <w:r>
        <w:rPr>
          <w:rFonts w:ascii="Arial;Helvetica;Sans-Serif" w:hAnsi="Arial;Helvetica;Sans-Serif"/>
          <w:b w:val="false"/>
          <w:i w:val="false"/>
          <w:caps w:val="false"/>
          <w:smallCaps w:val="false"/>
          <w:sz w:val="20"/>
        </w:rPr>
        <w:t>. The information on the SEC’s website is not part of this prospectus, and any references to the SEC’s website or any other website are inactive textual references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also maintain a website at </w:t>
      </w:r>
      <w:r>
        <w:rPr>
          <w:rFonts w:ascii="Arial;Helvetica;Sans-Serif" w:hAnsi="Arial;Helvetica;Sans-Serif"/>
          <w:b w:val="false"/>
          <w:i/>
          <w:caps w:val="false"/>
          <w:smallCaps w:val="false"/>
          <w:sz w:val="20"/>
        </w:rPr>
        <w:t>www.darebioscience.com</w:t>
      </w:r>
      <w:r>
        <w:rPr>
          <w:rFonts w:ascii="Arial;Helvetica;Sans-Serif" w:hAnsi="Arial;Helvetica;Sans-Serif"/>
          <w:b w:val="false"/>
          <w:i w:val="false"/>
          <w:caps w:val="false"/>
          <w:smallCaps w:val="false"/>
          <w:sz w:val="20"/>
        </w:rPr>
        <w:t>, through which you can access our SEC filings. The information set forth on our website is not part of this prospectus. We have included our website address in this prospectus solely as an inactive textual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prospectus is only part of a registration statement on Form S-3 that we filed with the SEC. This prospectus omits some information contained in the registration statement in accordance with the SEC rules and regulations. You should review the information in and schedules and/or exhibits to the registration statement for further information about us and the securities being offered pursuant to this prospectus. Statements in this prospectus concerning any document we filed as an exhibit or schedule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5" w:name="p_016"/>
      <w:bookmarkEnd w:id="35"/>
      <w:r>
        <w:rPr>
          <w:rFonts w:ascii="Arial;Helvetica;Sans-Serif" w:hAnsi="Arial;Helvetica;Sans-Serif"/>
          <w:b/>
          <w:i w:val="false"/>
          <w:caps w:val="false"/>
          <w:smallCaps w:val="false"/>
          <w:sz w:val="20"/>
        </w:rPr>
        <w:t>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allows us to “incorporate by reference” into this prospectus the information that we file with the SEC, which means that we can disclose important information to you by referring you to those publicly available documents. The information that we incorporate by reference is an important part of this prospectus. This prospectus incorporates by reference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Annual Report on </w:t>
            </w:r>
            <w:hyperlink r:id="rId19">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b w:val="false"/>
                <w:i w:val="false"/>
                <w:caps w:val="false"/>
                <w:smallCaps w:val="false"/>
                <w:sz w:val="20"/>
              </w:rPr>
              <w:t xml:space="preserve"> for the fiscal year ended December 31, 2023, filed with the SEC on March 28, 2024 (the “Annual Report”), including all material incorporated by reference therein;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our Current Reports on Form 8-K and on Form 8-K/A filed with the SEC on </w:t>
            </w:r>
            <w:hyperlink r:id="rId20">
              <w:r>
                <w:rPr>
                  <w:rStyle w:val="InternetLink"/>
                  <w:rFonts w:ascii="Arial;Helvetica;Sans-Serif" w:hAnsi="Arial;Helvetica;Sans-Serif"/>
                  <w:b w:val="false"/>
                  <w:i w:val="false"/>
                  <w:caps w:val="false"/>
                  <w:smallCaps w:val="false"/>
                  <w:sz w:val="20"/>
                </w:rPr>
                <w:t>January 19, 2024</w:t>
              </w:r>
            </w:hyperlink>
            <w:r>
              <w:rPr>
                <w:rFonts w:ascii="Arial;Helvetica;Sans-Serif" w:hAnsi="Arial;Helvetica;Sans-Serif"/>
                <w:b w:val="false"/>
                <w:i w:val="false"/>
                <w:caps w:val="false"/>
                <w:smallCaps w:val="false"/>
                <w:sz w:val="20"/>
              </w:rPr>
              <w:t xml:space="preserve"> and </w:t>
            </w:r>
            <w:hyperlink r:id="rId21">
              <w:r>
                <w:rPr>
                  <w:rStyle w:val="InternetLink"/>
                  <w:rFonts w:ascii="Arial;Helvetica;Sans-Serif" w:hAnsi="Arial;Helvetica;Sans-Serif"/>
                  <w:b w:val="false"/>
                  <w:i w:val="false"/>
                  <w:caps w:val="false"/>
                  <w:smallCaps w:val="false"/>
                  <w:sz w:val="20"/>
                </w:rPr>
                <w:t>January 26, 2024</w:t>
              </w:r>
            </w:hyperlink>
            <w:r>
              <w:rPr>
                <w:rFonts w:ascii="Arial;Helvetica;Sans-Serif" w:hAnsi="Arial;Helvetica;Sans-Serif"/>
                <w:b w:val="false"/>
                <w:i w:val="false"/>
                <w:caps w:val="false"/>
                <w:smallCaps w:val="false"/>
                <w:sz w:val="20"/>
              </w:rPr>
              <w:t xml:space="preserve"> (except for any information furnished under Items 2.02 or 7.01 of Form 8-K and all exhibits related to such items); and</w:t>
            </w:r>
          </w:p>
        </w:tc>
      </w:tr>
    </w:tbl>
    <w:p>
      <w:pPr>
        <w:pStyle w:val="TextBody"/>
        <w:bidi w:val="0"/>
        <w:spacing w:before="0" w:after="0"/>
        <w:ind w:left="360" w:right="0" w:hanging="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Arial;Helvetica;Sans-Serif" w:hAnsi="Arial;Helvetica;Sans-Serif"/>
                <w:b w:val="false"/>
                <w:i w:val="false"/>
                <w:caps w:val="false"/>
                <w:smallCaps w:val="false"/>
                <w:sz w:val="20"/>
              </w:rPr>
              <w:t xml:space="preserve">the description of our common stock contained in our Registration Statement on </w:t>
            </w:r>
            <w:hyperlink r:id="rId22">
              <w:r>
                <w:rPr>
                  <w:rStyle w:val="InternetLink"/>
                  <w:rFonts w:ascii="Arial;Helvetica;Sans-Serif" w:hAnsi="Arial;Helvetica;Sans-Serif"/>
                  <w:b w:val="false"/>
                  <w:i w:val="false"/>
                  <w:caps w:val="false"/>
                  <w:smallCaps w:val="false"/>
                  <w:sz w:val="20"/>
                </w:rPr>
                <w:t>Form 8-A</w:t>
              </w:r>
            </w:hyperlink>
            <w:r>
              <w:rPr>
                <w:rFonts w:ascii="Arial;Helvetica;Sans-Serif" w:hAnsi="Arial;Helvetica;Sans-Serif"/>
                <w:b w:val="false"/>
                <w:i w:val="false"/>
                <w:caps w:val="false"/>
                <w:smallCaps w:val="false"/>
                <w:sz w:val="20"/>
              </w:rPr>
              <w:t xml:space="preserve"> filed on April 4, 2014, including any amendments thereto or reports filed for the purpose of updating such description, including the description of our common stock in Exhibit 4.5 of the Annual Report.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 file number for each of the documents listed above is 001-36395.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all documents filed by us with the SEC pursuant to Sections 13(a), 13(c), 14 and 15(d) of the Exchange Act after the date of this prospectus and prior to the termination of this offering shall be deemed to be incorporated by reference into this prospectus and to be a part hereof from the date of filing such reports and other documents (excluding any information in such documents furnished under Item 2.02 or Item 7.01 of any Current Report on Form 8-K and any exhibit furnished with such reports that is related to those items). We also specifically incorporate by reference into this prospectus all documents filed by us with the SEC pursuant to Section 13(a), 13(c), 14 or 15(d) of the Exchange Act after the date of the initial registration statement of which this prospectus is a part and prior to effectiveness of the registration statement (excluding any information in such documents that is furnished under Item 2.02 or Item 7.01 of any Current Report on Form 8-K and any exhibit furnished with such reports that is related to those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provide to each person, including any beneficial owner, to whom this prospectus is delivered, upon written or oral request and at no cost to the requester, a copy of any or all reports or documents that are incorporated by reference into this prospectus, but not delivered with the prospectus. Such written or oral requests should be directed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3655 Nobel Drive, Suite 260</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 92122</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Attn: Chief Accounting Officer</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Telephone: (858) 926-7655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You may also access these documents on our website, </w:t>
      </w:r>
      <w:r>
        <w:rPr>
          <w:rFonts w:ascii="Arial;Helvetica;Sans-Serif" w:hAnsi="Arial;Helvetica;Sans-Serif"/>
          <w:b w:val="false"/>
          <w:i/>
          <w:caps w:val="false"/>
          <w:smallCaps w:val="false"/>
          <w:sz w:val="20"/>
        </w:rPr>
        <w:t>www.darebioscience.com</w:t>
      </w:r>
      <w:r>
        <w:rPr>
          <w:rFonts w:ascii="Arial;Helvetica;Sans-Serif" w:hAnsi="Arial;Helvetica;Sans-Serif"/>
          <w:b w:val="false"/>
          <w:i w:val="false"/>
          <w:caps w:val="false"/>
          <w:smallCaps w:val="false"/>
          <w:sz w:val="20"/>
        </w:rPr>
        <w:t>.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74720" cy="996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3474720" cy="9969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4,085,687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293,894 Pre-Funded Warrants to Purchase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Ladenburg Thalmann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1914/000140191426000004/dare-20251231.htm" TargetMode="External"/><Relationship Id="rId4" Type="http://schemas.openxmlformats.org/officeDocument/2006/relationships/hyperlink" Target="https://www.sec.gov/Archives/edgar/data/1401914/000140191426000014/dare-20260428.htm" TargetMode="External"/><Relationship Id="rId5" Type="http://schemas.openxmlformats.org/officeDocument/2006/relationships/hyperlink" Target="https://www.sec.gov/Archives/edgar/data/1401914/000140191426000026/dare-20260331.htm" TargetMode="External"/><Relationship Id="rId6" Type="http://schemas.openxmlformats.org/officeDocument/2006/relationships/hyperlink" Target="https://www.sec.gov/ix?doc=/Archives/edgar/data/1401914/000140191426000043/dare-20260630.htm" TargetMode="External"/><Relationship Id="rId7" Type="http://schemas.openxmlformats.org/officeDocument/2006/relationships/hyperlink" Target="https://www.sec.gov/Archives/edgar/data/1401914/000149315226004245/form8-k.htm" TargetMode="External"/><Relationship Id="rId8" Type="http://schemas.openxmlformats.org/officeDocument/2006/relationships/hyperlink" Target="https://www.sec.gov/Archives/edgar/data/1401914/000149315226009364/form8-k.htm" TargetMode="External"/><Relationship Id="rId9" Type="http://schemas.openxmlformats.org/officeDocument/2006/relationships/hyperlink" Target="https://www.sec.gov/Archives/edgar/data/1401914/000149315226010594/form8-k.htm" TargetMode="External"/><Relationship Id="rId10" Type="http://schemas.openxmlformats.org/officeDocument/2006/relationships/hyperlink" Target="https://www.sec.gov/Archives/edgar/data/1401914/000140191426000006/dare-20260410.htm" TargetMode="External"/><Relationship Id="rId11" Type="http://schemas.openxmlformats.org/officeDocument/2006/relationships/hyperlink" Target="https://www.sec.gov/Archives/edgar/data/1401914/000140191426000010/dare-20260416.htm" TargetMode="External"/><Relationship Id="rId12" Type="http://schemas.openxmlformats.org/officeDocument/2006/relationships/hyperlink" Target="https://www.sec.gov/Archives/edgar/data/1401914/000140191426000012/dare-20260417.htm" TargetMode="External"/><Relationship Id="rId13" Type="http://schemas.openxmlformats.org/officeDocument/2006/relationships/hyperlink" Target="https://www.sec.gov/Archives/edgar/data/1401914/000140191426000021/dare-20260501.htm" TargetMode="External"/><Relationship Id="rId14" Type="http://schemas.openxmlformats.org/officeDocument/2006/relationships/hyperlink" Target="https://www.sec.gov/Archives/edgar/data/1401914/000140191426000030/dare-20260514.htm" TargetMode="External"/><Relationship Id="rId15" Type="http://schemas.openxmlformats.org/officeDocument/2006/relationships/hyperlink" Target="https://www.sec.gov/Archives/edgar/data/1401914/000140191426000032/dare-20260611.htm" TargetMode="External"/><Relationship Id="rId16" Type="http://schemas.openxmlformats.org/officeDocument/2006/relationships/hyperlink" Target="https://www.sec.gov/Archives/edgar/data/1401914/000140191426000040/dare-20260713.htm" TargetMode="External"/><Relationship Id="rId17" Type="http://schemas.openxmlformats.org/officeDocument/2006/relationships/hyperlink" Target="https://www.sec.gov/Archives/edgar/data/1401914/000119312514130894/d703405d8a12b.htm" TargetMode="External"/><Relationship Id="rId18" Type="http://schemas.openxmlformats.org/officeDocument/2006/relationships/image" Target="media/image2.jpeg"/><Relationship Id="rId19" Type="http://schemas.openxmlformats.org/officeDocument/2006/relationships/hyperlink" Target="https://www.sec.gov/Archives/edgar/data/1401914/000140191424000016/dare-20231231.htm" TargetMode="External"/><Relationship Id="rId20" Type="http://schemas.openxmlformats.org/officeDocument/2006/relationships/hyperlink" Target="https://www.sec.gov/ix?doc=/Archives/edgar/data/1401914/000149315224003071/form8-k.htm" TargetMode="External"/><Relationship Id="rId21" Type="http://schemas.openxmlformats.org/officeDocument/2006/relationships/hyperlink" Target="https://www.sec.gov/ix?doc=/Archives/edgar/data/1401914/000149315224003984/form8-k.htm" TargetMode="External"/><Relationship Id="rId22" Type="http://schemas.openxmlformats.org/officeDocument/2006/relationships/hyperlink" Target="https://www.sec.gov/Archives/edgar/data/1401914/000119312514130894/d703405d8a12b.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41311</Words>
  <Characters>221332</Characters>
  <CharactersWithSpaces>262395</CharactersWithSpaces>
  <Paragraphs>2298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