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September 30, 2023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2247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93345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November 8, 2023, 98,562,344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pStyle w:val="TextBody"/>
        <w:bidi w:val="0"/>
        <w:spacing w:lineRule="auto" w:line="288" w:before="20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to fund our operating needs and continue as a going concern;</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Inability to demonstrate sufficient safety and efficacy of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timely supply of XACIATO™ (clindamycin phosphate) vaginal gel 2%, or XACIATO, and our clinical trial supplies,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timing and amount of future royalty and milestone payments to us, if any, under our out-license agreements for commercialization of XACIATO and Ovaprene®;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and Ovaprene, or, in the case of Ovaprene, a decision by the collaborator not to make the license grant fully effective following its review of the results of a pivotal clinical trial of Ovaprene;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Federal Food, Drug, and Cosmetic Act, or the FDA's 505(b)(2) pathway;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and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Our payment and other obligations under our in-license and acquisition agreements for XACIATO and our product candidates;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Macroeconomic factors, including inflation, interest rates and recessionary pressures, geopolitical conflicts and events, public health emergencies such as the COVID-19 pandemic and any future pandemic, epidemic, or similar public health threat or natural disasters;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Dependence on grant funding for preclinical development of DARE-LARC1 and DARE-LBT;</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Price and volume fluctuations in the stock market, and in our stock in particular, which could cause investors to experience losses and subject us to securities class-action litigation;</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83"/>
        <w:gridCol w:w="512"/>
        <w:gridCol w:w="512"/>
        <w:gridCol w:w="2709"/>
        <w:gridCol w:w="2683"/>
        <w:gridCol w:w="2676"/>
        <w:gridCol w:w="154"/>
        <w:gridCol w:w="154"/>
        <w:gridCol w:w="222"/>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6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3">
              <w:r>
                <w:rPr>
                  <w:rStyle w:val="InternetLink"/>
                  <w:rFonts w:ascii="Arial;sans-serif" w:hAnsi="Arial;sans-serif"/>
                  <w:b/>
                  <w:color w:val="0000FF"/>
                  <w:sz w:val="20"/>
                  <w:u w:val="single"/>
                </w:rPr>
                <w:t>PART I. FINANCIAL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6">
              <w:r>
                <w:rPr>
                  <w:rStyle w:val="InternetLink"/>
                  <w:rFonts w:ascii="Arial;sans-serif" w:hAnsi="Arial;sans-serif"/>
                  <w:b w:val="false"/>
                  <w:color w:val="0000FF"/>
                  <w:sz w:val="20"/>
                  <w:u w:val="single"/>
                </w:rPr>
                <w:t>Condensed Consolidated Financial Statements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3">
              <w:r>
                <w:rPr>
                  <w:rStyle w:val="InternetLink"/>
                  <w:rFonts w:ascii="Arial;sans-serif" w:hAnsi="Arial;sans-serif"/>
                  <w:b w:val="false"/>
                  <w:color w:val="0000FF"/>
                  <w:sz w:val="20"/>
                  <w:u w:val="single"/>
                </w:rPr>
                <w:t>1</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64">
              <w:r>
                <w:rPr>
                  <w:rStyle w:val="InternetLink"/>
                  <w:rFonts w:ascii="Arial;sans-serif" w:hAnsi="Arial;sans-serif"/>
                  <w:b w:val="false"/>
                  <w:color w:val="0000FF"/>
                  <w:sz w:val="20"/>
                  <w:u w:val="single"/>
                </w:rPr>
                <w:t>Management's Discussion and Analysis of Financial Condition and Results of Operations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64">
              <w:r>
                <w:rPr>
                  <w:rStyle w:val="InternetLink"/>
                  <w:rFonts w:ascii="Arial;sans-serif" w:hAnsi="Arial;sans-serif"/>
                  <w:b w:val="false"/>
                  <w:color w:val="0000FF"/>
                  <w:sz w:val="20"/>
                  <w:u w:val="single"/>
                </w:rPr>
                <w:t>23</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88">
              <w:r>
                <w:rPr>
                  <w:rStyle w:val="InternetLink"/>
                  <w:rFonts w:ascii="Arial;sans-serif" w:hAnsi="Arial;sans-serif"/>
                  <w:b w:val="false"/>
                  <w:color w:val="0000FF"/>
                  <w:sz w:val="20"/>
                  <w:u w:val="single"/>
                </w:rPr>
                <w:t>Quantitative and Qualitative Disclosures About Market Risk</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88">
              <w:r>
                <w:rPr>
                  <w:rStyle w:val="InternetLink"/>
                  <w:rFonts w:ascii="Arial;sans-serif" w:hAnsi="Arial;sans-serif"/>
                  <w:b w:val="false"/>
                  <w:color w:val="0000FF"/>
                  <w:sz w:val="20"/>
                  <w:u w:val="single"/>
                </w:rPr>
                <w:t>37</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91">
              <w:r>
                <w:rPr>
                  <w:rStyle w:val="InternetLink"/>
                  <w:rFonts w:ascii="Arial;sans-serif" w:hAnsi="Arial;sans-serif"/>
                  <w:b w:val="false"/>
                  <w:color w:val="0000FF"/>
                  <w:sz w:val="20"/>
                  <w:u w:val="single"/>
                </w:rPr>
                <w:t>Controls and Procedures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91">
              <w:r>
                <w:rPr>
                  <w:rStyle w:val="InternetLink"/>
                  <w:rFonts w:ascii="Arial;sans-serif" w:hAnsi="Arial;sans-serif"/>
                  <w:b w:val="false"/>
                  <w:color w:val="0000FF"/>
                  <w:sz w:val="20"/>
                  <w:u w:val="single"/>
                </w:rPr>
                <w:t>37</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94">
              <w:r>
                <w:rPr>
                  <w:rStyle w:val="InternetLink"/>
                  <w:rFonts w:ascii="Arial;sans-serif" w:hAnsi="Arial;sans-serif"/>
                  <w:b/>
                  <w:color w:val="0000FF"/>
                  <w:sz w:val="20"/>
                  <w:u w:val="single"/>
                </w:rPr>
                <w:t>PART II. OTHER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97">
              <w:r>
                <w:rPr>
                  <w:rStyle w:val="InternetLink"/>
                  <w:rFonts w:ascii="Arial;sans-serif" w:hAnsi="Arial;sans-serif"/>
                  <w:b w:val="false"/>
                  <w:color w:val="0000FF"/>
                  <w:sz w:val="20"/>
                  <w:u w:val="single"/>
                </w:rPr>
                <w:t>Legal Proceedings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97">
              <w:r>
                <w:rPr>
                  <w:rStyle w:val="InternetLink"/>
                  <w:rFonts w:ascii="Arial;sans-serif" w:hAnsi="Arial;sans-serif"/>
                  <w:b w:val="false"/>
                  <w:color w:val="0000FF"/>
                  <w:sz w:val="20"/>
                  <w:u w:val="single"/>
                </w:rPr>
                <w:t>38</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00">
              <w:r>
                <w:rPr>
                  <w:rStyle w:val="InternetLink"/>
                  <w:rFonts w:ascii="Arial;sans-serif" w:hAnsi="Arial;sans-serif"/>
                  <w:b w:val="false"/>
                  <w:color w:val="0000FF"/>
                  <w:sz w:val="20"/>
                  <w:u w:val="single"/>
                </w:rPr>
                <w:t>Risk Factors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00">
              <w:r>
                <w:rPr>
                  <w:rStyle w:val="InternetLink"/>
                  <w:rFonts w:ascii="Arial;sans-serif" w:hAnsi="Arial;sans-serif"/>
                  <w:b w:val="false"/>
                  <w:color w:val="0000FF"/>
                  <w:sz w:val="20"/>
                  <w:u w:val="single"/>
                </w:rPr>
                <w:t>38</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03">
              <w:r>
                <w:rPr>
                  <w:rStyle w:val="InternetLink"/>
                  <w:rFonts w:ascii="Arial;sans-serif" w:hAnsi="Arial;sans-serif"/>
                  <w:b w:val="false"/>
                  <w:color w:val="0000FF"/>
                  <w:sz w:val="20"/>
                  <w:u w:val="single"/>
                </w:rPr>
                <w:t>Unregistered Sales of Equity Securities, Use of Proceeds and Issuer Purchases of Equity Securities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03">
              <w:r>
                <w:rPr>
                  <w:rStyle w:val="InternetLink"/>
                  <w:rFonts w:ascii="Arial;sans-serif" w:hAnsi="Arial;sans-serif"/>
                  <w:b w:val="false"/>
                  <w:color w:val="0000FF"/>
                  <w:sz w:val="20"/>
                  <w:u w:val="single"/>
                </w:rPr>
                <w:t>41</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06">
              <w:r>
                <w:rPr>
                  <w:rStyle w:val="InternetLink"/>
                  <w:rFonts w:ascii="Arial;sans-serif" w:hAnsi="Arial;sans-serif"/>
                  <w:b w:val="false"/>
                  <w:color w:val="0000FF"/>
                  <w:sz w:val="20"/>
                  <w:u w:val="single"/>
                </w:rPr>
                <w:t>Defaults Upon Senior Securities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06">
              <w:r>
                <w:rPr>
                  <w:rStyle w:val="InternetLink"/>
                  <w:rFonts w:ascii="Arial;sans-serif" w:hAnsi="Arial;sans-serif"/>
                  <w:b w:val="false"/>
                  <w:color w:val="0000FF"/>
                  <w:sz w:val="20"/>
                  <w:u w:val="single"/>
                </w:rPr>
                <w:t>41</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09">
              <w:r>
                <w:rPr>
                  <w:rStyle w:val="InternetLink"/>
                  <w:rFonts w:ascii="Arial;sans-serif" w:hAnsi="Arial;sans-serif"/>
                  <w:b w:val="false"/>
                  <w:color w:val="0000FF"/>
                  <w:sz w:val="20"/>
                  <w:u w:val="single"/>
                </w:rPr>
                <w:t>Mine Safety Disclosures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09">
              <w:r>
                <w:rPr>
                  <w:rStyle w:val="InternetLink"/>
                  <w:rFonts w:ascii="Arial;sans-serif" w:hAnsi="Arial;sans-serif"/>
                  <w:b w:val="false"/>
                  <w:color w:val="0000FF"/>
                  <w:sz w:val="20"/>
                  <w:u w:val="single"/>
                </w:rPr>
                <w:t>41</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12">
              <w:r>
                <w:rPr>
                  <w:rStyle w:val="InternetLink"/>
                  <w:rFonts w:ascii="Arial;sans-serif" w:hAnsi="Arial;sans-serif"/>
                  <w:b w:val="false"/>
                  <w:color w:val="0000FF"/>
                  <w:sz w:val="20"/>
                  <w:u w:val="single"/>
                </w:rPr>
                <w:t>Other Information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12">
              <w:r>
                <w:rPr>
                  <w:rStyle w:val="InternetLink"/>
                  <w:rFonts w:ascii="Arial;sans-serif" w:hAnsi="Arial;sans-serif"/>
                  <w:b w:val="false"/>
                  <w:color w:val="0000FF"/>
                  <w:sz w:val="20"/>
                  <w:u w:val="single"/>
                </w:rPr>
                <w:t>41</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15">
              <w:r>
                <w:rPr>
                  <w:rStyle w:val="InternetLink"/>
                  <w:rFonts w:ascii="Arial;sans-serif" w:hAnsi="Arial;sans-serif"/>
                  <w:b w:val="false"/>
                  <w:color w:val="0000FF"/>
                  <w:sz w:val="20"/>
                  <w:u w:val="single"/>
                </w:rPr>
                <w:t>Exhibits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15">
              <w:r>
                <w:rPr>
                  <w:rStyle w:val="InternetLink"/>
                  <w:rFonts w:ascii="Arial;sans-serif" w:hAnsi="Arial;sans-serif"/>
                  <w:b w:val="false"/>
                  <w:color w:val="0000FF"/>
                  <w:sz w:val="20"/>
                  <w:u w:val="single"/>
                </w:rPr>
                <w:t>42</w:t>
              </w:r>
            </w:hyperlink>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8d440ce4fb479fa7b52904179e4917_118">
              <w:r>
                <w:rPr>
                  <w:rStyle w:val="InternetLink"/>
                  <w:rFonts w:ascii="Arial;sans-serif" w:hAnsi="Arial;sans-serif"/>
                  <w:b w:val="false"/>
                  <w:color w:val="0000FF"/>
                  <w:sz w:val="20"/>
                  <w:u w:val="single"/>
                </w:rPr>
                <w:t>SIGNATURES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8d440ce4fb479fa7b52904179e4917_118">
              <w:r>
                <w:rPr>
                  <w:rStyle w:val="InternetLink"/>
                  <w:rFonts w:ascii="Arial;sans-serif" w:hAnsi="Arial;sans-serif"/>
                  <w:b w:val="false"/>
                  <w:color w:val="0000FF"/>
                  <w:sz w:val="20"/>
                  <w:u w:val="single"/>
                </w:rPr>
                <w:t>44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03"/>
        <w:gridCol w:w="2142"/>
        <w:gridCol w:w="2094"/>
        <w:gridCol w:w="211"/>
        <w:gridCol w:w="1126"/>
        <w:gridCol w:w="109"/>
        <w:gridCol w:w="109"/>
        <w:gridCol w:w="109"/>
        <w:gridCol w:w="109"/>
        <w:gridCol w:w="211"/>
        <w:gridCol w:w="1126"/>
        <w:gridCol w:w="156"/>
      </w:tblGrid>
      <w:tr>
        <w:trPr/>
        <w:tc>
          <w:tcPr>
            <w:tcW w:w="270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43,038,753 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10,894,016 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18,303,567 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31,623,927 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long-term</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32,714,273 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7)</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 (deficit)</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98,292,344 and 84,825,481 shares issued and outstanding at September 30, 2023 and December 31, 2022,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164,299,397 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152,529,579 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(166,178,469)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(141,074,640)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 (deficit)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11,112,110 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Times New Roman;sans-serif" w:hAnsi="Times New Roman;sans-serif"/>
          <w:b w:val="false"/>
          <w:color w:val="000000"/>
          <w:sz w:val="20"/>
        </w:rPr>
        <w:t xml:space="preserve">, </w:t>
      </w:r>
      <w:r>
        <w:rPr>
          <w:rFonts w:ascii="Arial;sans-serif" w:hAnsi="Arial;sans-serif"/>
          <w:b/>
          <w:color w:val="000000"/>
          <w:sz w:val="20"/>
        </w:rPr>
        <w:t>Inc</w:t>
      </w:r>
      <w:r>
        <w:rPr>
          <w:rFonts w:ascii="Times New Roman;sans-serif" w:hAnsi="Times New Roman;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Arial;sans-serif" w:hAnsi="Arial;sans-serif"/>
          <w:b/>
          <w:color w:val="000000"/>
          <w:sz w:val="20"/>
        </w:rPr>
        <w:t>Unaudited</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37"/>
        <w:gridCol w:w="1064"/>
        <w:gridCol w:w="1039"/>
        <w:gridCol w:w="211"/>
        <w:gridCol w:w="1061"/>
        <w:gridCol w:w="109"/>
        <w:gridCol w:w="109"/>
        <w:gridCol w:w="109"/>
        <w:gridCol w:w="109"/>
        <w:gridCol w:w="211"/>
        <w:gridCol w:w="1061"/>
        <w:gridCol w:w="109"/>
        <w:gridCol w:w="109"/>
        <w:gridCol w:w="109"/>
        <w:gridCol w:w="109"/>
        <w:gridCol w:w="211"/>
        <w:gridCol w:w="1166"/>
        <w:gridCol w:w="109"/>
        <w:gridCol w:w="109"/>
        <w:gridCol w:w="109"/>
        <w:gridCol w:w="109"/>
        <w:gridCol w:w="211"/>
        <w:gridCol w:w="1166"/>
        <w:gridCol w:w="159"/>
      </w:tblGrid>
      <w:tr>
        <w:trPr/>
        <w:tc>
          <w:tcPr>
            <w:tcW w:w="133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8,014,424 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17,065,497 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26,768,420 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25,154,921 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(8,396,415)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(15,154,921)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(25,103,829)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(15,004,515)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to common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(8,299,096)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(7,019,843)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(25,103,829)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(15,004,515)</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(375,767)</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(15,380,282)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7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91,051,642 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84,822,516 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87,221,575 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85,553,134 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1193" w:type="dxa"/>
        <w:jc w:val="center"/>
        <w:tblInd w:w="0" w:type="dxa"/>
        <w:tblLayout w:type="fixed"/>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9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2023</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84,825,481</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152,529,579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(351,311)</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(141,074,640)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11,112,110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1,353,515 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86,178,996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154,453,439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(373,316)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(149,117,141)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4,971,600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(8,762,232)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86,633,588</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155,555,775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(404,467)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(157,879,373)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(2,719,402)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and warrants, net of issuance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11,658,756 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98,292,344</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164,299,397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(419,497)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(166,178,469)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(2,288,740)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193" w:type="dxa"/>
        <w:jc w:val="center"/>
        <w:tblInd w:w="0" w:type="dxa"/>
        <w:tblLayout w:type="fixed"/>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9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2022</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149,027,802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(154,973)</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(110,126,902)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38,754,321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149,560,211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(164,123)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(118,525,572)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30,878,910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751,040 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2022</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84,820,858</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151,436,543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(299,992)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(118,111,574)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33,033,459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2022</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84,825,481</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151,997,447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(530,740)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(125,131,417)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26,343,772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630"/>
        <w:gridCol w:w="2118"/>
        <w:gridCol w:w="2130"/>
        <w:gridCol w:w="211"/>
        <w:gridCol w:w="1156"/>
        <w:gridCol w:w="109"/>
        <w:gridCol w:w="109"/>
        <w:gridCol w:w="109"/>
        <w:gridCol w:w="109"/>
        <w:gridCol w:w="211"/>
        <w:gridCol w:w="1156"/>
        <w:gridCol w:w="157"/>
      </w:tblGrid>
      <w:tr>
        <w:trPr/>
        <w:tc>
          <w:tcPr>
            <w:tcW w:w="263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(15,004,515)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1,626,378 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early termination of lease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(1,146,724)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(4,408,886)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(6,068,350)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4,293,433 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(30,677,749)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(12,191,757)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common stock and warrants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warrants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note payable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10,327,852 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(20,440,181)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(11,284,541)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51,674,087 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14,229,424 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40,389,546 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condensed consolidated balance sheets: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40,389,546 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14,229,424 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40,389,546 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began assembling its diverse portfolio in 2017 through acquisitions, exclusive in-licenses and other collaborations. The Company's programs target unmet needs in women's health in the areas of contraception, vaginal health, reproductive health, menopause, sexual health, and fertility, and aim to expand treatment options, enhance outcomes and improve ease of use for women.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primary operations have consisted of, and are expected to continue to consist primarily of, research and development activities to advance its product candidates through clinical development and regulatory approval.</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includes one FDA-approved product, drug and drug/device product candidates and potential product candidates in various stages of development.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shipment of the Company's product, XACIATO™ (clindamycin phosphate) vaginal gel 2%, or XACIATO, in connection with the first commercial sale of the product in the United States occurred in October 2023. XACIATO was approved by the FDA in December 2021 as a single-dose prescription medication for the treatment of bacterial vaginosis in females 12 years of age and older. In March 2022, the Company entered into an exclusive global license agreement with an affiliate of Organon &amp; Co., Organon International GmbH, or Organon, to commercialize XACIATO, which became fully effective in June 2022. Under the license agreement, the marketing, distribution and sale of XACIATO in the United States (and outside the U.S. if approved in non-U.S. jurisdictions in the future) will be by Organon and/or its affiliates, agents or sublicensees.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2022, or the 2022 10-K.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related to (i) letters of credit established under real property leases for the Company's wholly owned subsidiary, Dare MB Inc., that serve as security for potential future default of lease payments, and (ii) collateralized cash for the Company's credit cards. The restricted cash is unavailable for withdrawal or for usage for general obligations and are included in other non-current assets on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September 30, 2023, the Company had an accumulated deficit of approximately $166.2 million, cash and cash equivalents of approximately $13.9 million, deferred grant funding liabilities under the Company's grant agreements related to DARE-LARC1 and DARE-LBT of approximately $15.7 million, and a working capital deficit of approximately $3.9 million. Substantially all of the Company's cash and cash equivalents at September 30, 2023 represented grant funds received under such grant agreements that may be applied solely toward direct costs for the development of DARE-LARC1 and DARE-LBT, other than approximately 10% of such funds, which may be applied toward general overhead and administration expenses that support the entire operations of the Company. For the nine months ended September 30, 2023, the Company incurred a net loss of approximately $25.1 million and had negative cash flow from operations of approximately $30.7 million.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will need to raise substantial additional capital to continue to fund its operations and to successfully execute its current strategy.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2 to the consolidated financial statements included in the 2022 10-K. Since the date on which the 2022 10-K was filed with the U.S. Securities and Exchange Commission, or the SEC, there have been no material changes to the Company’s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 xml:space="preserve">following tables present the classification within the fair value hierarchy of financial assets and liabilities that are remeasured on a recurring basis as of September 30, 2023 and December 31, 2022. There were no financial assets or liabilities that were remeasured using a quoted price in active markets for identical assets (Level 2) or using unobservable inputs (Level 3) as of September 30, 2023 or December 31, 2022. </w:t>
      </w:r>
    </w:p>
    <w:tbl>
      <w:tblPr>
        <w:tblW w:w="8325" w:type="dxa"/>
        <w:jc w:val="center"/>
        <w:tblInd w:w="0" w:type="dxa"/>
        <w:tblLayout w:type="fixed"/>
        <w:tblCellMar>
          <w:top w:w="28" w:type="dxa"/>
          <w:left w:w="28" w:type="dxa"/>
          <w:bottom w:w="28" w:type="dxa"/>
          <w:right w:w="28" w:type="dxa"/>
        </w:tblCellMar>
      </w:tblPr>
      <w:tblGrid>
        <w:gridCol w:w="1069"/>
        <w:gridCol w:w="942"/>
        <w:gridCol w:w="944"/>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September 30, 2023</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13,528,906 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325"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76" w:before="200" w:after="283"/>
        <w:ind w:left="0" w:right="0" w:firstLine="7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60" w:after="283"/>
        <w:ind w:left="0" w:right="0" w:firstLine="720"/>
        <w:jc w:val="both"/>
        <w:rPr/>
      </w:pPr>
      <w:r>
        <w:rPr>
          <w:rFonts w:ascii="Arial;sans-serif" w:hAnsi="Arial;sans-serif"/>
          <w:b w:val="false"/>
          <w:color w:val="000000"/>
          <w:sz w:val="20"/>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w:t>
      </w:r>
      <w:r>
        <w:rPr>
          <w:color w:val="000000"/>
        </w:rPr>
        <w:t> </w:t>
      </w:r>
      <w:r>
        <w:rPr>
          <w:rFonts w:ascii="Arial;sans-serif" w:hAnsi="Arial;sans-serif"/>
          <w:b w:val="false"/>
          <w:color w:val="000000"/>
          <w:sz w:val="20"/>
        </w:rPr>
        <w:t>performance obligations. The Company then recognizes as revenue the amount of the transaction price allocated to the respective performance obligation when (or as) the performance obligation is satisfied.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bidi w:val="0"/>
        <w:spacing w:lineRule="auto" w:line="288" w:before="160" w:after="283"/>
        <w:ind w:left="0" w:right="0" w:firstLine="720"/>
        <w:jc w:val="both"/>
        <w:rPr/>
      </w:pPr>
      <w:r>
        <w:rPr>
          <w:rFonts w:ascii="Arial;sans-serif" w:hAnsi="Arial;sans-serif"/>
          <w:b w:val="false"/>
          <w:i/>
          <w:color w:val="000000"/>
          <w:sz w:val="20"/>
        </w:rPr>
        <w:t>Collaboration Revenues.</w:t>
      </w:r>
      <w:r>
        <w:rPr>
          <w:color w:val="000000"/>
        </w:rPr>
        <w:t xml:space="preserve"> </w:t>
      </w:r>
      <w:r>
        <w:rPr>
          <w:rFonts w:ascii="Arial;sans-serif" w:hAnsi="Arial;sans-serif"/>
          <w:b w:val="false"/>
          <w:color w:val="000000"/>
          <w:sz w:val="20"/>
        </w:rPr>
        <w:t>The Company enters into collaboration and licensing agreements under which it out-licenses certain rights 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 As of September 30, 2023, the Company has not recognized any collaboration revenues.</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License Fee Revenue. </w:t>
      </w:r>
      <w:r>
        <w:rPr>
          <w:rFonts w:ascii="Arial;sans-serif" w:hAnsi="Arial;sans-serif"/>
          <w:b w:val="false"/>
          <w:color w:val="000000"/>
          <w:sz w:val="20"/>
        </w:rPr>
        <w:t>If the license to the Company’s intellectual property is determined to be distinct from the other performance obligations 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$11.0 million in license fee revenue, $10.0 million of which represents the upfront payment under its license agreement for XACIATO and $1.0 million of which represents the payment required by the first amendment to such license agreement entered into in July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also has a $1.0 million upfront non-refundable license fee payment from collaborator Bayer HealthCare LLC, or Bayer, recorded as deferred license revenue in the Company's consolidated balance sheets at September 30, 2023 and December 31, 2022. In 2020, the Company entered into a license agreement with Bayer regarding the further development and commercialization of Ovaprene in the U.S. and received a $1.0 million upfront non-refundable license fee payment from Bayer. (See Note 3, Strategic Agreements.)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September 30, 2023, neither of the foregoing had occurred.</w:t>
      </w:r>
    </w:p>
    <w:p>
      <w:pPr>
        <w:pStyle w:val="TextBody"/>
        <w:bidi w:val="0"/>
        <w:spacing w:lineRule="auto" w:line="288" w:before="16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 xml:space="preserve">At the inception of each arrangement in which the Company is a licensor and that includes developmental, regulatory or 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Potential future milestone payments not within the Company's control, such as where achievement of the specified milestone depends on activities of a third party or regulatory approval, are not considered probable of being achieved until the specified milestone occurs. As of September 30, 2023, the Company has not recognized any milestone payment revenues. </w:t>
      </w:r>
    </w:p>
    <w:p>
      <w:pPr>
        <w:pStyle w:val="TextBody"/>
        <w:bidi w:val="0"/>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As of September 30, 2023, the Company has not recognized any royalty revenues.</w:t>
      </w:r>
    </w:p>
    <w:p>
      <w:pPr>
        <w:pStyle w:val="TextBody"/>
        <w:bidi w:val="0"/>
        <w:spacing w:lineRule="auto" w:line="288" w:before="160" w:after="283"/>
        <w:ind w:left="0" w:right="0" w:firstLine="720"/>
        <w:jc w:val="both"/>
        <w:rPr/>
      </w:pPr>
      <w:r>
        <w:rPr>
          <w:rFonts w:ascii="Arial;sans-serif" w:hAnsi="Arial;sans-serif"/>
          <w:b w:val="false"/>
          <w:i/>
          <w:color w:val="000000"/>
          <w:sz w:val="20"/>
        </w:rPr>
        <w:t>Product Supply.</w:t>
      </w:r>
      <w:r>
        <w:rPr>
          <w:color w:val="000000"/>
        </w:rPr>
        <w:t xml:space="preserve"> </w:t>
      </w:r>
      <w:r>
        <w:rPr>
          <w:rFonts w:ascii="Arial;sans-serif" w:hAnsi="Arial;sans-serif"/>
          <w:b w:val="false"/>
          <w:color w:val="000000"/>
          <w:sz w:val="20"/>
        </w:rPr>
        <w:t>Arrangements that include a promise for future supply of product for commercial supply at the licensee’s discretion 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As of September 30, 2023, the Company has not recognized any product supply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a $10.0 million non-refundable and non-creditable payment from Organon, which was recorded as license fee revenue.</w:t>
      </w:r>
      <w:r>
        <w:rPr>
          <w:color w:val="000000"/>
        </w:rPr>
        <w:t xml:space="preserve"> </w:t>
      </w:r>
      <w:r>
        <w:rPr>
          <w:rFonts w:ascii="Arial;sans-serif" w:hAnsi="Arial;sans-serif"/>
          <w:b w:val="false"/>
          <w:color w:val="000000"/>
          <w:sz w:val="20"/>
        </w:rPr>
        <w:t>In July 2023, the Company entered into an amendment to the license agreement whereby Organon agreed to pay $1.0 million to the Company as reimbursement for registration fees paid to the FDA in connection with the new drug application for XACIATO (known as PDUFA fees) and other manufacturing expenses and to support continued advancement of the development and commercialization of XACIATO, which was recognized as license fee revenue. The amount payable by Organon to the Company in connection with the first commercial sale of a licensed product in the United States was revised to $1.8 million.</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$181.8 million in milestone payments as follows: $1.8 million in connection with the first commercial sale of a licensed product in the United States; and up to $180.0 million in tiered commercial sales milestones and regulatory milestones. Royalty payments will be subject to customary reductions and offsets.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For the quarter ended September 30, 2023, the transaction price was updated to $11.0 million.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is responsible for regulatory interactions and for providing product supply on an interim basis until Organon assumes such responsibilities. Until such time, Organon will purchase all of its product requirements of XACIATO from the Company at a transfer price equal to the Company's manufacturing costs plus a single-digit percentage markup.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September 30, 2023, neither of the foregoing had occurred. The $1.0 million payment is recorded as long-term deferred license revenue in the Company's consolidated balance sheets at September 30, 2023 and December 31, 2022.</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2023, the Company entered into a license agreement with Douglas Pharmaceuticals Limited, or Douglas, and a stand-by direct license agreement with The University of Manchester, or Manchester, under which the Company acquired the exclusive rights to develop and commercialize a lopinavir and ritonavir combination soft gel vaginal insert for the treatment of cervical intraepithelial neoplasia (CIN).</w:t>
      </w:r>
    </w:p>
    <w:p>
      <w:pPr>
        <w:pStyle w:val="TextBody"/>
        <w:bidi w:val="0"/>
        <w:spacing w:lineRule="auto" w:line="288" w:before="24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the Company’s sole discretion, in cash or shares of the Company’s common stock.</w:t>
      </w:r>
      <w:r>
        <w:rPr>
          <w:color w:val="000000"/>
        </w:rPr>
        <w:t xml:space="preserve"> </w:t>
      </w:r>
      <w:r>
        <w:rPr>
          <w:rFonts w:ascii="Arial;sans-serif" w:hAnsi="Arial;sans-serif"/>
          <w:b w:val="false"/>
          <w:color w:val="000000"/>
          <w:sz w:val="20"/>
        </w:rPr>
        <w:t>Additionally, Douglas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September 30, 2023, no payments had been made under the Douglas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September 30, 2023,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or MBI, to secure the rights to develop a long-acting reversible contraception method, that a woman can turn on or off herself, according to her own needs. This candidate is now known as DARE-LARC1.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700,000 shares of its common stock to former stockholders of MBI and paid $75,000 in cash to the stockholders’ representative in satisfaction of the $1.25 million in milestone payments associated with milestones achieved in June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in the aggregate of $300,000 to MilanaPharm, the final payment of $250,000 was expensed in 2021. The Company may also pay MilanaPharm up to $500,000 upon the first commercial sale in the United States of the first licensed product for each vaginal and urological use, and up to $250,000 upon the first commercial sale in the United States of each successive licensed products for each vaginal or urological use. In accordance with the terms of the License Agreement, the first commercial sale of XACIATO in the U.S. triggers a $500,000 payment to MilanaPharm.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has been paid as of September 30, 2023.</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has been paid as of September 30, 2023;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Increase in Authorized Shares of Common Stock</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following the approval of the Company's stockholders at its annual meeting of stockholders, the Company amended its restated certificate of incorporation to increase the Company's authorized shares of common stock to 240,000,000.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September 2023 Registered Direct Offering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August 29, 2023, the Company entered into a securities purchase agreement with an institutional investor and an investor affiliated with Douglas for the purchase and sale of 10,000,000 shares of the Company's common stock and warrants to purchase an aggregate of 10,000,000 shares of the Company's common stock in a registered direct offering priced at-the-market under Nasdaq rules. Each warrant is exercisable for one share of the Company's common stock. The terms of the warrants are further described below in this Note 4. The offering price was $0.70 per share of common stock and accompanying warrant. The aggregate gross proceeds to the Company from the offering were $7.0 million, and net proceeds were approximately $6.8 million. The offering was made pursuant to the Company's registration statement on Form S-3 (File No. 333-254862), filed with the SEC on March 30, 2021, and declared effective by the SEC on April 7, 2021, and a prospectus supplement thereunder. The offering closed on September 1, 2023.</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agents. The Company agreed to pay a commission equal to 3% of the gross proceeds of any common stock sold under the agreement or such lower amount as the Company and Stifel and Cantor agree, plus certain legal expenses. Shares of the Company's common stock sold under the agreement will be issued pursuant to the Company's shelf registration statement on Form S-3 (File No. 333-254862), the base prospectus included therein, originally filed with the SEC on March 30, 2021 and declared effective by the SEC on April 7, 2021, the prospectus supplement dated March 31, 2023 relating to the offering of up to $50.0 million of shares of the Company's common stock under the sales agreement, and any subsequent prospectus supplement related to the offering of shares of the Company's common stock under the sales agreement. During the nine months ended September 30, 2023, the Company sold 2,113,348 shares of common stock under this agreement and received aggregate gross proceeds of approximately $1.8 million and incurred sales agent commissions and fees of approximately $41,000.</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October 2021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2021, the Company entered into a sales agreement with SVB Securities LLC (formerly known as SVB Leerink LLC) to sell shares of its common stock from time to time through an ATM equity offering program under which SVB Securities acted as the Company's agent. During the nine months ended September 30, 2023 and 2022, the Company sold zero and 751,040 shares of its common stock under the agreement, respectively. The Company terminated the agreement in March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September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registered direct offering completed in September 2023, the Company issued to the investors in that offering warrants to purchase up to an aggregate of 10,000,000 shares of the Company's common stock. The warrants will be exercisable six months after issuance. The warrants have a term of five and one-half years from the date of issuance and an exercise price of $0.77 per share, subject to adjustment for stock splits, reverse stock splits, stock dividends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upon “fundamental transactions” as described in the warrants, including the right of the holders thereof to receive from the Company or a successor entity the same type or form of consideration (and in the same proportion) that is being offered and paid to the holders of the Company's common stock in such fundamental transaction in the amount of the Black-Scholes value (as described in the warrants) of the unexercised portion of the applicable warrants on the date of the consummation of such fundamental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condensed consolidated balance sheets. As of September 30, 2023, none of the warrants have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February 2018 Warrants</w:t>
      </w:r>
    </w:p>
    <w:p>
      <w:pPr>
        <w:pStyle w:val="TextBody"/>
        <w:bidi w:val="0"/>
        <w:spacing w:lineRule="auto" w:line="288" w:before="120" w:after="283"/>
        <w:ind w:left="0" w:right="0" w:firstLine="720"/>
        <w:jc w:val="both"/>
        <w:rPr/>
      </w:pPr>
      <w:r>
        <w:rPr>
          <w:rFonts w:ascii="Arial;sans-serif" w:hAnsi="Arial;sans-serif"/>
          <w:b w:val="false"/>
          <w:color w:val="000000"/>
          <w:sz w:val="20"/>
        </w:rPr>
        <w:t>In connection with an underwritten public offering in February 2018, the Company issued to the investors in that offering, warrants exercisable through February 15, 2023 with an initial exercise price of $3.00 per share.</w:t>
      </w:r>
      <w:r>
        <w:rPr>
          <w:color w:val="000000"/>
        </w:rPr>
        <w:t xml:space="preserve"> </w:t>
      </w:r>
      <w:r>
        <w:rPr>
          <w:rFonts w:ascii="Arial;sans-serif" w:hAnsi="Arial;sans-serif"/>
          <w:b w:val="false"/>
          <w:color w:val="000000"/>
          <w:sz w:val="20"/>
        </w:rPr>
        <w:t xml:space="preserve">The Company estimated the fair value of the warrants as of February 15, 2018 to be approximately $3.0 million which was recorded in equity as of the grant date. The warrants included a price-based anti-dilution provision, which resulted in automatic reductions to the exercise price of the warrants in April 2019 and July 2020 to $0.98 per share and to $0.96 per share, respectively.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Summary of Warrant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nine months ended September 30, 2023, February 2018 warrants to purchase 1,353,515 shares of common stock were exercised for gross proceeds of approximately $1.3 million and the remaining unexercised February 2018 warrants expired on February 15, 2023. No warrants were exercised during the nine months ended September 30, 2022.</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the Company had the following warrants outstanding:</w:t>
      </w:r>
    </w:p>
    <w:tbl>
      <w:tblPr>
        <w:tblW w:w="5093" w:type="dxa"/>
        <w:jc w:val="center"/>
        <w:tblInd w:w="0" w:type="dxa"/>
        <w:tblLayout w:type="fixed"/>
        <w:tblCellMar>
          <w:top w:w="28" w:type="dxa"/>
          <w:left w:w="28" w:type="dxa"/>
          <w:bottom w:w="28" w:type="dxa"/>
          <w:right w:w="28" w:type="dxa"/>
        </w:tblCellMar>
      </w:tblPr>
      <w:tblGrid>
        <w:gridCol w:w="679"/>
        <w:gridCol w:w="596"/>
        <w:gridCol w:w="599"/>
        <w:gridCol w:w="109"/>
        <w:gridCol w:w="109"/>
        <w:gridCol w:w="109"/>
        <w:gridCol w:w="199"/>
        <w:gridCol w:w="199"/>
        <w:gridCol w:w="199"/>
        <w:gridCol w:w="199"/>
        <w:gridCol w:w="199"/>
        <w:gridCol w:w="205"/>
        <w:gridCol w:w="109"/>
        <w:gridCol w:w="109"/>
        <w:gridCol w:w="109"/>
        <w:gridCol w:w="399"/>
        <w:gridCol w:w="399"/>
        <w:gridCol w:w="56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Underlying</w:t>
              <w:br/>
              <w:t>Outstanding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03/01/2029</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04/04/2026</w:t>
            </w:r>
          </w:p>
        </w:tc>
      </w:tr>
      <w:tr>
        <w:trPr/>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There was no stock-based compensation related to the ESPP for the nine months ended September 30, 2023 or September 30, 2022.</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authorized shares increased by 2,000,000 to 2,201,855. As a result of the approval of the 2022 Plan (as defined below) by the Company's stockholders on June 23, 2022, no further awards have been or will be granted under the Amended 2014 Plan.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consultants, advisors, and directors.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table below summarizes stock option activity under the Company's stock incentive plans and related information for the nine months ended September 30, 2023. The exercise price of all options granted during the nine months ended September 30, 2023 was equal to the market value of the Company’s common stock on the date of grant. As of September 30, 2023, unamortized stock-based compensation expense of approximately $4.9 million will be amortized over a weighted average period of 2.27 years. The number of shares of common stock available for future awards granted under the 2022 Plan at September 30, 2023 was 6,725,247. </w:t>
      </w:r>
    </w:p>
    <w:tbl>
      <w:tblPr>
        <w:tblW w:w="6658" w:type="dxa"/>
        <w:jc w:val="center"/>
        <w:tblInd w:w="0" w:type="dxa"/>
        <w:tblLayout w:type="fixed"/>
        <w:tblCellMar>
          <w:top w:w="28" w:type="dxa"/>
          <w:left w:w="28" w:type="dxa"/>
          <w:bottom w:w="28" w:type="dxa"/>
          <w:right w:w="28" w:type="dxa"/>
        </w:tblCellMar>
      </w:tblPr>
      <w:tblGrid>
        <w:gridCol w:w="1162"/>
        <w:gridCol w:w="1022"/>
        <w:gridCol w:w="1025"/>
        <w:gridCol w:w="510"/>
        <w:gridCol w:w="511"/>
        <w:gridCol w:w="511"/>
        <w:gridCol w:w="109"/>
        <w:gridCol w:w="109"/>
        <w:gridCol w:w="109"/>
        <w:gridCol w:w="370"/>
        <w:gridCol w:w="950"/>
        <w:gridCol w:w="270"/>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6,612,554 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2,857,665 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2023</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9,463,888 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2023</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5,225,163 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is as follows:</w:t>
      </w:r>
    </w:p>
    <w:tbl>
      <w:tblPr>
        <w:tblW w:w="8550" w:type="dxa"/>
        <w:jc w:val="center"/>
        <w:tblInd w:w="0" w:type="dxa"/>
        <w:tblLayout w:type="fixed"/>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for two years such that the term now expires on August 31, 2024.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 owned subsidiary the Company acquired in November 2019, leases general office and laboratory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The extension of the lease in February 2022 resulted in an increase in operating lease liabilities and ROU assets of approximately $1.0 million. In September 2022, the landlord exercised its option to terminate the lease, resulting in the new lease term ending on December 31, 2023. The termination of the lease resulted in a reduction of operating lease liabilities and ROU assets of approximately $504,000 and $458,000, respectively, and a $46,000 gain on the modification of the lease which was included as a reduction to research and development expense for the year ended December 31, 2022. MBI entered into a new lease for general office space and laboratory space in June 2023 that will commence on November 1, 2023 and will create an obligation to pay approximately $1.4 million over the lease period of three years.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MBI previously leased warehouse space in Billerica, Massachusetts, under a lease that commenced on October 1, 2016 and terminated on March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that commenced prior to January 2019 (and all of the Company's operating leases commenced prior to such date). The depreciable lives of operating leases and leasehold improvements are limited by the expected lease term.</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At September 30, 2023, the Company reported operating lease ROU assets of approximately $182,000 in other non-current assets, approximately $195,000 in current portion of lease liabilities, and approximately $0 in lease liabilities long-term in the condensed consolidated balance sheets.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Total operating lease costs were approximately $125,000 and $409,000 for the three and nine months ended September 30, 2023, respectively, and $116,000 and $469,000 for the three and nine months ended September 30, 2022, respectively. Operating lease costs consist of monthly lease payments expense, common area maintenance and other repair and maintenance costs and are included in general and administrative expenses in the condensed consolidated statements of operations.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 was approximately $105,516 and $314,774 for the three and nine months ended September 30, 2023, respectively, and $81,000 and $231,000 for the three and nine months ended September 30, 2022, respectively. These amounts are included in operating activities in the condensed consolidated statements of cash flows. At September 30, 2023, operating leases had a weighted average remaining lease term of 0.58 years.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September 30, 2023, future minimum lease payments under the Company's operating leases are as follows (does not include any minimum lease payments under the lease MBI entered in June 2023 because the lease does not commence until November 1, 2023):</w:t>
      </w:r>
    </w:p>
    <w:tbl>
      <w:tblPr>
        <w:tblW w:w="4866" w:type="dxa"/>
        <w:jc w:val="center"/>
        <w:tblInd w:w="0" w:type="dxa"/>
        <w:tblLayout w:type="fixed"/>
        <w:tblCellMar>
          <w:top w:w="28" w:type="dxa"/>
          <w:left w:w="28" w:type="dxa"/>
          <w:bottom w:w="28" w:type="dxa"/>
          <w:right w:w="28" w:type="dxa"/>
        </w:tblCellMar>
      </w:tblPr>
      <w:tblGrid>
        <w:gridCol w:w="1321"/>
        <w:gridCol w:w="1159"/>
        <w:gridCol w:w="1165"/>
        <w:gridCol w:w="211"/>
        <w:gridCol w:w="85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future minimum lease payments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accreted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7.    COMMITMENTS AND CONTINGENCIES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the Company obtained financing for certain director and officer and other liability insurance premiums. The agreement for such financing assigns to the lender a first priority lien on and a security interest in the financed insurance policies and any additional premium required in the financed insurance policies including (a) all returned or unearned premiums, (b) all additional cash contributions or collateral amounts assessed by the insurance companies in relation to the financed insurance policies and financed by the lender, (c) any credits generated by the financed insurance policies, (d) dividend payments, and (e) loss payments which reduce unearned premiums. If any circumstances exist in which premiums related to any financed insurance policy could become fully earned in the event of loss, the lender will be named a loss-payee with respect to such policy.</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total premiums, taxes and fees financed was approximately $0.8 million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 The Company will make monthly installment payments on the financed amount through April 20, 2024. The financed amount is recognized as an insurance financing cost included in other current assets and accrued expenses in the Company's consolidated balance sheets. At September 30, 2023, the Company's remaining obligation under the agreement was approximately $0.5 million. </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CRADA with NICHD for the Pivotal Phase 3 Study of Ovaprene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In accordance with the payment schedule under the CRADA, the Company has made aggregate payments of $5.0 million to NICHD, $3.5 million of which was paid in 2022. The Company's remaining obligation under the CRADA at September 30, 2023 was $0.5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8.    GRANT AWARDS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NICHD Non-Dilutive Grant Funding</w:t>
      </w:r>
    </w:p>
    <w:p>
      <w:pPr>
        <w:pStyle w:val="TextBody"/>
        <w:bidi w:val="0"/>
        <w:spacing w:lineRule="auto" w:line="288" w:before="0" w:after="0"/>
        <w:ind w:left="0" w:right="0" w:firstLine="720"/>
        <w:jc w:val="both"/>
        <w:rPr/>
      </w:pPr>
      <w:r>
        <w:rPr>
          <w:rFonts w:ascii="Arial;sans-serif" w:hAnsi="Arial;sans-serif"/>
          <w:b w:val="false"/>
          <w:color w:val="000000"/>
          <w:sz w:val="20"/>
        </w:rPr>
        <w:t>The Company has received notices of awards and non-dilutive grant funding from NICHD to support the development of DARE-PTB1, DARE-LARC1, DARE-204/214 and DARE-PTB2.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r>
        <w:rPr>
          <w:color w:val="000000"/>
        </w:rPr>
        <w:t xml:space="preserve">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2020, the Company received a notice of award of a grant from NICHD to support the development of DARE-PTB1. The award of approximately $300,000 was to be used for what is referred to as the "Phase I" segment of the project outlined in the Company's grant application. The Phase I segment ended in July 2023.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No determination has been received by the Company to date as to whether the Company will receive any funding for the Phase II segment and there is no guarantee the Company will receive any such funding.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for costs related to the NICHD award of $100 and $1,000 during the three and nine months ended September 30, 2023, respectively, and $459 and $19,911 during the three and nine months ended September 30, 2022, respectively. No receivable was recorded at September 30, 2023 or December 31, 2022. The Company received aggregate reimbursements under the NICHD award of approximately $216,000 during the grant period, which ended in July 2023. No further funds are available under this award for the Phase I segment.</w:t>
      </w:r>
    </w:p>
    <w:p>
      <w:pPr>
        <w:pStyle w:val="TextBody"/>
        <w:bidi w:val="0"/>
        <w:spacing w:lineRule="auto" w:line="288" w:before="240" w:after="283"/>
        <w:ind w:left="0" w:right="0" w:firstLine="720"/>
        <w:jc w:val="both"/>
        <w:rPr/>
      </w:pPr>
      <w:r>
        <w:rPr>
          <w:rFonts w:ascii="Arial;sans-serif" w:hAnsi="Arial;sans-serif"/>
          <w:b/>
          <w:color w:val="000000"/>
          <w:sz w:val="20"/>
        </w:rPr>
        <w:t>DARE-LARC1</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September 2021, the Company received a notice of award of a grant from NICHD to support the development of DARE-LARC1. The award in the amount of approximately $300,000 was to be used to explore device insertion and removal in nonclinical studies.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$0 and $32,000 for costs related to the NICHD award during the three and nine months ended September 30, 2023, respectively, and $3,000 and $196,000 for the three and nine months ended September 30, 2022, respectively. The Company recorded a receivable of approximately $33,000 at December 31, 2022 for expenses incurred through such date that were subsequently reimbursed under the grant. No receivable was recorded at September 30, 2023. The Company received aggregate reimbursements under the NICHD award of approximately $278,000 during the grant period, which ended in June 2023. No further funds are available under this award.</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DARE-204 and DARE-214</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$32,000 and $113,000 for costs related to the NICHD award during the three and nine months ended September 30, 2023, respectively, and approximately $65,000 for each of the three and nine months ended September 30, 2022. The Company recorded a receivable of approximately $65,000 and $24,000 at September 30, 2023 and December 31, 2022, respectively, for expenses incurred through such date that it believes are eligible for reimbursement under the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DARE-PTB2</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2023, the Company received a notice of award of a grant from NICHD of approximately $385,000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or USF, which are to occur over a 12-month period.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$600 for costs related to the NICHD award during the three and nine months ended September 30, 2023. The Company recorded a receivable of approximately $600 at September 30, 2023 for expenses incurred through such date that it believes are eligible for reimbursement under the grant.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received funding to support the preclinical development of DARE-LARC1 and DARE-LBT under grant agreements it entered into with the Bill &amp; Melinda Gates Foundation, or the Foundation, in June 2021 and November 2022, respectively. The Company is required to apply the funds it receives under the agreements solely toward direct costs for the applicable funded projects, other than approximately 10% of such funds, which it may apply toward general overhead and administration expenses that support the entire operations of the Company. The Company receives funding in advance and tracks and reports eligible expenses incurred to the Foundation. Funds received that have not been spent are recorded as cash and cash equivalents and as a deferred grant funding liability in our condensed consolidated balance sheets. Our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2022, the Company entered into an agreement with the Foundation under which the Company was awarded $585,000 to support the development of DARE-LBT. The Company received the full amount of the award in November 2022. As of September 30, 2023, the Company recorded a deferred grant funding liability of approximately $464,000 in the Company's condensed consolidated balance sheets.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in nonclinical proof-of-principle studies. As of September 30, 2023, the Company has received a cumulative total of approximately $28.3 million in non-dilutive funding under the agreement: approximately $11.5 million in 2021, approximately $12.4 million in 2022, and $4.5 million in 2023. Additional payments are contingent upon the DARE-LARC1 program’s achievement of specified development and reporting milestones. As of September 30, 2023, the Company recorded a deferred grant funding liability of approximately $15.2 million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NET LOSS PER SHARE</w:t>
      </w:r>
    </w:p>
    <w:p>
      <w:pPr>
        <w:pStyle w:val="TextBody"/>
        <w:bidi w:val="0"/>
        <w:spacing w:lineRule="auto" w:line="288" w:before="120" w:after="180"/>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Calibri;sans-serif" w:hAnsi="Calibr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9722" w:type="dxa"/>
        <w:jc w:val="center"/>
        <w:tblInd w:w="0" w:type="dxa"/>
        <w:tblLayout w:type="fixed"/>
        <w:tblCellMar>
          <w:top w:w="28" w:type="dxa"/>
          <w:left w:w="28" w:type="dxa"/>
          <w:bottom w:w="28" w:type="dxa"/>
          <w:right w:w="28" w:type="dxa"/>
        </w:tblCellMar>
      </w:tblPr>
      <w:tblGrid>
        <w:gridCol w:w="1020"/>
        <w:gridCol w:w="898"/>
        <w:gridCol w:w="901"/>
        <w:gridCol w:w="109"/>
        <w:gridCol w:w="109"/>
        <w:gridCol w:w="109"/>
        <w:gridCol w:w="614"/>
        <w:gridCol w:w="512"/>
        <w:gridCol w:w="195"/>
        <w:gridCol w:w="195"/>
        <w:gridCol w:w="195"/>
        <w:gridCol w:w="195"/>
        <w:gridCol w:w="557"/>
        <w:gridCol w:w="464"/>
        <w:gridCol w:w="195"/>
        <w:gridCol w:w="109"/>
        <w:gridCol w:w="109"/>
        <w:gridCol w:w="109"/>
        <w:gridCol w:w="570"/>
        <w:gridCol w:w="556"/>
        <w:gridCol w:w="181"/>
        <w:gridCol w:w="181"/>
        <w:gridCol w:w="181"/>
        <w:gridCol w:w="181"/>
        <w:gridCol w:w="517"/>
        <w:gridCol w:w="504"/>
        <w:gridCol w:w="256"/>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9,463,888 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6,612,554 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9,463,888 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6,612,554 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10,006,500 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10,006,500 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19,470,388 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7,993,569 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19,470,388 </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7,993,569 </w:t>
            </w:r>
          </w:p>
        </w:tc>
        <w:tc>
          <w:tcPr>
            <w:tcW w:w="2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10.    SUBSEQUENT EVENTS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Achievement of First Commercial Milestone Under License Agreement for XACIATO</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2023, the Company became entitled to receive a $1.8 million milestone payment from Organon in connection with first commercial sale in the U.S. of XACIATO in accordance with the license agreement between the Company and Organon, as amended.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ATM Sales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November 2023, the Company sold an aggregate of 270,000 shares of common stock under its ATM equity offering program and received aggregate gross proceeds of approximately $108,000 and incurred sales agent commissions and fees of approximately $2,500 (For a discussion of the ATM program, see Note 4, Stockholders'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2022 included in our Annual Report on Form 10-K for the year ended December 31, 2022, or our 2022 10-K, filed with the Securities and Exchange Commission, or SEC, on March 30, 2023.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2022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XACIATO™ is a trademark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first shipment of our first product, XACIATO (clindamycin phosphate) vaginal gel 2%, or XACIATO (pronounced zah-she-AH-toe), in connection with the first commercial sale of the product in the United States occurred in October 2023.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and, for an interim period, payments from Organon for commercial supply of XACIATO.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portfolio includes five product candidates in advanced clinical development (Phase 2-ready to Phase 3):</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Ovaprene®</w:t>
      </w:r>
      <w:r>
        <w:rPr>
          <w:rFonts w:ascii="Arial;sans-serif" w:hAnsi="Arial;sans-serif"/>
          <w:b w:val="false"/>
          <w:color w:val="000000"/>
          <w:sz w:val="20"/>
        </w:rPr>
        <w:t>, a hormone-free, monthly intravaginal contraceptive;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Sildenafil Cream, 3.6%</w:t>
      </w:r>
      <w:r>
        <w:rPr>
          <w:rFonts w:ascii="Arial;sans-serif" w:hAnsi="Arial;sans-serif"/>
          <w:b w:val="false"/>
          <w:color w:val="000000"/>
          <w:sz w:val="20"/>
        </w:rPr>
        <w:t>, a proprietary cream formulation of sildenafil for topical administration to the female genitalia on demand for the treatment of female sexual arousal disorder (FSAD) and/or female sexual interest/arousal disorder (FSIAD);</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DARE-HRT1</w:t>
      </w:r>
      <w:r>
        <w:rPr>
          <w:rFonts w:ascii="Arial;sans-serif" w:hAnsi="Arial;sans-serif"/>
          <w:b w:val="false"/>
          <w:color w:val="000000"/>
          <w:sz w:val="20"/>
        </w:rPr>
        <w:t xml:space="preserve">, an intravaginal ring designed to deliver both bio-identical estradiol and progesterone together, continuously over a 28-day period, for the treatment of moderate-to-severe vasomotor symptoms, as part of menopausal hormone therapy; </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DARE-VVA1</w:t>
      </w:r>
      <w:r>
        <w:rPr>
          <w:rFonts w:ascii="Arial;sans-serif" w:hAnsi="Arial;sans-serif"/>
          <w:b w:val="false"/>
          <w:color w:val="000000"/>
          <w:sz w:val="20"/>
        </w:rPr>
        <w:t>, a proprietary formulation of tamoxifen for intravaginal administration being developed as a hormone-free alternative to estrogen-based therapies for the treatment of moderate-to-severe vulvovaginal atrophy; and</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DARE-CIN</w:t>
      </w:r>
      <w:r>
        <w:rPr>
          <w:rFonts w:ascii="Arial;sans-serif" w:hAnsi="Arial;sans-serif"/>
          <w:b w:val="false"/>
          <w:color w:val="000000"/>
          <w:sz w:val="20"/>
        </w:rPr>
        <w:t>, a proprietary, fixed-dose formulation of lopinavir and ritonavir in a soft gel vaginal insert for the treatment of cervical intraepithelial neoplasia (CIN) and other human papillomavirus (HPV) related pathologies.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portfolio also includes five product candidates in Phase 1 clinical development or that we believe are Phase 1-ready:</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 xml:space="preserve">DARE-PDM1, </w:t>
      </w:r>
      <w:r>
        <w:rPr>
          <w:rFonts w:ascii="Arial;sans-serif" w:hAnsi="Arial;sans-serif"/>
          <w:b w:val="false"/>
          <w:color w:val="000000"/>
          <w:sz w:val="20"/>
        </w:rPr>
        <w:t>a proprietary hydrogel formulation of diclofenac, a nonsteroidal anti-inflammatory drug, for vaginal administration as a treatment for primary dysmenorrhea;</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DARE-204</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DARE-214</w:t>
      </w:r>
      <w:r>
        <w:rPr>
          <w:rFonts w:ascii="Arial;sans-serif" w:hAnsi="Arial;sans-serif"/>
          <w:b w:val="false"/>
          <w:color w:val="000000"/>
          <w:sz w:val="20"/>
        </w:rPr>
        <w:t>, injectable formulations of etonogestrel designed to provide contraception over 6-month and 12-month periods, respectively;</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DARE-FRT1</w:t>
      </w:r>
      <w:r>
        <w:rPr>
          <w:rFonts w:ascii="Arial;sans-serif" w:hAnsi="Arial;sans-serif"/>
          <w:b w:val="false"/>
          <w:color w:val="000000"/>
          <w:sz w:val="20"/>
        </w:rPr>
        <w:t>, an intravaginal ring designed to deliver bio-identical progesterone continuously for up to 14 days for luteal phase support as part of an in vitro fertilization treatment plan; and</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DARE-PTB1</w:t>
      </w:r>
      <w:r>
        <w:rPr>
          <w:rFonts w:ascii="Arial;sans-serif" w:hAnsi="Arial;sans-serif"/>
          <w:b w:val="false"/>
          <w:color w:val="000000"/>
          <w:sz w:val="20"/>
        </w:rPr>
        <w:t>, an intravaginal ring designed to deliver bio-identical progesterone continuously for up to 14 days for the prevention of preterm birth.</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our portfolio includes five preclinical stage programs: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delivering levonorgestrel with a woman-centered design that has the potential to be a long-acting, yet convenient and user-controlled contraceptive option;</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DARE-LBT</w:t>
      </w:r>
      <w:r>
        <w:rPr>
          <w:rFonts w:ascii="Arial;sans-serif" w:hAnsi="Arial;sans-serif"/>
          <w:b w:val="false"/>
          <w:color w:val="000000"/>
          <w:sz w:val="20"/>
        </w:rPr>
        <w:t>, a novel hydrogel formulation for vaginal delivery of live biotherapeutics to support vaginal health;</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DARE-GML</w:t>
      </w:r>
      <w:r>
        <w:rPr>
          <w:rFonts w:ascii="Arial;sans-serif" w:hAnsi="Arial;sans-serif"/>
          <w:b w:val="false"/>
          <w:color w:val="000000"/>
          <w:sz w:val="20"/>
        </w:rPr>
        <w:t xml:space="preserve">, an intravaginally-delivered potential multi-target antimicrobial agent formulated with glycerol monolaurate (GML), which has shown broad antimicrobial activity, killing bacteria and viruses; </w:t>
      </w:r>
    </w:p>
    <w:p>
      <w:pPr>
        <w:pStyle w:val="TextBody"/>
        <w:bidi w:val="0"/>
        <w:spacing w:lineRule="auto" w:line="288" w:before="200" w:after="120"/>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non-hormonal contraception for both men and women by targeting the CatSper ion channel; and</w:t>
      </w:r>
    </w:p>
    <w:p>
      <w:pPr>
        <w:pStyle w:val="TextBody"/>
        <w:bidi w:val="0"/>
        <w:spacing w:lineRule="auto" w:line="288" w:before="200" w:after="283"/>
        <w:ind w:left="0" w:right="0" w:hanging="360"/>
        <w:jc w:val="both"/>
        <w:rPr/>
      </w:pPr>
      <w:r>
        <w:rPr>
          <w:color w:val="000000"/>
        </w:rPr>
        <w:t>•</w:t>
      </w:r>
      <w:r>
        <w:rPr>
          <w:rFonts w:ascii="Arial;sans-serif" w:hAnsi="Arial;sans-serif"/>
          <w:b/>
          <w:color w:val="000000"/>
          <w:sz w:val="20"/>
        </w:rPr>
        <w:t>DARE-PTB2</w:t>
      </w:r>
      <w:r>
        <w:rPr>
          <w:rFonts w:ascii="Arial;sans-serif" w:hAnsi="Arial;sans-serif"/>
          <w:b w:val="false"/>
          <w:color w:val="000000"/>
          <w:sz w:val="20"/>
        </w:rPr>
        <w:t>, a novel approach for the prevention and treatment of idiopathic preterm birth through inhibition of a stress response protein.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product candidates and potential product candidates in our portfolio will require review and approval from the FDA, or a comparable foreign regulatory authority, prior to being marketed or sold. See below and ITEM 1. "BUSINESS," in Part I of our 2022 10-K for additional information regarding our product and product candidates.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For the rest of 2023 and until we secure additional capital to fund our operating needs, we will focus our resources primarily on advancement of Ovaprene and Sildenafil Cream, 3.6%.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below, we will need to raise substantial additional capital to continue to fund our operations and execute our current business strategy. We are also subject to a number of other risks common to biopharmaceutical companies, including, but not limited to, dependence on key employees, reliance on third-party collaborators, service providers and suppliers,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claims, and exposure to cybersecurity threats and incidents.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XACIATO</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October 2023, we became entitled to receive a $1.8 million milestone payment from Organon in connection with the first commercial sale in the U.S. of XACIATO in accordance with our exclusive global license agreement, as amended, and a $0.5 million payment from us to a third-party licensor became payable.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2023, we entered into an amendment to our license agreement with Organon and received $1.0 million from Organon as reimbursement for registration fees paid to the FDA in connection with the new drug application (NDA) for XACIATO (known as PDUFA fees) and other manufacturing expenses and to support continued advancement of the development and commercialization of XACIATO, which was recognized as license fee revenue. Under our agreement with Organon, we are also entitled to receive tiered double-digit royalties based on net sales and eligible to receive up to $180.0 million in tiered commercial sales milestones and regulatory milestones.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agreement with Organon, for an interim period, we will remain the holder of the FDA’s marketing approval for XACIATO and be responsible for providing commercial product supply. Upon Organon's request, we will assist with the transfer of the NDA by the FDA to Organon, as well as the transfer of manufacturing responsibilities to Organon. As the current NDA holder, we will continue to be responsible for regulatory and compliance matters, though Organon is responsible for commercializing, promoting, determining pricing, and negotiating reimbursement matters related to XACIATO. Organon will purchase all of its product requirements of XACIATO from us at a transfer price equal to our manufacturing costs plus a single-digit percentage markup. We will fulfill our commercial supply obligations through the contract manufacturer that provided clinical supplies of XACIATO for our pivotal Phase 3 DARE-BVFREE clinical study of XACIATO. We will not be responsible for other costs of commercializing XACIATO.</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Clinical-Stage Program Updates</w:t>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Ovaprene</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anticipate subject enrollment in a single arm, open-label pivotal contraceptive efficacy study of Ovaprene to begin before the end of 2023. The multi-center, non-comparative pivotal Phase 3 clinical study will evaluate Ovaprene’s effectiveness as a contraceptive device along with its safety and usability. We will target having approximately 250 women complete approximately 12 months (13 menstrual cycles) of use of Ovaprene. Based on typical dropout rates for contraceptive efficacy studies, we will seek to enroll more than double the number of subjects we target to complete 13 menstrual cycles of use. We have been working with our collaborators at the National Institutes of Health, or NIH, and at Bayer to review and implement study design considerations provided by the FDA with its Investigational Device Exemption, or IDE, approval letter, which we believe will further position the Phase 3 study to collect safety and effectiveness data to enable the preparation of, and to support the submission of, a premarket approval, or PMA, application for Ovaprene.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a PMA application to the FDA, as well as regulatory filings in Europe and other countries worldwide, to allow for marketing approvals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The Phase 3 study will be conducted under our Cooperative Research and Development Agreement, or CRADA, with the U.S. Department of Health and Human Services, as represented by the Eunice Kennedy Shriver National Institute of Child Health and Human Development, or the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NICHD is responsible for the other costs related to the conduct of the Phase 3 study and for managing the payment of expenses to the contract research organization for the study, the clinical sites, and other parties involved with the study. We and NICHD are in discussions regarding an amendment to the CRADA, which we expect will delay the due date of our remaining $0.5 million payment to NICHD to the first quarter of 2024. In the future, depending on the duration of the enrollment period and number of subjects enrolled in the Phase 3 study, there may be costs associated with the study that are not reflected in the current budget under the CRADA, in which case, we and NICHD would discuss the mechanism to potentially provide for additional future payments by us in support of the Phase 3 study. We do not expect any such potential additional amounts to be payable in 2023.</w:t>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Sildenafil Cream, 3.6%</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2023, we announced topline results from our exploratory Phase 2b RESPOND clinical study of Sildenafil Cream, 3.6%, or Sildenafil Cream, in premenopausal women with FSAD, and in July and November 2023, we announced additional findings based on further analyses of data from the study. During the multi-center, double-blind, randomized, placebo-controlled study, subjects used Sildenafil Cream and placebo cream in their home setting over 12 weeks following a 4-week non-drug run-in period and a 4-week, single-blind placebo run-in period. The study was a first of its kind Phase 2b clinical study that included patient reported outcome instruments to screen for eligible women with FSAD and measure efficacy endpoints. There are no treatments approved by the FDA for FSAD, as described in the fourth edition of the Diagnostic and Statistical Manual (DSM), or for FSIAD, as described in the fifth edition of the DSM, and thus, there are no efficacy endpoints that have been previously validated in a Phase 3 pivotal study for potential treatments for FSAD or FSIAD.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believe data from the Phase 2b RESPOND study support advancing clinical development of Sildenafil Cream into a Phase 3 pivotal study in women with FSAD and women with FSIAD whose primary complaint is arousal dysfunction using co-primary endpoints similar to those used in the Phase 2b RESPOND study to measure Sildenafil Cream's efficacy compared to placebo cream as a potential treatment for FSAD and FSIAD. Phase 3 clinical study design, including primary and secondary efficacy endpoints, study duration, timing for efficacy endpoint assessment, use of endpoints that reduce burden on study subjects (e.g., 28-day recall assessments as opposed to recall assessments within 24 hours after each sexual event), and inclusion/exclusion criteria for study subjects, will be determined following discussions with the FDA, including an end-of-phase 2 meeting with the FDA, which we expect to occur before the end of 2023.</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2023, we announced the initiation of subject enrollment in a Phase 1, single-dose, double-blind, placebo-controlled, 3-way crossover clinical study of Sildenafil Cream using thermography to assess the pharmacodynamic (PD) and pharmacokinetic (PK) characterization of Sildenafil Cream. We expect this study will enroll approximately 15 women and be completed in early 2024. Data from the study will expand our existing clinical and nonclinical data for Sildenafil Cream and are expected to support the ongoing development of Sildenafil Cream as a potential treatment for FSAD and/or FSIAD.</w:t>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DARE-HRT1</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the results of our randomized, open-label, two arm, parallel group Phase 1/2 clinical study of two versions of DARE-HRT1 (estradiol 80 µg/progesterone 4 mg intravaginal ring (IVR) and estradiol 160 µg/progesterone 8 mg IVR) conducted by our wholly owned subsidiary in Australia and pre-IND communications with the FDA , we plan to advance DARE-HRT1 directly into a Phase 3 clinical trial. We believe FDA approval of DARE-HRT1 for the treatment of moderate-to-severe vasomotor symptoms, or VMS, due to menopause in women with intact uteri is achievable via the FDA's 505(b)(2) pathway supported by a single, placebo-controlled Phase 3 clinical trial and a scientifically justified PK “bridge” (via a relative bioavailability trial) between DARE-HRT1 and the selected listed estradiol and progesterone drugs. We are conducting activities necessary to enable submission of an investigational new drug application, or IND, to the FDA for a pivotal Phase 3 clinical study of DARE-HRT1. We do not plan to conduct the Phase 3 study until after we secure additional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DARE-VVA1</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results of our randomized, multi-center, double-blind, parallel-arm, placebo-controlled, dose-ranging Phase 1/2 clinical study of DARE-VVA1, conducted by our wholly owned subsidiary in Australia, support ongoing development of DARE-VVA1 as a potential hormone-free treatment for moderate-to-severe VVA. We are conducting activities to support an IND submission to the FDA and an IND-opening Phase 2 clinical study. We do not plan to conduct the Phase 2 study until after we secure additional capital.</w:t>
      </w:r>
    </w:p>
    <w:p>
      <w:pPr>
        <w:pStyle w:val="TextBody"/>
        <w:bidi w:val="0"/>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DARE-CIN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acquired exclusive rights to develop and commercialize in the United States an investigational, proprietary lopinavir and ritonavir combination soft gel vaginal insert, which we refer to as DARE-CIN (formerly referred to as R-131-2), for the treatment of CIN and other HPV-related pathologies. DARE-CIN was previously evaluated in a proof-of-concept clinical study and the results demonstrated its potential as a self-applied therapy for HPV infection and related cervical lesions. We are conducting limited activities to support an IND submission to the FDA to enable progression to Phase 2 clinical development in the United States.</w:t>
      </w:r>
    </w:p>
    <w:p>
      <w:pPr>
        <w:pStyle w:val="TextBody"/>
        <w:bidi w:val="0"/>
        <w:spacing w:before="0" w:after="0"/>
        <w:ind w:left="0" w:right="0" w:firstLine="720"/>
        <w:jc w:val="both"/>
        <w:rPr/>
      </w:pPr>
      <w:r>
        <w:rPr/>
      </w:r>
    </w:p>
    <w:p>
      <w:pPr>
        <w:pStyle w:val="TextBody"/>
        <w:bidi w:val="0"/>
        <w:spacing w:lineRule="auto" w:line="276" w:before="160" w:after="12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DARE-PDM1</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In February 2023, we announced the start of a Phase 1 clinical study of DARE-PDM1, which is being conducted by our wholly owned subsidiary in Australia. The DARE-PDM1 Phase 1 study, DARE-PDM1-001, is a multi-center, randomized, placebo-controlled, double-blind, three-arm parallel group study expected to enroll approximately 36 healthy, premenopausal women with primary dysmenorrhea. This study is designed to assess the systemic (plasma) and local mucosal (vaginal fluid) diclofenac PK and safety after a single dose and during three daily doses of vaginally administered DARE-PDM1, given in two different strengths (1% or 3% diclofenac in 2.5 mL of hydrogel) versus placebo. The study will also assess, as an exploratory endpoint, the preliminary dysmenorrhea treatment efficacy of DARE-PDM1, when dosed in three daily doses at the onset of dysmenorrhea symptoms, compared to a no-treatment, baseline, control cycle. The study observation period will encompass approximately three menstrual cycles. We anticipate announcing topline data from the study in 2023.</w:t>
      </w:r>
    </w:p>
    <w:p>
      <w:pPr>
        <w:pStyle w:val="TextBody"/>
        <w:bidi w:val="0"/>
        <w:spacing w:lineRule="auto" w:line="276" w:before="160" w:after="120"/>
        <w:ind w:left="0" w:right="0" w:firstLine="720"/>
        <w:jc w:val="both"/>
        <w:rPr/>
      </w:pPr>
      <w:r>
        <w:rPr>
          <w:rFonts w:ascii="Arial;sans-serif" w:hAnsi="Arial;sans-serif"/>
          <w:b/>
          <w:i/>
          <w:color w:val="000000"/>
          <w:sz w:val="20"/>
          <w:u w:val="single"/>
        </w:rPr>
        <w:t>DARE-204 and DARE-214</w:t>
      </w:r>
      <w:r>
        <w:rPr>
          <w:color w:val="000000"/>
          <w:u w:val="single"/>
        </w:rPr>
        <w:t xml:space="preserv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plan to conduct Phase 1 clinical studies of DARE-204 and DARE-214 in Australia through our wholly-owned subsidiary in Australia. Additional manufacturing activities are necessary to commence the Phase 1 studies and these activities have not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160" w:after="240"/>
        <w:ind w:left="0" w:right="0" w:firstLine="720"/>
        <w:jc w:val="both"/>
        <w:rPr>
          <w:rFonts w:ascii="Arial;sans-serif" w:hAnsi="Arial;sans-serif"/>
          <w:b/>
          <w:i/>
          <w:color w:val="000000"/>
          <w:sz w:val="20"/>
        </w:rPr>
      </w:pPr>
      <w:r>
        <w:rPr>
          <w:rFonts w:ascii="Arial;sans-serif" w:hAnsi="Arial;sans-serif"/>
          <w:b/>
          <w:i/>
          <w:color w:val="000000"/>
          <w:sz w:val="20"/>
        </w:rPr>
        <w:t>Amendment of License Agreement for XACIATO and Achievement of First Commercial Milestone</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above, in July 2023, we entered into an amendment to our exclusive global license agreement to commercialize XACIATO and received a $1.0 million payment from Organon, and in October 2023, we became entitled to receive a $1.8 million milestone payment from Organon in connection with the first commercial sale in the U.S. of XACIATO in accordance with the license agreement, as amended. In addition to the milestone payment, we are entitled to receive tiered double-digit royalties based on net sales and eligible to receive potential future milestone payments of up to $180 million. See "XACIATO," above.</w:t>
      </w:r>
    </w:p>
    <w:p>
      <w:pPr>
        <w:pStyle w:val="TextBody"/>
        <w:bidi w:val="0"/>
        <w:spacing w:lineRule="auto" w:line="288" w:before="160" w:after="283"/>
        <w:ind w:left="0" w:right="0" w:firstLine="720"/>
        <w:jc w:val="both"/>
        <w:rPr>
          <w:rFonts w:ascii="Arial;sans-serif" w:hAnsi="Arial;sans-serif"/>
          <w:b/>
          <w:i/>
          <w:color w:val="000000"/>
          <w:sz w:val="20"/>
        </w:rPr>
      </w:pPr>
      <w:r>
        <w:rPr>
          <w:rFonts w:ascii="Arial;sans-serif" w:hAnsi="Arial;sans-serif"/>
          <w:b/>
          <w:i/>
          <w:color w:val="000000"/>
          <w:sz w:val="20"/>
        </w:rPr>
        <w:t>Receipt of Grant Funding Installment to Support DARE-LARC1</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September 2023, we received a payment of $4.5 million as the latest installment under a grant to advance the development of our investigational contraceptive DARE-LARC1 through nonclinical proof-of-principle studies and other IND-enabling work to allow for the submission of an IND application with the FDA, approval of which will be required to commence testing in humans. Under the terms of the grant agreement, we may receive a total of up to approximately $49.0 million to support nonclinical development of DARE-LARC1. As of September 30, 2023, we had received a cumulative total of approximately $28.3 million of such total potential amount under the grant agreement. Additional payments are conditioned on the program meeting specified development and reporting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i/>
          <w:color w:val="000000"/>
          <w:sz w:val="20"/>
        </w:rPr>
      </w:pPr>
      <w:r>
        <w:rPr>
          <w:rFonts w:ascii="Arial;sans-serif" w:hAnsi="Arial;sans-serif"/>
          <w:b/>
          <w:i/>
          <w:color w:val="000000"/>
          <w:sz w:val="20"/>
        </w:rPr>
        <w:t>Registered Direct Offering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August 29, 2023, we entered into a securities purchase agreement with two investors relating to the purchase and sale in a registered direct offering of an aggregate of (i) 10,000,000 shares of our common stock, and (ii) warrants to purchase an aggregate of 10,000,000 shares of our common stock. Each warrant is exercisable for one share of our common stock. The offering price was $0.70 per share of common stock and accompanying warrant. The aggregate gross proceeds to us from the offering were $7.0 million before deducting offering expenses, and net proceeds were approximately $6.8 million. The warrants are exercisable six months after issuance, have a term of five and one-half years from the date of issuance and have an exercise price of $0.77 per share, subject to adjustment for stock splits, reverse stock splits, stock dividends and similar transactions. </w:t>
      </w:r>
    </w:p>
    <w:p>
      <w:pPr>
        <w:pStyle w:val="TextBody"/>
        <w:bidi w:val="0"/>
        <w:spacing w:lineRule="auto" w:line="288" w:before="160" w:after="283"/>
        <w:ind w:left="0" w:right="0" w:firstLine="720"/>
        <w:jc w:val="both"/>
        <w:rPr>
          <w:rFonts w:ascii="Arial;sans-serif" w:hAnsi="Arial;sans-serif"/>
          <w:b/>
          <w:i/>
          <w:color w:val="000000"/>
          <w:sz w:val="20"/>
        </w:rPr>
      </w:pPr>
      <w:r>
        <w:rPr>
          <w:rFonts w:ascii="Arial;sans-serif" w:hAnsi="Arial;sans-serif"/>
          <w:b/>
          <w:i/>
          <w:color w:val="000000"/>
          <w:sz w:val="20"/>
        </w:rPr>
        <w:t>NICHD Non-Dilutive Grant Award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we received a notice of award of a grant from NICHD of approximately $385,000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or USF, which are to occur over a 12-month period. We previously entered into an option agreement with the University of South Florida Research Foundation, Inc., or USFRF, a nonprofit Florida corporation that is a direct support organization of USF, pursuant to which we have an exclusive right, and not an obligation, to elect to negotiate to acquire the exclusive worldwide rights in the field of human reproduction to patents and know-how controlled by USFRF relating to the potential therapeutic whose development is being supported by the NICHD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283"/>
        <w:ind w:left="0" w:right="0" w:firstLine="720"/>
        <w:jc w:val="both"/>
        <w:rPr/>
      </w:pPr>
      <w:r>
        <w:rPr>
          <w:rFonts w:ascii="Arial;sans-serif" w:hAnsi="Arial;sans-serif"/>
          <w:b w:val="false"/>
          <w:color w:val="000000"/>
          <w:sz w:val="20"/>
        </w:rPr>
        <w:t>To date we have generated $12.8 million in revenue, all of which is recognized as license fee revenue. Of our revenue, $10.0 million represents the upfront payment under our license agreement with Organon to commercialize XACIATO, $1.0 million represents payment under our license agreement with Organon as reimbursement for PDUFA fees and other manufacturing expenses and to support continued advancement of the development and commercialization of XACIATO, and $1.8 million represents the milestone payment under our license agreement with Organon in connection with the first commercial sale of XACIATO which will be recognized in the fourth quarter of 2023.</w:t>
      </w:r>
      <w:r>
        <w:rPr>
          <w:color w:val="000000"/>
        </w:rPr>
        <w:t xml:space="preserve"> </w:t>
      </w:r>
      <w:r>
        <w:rPr>
          <w:rFonts w:ascii="Arial;sans-serif" w:hAnsi="Arial;sans-serif"/>
          <w:b w:val="false"/>
          <w:color w:val="000000"/>
          <w:sz w:val="20"/>
        </w:rPr>
        <w:t>In the future, we may generate revenue from royalties and commercial milestones based on the net sales of XACIATO, from product sales of other approved products, if any, and from license fees, milestone payments, and research and development payments in connection with strategic collaborations. In the future and for an interim period until the NDA for XACIATO is transferred to Organon, we may also generate revenue from commercial supply of XACIATO to Organon.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XACIATO is not commercially successful or we fail to complete the development of our product candidates in a timely manner, or to receive regulatory approval for such product candidates, our ability to generate future revenue and our results of operations would be materially adversely affected.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trial sites and consultants that conduct research and development and regulatory affairs activities on our behalf;</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laboratory and vendor expenses related to the execution of nonclinical studies and clinical trials;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 xml:space="preserve">contract manufacturing expenses, primarily for the production of clinical supplies; </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we incur, or the incurrence of which we deem probable;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internal costs associated with activities performed by our research and development organization and generally benefit multiple programs.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research and development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the first commercial sale of XACIATO, we recognized contract manufacturing expenses associated with producing commercial supplies of XACIATO and costs of regulatory affairs activities related to XACIATO as research and development expenses. Following the first commercial sale of XACIATO, and for the interim period during which we remain the holder of the FDA's marketing approval and continue to provide commercial supplies of XACIATO to Organon, those expenses will be recognized as selling, general and administrative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research and development expenses. The amounts are determined based on our eligible research and development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receive funding through grants that support activities related to the development of certain of our product candidates. As we incur eligible expenses under those grants, we recognize grant funding in the statements of operations as a reduction to research and development expense (contra-research and development expense). For more information, see Note 2, Basis of Presentation and Summary of Significant Accounting Policies – Grant Funding, to our consolidated financial statements contained in our 2022 10-K and Note 8, Grant Awards, to our condensed consolidated financial statements contained in this report. For the three and nine months ended September 30, 2023 and 2022, we recognized contra-research and development expenses of approximately $2.6 million and $7.3 million, respectively, and $2.0 million and $4.0 million, respectively.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of personnel costs, facility expenses, expenses for outside professional services, including legal, audit and accounting services, and commercial-readiness expenses. Personnel costs consist of salaries, benefits and stock-based compensation. Facility expenses consist of rent and other related costs. Commercial-readiness expenses consist of consultant and advisor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and Note 2 to our financial statements contained in our 2022 10-K, and Note 2 to our condensed consolidated financial statements contained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September 30, 2023 and 2022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9873" w:type="dxa"/>
        <w:jc w:val="center"/>
        <w:tblInd w:w="0" w:type="dxa"/>
        <w:tblLayout w:type="fixed"/>
        <w:tblCellMar>
          <w:top w:w="28" w:type="dxa"/>
          <w:left w:w="28" w:type="dxa"/>
          <w:bottom w:w="28" w:type="dxa"/>
          <w:right w:w="28" w:type="dxa"/>
        </w:tblCellMar>
      </w:tblPr>
      <w:tblGrid>
        <w:gridCol w:w="1325"/>
        <w:gridCol w:w="1163"/>
        <w:gridCol w:w="1171"/>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40"/>
        <w:gridCol w:w="241"/>
        <w:gridCol w:w="286"/>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(7,019,843)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revenue for the three months ended September 30, 2023 relates to our license agreement with Organon to commercialize XACIATO. We recognized $1.0 million in license fee revenue upon execution of the amendment to our license agreement in July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$45,000 in general and administrative expenses for the three months ended September 30, 2023 as compared to the three months ended September 30, 2022 was primarily attributable to increases in commercial-readiness expenses of approximately $0.2 million and stock-based compensation expense of approximately $41,000. These increases were partially offset by decreases in personnel costs of approximately $177,000, general corporate overhead, including rent and facilities expenses, of approximately $42,000 and professional services expense of approximately $23,000.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$2.2 million in research and development expenses for the three months ended September 30, 2023 as compared to the three months ended September 30, 2022 was primarily attributable to increases in (i) expenses related to our Sildenafil Cream exploratory Phase 2b RESPOND clinical study of approximately $2.0 million, (ii) expenses related to clinical trial and manufacturing and regulatory affairs activities for Ovaprene of approximately $0.4 million, (iii) costs related to preclinical and other development expenses of approximately $0.3 million, and (iv) stock-based compensation expense of approximately $39,000. These increases were partially offset by decreases in costs related to development activities for our Phase 1 and Phase 1-ready programs of approximately $0.3 million, personnel costs of approximately $0.1 million, and expenses related to XACIATO of approximately $38,000.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each of the three months ended September 30, 2023 and September 30, 2022, we accrued $25,000 of the $100,000 annual license maintenance fee payable under our license agreement related to DARE-HRT1.</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condensed consolidated financial statements contained in this report.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$22,000 in other income for the three months ended September 30, 2023 as compared to the three months ended September 30, 2022 was primarily due to a decrease in interest earned on cash balances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Comparison of Nine Months Ended September 30, 2023 and 2022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10188" w:type="dxa"/>
        <w:jc w:val="center"/>
        <w:tblInd w:w="0" w:type="dxa"/>
        <w:tblLayout w:type="fixed"/>
        <w:tblCellMar>
          <w:top w:w="28" w:type="dxa"/>
          <w:left w:w="28" w:type="dxa"/>
          <w:bottom w:w="28" w:type="dxa"/>
          <w:right w:w="28" w:type="dxa"/>
        </w:tblCellMar>
      </w:tblPr>
      <w:tblGrid>
        <w:gridCol w:w="1325"/>
        <w:gridCol w:w="1163"/>
        <w:gridCol w:w="1171"/>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58"/>
        <w:gridCol w:w="223"/>
        <w:gridCol w:w="286"/>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26,768,420 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25,154,921 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(15,154,921)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(10,613,499)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(25,103,829)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(10,099,314)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(15,380,282)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(9,791,733)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pPr>
      <w:r>
        <w:rPr>
          <w:rFonts w:ascii="Arial;sans-serif" w:hAnsi="Arial;sans-serif"/>
          <w:b w:val="false"/>
          <w:color w:val="000000"/>
          <w:sz w:val="20"/>
        </w:rPr>
        <w:t>License fee revenue relates to our license agreement with Organon to commercialize XACIATO. For the nine months ended September 30, 2023, see "—</w:t>
      </w:r>
      <w:r>
        <w:rPr>
          <w:rFonts w:ascii="Arial;sans-serif" w:hAnsi="Arial;sans-serif"/>
          <w:b w:val="false"/>
          <w:i/>
          <w:color w:val="000000"/>
          <w:sz w:val="20"/>
        </w:rPr>
        <w:t>Comparison of Three Months Ended September 30, 2023 and 2022 (Unaudited)—Revenues</w:t>
      </w:r>
      <w:r>
        <w:rPr>
          <w:rFonts w:ascii="Arial;sans-serif" w:hAnsi="Arial;sans-serif"/>
          <w:b w:val="false"/>
          <w:color w:val="000000"/>
          <w:sz w:val="20"/>
        </w:rPr>
        <w:t>," above.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nine months ended September 30, 2022, we recognized $10.0 million in license fee revenue related to the transfer of the license and related know-how to Organon upon effectiveness of the agreement in June 2022.</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$0.9 million in general and administrative expenses for the nine months ended September 30, 2023 as compared to the nine months ended September 30, 2022 was primarily attributable to (i) an increase in commercial-readiness expenses of approximately $0.4 million, (ii) a one-time fraud loss of approximately $0.2 million, net of proceeds we received under an insurance policy, related to criminal fraud commonly referred to as "business email compromise fraud" to which we were subject, (iii) an increase in stock-based compensation expense of approximately $0.2 million, and (iv) an increase in professional services expense of approximately $0.2 million. These increases were partially offset by decreases in general corporate overhead, including rent and facilities expenses, of approximately $79,000, and personnel costs of approximately $24,000.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$0.7 million in research and development expenses for the nine months ended September 30, 2023 as compared to the nine months ended September 30, 2022 was primarily attributable to increases in (i) costs related to development activities for our Phase 1 and Phase 1-ready programs of approximately $1.8 million, (ii) costs related to our Sildenafil Cream exploratory Phase 2b RESPOND clinical study of approximately $0.4 million, (iii) stock-based compensation expense of approximately $0.1 million, and (iv) personnel costs of approximately $89,000. These increases were partially offset by decreases in costs related to (a) clinical trial and manufacturing and regulatory affairs activities for Ovaprene of approximately $1.5 million, (b) clinical trial and manufacturing and regulatory affairs activities for XACIATO of approximately $0.2 million, and (d) rent and facilities costs of approximately $78,000.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each of the nine months ended September 30, 2023 and September 30, 2022, we accrued $75,000 of the $100,000 annual license maintenance fee payable under our license agreement related to DARE-HRT1.</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condensed consolidated financial statements contained in this report.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$0.5 million in other income for the nine months ended September 30, 2023 as compared to the nine months ended September 30, 2022 was primarily due to an increase in interest earned on cash balances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September 30, 2023, our accumulated deficit was approximately $166.2 million, our cash and cash equivalents were approximately $13.9 million, and our working capital deficit was approximately $3.9 million. We incurred a loss from operations of approximately $25.1 million and had negative cash flow from operations of approximately $30.7 million during the nine months ended September 30, 2023. Substantially all of our cash and cash equivalents at September 30, 2023 represented funds received under grant agreements related to DARE-LARC1 and DARE-LBT and such funds may be applied solely toward direct costs for the development of DARE-LARC1 and DARE-LBT, other than approximately 10% of such funds, which may be applied toward general overhead and administration expenses that support our entire operations. For additional information about these grant agreements, see "—Deferred Grant Funding" and "—Grant Agreements," below.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to incur significant losses from operations and negative cash flows from operations for the foreseeable future as we continue to develop and seek to bring to market our product candidates. 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our sources of potential revenue are our license agreements relating to XACIATO and Ovaprene. In October 2023, we became entitled to receive a $1.8 million milestone payment from Organon in connection with the first commercial sale in the U.S. of XACIATO in accordance with our exclusive global license agreement, as amended, and we are eligible to receive royalty payments at rates in the tiered double-digits based on annual net sales of XACIATO. We do not expect royalty payments for 2023 net sales of XACIATO to materially impact our cash resources or requirements. In regard to our license agreement relating to the commercialization of Ovaprene in the U.S., if approved, we are not eligible to receive any additional payments from our collaborator until after we complete the planned pivotal Phase 3 clinical study of Ovaprene, which we do not expect to be completed in 2024.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anticipate our general and administrative expenses for 2023 will exceed our general and administrative expenses for 2022 primarily due to increased commercial-readiness expenses, personnel costs and other general corporate overhead. Our general and administrative expenses for the fourth quarter of 2023 will include a $500,000 milestone payment by us under our in-license agreement for XACIATO as a result of the first commercial sale of XACIATO in the U.S.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In large part, we can control the pace of advancement of our development programs and therefore, we can control the timing of when we incur most of our 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closely monitor our limited cash resources and we have implemented cost-savings measures, primarily by controlling our spend on research and development activities related to clinical-stage programs other than Ovaprene and Sildenafil Cream. Our research and development expenses for the remainder of 2023 and until we secure additional capital to fund our operating needs, will continue to be primarily associated with manufacturing activities in connection with our planned pivotal Phase 3 clinical study of Ovaprene, our ongoing Phase 1 thermography clinical study of Sildenafil Cream and other activities, including regulatory affairs activities, related to advancing Sildenafil Cream toward a Phase 3 clinical study. However, we plan to continue to advance preclinical development of DARE-LARC1 and DARE-LBT, the costs of which are being supported by grant funding.</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We will need additional capital to fund our operating needs into the first quarter of 2024 and to meet our current obligations as they become due. We are in ongoing discussions with multiple potential third-party sources of additional capital, including non-dilutive sources of capital. Many aspects of our ability to obtain additional capital are not entirely within our control and there can be no assurance that we will receive additional capital when needed, on favorable terms, or at all.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Item 1A of Part II of this report titled, </w:t>
      </w:r>
      <w:r>
        <w:rPr>
          <w:rFonts w:ascii="Arial;sans-serif" w:hAnsi="Arial;sans-serif"/>
          <w:b w:val="false"/>
          <w:i/>
          <w:color w:val="000000"/>
          <w:sz w:val="20"/>
        </w:rPr>
        <w:t>We will need to raise substantial additional capital to continue our operations and execute our business strategy, and we may not be able to raise adequate capital on a timely basis, on favorable terms, or at all.</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and strategic collaborations. We will continue to evaluate and may pursue a variety of capital raising options on an on-going basis, including sales of equity (including sales of our common stock in ATM offerings), debt financings, government or other grant funding, collaborations, structured financings, and strategic alliances or other similar types of arrangements, to cover our operating expenses, and the cost of any license or other acquisition of new product candidates or technologies.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rising interest rates, economic recession, adverse developments affecting financial institutions or the financial services industry, impacts of the wars in Ukraine and the Middle East,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prepared the accompanying condensed consolidated financial statements on a going concern basis, which assumes that we will realize our assets and satisfy our liabilities in the normal course of business. As discussed above, there is substantial doubt about our ability to continue as a going concern because we do not have sufficient cash to satisfy our working capital needs and other liquidity requirements over at least the next 12 months from the date of issuance of the accompanying condensed consolidated financial statements.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Deferred Grant Funding</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have received substantial funding under grant agreements related to DARE-LARC1 and DARE-LBT. Under these agreements we generally receive grant funds before we incur the eligible expenses. Funds received that have not been spent are recorded both as cash and cash equivalents and as a deferred grant funding liability in our condensed consolidated balance sheets. Our deferred grant funding liability also includes grant funds spent but not yet expensed in accordance with GAAP. At September 30, 2023, our deferred grant funding liability was approximately $15.7 million, which primarily consisted of unspent funds for the DARE-LARC1 program. The balance of our deferred grant funding liability at September 30, 2023 primarily consisted of funds for the DARE-LARC1 program that have been spent but not yet expensed in accordance with GAAP. For more information about these grant agreements, see "—Grant Agreements" below, Note 2, Basis of Presentation and Summary of Significant Accounting Policies—Grant Funding, to our consolidated financial statements contained in our 2022 10-K and Note 8, Grant Awards—Other Non-Dilutive Grant Funding, to our condensed consolidated financial statements contained in this report.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10205" w:type="dxa"/>
        <w:jc w:val="center"/>
        <w:tblInd w:w="0" w:type="dxa"/>
        <w:tblLayout w:type="fixed"/>
        <w:tblCellMar>
          <w:top w:w="28" w:type="dxa"/>
          <w:left w:w="28" w:type="dxa"/>
          <w:bottom w:w="28" w:type="dxa"/>
          <w:right w:w="28" w:type="dxa"/>
        </w:tblCellMar>
      </w:tblPr>
      <w:tblGrid>
        <w:gridCol w:w="2478"/>
        <w:gridCol w:w="2165"/>
        <w:gridCol w:w="2181"/>
        <w:gridCol w:w="211"/>
        <w:gridCol w:w="1184"/>
        <w:gridCol w:w="109"/>
        <w:gridCol w:w="109"/>
        <w:gridCol w:w="109"/>
        <w:gridCol w:w="109"/>
        <w:gridCol w:w="211"/>
        <w:gridCol w:w="1184"/>
        <w:gridCol w:w="155"/>
      </w:tblGrid>
      <w:tr>
        <w:trPr/>
        <w:tc>
          <w:tcPr>
            <w:tcW w:w="247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(30,677,749)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(12,191,757)</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cash equivalents and restricted cash</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(20,440,181)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(11,284,541)</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for the nine months ended September 30, 2023 included the net loss of $25.1 million, decreased by non-cash stock-based compensation expense of approximately $1.9 million. Components providing operating cash were an increase in accounts payable of approximately $3.0 million, a decrease in other receivables of approximately $0.6 million, an increase in deferred revenue of approximately $0.2 million related to XACIATO commercial product supply, and a decrease in prepaid expenses of approximately $0.1 million. Components reducing operating cash were a decrease in accrued expenses of approximately $6.1 million, a decrease in deferred grant funding of approximately $2.6 million, an increase in deposits of approximately $1.8 million primarily related to deposits paid for the construction of capital equipment, an increase in other current assets of approximately $0.8 million primarily related to the financing of certain director and officer and other liability insurance premiums recorded as insurance financing payable, deferred financing costs related to our ATM sales agreement, and inventory of XACIATO commercial supply, and a one-time fraud loss of $0.2 million related to a "business email compromise fraud" to which we were subject, net of insurance reimbursement, which was recognized in general and administrative expenses.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nine months ended September 30, 2022 included the net loss of $15.0 million, decreased by non-cash stock-based compensation expense of approximately $1.6 million. Components providing operating cash were an increase in deferred grant funding of approximately $4.3 million, an increase in accounts payable of approximately $1.4 million, and an increase in accrued expenses of approximately $1.0 million. Components reducing operating cash were an increase in prepaid expenses of approximately $4.4 million and an increase in other receivables of approximately $1.1 million.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used in investing activities for the nine months ended September 30, 2023 and September 30, 2022 was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nine months ended September 30, 2023 of approximately $10.3 million primarily consisted of proceeds from (i) the sale of our common stock and warrants in the registered direct offering completed in September 2023, (ii) sales of our common stock under our ATM sales agreement, (iii) the exercise of warrants, and (iv) the financing of certain director and officer and other liability insurance premiums.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provided by financing activities for the nine months ended September 30, 2022 of approximately $1.3 million primarily consisted of proceeds from sales of our common stock under our ATM sales agreement. </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pPr>
      <w:r>
        <w:rPr>
          <w:rFonts w:ascii="Arial;sans-serif" w:hAnsi="Arial;sans-serif"/>
          <w:b w:val="false"/>
          <w:color w:val="000000"/>
          <w:sz w:val="20"/>
        </w:rPr>
        <w:t>We agreed to make royalty and milestone payments under the license and development agreements related to XACIATO, Ovaprene, and Sildenafil Cream, and under other agreements related to our other clinical and preclinical candidates. During the remainder of 2023, based on our current expectations regarding the development of our product candidates and sales of XACIATO, we expect to pay approximately $0.6 million in license fee expense and milestone payments under the license and development agreements, which is significantly less than our previously reported expected amount, primarily due to lesser anticipated royalty payments we may owe with respect to sales of XACIATO resulting from the delay of its commercial launch from earlier expectations and lesser anticipated milestone payments with respect to milestone events for certain product candidates no longer expected to occur in 2023</w:t>
      </w:r>
      <w:r>
        <w:rPr>
          <w:rFonts w:ascii="Times New Roman;sans-serif" w:hAnsi="Times New Roman;sans-serif"/>
          <w:b w:val="false"/>
          <w:color w:val="000000"/>
          <w:sz w:val="20"/>
        </w:rPr>
        <w:t>.</w:t>
      </w:r>
      <w:r>
        <w:rPr>
          <w:color w:val="000000"/>
        </w:rPr>
        <w:t> </w:t>
      </w:r>
      <w:r>
        <w:rPr>
          <w:rFonts w:ascii="Arial;sans-serif" w:hAnsi="Arial;sans-serif"/>
          <w:b w:val="false"/>
          <w:color w:val="000000"/>
          <w:sz w:val="20"/>
        </w:rPr>
        <w:t>For further discussion of these potential payments, see Note 3 to our condensed consolidated financial statements contained in this report.</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received substantial funding under grant agreements related to DARE-LARC1 and DARE-LBT. In September 2023, following an assessment of our activities and the milestones we achieved to date, we received $4.5 million as the latest installment under the grant agreement to advance the preclinical development of DARE-LARC1. Grant funds under these agreements generally are received before we incur the eligible expenses. Unspent grant funds are recorded as deferred grant funding liability in our condensed consolidated balance sheets and our deferred grant funding liability as of September 30, 2023 primarily consisted of unspent grant funds for the DARE-LARC1 program. For more information, see Note 2, Basis of Presentation and Summary of Significant Accounting Policies —Grant Funding, to our consolidated financial statements contained in our 2022 10-K and Note 8, Grant Awards—Other Non-Dilutive Grant Funding, to our condensed consolidated financial statements contained in this report.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September 30, 2023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An investment in shares of our common stock involves a high degree of risk. You should carefully consider the risks and uncertainties described in our 2022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2022 10-K.</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We will need to raise substantial additional capital to continue our operations and execute our business strategy, and we may not be able to raise adequate capital on a timely basis, on favorable terms, or at all.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history of losses from operations, we expect negative cash flows from our operations to continue for the foreseeable future, and we expect that our net losses will continue for the foreseeable future as we develop and seek to bring to market our existing product candidates and as we seek to potentially acquire or license and develop additional product candidates. These circumstances raise substantial doubt about our ability to continue as a going concern. Our financial statements as of December 31, 2022 and September 30, 2023 were prepared under the assumption that we will continue as a going concern and do not include any adjustments that might result from the outcome of this uncertainty. At September 30, 2023, our accumulated deficit was approximately $166.2 million, our cash and cash equivalents were approximately $13.9 million, our deferred grant funding liabilities under our grant agreements related to DARE-LARC1 and DARE-LBT were approximately $15.7 million, and we had a working capital deficit of approximately $3.9 million. Substantially all of our cash and cash equivalents at September 30, 2023 represented funds received under such grant agreements and such funds may be applied solely toward direct costs for the development of DARE-LARC1 and DARE-LBT, other than approximately 10% of such funds, which may be applied toward general overhead and administration expenses that support our entire operations. We will require additional capital to fund our operating needs into the first quarter of 2024 and to meet our current obligations as they become due. Advancing our investigational women's health products through clinical development and pursuing regulatory approval and commercialization will require substantial additional investment. We will need to raise substantial additional capital to continue to fund our operations and execute our current business strategy. The amount and timing of our capital needs have and will continue to depend highly on many factors, as discussed further below as well as under "ITEM 2. MANAGEMENT'S DISCUSSION OF AND ANALYSIS OF FINANCIAL CONDITION AND RESULTS OF OPERATIONS—Liquidity and Capital Resources—Plan of Operations and Future Funding Requirements" in Part I of this report.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has devoted, and may continue to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reduce, or even terminate our operations. We may delay, scale back or eliminate one or more of our product development programs; delay, limit or terminate activities in support of our third-party collaborator’s commercialization of XACIATO in the U.S.; relinquish rights under our license agreements with third parties relating to our product and product candidates; forgo opportunities to expand our product portfolio; take other measures to reduce our expenses; reorganize or merge with another entity; or file for bankruptcy or cease operations.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Our capital needs have depended on, and will continue to depend on, many factors that are highly variable and difficult to predict, including:</w:t>
      </w:r>
    </w:p>
    <w:p>
      <w:pPr>
        <w:pStyle w:val="TextBody"/>
        <w:bidi w:val="0"/>
        <w:spacing w:lineRule="auto" w:line="288" w:before="160" w:after="60"/>
        <w:ind w:left="0" w:right="0" w:hanging="360"/>
        <w:jc w:val="both"/>
        <w:rPr/>
      </w:pPr>
      <w:r>
        <w:rPr>
          <w:color w:val="000000"/>
        </w:rPr>
        <w:t>•</w:t>
      </w:r>
      <w:r>
        <w:rPr>
          <w:rFonts w:ascii="Arial;sans-serif" w:hAnsi="Arial;sans-serif"/>
          <w:b w:val="false"/>
          <w:color w:val="000000"/>
          <w:sz w:val="20"/>
        </w:rPr>
        <w:t>the product development programs we choose to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cost and pace of preclinical and clinical development;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results of preclinical activities and clinical trials;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cost and timing of obtaining clinical supplies of product candidates and commercial supplies of products;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cost and timing of regulatory submissions and decisions by the FDA and other regulatory authorities on our applications to commence and advance clinical development of and to market our product candidates;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amount and timing of payments to third parties required under acquisition, in-license and other agreements relating our rights to develop and commercialize our product and product candidates;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cost and timing of commercialization activities we undertake or engage third parties to undertake for any approved product;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amount and timing of future royalty, milestone or other payments, if any, we receive under our commercial collaboration agreements for XACIATO and Ovaprene;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our ability to maintain, and establish new, strategic collaborations relating to the development and/or commercialization of our product and product candidates;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extent to which we acquire, in-license, or otherwise invest in new product candidates or technologies and the terms of any such transaction;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product development efforts succeed, we will need to develop a commercialization plan for each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the “Risk Factors” sections of this report and our 2022 10-K, we cannot reasonably estimate the amount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and collaboration agreements should not be viewed as an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Unstable and unfavorable market and economic conditions may harm our ability to raise additional capital. An economic downturn, recession or recessionary concerns, increased inflation, rising interest rates, adverse developments affecting financial institutions or the financial services industry, or the occurrence or continued occurrence of events similar to those in recent years, such as the COVID-19 pandemic or other public health emergencies, geopolitical conflict (such as the wars in Ukraine and the Middle East), natural/environmental disasters, supply-chain disruptions, terrorist attacks, strained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There is no assurance that we will continue to satisfy the listing requirements of the Nasdaq Capital Market.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Nasdaq Capital Market. As previously reported, on July 19, 2023, we received a letter from the Listing Qualifications Department (the “Nasdaq Staff”) of the Nasdaq Stock Market (“Nasdaq”) notifying us that, for the last 30 consecutive business days, the closing bid price for our common stock was below the minimum $1.00 per share requirement for continued listing on The Nasdaq Capital Market as set forth in Nasdaq Listing Rule 5550(a)(2) (the “Minimum Bid Price Requirement”), and that we have initial period of 180 calendar days, or until January 16, 2024 (the “Compliance Date”), to regain compliance. We will regain compliance if the closing bid price of our common stock is at least $1.00 for a minimum of 10 consecutive business days during such 180-day period, unless the Nasdaq Staff exercises its discretion to extend such 10-day period.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If we have not regained compliance by the Compliance Date, we may be eligible for an additional 180 calendar day compliance period. To qualify for this additional compliance period, we would have to meet the continued listing requirement for market value of publicly held shares and all other initial listing standards for The Nasdaq Capital Market, except for the Minimum Bid Price Requirement, including having stockholders’ equity of at least $5.0 million under the “Equity Standard” or of at least $4.0 million under the “Market Value of Listed Securities Standard” or “Net Income Standard,” and we would need to provide written notice of our intention to cure the minimum bid price deficiency during the additional compliance period, by effecting a reverse stock split, if necessary. Our stockholders' equity at September 30, 2023 was negative $2.3 million and, as a result, we do not currently meet all the initial listing standards for The Nasdaq Capital Market. If we are not granted the additional compliance period for any reason, the Nasdaq Staff will provide written notice to us that our common stock will be subject to delisting. At that time, we may appeal the Nasdaq Staff’s delisting determination to a Nasdaq Hearing Panel.</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we will regain compliance with the Minimum Bid Price Requirement or continue to satisfy the other continued listing requirements of The Nasdaq Capital Market. The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An extended curtailment or halt of operations at the FDA, NIH, SEC and other government agencies, including due to a U.S. federal government shutdown, could delay or disrupt clinical and preclinical development and potential marketing approval of our product candidates and our ability to raise additional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Twice in the past decade, the previous appropriations legislation deadline was reached and Congress failed to pass a new appropriations bill or continuing resolution to temporarily extend funding, resulting in U.S. government shutdowns that caused federal agencies to halt non-essential operations. Political polarization among lawmakers may lead to a higher frequency and longer duration of government shutdowns in the future. If lawmakers cannot pass a continuing resolution or a new federal budget by November 17, 2023, another federal government shutdown would begin. A federal government shutdown could prevent staff at federal agencies from performing key functions that may adversely affect our business. For example, disruptions at the FDA may delay meetings and other communications with agency staff necessary to progress development of our product candidates and may slow the time necessary for acceptance, review and approval of applications to commence clinical studies or to market a new product in the U.S. By way of further example, disruptions at the NIH, including its various institutes and centers, such as NICHD, could delay processing of new grant awards to fund research and development of potential new therapies or the disrupt staff’s work and other activities or funding under active grant/cooperative agreements. Based on recent discussions with NICHD staff, we currently do not expect a government shutdown to materially affect the commencement or conduct of our planned Phase 3 clinical study of Ovaprene because funding for planned costs into the third quarter of 2024, including the $5.0 million we previously paid under the CRADA toward the cost of the study, has been allocated and will be available. If a prolonged government shutdown occurs, however, it could adversely impact the ability of NICHD to carry out its responsibilities under our CRADA, including funding its share of the costs of the study, which could have a material adverse impact on our business. In addition, a government shutdown could prevent SEC staff from performing key functions, including, for example, granting acceleration requests for registration statements, declaring registration statements or amendments thereto effective and providing interpretive guidance or no-action letters. While we currently have an effective shelf registration statement on Form S-3, if a federal government shutdown halts non-essential SEC operations for an extended period, it may negatively impact our ability to raise additional capital through registered offerings of our securities in the future. If a prolonged U.S. government shutdown or other event or condition occurs that prevents the FDA, NIH, SEC or other regulatory agencies from hiring and retaining personnel and conducting their regular activities,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Use of Proceeds and Issuer Purchases of Equity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Under SEC rules and regulations, as a smaller reporting company, we are not required to provide the information required by this item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1336"/>
        <w:gridCol w:w="1056"/>
        <w:gridCol w:w="1059"/>
        <w:gridCol w:w="109"/>
        <w:gridCol w:w="109"/>
        <w:gridCol w:w="109"/>
        <w:gridCol w:w="200"/>
        <w:gridCol w:w="200"/>
        <w:gridCol w:w="201"/>
        <w:gridCol w:w="118"/>
        <w:gridCol w:w="118"/>
        <w:gridCol w:w="118"/>
        <w:gridCol w:w="284"/>
        <w:gridCol w:w="258"/>
        <w:gridCol w:w="145"/>
        <w:gridCol w:w="118"/>
        <w:gridCol w:w="118"/>
        <w:gridCol w:w="118"/>
        <w:gridCol w:w="238"/>
        <w:gridCol w:w="238"/>
        <w:gridCol w:w="239"/>
        <w:gridCol w:w="109"/>
        <w:gridCol w:w="109"/>
        <w:gridCol w:w="109"/>
        <w:gridCol w:w="274"/>
        <w:gridCol w:w="274"/>
        <w:gridCol w:w="275"/>
        <w:gridCol w:w="109"/>
        <w:gridCol w:w="109"/>
        <w:gridCol w:w="109"/>
        <w:gridCol w:w="304"/>
        <w:gridCol w:w="304"/>
        <w:gridCol w:w="442"/>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Form of common stock purchase warrants issued on September 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Form of Securities Purchase Agreement dated as of August 29, 2023, between Daré Bioscience, Inc. and each purchaser identified on the signature pages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_10q20230930.htm">
              <w:r>
                <w:rPr>
                  <w:rStyle w:val="InternetLink"/>
                  <w:rFonts w:ascii="Arial;sans-serif" w:hAnsi="Arial;sans-serif"/>
                  <w:b w:val="false"/>
                  <w:color w:val="0000FF"/>
                  <w:sz w:val="20"/>
                  <w:u w:val="single"/>
                </w:rPr>
                <w:t>First Amendment to License Agreement by and between Organon International GmbH and Daré Bioscience, Inc., entered into as of July 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_103performancebonusplan.htm">
              <w:r>
                <w:rPr>
                  <w:rStyle w:val="InternetLink"/>
                  <w:rFonts w:ascii="Arial;sans-serif" w:hAnsi="Arial;sans-serif"/>
                  <w:b w:val="false"/>
                  <w:color w:val="0000FF"/>
                  <w:sz w:val="20"/>
                  <w:u w:val="single"/>
                </w:rPr>
                <w:t>Daré Bioscience, Inc. Performance Bonus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30930.htm">
              <w:r>
                <w:rPr>
                  <w:rStyle w:val="InternetLink"/>
                  <w:rFonts w:ascii="Arial;sans-serif" w:hAnsi="Arial;sans-serif"/>
                  <w:b w:val="false"/>
                  <w:color w:val="0000FF"/>
                  <w:sz w:val="20"/>
                  <w:u w:val="single"/>
                </w:rPr>
                <w:t>Certification of principal executive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_20230930.htm">
              <w:r>
                <w:rPr>
                  <w:rStyle w:val="InternetLink"/>
                  <w:rFonts w:ascii="Arial;sans-serif" w:hAnsi="Arial;sans-serif"/>
                  <w:b w:val="false"/>
                  <w:color w:val="0000FF"/>
                  <w:sz w:val="20"/>
                  <w:u w:val="single"/>
                </w:rPr>
                <w:t>Certification of principal financial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30930.htm">
              <w:r>
                <w:rPr>
                  <w:rStyle w:val="InternetLink"/>
                  <w:rFonts w:ascii="Arial;sans-serif" w:hAnsi="Arial;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_20230930.htm">
              <w:r>
                <w:rPr>
                  <w:rStyle w:val="InternetLink"/>
                  <w:rFonts w:ascii="Arial;sans-serif" w:hAnsi="Arial;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Portions of this exhibit have been redacted in accordance with Item 601(b)(10)(iv) of Regulation S-K. The omitted information is not material and is information that the registrant customarily and actually treats as private or confidential.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553"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146"/>
        <w:gridCol w:w="1146"/>
        <w:gridCol w:w="1623"/>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CERTAIN INFORMATION HAS BEEN EXCLUDED FROM THIS EXHIBIT BECAUSE IT IS BOTH NOT MATERIAL AND IS THE TYPE THAT THE REGISTRANT TREATS AS PRIVATE OR CONFIDENTIAL. IN THIS EXHIBIT, “[***]” INDICATES WHERE SUCH INFORMATION HAS BEEN OMITTED.</w:t>
            </w:r>
          </w:p>
        </w:tc>
      </w:tr>
    </w:tbl>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FIRST AMENDMENT</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LICENSE AGREEMENT</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by and between</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ORGANON INTERNATIONAL GMBH</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DARÉ BIOSCIENCE, INC.</w:t>
      </w:r>
    </w:p>
    <w:p>
      <w:pPr>
        <w:pStyle w:val="TextBody"/>
        <w:bidi w:val="0"/>
        <w:spacing w:before="0" w:after="160"/>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FIRST AMENDMENT TO LICENSE AGREEMENT</w:t>
      </w:r>
    </w:p>
    <w:p>
      <w:pPr>
        <w:pStyle w:val="TextBody"/>
        <w:bidi w:val="0"/>
        <w:spacing w:lineRule="auto" w:line="300" w:before="0" w:after="160"/>
        <w:ind w:left="0" w:right="0" w:firstLine="720"/>
        <w:jc w:val="left"/>
        <w:rPr/>
      </w:pPr>
      <w:r>
        <w:rPr>
          <w:rFonts w:ascii="Times New Roman;sans-serif" w:hAnsi="Times New Roman;sans-serif"/>
          <w:b w:val="false"/>
          <w:color w:val="000000"/>
          <w:sz w:val="22"/>
        </w:rPr>
        <w:t>This First Amendment to License Agreement (this “</w:t>
      </w:r>
      <w:r>
        <w:rPr>
          <w:rFonts w:ascii="Times New Roman;sans-serif" w:hAnsi="Times New Roman;sans-serif"/>
          <w:b/>
          <w:color w:val="000000"/>
          <w:sz w:val="22"/>
        </w:rPr>
        <w:t>First Amendment</w:t>
      </w:r>
      <w:r>
        <w:rPr>
          <w:color w:val="000000"/>
        </w:rPr>
        <w:t>”</w:t>
      </w:r>
      <w:r>
        <w:rPr>
          <w:rFonts w:ascii="Times New Roman;sans-serif" w:hAnsi="Times New Roman;sans-serif"/>
          <w:b w:val="false"/>
          <w:color w:val="000000"/>
          <w:sz w:val="22"/>
        </w:rPr>
        <w:t>) is entered into as of July 4, 2023 (the “</w:t>
      </w:r>
      <w:r>
        <w:rPr>
          <w:rFonts w:ascii="Times New Roman;sans-serif" w:hAnsi="Times New Roman;sans-serif"/>
          <w:b/>
          <w:color w:val="000000"/>
          <w:sz w:val="22"/>
        </w:rPr>
        <w:t>Execution Date</w:t>
      </w:r>
      <w:r>
        <w:rPr>
          <w:color w:val="000000"/>
        </w:rPr>
        <w:t>”</w:t>
      </w:r>
      <w:r>
        <w:rPr>
          <w:rFonts w:ascii="Times New Roman;sans-serif" w:hAnsi="Times New Roman;sans-serif"/>
          <w:b w:val="false"/>
          <w:color w:val="000000"/>
          <w:sz w:val="22"/>
        </w:rPr>
        <w:t>) by and between Organon International GmbH, a limited liability company organized and existing under the laws of Switzerland (“</w:t>
      </w:r>
      <w:r>
        <w:rPr>
          <w:rFonts w:ascii="Times New Roman;sans-serif" w:hAnsi="Times New Roman;sans-serif"/>
          <w:b/>
          <w:color w:val="000000"/>
          <w:sz w:val="22"/>
        </w:rPr>
        <w:t>Organon</w:t>
      </w:r>
      <w:r>
        <w:rPr>
          <w:color w:val="000000"/>
        </w:rPr>
        <w:t>”</w:t>
      </w:r>
      <w:r>
        <w:rPr>
          <w:rFonts w:ascii="Times New Roman;sans-serif" w:hAnsi="Times New Roman;sans-serif"/>
          <w:b w:val="false"/>
          <w:color w:val="000000"/>
          <w:sz w:val="22"/>
        </w:rPr>
        <w:t>) and Daré Bioscience, Inc., a corporation organized and existing under the laws of Delaware (“</w:t>
      </w:r>
      <w:r>
        <w:rPr>
          <w:rFonts w:ascii="Times New Roman;sans-serif" w:hAnsi="Times New Roman;sans-serif"/>
          <w:b/>
          <w:color w:val="000000"/>
          <w:sz w:val="22"/>
        </w:rPr>
        <w:t>Daré</w:t>
      </w:r>
      <w:r>
        <w:rPr>
          <w:color w:val="000000"/>
        </w:rPr>
        <w:t>”</w:t>
      </w:r>
      <w:r>
        <w:rPr>
          <w:rFonts w:ascii="Times New Roman;sans-serif" w:hAnsi="Times New Roman;sans-serif"/>
          <w:b w:val="false"/>
          <w:color w:val="000000"/>
          <w:sz w:val="22"/>
        </w:rPr>
        <w:t>) (each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 Capitalized terms not defined herein are defined in the License Agreement.</w:t>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Organon and Daré entered into that certain Exclusive License Agreement dated as of March 31, 2022 (the “</w:t>
      </w:r>
      <w:r>
        <w:rPr>
          <w:rFonts w:ascii="Times New Roman;sans-serif" w:hAnsi="Times New Roman;sans-serif"/>
          <w:b/>
          <w:color w:val="000000"/>
          <w:sz w:val="22"/>
        </w:rPr>
        <w:t>License Agreement</w:t>
      </w:r>
      <w:r>
        <w:rPr>
          <w:color w:val="000000"/>
        </w:rPr>
        <w:t>”</w:t>
      </w:r>
      <w:r>
        <w:rPr>
          <w:rFonts w:ascii="Times New Roman;sans-serif" w:hAnsi="Times New Roman;sans-serif"/>
          <w:b w:val="false"/>
          <w:color w:val="000000"/>
          <w:sz w:val="22"/>
        </w:rPr>
        <w:t>) pursuant to which Daré grants to Organon and its affiliates an exclusive license to Develop, Commercialize and otherwise Exploit Licensed Product;</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Organon LLC and Daré entered into that certain Supply and Distribution Agreement, dated July 12, 2022 (the “</w:t>
      </w:r>
      <w:r>
        <w:rPr>
          <w:rFonts w:ascii="Times New Roman;sans-serif" w:hAnsi="Times New Roman;sans-serif"/>
          <w:b/>
          <w:color w:val="000000"/>
          <w:sz w:val="22"/>
        </w:rPr>
        <w:t>Supply Agreement</w:t>
      </w:r>
      <w:r>
        <w:rPr>
          <w:color w:val="000000"/>
        </w:rPr>
        <w:t>”</w:t>
      </w:r>
      <w:r>
        <w:rPr>
          <w:rFonts w:ascii="Times New Roman;sans-serif" w:hAnsi="Times New Roman;sans-serif"/>
          <w:b w:val="false"/>
          <w:color w:val="000000"/>
          <w:sz w:val="22"/>
        </w:rPr>
        <w:t xml:space="preserve">) to establish certain manufacturing and supply relationships between the Parties with respect to the Supplied Product (as such term is defined in the Supply Agreement); </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Daré owns and holds Daré Marketing Authorizations and Daré Regulatory Materials, but pursuant to Section 2.1 of the License Agreement has provided a present tense assignment of the Daré Marketing Authorizations and Daré Regulatory Materials to Organon, upon Organon’s request;</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under the License Agreement, as the owner of the NDA for the Supplied Product, Daré is responsible to pay registration fees, including the annual Prescription Drug User Fee Act (“</w:t>
      </w:r>
      <w:r>
        <w:rPr>
          <w:rFonts w:ascii="Times New Roman;sans-serif" w:hAnsi="Times New Roman;sans-serif"/>
          <w:b/>
          <w:color w:val="000000"/>
          <w:sz w:val="22"/>
        </w:rPr>
        <w:t>PDUFA</w:t>
      </w:r>
      <w:r>
        <w:rPr>
          <w:color w:val="000000"/>
        </w:rPr>
        <w:t>”</w:t>
      </w:r>
      <w:r>
        <w:rPr>
          <w:rFonts w:ascii="Times New Roman;sans-serif" w:hAnsi="Times New Roman;sans-serif"/>
          <w:b w:val="false"/>
          <w:color w:val="000000"/>
          <w:sz w:val="22"/>
        </w:rPr>
        <w:t>) fees, for the Supplied Product imposed by the FDA;</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 </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Parties wish to clarify certain regulatory obligations related to the [***] notifications and submissions to Regulatory Authority, Recall of the Supplied Product (as such terms are defined in the Supply Agreement), and use and access to data and materials from developmental work and validation; and </w:t>
      </w:r>
    </w:p>
    <w:p>
      <w:pPr>
        <w:pStyle w:val="TextBody"/>
        <w:bidi w:val="0"/>
        <w:spacing w:lineRule="auto" w:line="300" w:before="0" w:after="160"/>
        <w:jc w:val="left"/>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in order to continue to advance the development and commercialization of the Supplied Product, the Parties are executing this First Amendment to supplement and amend the terms of the License Agreement on the terms and subject to the conditions set forth herein. </w:t>
      </w:r>
    </w:p>
    <w:p>
      <w:pPr>
        <w:pStyle w:val="TextBody"/>
        <w:bidi w:val="0"/>
        <w:spacing w:lineRule="auto" w:line="300" w:before="0" w:after="160"/>
        <w:ind w:left="0" w:right="0" w:firstLine="720"/>
        <w:jc w:val="left"/>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in consideration of the foregoing premises and the mutual covenants contained herein, and for good and valuable consideration, the receipt and sufficiency of which are hereby acknowledged, Organon and Daré hereby agree as follows:</w:t>
      </w:r>
    </w:p>
    <w:p>
      <w:pPr>
        <w:pStyle w:val="TextBody"/>
        <w:bidi w:val="0"/>
        <w:spacing w:lineRule="auto" w:line="300" w:before="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1.PURPOSE AND EFFECT OF THIS FIRST AMENDMENT</w:t>
      </w:r>
    </w:p>
    <w:p>
      <w:pPr>
        <w:pStyle w:val="TextBody"/>
        <w:bidi w:val="0"/>
        <w:spacing w:lineRule="auto" w:line="300" w:before="0" w:after="160"/>
        <w:jc w:val="left"/>
        <w:rPr/>
      </w:pPr>
      <w:r>
        <w:rPr>
          <w:rFonts w:ascii="Times New Roman;sans-serif" w:hAnsi="Times New Roman;sans-serif"/>
          <w:b w:val="false"/>
          <w:color w:val="000000"/>
          <w:sz w:val="22"/>
        </w:rPr>
        <w:t>This First Amendment is intended to supplement and amend the License Agreement and Supply Agreement with respect to (i) the provision of additional funds in the amount of One Million Dollars ($1,000,000) from Organon to Daré to reimburse Daré for PDUFA fees and other manufacturing expenses and to permit Dare to continue to advance the development and commercialization of the Supplied Product (such amount, the “</w:t>
      </w:r>
      <w:r>
        <w:rPr>
          <w:rFonts w:ascii="Times New Roman;sans-serif" w:hAnsi="Times New Roman;sans-serif"/>
          <w:b/>
          <w:color w:val="000000"/>
          <w:sz w:val="22"/>
        </w:rPr>
        <w:t>Additional Consideration</w:t>
      </w:r>
      <w:r>
        <w:rPr>
          <w:color w:val="000000"/>
        </w:rPr>
        <w:t>”</w:t>
      </w:r>
      <w:r>
        <w:rPr>
          <w:rFonts w:ascii="Times New Roman;sans-serif" w:hAnsi="Times New Roman;sans-serif"/>
          <w:b w:val="false"/>
          <w:color w:val="000000"/>
          <w:sz w:val="22"/>
        </w:rPr>
        <w:t xml:space="preserve">) and (ii) amend and restate the amount of the First Commercial Sale Milestone as set forth below. Except as otherwise expressly provided herein, the </w:t>
      </w:r>
    </w:p>
    <w:p>
      <w:pPr>
        <w:pStyle w:val="TextBody"/>
        <w:bidi w:val="0"/>
        <w:spacing w:before="0" w:after="2"/>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5915"/>
                <wp:effectExtent l="0" t="0" r="0" b="0"/>
                <wp:wrapNone/>
                <wp:docPr id="52" name="Frame5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terms and conditions of the License Agreement and the Supply Agreement shall remain unchanged and in full force and effect.</w:t>
      </w:r>
    </w:p>
    <w:p>
      <w:pPr>
        <w:pStyle w:val="TextBody"/>
        <w:bidi w:val="0"/>
        <w:spacing w:lineRule="auto" w:line="300"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2.REPRESENTATIONS AND WARRANTIES AND COVENANTS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Daré represents and warrants to Organon that as of the Execution Date:</w:t>
      </w:r>
    </w:p>
    <w:p>
      <w:pPr>
        <w:pStyle w:val="TextBody"/>
        <w:bidi w:val="0"/>
        <w:spacing w:lineRule="auto" w:line="300" w:before="0" w:after="0"/>
        <w:ind w:left="0" w:right="0" w:hanging="720"/>
        <w:jc w:val="left"/>
        <w:rPr/>
      </w:pPr>
      <w:r>
        <w:rPr>
          <w:rFonts w:ascii="Times New Roman;sans-serif" w:hAnsi="Times New Roman;sans-serif"/>
          <w:b w:val="false"/>
          <w:color w:val="000000"/>
          <w:sz w:val="22"/>
        </w:rPr>
        <w:t>(a)Daré has provided to Organon a true, correct and complete copy of the fully executed Supply and Manufacturing Agreement [***], including any and all amendments, restatements, project agreements, side letters, and other modifications thereto (the “[***]</w:t>
      </w:r>
      <w:r>
        <w:rPr>
          <w:color w:val="000000"/>
        </w:rPr>
        <w:t xml:space="preserve"> </w:t>
      </w:r>
      <w:r>
        <w:rPr>
          <w:rFonts w:ascii="Times New Roman;sans-serif" w:hAnsi="Times New Roman;sans-serif"/>
          <w:b/>
          <w:color w:val="000000"/>
          <w:sz w:val="22"/>
        </w:rPr>
        <w:t>Supply Agreement</w:t>
      </w:r>
      <w:r>
        <w:rPr>
          <w:color w:val="000000"/>
        </w:rPr>
        <w:t>”</w:t>
      </w:r>
      <w:r>
        <w:rPr>
          <w:rFonts w:ascii="Times New Roman;sans-serif" w:hAnsi="Times New Roman;sans-serif"/>
          <w:b w:val="false"/>
          <w:color w:val="000000"/>
          <w:sz w:val="22"/>
        </w:rPr>
        <w:t xml:space="preserve">), as such [***] Supply Agreement is in effect as of the Execution Date; and </w:t>
      </w:r>
    </w:p>
    <w:p>
      <w:pPr>
        <w:pStyle w:val="TextBody"/>
        <w:bidi w:val="0"/>
        <w:spacing w:lineRule="auto" w:line="30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Daré hereby covenants that Daré will (a) use Commercially Reasonable Efforts keep Organon informed of all material actions taken or intended to be taken in connection with the [***] Supply Agreement, (b) [***], and (c) [***] (including the Daré's satisfaction of the Daré's obligations under Section 2.1.1 of the License Agreement).</w:t>
      </w:r>
    </w:p>
    <w:p>
      <w:pPr>
        <w:pStyle w:val="TextBody"/>
        <w:bidi w:val="0"/>
        <w:spacing w:before="0" w:after="0"/>
        <w:jc w:val="left"/>
        <w:rPr/>
      </w:pPr>
      <w:r>
        <w:rPr/>
      </w:r>
    </w:p>
    <w:p>
      <w:pPr>
        <w:pStyle w:val="TextBody"/>
        <w:bidi w:val="0"/>
        <w:spacing w:lineRule="auto" w:line="300"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3.AMENDMENT OF FIRST COMMERCIAL SALE MILESTONE; PAYMENT OF ADDITIONAL CONSIDERATION</w:t>
      </w:r>
    </w:p>
    <w:p>
      <w:pPr>
        <w:pStyle w:val="TextBody"/>
        <w:bidi w:val="0"/>
        <w:spacing w:lineRule="auto" w:line="300" w:before="240" w:after="160"/>
        <w:jc w:val="left"/>
        <w:rPr>
          <w:rFonts w:ascii="Times New Roman;sans-serif" w:hAnsi="Times New Roman;sans-serif"/>
          <w:b w:val="false"/>
          <w:color w:val="000000"/>
          <w:sz w:val="22"/>
        </w:rPr>
      </w:pPr>
      <w:r>
        <w:rPr>
          <w:rFonts w:ascii="Times New Roman;sans-serif" w:hAnsi="Times New Roman;sans-serif"/>
          <w:b w:val="false"/>
          <w:color w:val="000000"/>
          <w:sz w:val="22"/>
        </w:rPr>
        <w:t>In consideration of the representations, warranties and covenants of Dare set forth herein and the release by Daré and each other Releasor as set forth and defined in Section 4 below and for good and valuable consideration, the Parties hereby agree that:</w:t>
      </w:r>
    </w:p>
    <w:p>
      <w:pPr>
        <w:pStyle w:val="TextBody"/>
        <w:bidi w:val="0"/>
        <w:spacing w:lineRule="auto" w:line="300" w:before="240" w:after="16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(a)Section 6.2.1 of the License Agreement is hereby deleted in its entirety and is replaced with the following provision: </w:t>
      </w:r>
    </w:p>
    <w:p>
      <w:pPr>
        <w:pStyle w:val="TextBody"/>
        <w:bidi w:val="0"/>
        <w:spacing w:lineRule="auto" w:line="300" w:before="0" w:after="160"/>
        <w:jc w:val="left"/>
        <w:rPr/>
      </w:pPr>
      <w:r>
        <w:rPr>
          <w:color w:val="000000"/>
        </w:rPr>
        <w:t>“</w:t>
      </w:r>
      <w:r>
        <w:rPr>
          <w:rFonts w:ascii="Times New Roman;sans-serif" w:hAnsi="Times New Roman;sans-serif"/>
          <w:b w:val="false"/>
          <w:color w:val="000000"/>
          <w:sz w:val="22"/>
        </w:rPr>
        <w:t>6.2.1</w:t>
      </w:r>
      <w:r>
        <w:rPr>
          <w:color w:val="000000"/>
        </w:rPr>
        <w:t>    </w:t>
      </w:r>
      <w:r>
        <w:rPr>
          <w:rFonts w:ascii="Times New Roman;sans-serif" w:hAnsi="Times New Roman;sans-serif"/>
          <w:b/>
          <w:color w:val="000000"/>
          <w:sz w:val="22"/>
        </w:rPr>
        <w:t>First Commercial Sale Milestone</w:t>
      </w:r>
      <w:r>
        <w:rPr>
          <w:rFonts w:ascii="Times New Roman;sans-serif" w:hAnsi="Times New Roman;sans-serif"/>
          <w:b w:val="false"/>
          <w:color w:val="000000"/>
          <w:sz w:val="22"/>
        </w:rPr>
        <w:t>. Organon shall pay to Daré within [***] of the first shipment of Licensed Product from the contract manufacturer in connection with the First Commercial Sale One Million Eight Hundred Thousand Dollars ($1,800,000) for the First Commercial Sale in the United States of a Licensed Product.”</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And </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(b)Notwithstanding that neither the License Agreement nor the Supply Agreement require that Organon or any of its Affiliates [***] upon the terms and conditions contained herein, within [***], Organon shall pay to Daré the Additional Consideration. </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4.RELEASE</w:t>
      </w:r>
    </w:p>
    <w:p>
      <w:pPr>
        <w:pStyle w:val="TextBody"/>
        <w:bidi w:val="0"/>
        <w:spacing w:lineRule="auto" w:line="240" w:before="0" w:after="240"/>
        <w:jc w:val="left"/>
        <w:rPr/>
      </w:pPr>
      <w:r>
        <w:rPr>
          <w:rFonts w:ascii="Times New Roman;sans-serif" w:hAnsi="Times New Roman;sans-serif"/>
          <w:b w:val="false"/>
          <w:color w:val="000000"/>
          <w:sz w:val="24"/>
        </w:rPr>
        <w:t>Effective for all purposes (except as expressly limited below) as of the Execution Date, Daré acknowledges and agrees on behalf of itself and on behalf of each of its past, present or future agents, trustees, directors, managers, officers, affiliates, subsidiaries, representatives, successors, and assigns (Daré and each such other person or entity, a “</w:t>
      </w:r>
      <w:r>
        <w:rPr>
          <w:rFonts w:ascii="Times New Roman;sans-serif" w:hAnsi="Times New Roman;sans-serif"/>
          <w:b/>
          <w:color w:val="000000"/>
          <w:sz w:val="24"/>
        </w:rPr>
        <w:t>Releasor</w:t>
      </w:r>
      <w:r>
        <w:rPr>
          <w:color w:val="000000"/>
        </w:rPr>
        <w:t>”</w:t>
      </w:r>
      <w:r>
        <w:rPr>
          <w:rFonts w:ascii="Times New Roman;sans-serif" w:hAnsi="Times New Roman;sans-serif"/>
          <w:b w:val="false"/>
          <w:color w:val="000000"/>
          <w:sz w:val="24"/>
        </w:rPr>
        <w:t>), that: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Each Releasor, hereby irrevocably and unconditionally releases Organon and each of its past, present or future agents, trustees, directors, managers, officers, affiliates, subsidiaries, representatives, successors, and assigns (each, a “</w:t>
      </w:r>
      <w:r>
        <w:rPr>
          <w:rFonts w:ascii="Times New Roman;sans-serif" w:hAnsi="Times New Roman;sans-serif"/>
          <w:b/>
          <w:color w:val="000000"/>
          <w:sz w:val="24"/>
        </w:rPr>
        <w:t>Releasee</w:t>
      </w:r>
      <w:r>
        <w:rPr>
          <w:color w:val="000000"/>
        </w:rPr>
        <w:t>”</w:t>
      </w:r>
      <w:r>
        <w:rPr>
          <w:rFonts w:ascii="Times New Roman;sans-serif" w:hAnsi="Times New Roman;sans-serif"/>
          <w:b w:val="false"/>
          <w:color w:val="000000"/>
          <w:sz w:val="24"/>
        </w:rPr>
        <w:t xml:space="preserve">) from any and all charges, complaints, claims, liabilities, obligations, promises, agreements, controversies, damages or causes of action, suits, rights, demands, costs, losses, debts and expenses ***] of any nature </w:t>
      </w:r>
    </w:p>
    <w:p>
      <w:pPr>
        <w:pStyle w:val="TextBody"/>
        <w:bidi w:val="0"/>
        <w:spacing w:before="0" w:after="2"/>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5915"/>
                <wp:effectExtent l="0" t="0" r="0" b="0"/>
                <wp:wrapNone/>
                <wp:docPr id="53" name="Frame5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whatsoever, [***] (collectively, “</w:t>
      </w:r>
      <w:r>
        <w:rPr>
          <w:rFonts w:ascii="Times New Roman;sans-serif" w:hAnsi="Times New Roman;sans-serif"/>
          <w:b/>
          <w:color w:val="000000"/>
          <w:sz w:val="24"/>
        </w:rPr>
        <w:t>Losses</w:t>
      </w:r>
      <w:r>
        <w:rPr>
          <w:color w:val="000000"/>
        </w:rPr>
        <w:t>”</w:t>
      </w:r>
      <w:r>
        <w:rPr>
          <w:rFonts w:ascii="Times New Roman;sans-serif" w:hAnsi="Times New Roman;sans-serif"/>
          <w:b w:val="false"/>
          <w:color w:val="000000"/>
          <w:sz w:val="24"/>
        </w:rPr>
        <w:t>), arising out of: (i) [***], (ii) [***]; (iii) [***], (iv) any other costs and expenses related to the Supplied Product or the Supply Agreement incurred by or on behalf of Dare as of the Execution Date, and (v) the License Agreement (as amended hereby) or the Supply Agreement for any actual or alleged failure (as of the date hereof) of Organon to perform, or of any breach by Organon under, each of the License Agreement (including, without limitation, under Section 3.4.1 of the License Agreement) and the Supply Agreement (each of clauses (i) through (v), a “</w:t>
      </w:r>
      <w:r>
        <w:rPr>
          <w:rFonts w:ascii="Times New Roman;sans-serif" w:hAnsi="Times New Roman;sans-serif"/>
          <w:b/>
          <w:color w:val="000000"/>
          <w:sz w:val="24"/>
        </w:rPr>
        <w:t>Claim</w:t>
      </w:r>
      <w:r>
        <w:rPr>
          <w:color w:val="000000"/>
        </w:rPr>
        <w:t xml:space="preserve">” </w:t>
      </w:r>
      <w:r>
        <w:rPr>
          <w:rFonts w:ascii="Times New Roman;sans-serif" w:hAnsi="Times New Roman;sans-serif"/>
          <w:b w:val="false"/>
          <w:color w:val="000000"/>
          <w:sz w:val="24"/>
        </w:rPr>
        <w:t>and collectively referred to herein as, “</w:t>
      </w:r>
      <w:r>
        <w:rPr>
          <w:rFonts w:ascii="Times New Roman;sans-serif" w:hAnsi="Times New Roman;sans-serif"/>
          <w:b/>
          <w:color w:val="000000"/>
          <w:sz w:val="24"/>
        </w:rPr>
        <w:t>Claims</w:t>
      </w:r>
      <w:r>
        <w:rPr>
          <w:color w:val="000000"/>
        </w:rPr>
        <w:t>”</w:t>
      </w:r>
      <w:r>
        <w:rPr>
          <w:rFonts w:ascii="Times New Roman;sans-serif" w:hAnsi="Times New Roman;sans-serif"/>
          <w:b w:val="false"/>
          <w:color w:val="000000"/>
          <w:sz w:val="24"/>
        </w:rPr>
        <w:t xml:space="preserve">). Each Releasor also releases Organon and its Releasees from any costs incurred by Daré [***], unless such costs are incurred after the Execution Date of this First Amendment and satisfy the requirements for Organon to reimburse the costs under the Supply Agreement, including the requirement that Organon approve such costs in advance.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Daré acknowledges that it is familiar with and understands Section 1542 of the Civil Code of the State of California (“</w:t>
      </w:r>
      <w:r>
        <w:rPr>
          <w:rFonts w:ascii="Times New Roman;sans-serif" w:hAnsi="Times New Roman;sans-serif"/>
          <w:b w:val="false"/>
          <w:color w:val="000000"/>
          <w:sz w:val="24"/>
          <w:u w:val="single"/>
        </w:rPr>
        <w:t>Section 1542</w:t>
      </w:r>
      <w:r>
        <w:rPr>
          <w:color w:val="000000"/>
        </w:rPr>
        <w:t>”</w:t>
      </w:r>
      <w:r>
        <w:rPr>
          <w:rFonts w:ascii="Times New Roman;sans-serif" w:hAnsi="Times New Roman;sans-serif"/>
          <w:b w:val="false"/>
          <w:color w:val="000000"/>
          <w:sz w:val="24"/>
        </w:rPr>
        <w:t>), which provides as follows: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40" w:before="0" w:after="240"/>
        <w:jc w:val="left"/>
        <w:rPr/>
      </w:pPr>
      <w:r>
        <w:rPr>
          <w:rFonts w:ascii="Times New Roman;sans-serif" w:hAnsi="Times New Roman;sans-serif"/>
          <w:b w:val="false"/>
          <w:color w:val="000000"/>
          <w:sz w:val="24"/>
        </w:rPr>
        <w:t xml:space="preserve">Effective for all purposes each Releasor, hereby expressly waives and relinquishes any rights and benefits that such Releasor may have under Section 1542 or any similar statute or common law principle of any jurisdiction with respect to the Claims released under this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Daré acknowledges that it or other Releasors may hereafter discover facts in addition to or different from those that it or any other Releasor now knows or believes to be true with respect to the subject matter of this release, but it is Daré's intention, including on behalf of each Releasor, to fully and finally and forever settle and release any and all Claims that do now exist, may exist or heretofore have existed between Releasor and any of the Releasees with respect to the subject matter of this release. In furtherance of this intention, the releases contained herein shall be and remain in effect as full and complete releases of the Claims, notwithstanding the discovery or existence of any such additional or different facts.</w:t>
      </w:r>
    </w:p>
    <w:p>
      <w:pPr>
        <w:pStyle w:val="TextBody"/>
        <w:bidi w:val="0"/>
        <w:spacing w:lineRule="auto" w:line="300" w:before="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5.REGULATORY OBLIGATIONS</w:t>
      </w:r>
    </w:p>
    <w:p>
      <w:pPr>
        <w:pStyle w:val="TextBody"/>
        <w:bidi w:val="0"/>
        <w:spacing w:lineRule="auto" w:line="300" w:before="0" w:after="16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a.    Daré will comply with GMP, Applicable Laws and the Quality Agreement (as defined in the Supply Agreement) [***].</w:t>
      </w:r>
    </w:p>
    <w:p>
      <w:pPr>
        <w:pStyle w:val="TextBody"/>
        <w:bidi w:val="0"/>
        <w:spacing w:lineRule="auto" w:line="300" w:before="0" w:after="16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Daré agrees to not submit any registration or filing related to the Licensed Product, [***], to any Regulatory Authority unless such submission is authorized by Organon. </w:t>
      </w:r>
    </w:p>
    <w:p>
      <w:pPr>
        <w:pStyle w:val="TextBody"/>
        <w:bidi w:val="0"/>
        <w:spacing w:lineRule="auto" w:line="300" w:before="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6.USE AND ACCESS RIGHTS TO DEVELOPMENT WORK</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Daré shall provide Organon access and use rights for any work product and materials resulting from any additional activities and services for which Organon paid costs pursuant to Section 5.1 of the Supply Agreement [***].</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7.ENTIRE AGREEMENT; CONSTRUCTION</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First Amendment contains the entire understanding of the Parties with respect to subject matter hereof. Any other express or implied agreements and understandings, negotiations, writings and </w:t>
      </w:r>
    </w:p>
    <w:p>
      <w:pPr>
        <w:pStyle w:val="TextBody"/>
        <w:bidi w:val="0"/>
        <w:spacing w:before="0" w:after="2"/>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5915"/>
                <wp:effectExtent l="0" t="0" r="0" b="0"/>
                <wp:wrapNone/>
                <wp:docPr id="54" name="Frame5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commitments, either oral or written, with respect to the subject matter hereof are superseded by the terms of this First Amendment, provided that the License Agreement (as amended) and Supply Agreement shall remain in full force and effect. This First Amendment may be amended, or any term hereof modified, only by a written instrument duly executed by authorized representative(s) of both Parties hereto.</w:t>
      </w:r>
    </w:p>
    <w:p>
      <w:pPr>
        <w:pStyle w:val="TextBody"/>
        <w:bidi w:val="0"/>
        <w:spacing w:lineRule="auto" w:line="300"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8.MISCELLANEOUS</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a.The provisions of Article 5 (Confidentiality and Publicity), Section 6.7 (Income Tax Withholding) and Article 12 (Miscellaneous) of the License Agreement, other than Section 12.8 of the License Agreement, shall apply to this First Amendment as if set forth in full in this First Amendment. If the License Agreement is terminated, this First Amendment shall also be automatically terminated and shall be of no further force or effect. In connection with any breach of this First Amendment, neither party shall be liable in contract, tort, negligence, breach of statutory duty, or otherwise for any special, punitive, or consequential damages or for loss of profits suffered by the other party (or its Affiliates or (sub)licensees), regardless of any notice of the possibility of such losses. </w:t>
      </w:r>
    </w:p>
    <w:p>
      <w:pPr>
        <w:pStyle w:val="TextBody"/>
        <w:bidi w:val="0"/>
        <w:spacing w:before="0" w:after="0"/>
        <w:jc w:val="left"/>
        <w:rPr/>
      </w:pPr>
      <w:r>
        <w:rPr/>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b.From and after the Execution Date, each reference in the License Agreement to “hereunder,” “hereof,” “this Agreement” or words of like import and each reference in the Supply Agreement to “License Agreement,” “thereunder,” “thereof” or words of like import shall, unless the context otherwise requires, mean and be a reference to the License Agreement as amended by this First Amendment or the Supply Agreement, as applicable.</w:t>
      </w:r>
    </w:p>
    <w:p>
      <w:pPr>
        <w:pStyle w:val="TextBody"/>
        <w:bidi w:val="0"/>
        <w:spacing w:before="0" w:after="0"/>
        <w:jc w:val="left"/>
        <w:rPr/>
      </w:pPr>
      <w:r>
        <w:rPr/>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c.Each of the License Agreement and the Supply Agreement, and the obligations of Daré under the License Agreement and the Supply Agreement, are hereby ratified and confirmed and shall remain in full force and effect according to their terms. </w:t>
      </w:r>
    </w:p>
    <w:p>
      <w:pPr>
        <w:pStyle w:val="TextBody"/>
        <w:bidi w:val="0"/>
        <w:spacing w:lineRule="auto" w:line="30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d.Each Party (i) acknowledges and consents to all of the terms and conditions of this First Amendment, (ii) affirms all of its obligations under the License Agreement (as hereby amended) and the Supply Agreement, and (iii) agrees that this First Amendment and all documents executed in connection herewith do not operate to reduce or discharge its obligations under the License Agreement (as hereby amended) or the Supply Agreement.</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e.The execution, delivery and effectiveness of this First Amendment shall not, except as expressly provided herein, operate as a waiver of any right, power or remedy of either Party under the License Agreement or the Supply Agreement, nor constitute a waiver of any provision of any of the License Agreement or the Supply Agreement.</w:t>
      </w:r>
    </w:p>
    <w:p>
      <w:pPr>
        <w:pStyle w:val="TextBody"/>
        <w:bidi w:val="0"/>
        <w:spacing w:before="0" w:after="160"/>
        <w:jc w:val="both"/>
        <w:rPr/>
      </w:pPr>
      <w:r>
        <w:rPr/>
      </w:r>
    </w:p>
    <w:p>
      <w:pPr>
        <w:pStyle w:val="TextBody"/>
        <w:bidi w:val="0"/>
        <w:spacing w:lineRule="auto" w:line="300" w:before="0" w:after="160"/>
        <w:jc w:val="center"/>
        <w:rPr/>
      </w:pPr>
      <w:r>
        <w:rPr>
          <w:rFonts w:ascii="Times New Roman;sans-serif" w:hAnsi="Times New Roman;sans-serif"/>
          <w:b w:val="false"/>
          <w:color w:val="000000"/>
          <w:sz w:val="22"/>
        </w:rPr>
        <w:t>[</w:t>
      </w:r>
      <w:r>
        <w:rPr>
          <w:rFonts w:ascii="Times New Roman;sans-serif" w:hAnsi="Times New Roman;sans-serif"/>
          <w:b/>
          <w:color w:val="000000"/>
          <w:sz w:val="22"/>
        </w:rPr>
        <w:t>SIGNATURES ON FOLLOWING PAGE</w:t>
      </w:r>
      <w:r>
        <w:rPr>
          <w:rFonts w:ascii="Times New Roman;sans-serif" w:hAnsi="Times New Roman;sans-serif"/>
          <w:b w:val="false"/>
          <w:color w:val="000000"/>
          <w:sz w:val="22"/>
        </w:rPr>
        <w:t>]</w:t>
      </w:r>
    </w:p>
    <w:p>
      <w:pPr>
        <w:pStyle w:val="TextBody"/>
        <w:bidi w:val="0"/>
        <w:spacing w:before="0" w:after="160"/>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5915"/>
                <wp:effectExtent l="0" t="0" r="0" b="0"/>
                <wp:wrapNone/>
                <wp:docPr id="55" name="Frame5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executed this First Amendment by their duly authorized representatives as of the Execution Date.</w:t>
      </w:r>
    </w:p>
    <w:p>
      <w:pPr>
        <w:pStyle w:val="TextBody"/>
        <w:bidi w:val="0"/>
        <w:spacing w:before="0" w:after="160"/>
        <w:jc w:val="left"/>
        <w:rPr/>
      </w:pPr>
      <w:r>
        <w:rPr/>
      </w:r>
    </w:p>
    <w:tbl>
      <w:tblPr>
        <w:tblW w:w="6925" w:type="dxa"/>
        <w:jc w:val="left"/>
        <w:tblInd w:w="0" w:type="dxa"/>
        <w:tblLayout w:type="fixed"/>
        <w:tblCellMar>
          <w:top w:w="28" w:type="dxa"/>
          <w:left w:w="28" w:type="dxa"/>
          <w:bottom w:w="28" w:type="dxa"/>
          <w:right w:w="28" w:type="dxa"/>
        </w:tblCellMar>
      </w:tblPr>
      <w:tblGrid>
        <w:gridCol w:w="1408"/>
        <w:gridCol w:w="1236"/>
        <w:gridCol w:w="1240"/>
        <w:gridCol w:w="109"/>
        <w:gridCol w:w="109"/>
        <w:gridCol w:w="109"/>
        <w:gridCol w:w="794"/>
        <w:gridCol w:w="794"/>
        <w:gridCol w:w="1126"/>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ORGANON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DARÉ BIOSCIENCE, INC.</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Matthew M. Walsh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 xml:space="preserve">/s/ Sabrina Johnson </w:t>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xml:space="preserve">Matthew M. Walsh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xml:space="preserve">Sabrina Johnson </w:t>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 xml:space="preserve">CEO </w:t>
            </w:r>
          </w:p>
        </w:tc>
      </w:tr>
    </w:tbl>
    <w:p>
      <w:pPr>
        <w:pStyle w:val="TextBody"/>
        <w:bidi w:val="0"/>
        <w:spacing w:before="0" w:after="160"/>
        <w:jc w:val="center"/>
        <w:rPr/>
      </w:pPr>
      <w:r>
        <w:rPr/>
      </w:r>
    </w:p>
    <w:p>
      <w:pPr>
        <w:pStyle w:val="TextBody"/>
        <w:bidi w:val="0"/>
        <w:spacing w:before="0" w:after="160"/>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5915"/>
                <wp:effectExtent l="0" t="0" r="0" b="0"/>
                <wp:wrapNone/>
                <wp:docPr id="56" name="Frame5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Attachment omitted in accordance with Item 601(a)(5) of Regulation S-K:</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Exhibit A - copy of invoice</w:t>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5915"/>
                <wp:effectExtent l="0" t="0" r="0" b="0"/>
                <wp:wrapNone/>
                <wp:docPr id="57" name="Frame5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24.8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2"/>
        </w:rPr>
      </w:pPr>
      <w:r>
        <w:rPr>
          <w:rFonts w:ascii="Arial;sans-serif" w:hAnsi="Arial;sans-serif"/>
          <w:b/>
          <w:color w:val="000000"/>
          <w:sz w:val="22"/>
        </w:rPr>
        <w:t>DARÉ BIOSCIENCE, INC.</w:t>
      </w:r>
    </w:p>
    <w:p>
      <w:pPr>
        <w:pStyle w:val="TextBody"/>
        <w:bidi w:val="0"/>
        <w:spacing w:lineRule="auto" w:line="240" w:before="0" w:after="240"/>
        <w:jc w:val="center"/>
        <w:rPr>
          <w:rFonts w:ascii="Arial;sans-serif" w:hAnsi="Arial;sans-serif"/>
          <w:b/>
          <w:color w:val="000000"/>
          <w:sz w:val="22"/>
        </w:rPr>
      </w:pPr>
      <w:r>
        <w:rPr>
          <w:rFonts w:ascii="Arial;sans-serif" w:hAnsi="Arial;sans-serif"/>
          <w:b/>
          <w:color w:val="000000"/>
          <w:sz w:val="22"/>
        </w:rPr>
        <w:t>PERFORMANCE BONUS PLAN</w:t>
      </w:r>
    </w:p>
    <w:p>
      <w:pPr>
        <w:pStyle w:val="TextBody"/>
        <w:bidi w:val="0"/>
        <w:spacing w:lineRule="auto" w:line="240" w:before="0" w:after="240"/>
        <w:ind w:left="0" w:right="0" w:hanging="547"/>
        <w:jc w:val="both"/>
        <w:rPr>
          <w:rFonts w:ascii="Arial;sans-serif" w:hAnsi="Arial;sans-serif"/>
          <w:b/>
          <w:color w:val="000000"/>
          <w:sz w:val="22"/>
        </w:rPr>
      </w:pPr>
      <w:r>
        <w:rPr>
          <w:rFonts w:ascii="Arial;sans-serif" w:hAnsi="Arial;sans-serif"/>
          <w:b/>
          <w:color w:val="000000"/>
          <w:sz w:val="22"/>
        </w:rPr>
        <w:t>1.Purpose</w:t>
      </w:r>
    </w:p>
    <w:p>
      <w:pPr>
        <w:pStyle w:val="TextBody"/>
        <w:bidi w:val="0"/>
        <w:spacing w:lineRule="auto" w:line="240" w:before="0" w:after="240"/>
        <w:jc w:val="both"/>
        <w:rPr/>
      </w:pPr>
      <w:r>
        <w:rPr>
          <w:rFonts w:ascii="Arial;sans-serif" w:hAnsi="Arial;sans-serif"/>
          <w:b w:val="false"/>
          <w:color w:val="000000"/>
          <w:sz w:val="22"/>
        </w:rPr>
        <w:t>This Performance Bonus Plan (this “</w:t>
      </w:r>
      <w:r>
        <w:rPr>
          <w:rFonts w:ascii="Arial;sans-serif" w:hAnsi="Arial;sans-serif"/>
          <w:b/>
          <w:color w:val="000000"/>
          <w:sz w:val="22"/>
        </w:rPr>
        <w:t>Plan</w:t>
      </w:r>
      <w:r>
        <w:rPr>
          <w:color w:val="000000"/>
        </w:rPr>
        <w:t>”</w:t>
      </w:r>
      <w:r>
        <w:rPr>
          <w:rFonts w:ascii="Arial;sans-serif" w:hAnsi="Arial;sans-serif"/>
          <w:b w:val="false"/>
          <w:color w:val="000000"/>
          <w:sz w:val="22"/>
        </w:rPr>
        <w:t>) is intended to provide an incentive for superior work and to motivate eligible employees of Daré Bioscience, Inc.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and its subsidiaries toward even higher achievement and business results, to tie their goals and interests to those of the Company and its stockholders, and to enable the Company to attract and retain highly qualified employees. This Plan is for the benefit of Participants (as defined below). </w:t>
      </w:r>
    </w:p>
    <w:p>
      <w:pPr>
        <w:pStyle w:val="TextBody"/>
        <w:bidi w:val="0"/>
        <w:spacing w:lineRule="auto" w:line="240" w:before="0" w:after="240"/>
        <w:ind w:left="0" w:right="0" w:hanging="547"/>
        <w:jc w:val="both"/>
        <w:rPr>
          <w:rFonts w:ascii="Arial;sans-serif" w:hAnsi="Arial;sans-serif"/>
          <w:b/>
          <w:color w:val="000000"/>
          <w:sz w:val="22"/>
        </w:rPr>
      </w:pPr>
      <w:r>
        <w:rPr>
          <w:rFonts w:ascii="Arial;sans-serif" w:hAnsi="Arial;sans-serif"/>
          <w:b/>
          <w:color w:val="000000"/>
          <w:sz w:val="22"/>
        </w:rPr>
        <w:t>2.Participants</w:t>
      </w:r>
    </w:p>
    <w:p>
      <w:pPr>
        <w:pStyle w:val="TextBody"/>
        <w:bidi w:val="0"/>
        <w:spacing w:lineRule="auto" w:line="240" w:before="0" w:after="240"/>
        <w:jc w:val="both"/>
        <w:rPr/>
      </w:pPr>
      <w:r>
        <w:rPr>
          <w:rFonts w:ascii="Arial;sans-serif" w:hAnsi="Arial;sans-serif"/>
          <w:b w:val="false"/>
          <w:color w:val="000000"/>
          <w:sz w:val="22"/>
        </w:rPr>
        <w:t>From time to time, the Compensation Committee (the “</w:t>
      </w:r>
      <w:r>
        <w:rPr>
          <w:rFonts w:ascii="Arial;sans-serif" w:hAnsi="Arial;sans-serif"/>
          <w:b/>
          <w:color w:val="000000"/>
          <w:sz w:val="22"/>
        </w:rPr>
        <w:t>Compensation Committee</w:t>
      </w:r>
      <w:r>
        <w:rPr>
          <w:color w:val="000000"/>
        </w:rPr>
        <w:t>”</w:t>
      </w:r>
      <w:r>
        <w:rPr>
          <w:rFonts w:ascii="Arial;sans-serif" w:hAnsi="Arial;sans-serif"/>
          <w:b w:val="false"/>
          <w:color w:val="000000"/>
          <w:sz w:val="22"/>
        </w:rPr>
        <w:t>) of the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of the Company may select certain employees of the Company or its subsidiaries to be eligible to receive cash bonuses under this Plan with respect to a particular performance period (the employees so selected, “</w:t>
      </w:r>
      <w:r>
        <w:rPr>
          <w:rFonts w:ascii="Arial;sans-serif" w:hAnsi="Arial;sans-serif"/>
          <w:b/>
          <w:color w:val="000000"/>
          <w:sz w:val="22"/>
        </w:rPr>
        <w:t>Participants</w:t>
      </w:r>
      <w:r>
        <w:rPr>
          <w:color w:val="000000"/>
        </w:rPr>
        <w:t>”</w:t>
      </w:r>
      <w:r>
        <w:rPr>
          <w:rFonts w:ascii="Arial;sans-serif" w:hAnsi="Arial;sans-serif"/>
          <w:b w:val="false"/>
          <w:color w:val="000000"/>
          <w:sz w:val="22"/>
        </w:rPr>
        <w:t>). Participation in this Plan does not change the “at will” nature of a Participant’s employment with the Company or any of its subsidiaries.</w:t>
      </w:r>
    </w:p>
    <w:p>
      <w:pPr>
        <w:pStyle w:val="TextBody"/>
        <w:bidi w:val="0"/>
        <w:spacing w:lineRule="auto" w:line="240" w:before="0" w:after="240"/>
        <w:ind w:left="0" w:right="0" w:hanging="547"/>
        <w:jc w:val="both"/>
        <w:rPr/>
      </w:pPr>
      <w:r>
        <w:rPr>
          <w:rFonts w:ascii="Arial;sans-serif" w:hAnsi="Arial;sans-serif"/>
          <w:b w:val="false"/>
          <w:color w:val="000000"/>
          <w:sz w:val="22"/>
        </w:rPr>
        <w:t>3.</w:t>
      </w:r>
      <w:r>
        <w:rPr>
          <w:rFonts w:ascii="Arial;sans-serif" w:hAnsi="Arial;sans-serif"/>
          <w:b/>
          <w:color w:val="000000"/>
          <w:sz w:val="22"/>
        </w:rPr>
        <w:t>Administration</w: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The Compensation Committee shall have the sole discretion and authority to administer and interpret this Plan. Subject to applicable law, rules and regulations, from time to time, the Compensation Committee may request that the Board exercise any of the discretion or authority of the Compensation Committee under this Plan.</w:t>
      </w:r>
    </w:p>
    <w:p>
      <w:pPr>
        <w:pStyle w:val="TextBody"/>
        <w:bidi w:val="0"/>
        <w:spacing w:lineRule="auto" w:line="240" w:before="0" w:after="240"/>
        <w:ind w:left="0" w:right="0" w:hanging="547"/>
        <w:jc w:val="both"/>
        <w:rPr>
          <w:rFonts w:ascii="Arial;sans-serif" w:hAnsi="Arial;sans-serif"/>
          <w:b/>
          <w:color w:val="000000"/>
          <w:sz w:val="22"/>
        </w:rPr>
      </w:pPr>
      <w:r>
        <w:rPr>
          <w:rFonts w:ascii="Arial;sans-serif" w:hAnsi="Arial;sans-serif"/>
          <w:b/>
          <w:color w:val="000000"/>
          <w:sz w:val="22"/>
        </w:rPr>
        <w:t>4.Bonus Determinations</w:t>
      </w:r>
    </w:p>
    <w:p>
      <w:pPr>
        <w:pStyle w:val="TextBody"/>
        <w:bidi w:val="0"/>
        <w:spacing w:lineRule="auto" w:line="240" w:before="0" w:after="240"/>
        <w:ind w:left="0" w:right="0" w:hanging="360"/>
        <w:jc w:val="both"/>
        <w:rPr/>
      </w:pPr>
      <w:r>
        <w:rPr>
          <w:rFonts w:ascii="Arial;sans-serif" w:hAnsi="Arial;sans-serif"/>
          <w:b w:val="false"/>
          <w:color w:val="000000"/>
          <w:sz w:val="22"/>
        </w:rPr>
        <w:t>(a)</w:t>
      </w:r>
      <w:r>
        <w:rPr>
          <w:rFonts w:ascii="Arial;sans-serif" w:hAnsi="Arial;sans-serif"/>
          <w:b w:val="false"/>
          <w:color w:val="000000"/>
          <w:sz w:val="22"/>
          <w:u w:val="single"/>
        </w:rPr>
        <w:t>Performance Goals</w:t>
      </w:r>
      <w:r>
        <w:rPr>
          <w:rFonts w:ascii="Arial;sans-serif" w:hAnsi="Arial;sans-serif"/>
          <w:b w:val="false"/>
          <w:color w:val="000000"/>
          <w:sz w:val="22"/>
        </w:rPr>
        <w:t>. A Participant may receive a cash bonus payment under this Plan based upon the achievement of one or more performance objectives that are established by the Compensation Committee and relate to financial and operational metrics with respect to the Company or any of its subsidiaries (the “</w:t>
      </w:r>
      <w:r>
        <w:rPr>
          <w:rFonts w:ascii="Arial;sans-serif" w:hAnsi="Arial;sans-serif"/>
          <w:b/>
          <w:color w:val="000000"/>
          <w:sz w:val="22"/>
        </w:rPr>
        <w:t>Performance Goals</w:t>
      </w:r>
      <w:r>
        <w:rPr>
          <w:color w:val="000000"/>
        </w:rPr>
        <w:t>”</w:t>
      </w:r>
      <w:r>
        <w:rPr>
          <w:rFonts w:ascii="Arial;sans-serif" w:hAnsi="Arial;sans-serif"/>
          <w:b w:val="false"/>
          <w:color w:val="000000"/>
          <w:sz w:val="22"/>
        </w:rPr>
        <w:t>), including the following: developmental, clinical or regulatory milestones; clinical trial results; business development and financing milestones; acquisitions or strategic transactions; revenue; expense levels; total shareholder return; earnings before interest, taxes, depreciation and amortization; net income (loss) (either before or after interest, taxes, depreciation and/or amortization); changes in the market price of the Company’s common stock; economic value-added; sales or revenue milestones; operating income (loss); cash flow (including, but not limited to, operating cash flow and free cash flow); return on capital, assets, equity, or investment; gross or net profit levels; productivity; expense efficiency; margins; operating efficiency; customer satisfaction; publications; reimbursement decisions; working capital; earnings (loss) per share of the Company’s common stock; sales or market share; number of customers or units of products sold; and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Performance Goals may be used to measure the performance of the Company as a whole or a business unit or other segment of the Company, or one or more product lines or specific markets. The Performance Goals may differ from Participant to Participant.</w:t>
      </w:r>
    </w:p>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Exhibit 10.3</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1315"/>
                <wp:effectExtent l="0" t="0" r="0" b="0"/>
                <wp:wrapNone/>
                <wp:docPr id="58" name="Frame57"/>
                <a:graphic xmlns:a="http://schemas.openxmlformats.org/drawingml/2006/main">
                  <a:graphicData uri="http://schemas.microsoft.com/office/word/2010/wordprocessingShape">
                    <wps:wsp>
                      <wps:cNvSpPr txBox="1"/>
                      <wps:spPr>
                        <a:xfrm>
                          <a:off x="0" y="0"/>
                          <a:ext cx="6480175" cy="361315"/>
                        </a:xfrm>
                        <a:prstGeom prst="rect"/>
                        <a:solidFill>
                          <a:srgbClr val="FFFFFF"/>
                        </a:solidFill>
                      </wps:spPr>
                      <wps:txb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424.8pt;mso-position-horizontal:left;mso-position-horizontal-relative:text">
                <v:textbo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Arial;sans-serif" w:hAnsi="Arial;sans-serif"/>
          <w:b w:val="false"/>
          <w:color w:val="000000"/>
          <w:sz w:val="22"/>
        </w:rPr>
        <w:t>(b)</w:t>
      </w:r>
      <w:r>
        <w:rPr>
          <w:rFonts w:ascii="Arial;sans-serif" w:hAnsi="Arial;sans-serif"/>
          <w:b w:val="false"/>
          <w:color w:val="000000"/>
          <w:sz w:val="22"/>
          <w:u w:val="single"/>
        </w:rPr>
        <w:t>Calculation of Performance Goals</w:t>
      </w:r>
      <w:r>
        <w:rPr>
          <w:rFonts w:ascii="Arial;sans-serif" w:hAnsi="Arial;sans-serif"/>
          <w:b w:val="false"/>
          <w:color w:val="000000"/>
          <w:sz w:val="22"/>
        </w:rPr>
        <w:t>. At the beginning of each applicable performance period, the Compensation Committee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Compensation Committee and which is consistently applied with respect to a Performance Goal in the relevant performance period. The Compensation Committee shall determine when a performance period begins and ends.</w:t>
      </w:r>
    </w:p>
    <w:p>
      <w:pPr>
        <w:pStyle w:val="TextBody"/>
        <w:bidi w:val="0"/>
        <w:spacing w:lineRule="auto" w:line="240" w:before="0" w:after="240"/>
        <w:ind w:left="0" w:right="0" w:hanging="360"/>
        <w:jc w:val="both"/>
        <w:rPr/>
      </w:pPr>
      <w:r>
        <w:rPr>
          <w:rFonts w:ascii="Arial;sans-serif" w:hAnsi="Arial;sans-serif"/>
          <w:b w:val="false"/>
          <w:color w:val="000000"/>
          <w:sz w:val="22"/>
        </w:rPr>
        <w:t>(c)</w:t>
      </w:r>
      <w:r>
        <w:rPr>
          <w:rFonts w:ascii="Arial;sans-serif" w:hAnsi="Arial;sans-serif"/>
          <w:b w:val="false"/>
          <w:color w:val="000000"/>
          <w:sz w:val="22"/>
          <w:u w:val="single"/>
        </w:rPr>
        <w:t>Target; Minimum; Maximum</w:t>
      </w:r>
      <w:r>
        <w:rPr>
          <w:rFonts w:ascii="Arial;sans-serif" w:hAnsi="Arial;sans-serif"/>
          <w:b w:val="false"/>
          <w:color w:val="000000"/>
          <w:sz w:val="22"/>
        </w:rPr>
        <w:t>. Each Performance Goal will have a “target” (100 percent attainment of the Performance Goal) and may also have a “minimum” hurdle and/or a “maximum” amount.</w:t>
      </w:r>
    </w:p>
    <w:p>
      <w:pPr>
        <w:pStyle w:val="TextBody"/>
        <w:bidi w:val="0"/>
        <w:spacing w:lineRule="auto" w:line="240" w:before="0" w:after="240"/>
        <w:ind w:left="0" w:right="0" w:hanging="360"/>
        <w:jc w:val="both"/>
        <w:rPr/>
      </w:pPr>
      <w:r>
        <w:rPr>
          <w:rFonts w:ascii="Arial;sans-serif" w:hAnsi="Arial;sans-serif"/>
          <w:b w:val="false"/>
          <w:color w:val="000000"/>
          <w:sz w:val="22"/>
        </w:rPr>
        <w:t>(d)</w:t>
      </w:r>
      <w:r>
        <w:rPr>
          <w:rFonts w:ascii="Arial;sans-serif" w:hAnsi="Arial;sans-serif"/>
          <w:b w:val="false"/>
          <w:color w:val="000000"/>
          <w:sz w:val="22"/>
          <w:u w:val="single"/>
        </w:rPr>
        <w:t>Bonus Requirements; Individual Goals</w:t>
      </w:r>
      <w:r>
        <w:rPr>
          <w:rFonts w:ascii="Arial;sans-serif" w:hAnsi="Arial;sans-serif"/>
          <w:b w:val="false"/>
          <w:color w:val="000000"/>
          <w:sz w:val="22"/>
        </w:rPr>
        <w:t>. Except as otherwise set forth in this Section 4(d): (i) any bonuses paid to Participants under this Plan shall be based upon objectively determinable bonus formulas that tie such bonuses to one or more performance targets relating to the Performance Goals (certain Performance Goals may be given more weight than others), (ii) bonus formulas for Participants shall be adopted in each performance period by the Compensation Committee and communicated to each Participant and (iii) no bonuses shall be paid to Participants unless and until the Compensation Committee makes a determination with respect to the attainment of the performance objectives relating to the Performance Goals. Notwithstanding the foregoing, the Compensation Committee may adjust bonuses payable under this Plan based on achievement of one or more individual performance objectives or pay bonuses (including, without limitation, discretionary bonuses) to Participants under this Plan based on individual performance goals and/or upon such other terms and conditions as the Compensation Committee may in its discretion determine.</w:t>
      </w:r>
    </w:p>
    <w:p>
      <w:pPr>
        <w:pStyle w:val="TextBody"/>
        <w:bidi w:val="0"/>
        <w:spacing w:lineRule="auto" w:line="240" w:before="0" w:after="240"/>
        <w:ind w:left="0" w:right="0" w:hanging="360"/>
        <w:jc w:val="both"/>
        <w:rPr/>
      </w:pPr>
      <w:r>
        <w:rPr>
          <w:rFonts w:ascii="Arial;sans-serif" w:hAnsi="Arial;sans-serif"/>
          <w:b w:val="false"/>
          <w:color w:val="000000"/>
          <w:sz w:val="22"/>
        </w:rPr>
        <w:t>(e)</w:t>
      </w:r>
      <w:r>
        <w:rPr>
          <w:rFonts w:ascii="Arial;sans-serif" w:hAnsi="Arial;sans-serif"/>
          <w:b w:val="false"/>
          <w:color w:val="000000"/>
          <w:sz w:val="22"/>
          <w:u w:val="single"/>
        </w:rPr>
        <w:t>Individual Target Bonuses</w:t>
      </w:r>
      <w:r>
        <w:rPr>
          <w:rFonts w:ascii="Arial;sans-serif" w:hAnsi="Arial;sans-serif"/>
          <w:b w:val="false"/>
          <w:color w:val="000000"/>
          <w:sz w:val="22"/>
        </w:rPr>
        <w:t>. The Compensation Committee shall establish a target bonus opportunity for each Participant for each performance period (the “Target Bonus”). For each Participant, the Compensation Committee shall have the authority to apportion the Target Bonus so that a portion of it is tied to attainment of Performance Goals and a portion of it is tied to attainment of individual performance objectives.</w:t>
      </w:r>
    </w:p>
    <w:p>
      <w:pPr>
        <w:pStyle w:val="TextBody"/>
        <w:bidi w:val="0"/>
        <w:spacing w:lineRule="auto" w:line="240" w:before="0" w:after="240"/>
        <w:ind w:left="0" w:right="0" w:hanging="360"/>
        <w:jc w:val="both"/>
        <w:rPr/>
      </w:pPr>
      <w:r>
        <w:rPr>
          <w:rFonts w:ascii="Arial;sans-serif" w:hAnsi="Arial;sans-serif"/>
          <w:b w:val="false"/>
          <w:color w:val="000000"/>
          <w:sz w:val="22"/>
        </w:rPr>
        <w:t>(f)</w:t>
      </w:r>
      <w:r>
        <w:rPr>
          <w:rFonts w:ascii="Arial;sans-serif" w:hAnsi="Arial;sans-serif"/>
          <w:b w:val="false"/>
          <w:color w:val="000000"/>
          <w:sz w:val="22"/>
          <w:u w:val="single"/>
        </w:rPr>
        <w:t>Employment Requirement</w:t>
      </w:r>
      <w:r>
        <w:rPr>
          <w:rFonts w:ascii="Arial;sans-serif" w:hAnsi="Arial;sans-serif"/>
          <w:b w:val="false"/>
          <w:color w:val="000000"/>
          <w:sz w:val="22"/>
        </w:rPr>
        <w:t>. Subject to any additional terms contained in a written agreement between the Participant and the Company or any of its subsidiaries, the payment of a bonus to a Participant under this Plan with respect to a performance period is conditioned on the Participant’s employment by the Company or its subsidiary on the bonus payment date. If a Participant was not employed by the Company or its subsidiary for an entire performance period, the Compensation Committee may pro rate the bonus based on the number of days employed during such period, the number of full calendar months employed during such period or any other reasonable method approved by the Compensation Committee.</w:t>
      </w:r>
    </w:p>
    <w:p>
      <w:pPr>
        <w:pStyle w:val="TextBody"/>
        <w:bidi w:val="0"/>
        <w:spacing w:lineRule="auto" w:line="240" w:before="0" w:after="240"/>
        <w:ind w:left="0" w:right="0" w:hanging="547"/>
        <w:jc w:val="both"/>
        <w:rPr>
          <w:rFonts w:ascii="Arial;sans-serif" w:hAnsi="Arial;sans-serif"/>
          <w:b/>
          <w:color w:val="000000"/>
          <w:sz w:val="22"/>
        </w:rPr>
      </w:pPr>
      <w:r>
        <w:rPr>
          <w:rFonts w:ascii="Arial;sans-serif" w:hAnsi="Arial;sans-serif"/>
          <w:b/>
          <w:color w:val="000000"/>
          <w:sz w:val="22"/>
        </w:rPr>
        <w:t>5.Timing of Payment</w:t>
      </w:r>
    </w:p>
    <w:p>
      <w:pPr>
        <w:pStyle w:val="TextBody"/>
        <w:bidi w:val="0"/>
        <w:spacing w:lineRule="auto" w:line="24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 xml:space="preserve">(a)With respect to Performance Goals established and measured on a basis more frequently than annually (e.g., quarterly or semi-annually), the Performance Goals will be measured as of the end of each performance period and after such period has ended; provided, that with respect to any Performance Goals that are dependent on financial metrics as reported in the Company’s periodic reports filed with the U.S. Securities and Exchange Commission for any particular period, such Performance Goals will be measured after the applicable periodic reports have been so filed. If the Performance Goals and/or individual goals for a performance period are met, payments will be made as soon as practicable following the end of such performance </w:t>
      </w:r>
    </w:p>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Exhibit 10.3</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1315"/>
                <wp:effectExtent l="0" t="0" r="0" b="0"/>
                <wp:wrapNone/>
                <wp:docPr id="59" name="Frame58"/>
                <a:graphic xmlns:a="http://schemas.openxmlformats.org/drawingml/2006/main">
                  <a:graphicData uri="http://schemas.microsoft.com/office/word/2010/wordprocessingShape">
                    <wps:wsp>
                      <wps:cNvSpPr txBox="1"/>
                      <wps:spPr>
                        <a:xfrm>
                          <a:off x="0" y="0"/>
                          <a:ext cx="6480175" cy="361315"/>
                        </a:xfrm>
                        <a:prstGeom prst="rect"/>
                        <a:solidFill>
                          <a:srgbClr val="FFFFFF"/>
                        </a:solidFill>
                      </wps:spPr>
                      <wps:txb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424.8pt;mso-position-horizontal:left;mso-position-horizontal-relative:text">
                <v:textbo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period, but not later than 74 days after the end of the fiscal year in which such performance period ends.</w:t>
      </w:r>
    </w:p>
    <w:p>
      <w:pPr>
        <w:pStyle w:val="TextBody"/>
        <w:bidi w:val="0"/>
        <w:spacing w:lineRule="auto" w:line="24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(b)With respect to Performance Goals established and measured on an annual or multi-year basis, Performance Goals will be measured as of the end of each such performance period (e.g., the end of each fiscal year) and after such period has ended; provided, that with respect to any Performance Goals that are dependent on financial metrics as reported in the Company’s periodic reports filed with the U.S. Securities and Exchange Commission for any particular period, such Performance Goals will be measured after the applicable periodic reports have been so filed. If the Performance Goals and/ or individual goals for any performance period are met, bonus payments will be made as soon as practicable, but not later than 74 days after the end of the relevant fiscal year.</w:t>
      </w:r>
    </w:p>
    <w:p>
      <w:pPr>
        <w:pStyle w:val="TextBody"/>
        <w:bidi w:val="0"/>
        <w:spacing w:lineRule="auto" w:line="24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(c)For the avoidance of doubt, bonuses earned at any time in a fiscal year must be paid no later than 74 days after the last day of such fiscal year.</w:t>
      </w:r>
    </w:p>
    <w:p>
      <w:pPr>
        <w:pStyle w:val="TextBody"/>
        <w:bidi w:val="0"/>
        <w:spacing w:lineRule="auto" w:line="240" w:before="0" w:after="240"/>
        <w:ind w:left="0" w:right="0" w:hanging="547"/>
        <w:jc w:val="both"/>
        <w:rPr>
          <w:rFonts w:ascii="Arial;sans-serif" w:hAnsi="Arial;sans-serif"/>
          <w:b/>
          <w:color w:val="000000"/>
          <w:sz w:val="22"/>
        </w:rPr>
      </w:pPr>
      <w:r>
        <w:rPr>
          <w:rFonts w:ascii="Arial;sans-serif" w:hAnsi="Arial;sans-serif"/>
          <w:b/>
          <w:color w:val="000000"/>
          <w:sz w:val="22"/>
        </w:rPr>
        <w:t>6.Amendment and Termination</w: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The Company, acting through the Board, reserves the right to, and may, amend or terminate this Plan at any time in its sole discretion.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1315"/>
                <wp:effectExtent l="0" t="0" r="0" b="0"/>
                <wp:wrapNone/>
                <wp:docPr id="60" name="Frame59"/>
                <a:graphic xmlns:a="http://schemas.openxmlformats.org/drawingml/2006/main">
                  <a:graphicData uri="http://schemas.microsoft.com/office/word/2010/wordprocessingShape">
                    <wps:wsp>
                      <wps:cNvSpPr txBox="1"/>
                      <wps:spPr>
                        <a:xfrm>
                          <a:off x="0" y="0"/>
                          <a:ext cx="6480175" cy="361315"/>
                        </a:xfrm>
                        <a:prstGeom prst="rect"/>
                        <a:solidFill>
                          <a:srgbClr val="FFFFFF"/>
                        </a:solidFill>
                      </wps:spPr>
                      <wps:txb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Calibri;sans-serif" w:hAnsi="Calibri;sans-serif"/>
                          <w:b w:val="false"/>
                          <w:color w:val="000000"/>
                          <w:sz w:val="24"/>
                        </w:rPr>
                      </w:pPr>
                      <w:r>
                        <w:rPr>
                          <w:rFonts w:ascii="Calibri;sans-serif" w:hAnsi="Calibri;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9, 2023 </w:t>
      </w:r>
    </w:p>
    <w:tbl>
      <w:tblPr>
        <w:tblW w:w="3450" w:type="dxa"/>
        <w:jc w:val="right"/>
        <w:tblInd w:w="0" w:type="dxa"/>
        <w:tblLayout w:type="fixed"/>
        <w:tblCellMar>
          <w:top w:w="28" w:type="dxa"/>
          <w:left w:w="28" w:type="dxa"/>
          <w:bottom w:w="28" w:type="dxa"/>
          <w:right w:w="28" w:type="dxa"/>
        </w:tblCellMar>
      </w:tblPr>
      <w:tblGrid>
        <w:gridCol w:w="1103"/>
        <w:gridCol w:w="968"/>
        <w:gridCol w:w="1379"/>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 xml:space="preserve">CERTIFICATIONS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 Lisa Walters-Hoffert, certify that: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9, 2023 </w:t>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September 30, 2023,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November 9, 2023 </w:t>
      </w:r>
    </w:p>
    <w:p>
      <w:pPr>
        <w:pStyle w:val="TextBody"/>
        <w:bidi w:val="0"/>
        <w:spacing w:lineRule="auto" w:line="288" w:before="0" w:after="0"/>
        <w:jc w:val="left"/>
        <w:rPr>
          <w:color w:val="000000"/>
        </w:rPr>
      </w:pPr>
      <w:r>
        <w:rPr>
          <w:color w:val="000000"/>
        </w:rPr>
        <w:t> </w:t>
      </w:r>
    </w:p>
    <w:tbl>
      <w:tblPr>
        <w:tblW w:w="3450" w:type="dxa"/>
        <w:jc w:val="right"/>
        <w:tblInd w:w="0" w:type="dxa"/>
        <w:tblLayout w:type="fixed"/>
        <w:tblCellMar>
          <w:top w:w="28" w:type="dxa"/>
          <w:left w:w="28" w:type="dxa"/>
          <w:bottom w:w="28" w:type="dxa"/>
          <w:right w:w="28" w:type="dxa"/>
        </w:tblCellMar>
      </w:tblPr>
      <w:tblGrid>
        <w:gridCol w:w="1103"/>
        <w:gridCol w:w="968"/>
        <w:gridCol w:w="1379"/>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September 30, 2023, as filed with the Securities and Exchange Commission on the date hereof (the “Report”), the undersigned, Lisa Walters-Hoffert, Chief Financial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November 9, 2023 </w:t>
      </w:r>
    </w:p>
    <w:p>
      <w:pPr>
        <w:pStyle w:val="TextBody"/>
        <w:bidi w:val="0"/>
        <w:spacing w:lineRule="auto" w:line="288" w:before="0" w:after="0"/>
        <w:jc w:val="left"/>
        <w:rPr>
          <w:color w:val="000000"/>
        </w:rPr>
      </w:pPr>
      <w:r>
        <w:rPr>
          <w:color w:val="000000"/>
        </w:rPr>
        <w:t> </w:t>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9315223030659/ex4-1.htm" TargetMode="External"/><Relationship Id="rId4" Type="http://schemas.openxmlformats.org/officeDocument/2006/relationships/hyperlink" Target="https://www.sec.gov/Archives/edgar/data/1401914/000149315223030659/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29730</Words>
  <Characters>168511</Characters>
  <CharactersWithSpaces>197271</CharactersWithSpaces>
  <Paragraphs>1748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