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5"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11, 2026</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DARÉ BIOSCIENCE, INC.</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83" w:lineRule="exact"/>
        <w:rPr>
          <w:sz w:val="24"/>
          <w:szCs w:val="24"/>
          <w:color w:val="auto"/>
        </w:rPr>
      </w:pPr>
    </w:p>
    <w:tbl>
      <w:tblPr>
        <w:tblLayout w:type="fixed"/>
        <w:tblInd w:w="1540" w:type="dxa"/>
        <w:tblCellMar>
          <w:top w:w="0" w:type="dxa"/>
          <w:left w:w="0" w:type="dxa"/>
          <w:bottom w:w="0" w:type="dxa"/>
          <w:right w:w="0" w:type="dxa"/>
        </w:tblCellMar>
      </w:tblPr>
      <w:tr>
        <w:trPr>
          <w:trHeight w:val="239"/>
        </w:trPr>
        <w:tc>
          <w:tcPr>
            <w:tcW w:w="2000" w:type="dxa"/>
            <w:vAlign w:val="bottom"/>
          </w:tcPr>
          <w:p>
            <w:pPr>
              <w:jc w:val="center"/>
              <w:ind w:right="282"/>
              <w:spacing w:after="0"/>
              <w:rPr>
                <w:sz w:val="20"/>
                <w:szCs w:val="20"/>
                <w:color w:val="auto"/>
              </w:rPr>
            </w:pPr>
            <w:r>
              <w:rPr>
                <w:rFonts w:ascii="Arial" w:cs="Arial" w:eastAsia="Arial" w:hAnsi="Arial"/>
                <w:sz w:val="18"/>
                <w:szCs w:val="18"/>
                <w:b w:val="1"/>
                <w:bCs w:val="1"/>
                <w:color w:val="auto"/>
              </w:rPr>
              <w:t>Delaware</w:t>
            </w:r>
          </w:p>
        </w:tc>
        <w:tc>
          <w:tcPr>
            <w:tcW w:w="4320" w:type="dxa"/>
            <w:vAlign w:val="bottom"/>
          </w:tcPr>
          <w:p>
            <w:pPr>
              <w:ind w:left="1680"/>
              <w:spacing w:after="0"/>
              <w:rPr>
                <w:sz w:val="20"/>
                <w:szCs w:val="20"/>
                <w:color w:val="auto"/>
              </w:rPr>
            </w:pPr>
            <w:r>
              <w:rPr>
                <w:rFonts w:ascii="Arial" w:cs="Arial" w:eastAsia="Arial" w:hAnsi="Arial"/>
                <w:sz w:val="18"/>
                <w:szCs w:val="18"/>
                <w:b w:val="1"/>
                <w:bCs w:val="1"/>
                <w:color w:val="auto"/>
              </w:rPr>
              <w:t>001-36395</w:t>
            </w:r>
          </w:p>
        </w:tc>
        <w:tc>
          <w:tcPr>
            <w:tcW w:w="1660" w:type="dxa"/>
            <w:vAlign w:val="bottom"/>
          </w:tcPr>
          <w:p>
            <w:pPr>
              <w:jc w:val="center"/>
              <w:ind w:left="462"/>
              <w:spacing w:after="0"/>
              <w:rPr>
                <w:sz w:val="20"/>
                <w:szCs w:val="20"/>
                <w:color w:val="auto"/>
              </w:rPr>
            </w:pPr>
            <w:r>
              <w:rPr>
                <w:rFonts w:ascii="Arial" w:cs="Arial" w:eastAsia="Arial" w:hAnsi="Arial"/>
                <w:sz w:val="18"/>
                <w:szCs w:val="18"/>
                <w:b w:val="1"/>
                <w:bCs w:val="1"/>
                <w:color w:val="auto"/>
                <w:w w:val="99"/>
              </w:rPr>
              <w:t>20-4139823</w:t>
            </w:r>
          </w:p>
        </w:tc>
      </w:tr>
      <w:tr>
        <w:trPr>
          <w:trHeight w:val="144"/>
        </w:trPr>
        <w:tc>
          <w:tcPr>
            <w:tcW w:w="2000" w:type="dxa"/>
            <w:vAlign w:val="bottom"/>
          </w:tcPr>
          <w:p>
            <w:pPr>
              <w:jc w:val="center"/>
              <w:ind w:right="282"/>
              <w:spacing w:after="0" w:line="145" w:lineRule="exact"/>
              <w:rPr>
                <w:sz w:val="20"/>
                <w:szCs w:val="20"/>
                <w:color w:val="auto"/>
              </w:rPr>
            </w:pPr>
            <w:r>
              <w:rPr>
                <w:rFonts w:ascii="Arial" w:cs="Arial" w:eastAsia="Arial" w:hAnsi="Arial"/>
                <w:sz w:val="14"/>
                <w:szCs w:val="14"/>
                <w:color w:val="auto"/>
              </w:rPr>
              <w:t>(State or other jurisdiction</w:t>
            </w:r>
          </w:p>
        </w:tc>
        <w:tc>
          <w:tcPr>
            <w:tcW w:w="4320" w:type="dxa"/>
            <w:vAlign w:val="bottom"/>
          </w:tcPr>
          <w:p>
            <w:pPr>
              <w:ind w:left="1700"/>
              <w:spacing w:after="0" w:line="145" w:lineRule="exact"/>
              <w:rPr>
                <w:sz w:val="20"/>
                <w:szCs w:val="20"/>
                <w:color w:val="auto"/>
              </w:rPr>
            </w:pPr>
            <w:r>
              <w:rPr>
                <w:rFonts w:ascii="Arial" w:cs="Arial" w:eastAsia="Arial" w:hAnsi="Arial"/>
                <w:sz w:val="14"/>
                <w:szCs w:val="14"/>
                <w:color w:val="auto"/>
              </w:rPr>
              <w:t>(Commission</w:t>
            </w:r>
          </w:p>
        </w:tc>
        <w:tc>
          <w:tcPr>
            <w:tcW w:w="1660" w:type="dxa"/>
            <w:vAlign w:val="bottom"/>
          </w:tcPr>
          <w:p>
            <w:pPr>
              <w:jc w:val="center"/>
              <w:ind w:left="442"/>
              <w:spacing w:after="0" w:line="145" w:lineRule="exact"/>
              <w:rPr>
                <w:sz w:val="20"/>
                <w:szCs w:val="20"/>
                <w:color w:val="auto"/>
              </w:rPr>
            </w:pPr>
            <w:r>
              <w:rPr>
                <w:rFonts w:ascii="Arial" w:cs="Arial" w:eastAsia="Arial" w:hAnsi="Arial"/>
                <w:sz w:val="14"/>
                <w:szCs w:val="14"/>
                <w:color w:val="auto"/>
              </w:rPr>
              <w:t>(I.R.S. Employer</w:t>
            </w:r>
          </w:p>
        </w:tc>
      </w:tr>
      <w:tr>
        <w:trPr>
          <w:trHeight w:val="190"/>
        </w:trPr>
        <w:tc>
          <w:tcPr>
            <w:tcW w:w="2000" w:type="dxa"/>
            <w:vAlign w:val="bottom"/>
          </w:tcPr>
          <w:p>
            <w:pPr>
              <w:jc w:val="center"/>
              <w:ind w:right="282"/>
              <w:spacing w:after="0"/>
              <w:rPr>
                <w:sz w:val="20"/>
                <w:szCs w:val="20"/>
                <w:color w:val="auto"/>
              </w:rPr>
            </w:pPr>
            <w:r>
              <w:rPr>
                <w:rFonts w:ascii="Arial" w:cs="Arial" w:eastAsia="Arial" w:hAnsi="Arial"/>
                <w:sz w:val="14"/>
                <w:szCs w:val="14"/>
                <w:color w:val="auto"/>
              </w:rPr>
              <w:t>of incorporation)</w:t>
            </w:r>
          </w:p>
        </w:tc>
        <w:tc>
          <w:tcPr>
            <w:tcW w:w="4320" w:type="dxa"/>
            <w:vAlign w:val="bottom"/>
          </w:tcPr>
          <w:p>
            <w:pPr>
              <w:ind w:left="1700"/>
              <w:spacing w:after="0"/>
              <w:rPr>
                <w:sz w:val="20"/>
                <w:szCs w:val="20"/>
                <w:color w:val="auto"/>
              </w:rPr>
            </w:pPr>
            <w:r>
              <w:rPr>
                <w:rFonts w:ascii="Arial" w:cs="Arial" w:eastAsia="Arial" w:hAnsi="Arial"/>
                <w:sz w:val="14"/>
                <w:szCs w:val="14"/>
                <w:color w:val="auto"/>
              </w:rPr>
              <w:t>File Number)</w:t>
            </w:r>
          </w:p>
        </w:tc>
        <w:tc>
          <w:tcPr>
            <w:tcW w:w="1660" w:type="dxa"/>
            <w:vAlign w:val="bottom"/>
          </w:tcPr>
          <w:p>
            <w:pPr>
              <w:jc w:val="center"/>
              <w:ind w:left="462"/>
              <w:spacing w:after="0"/>
              <w:rPr>
                <w:sz w:val="20"/>
                <w:szCs w:val="20"/>
                <w:color w:val="auto"/>
              </w:rPr>
            </w:pPr>
            <w:r>
              <w:rPr>
                <w:rFonts w:ascii="Arial" w:cs="Arial" w:eastAsia="Arial" w:hAnsi="Arial"/>
                <w:sz w:val="14"/>
                <w:szCs w:val="14"/>
                <w:color w:val="auto"/>
              </w:rPr>
              <w:t>Identification No.)</w:t>
            </w:r>
          </w:p>
        </w:tc>
      </w:tr>
      <w:tr>
        <w:trPr>
          <w:trHeight w:val="574"/>
        </w:trPr>
        <w:tc>
          <w:tcPr>
            <w:tcW w:w="2000" w:type="dxa"/>
            <w:vAlign w:val="bottom"/>
          </w:tcPr>
          <w:p>
            <w:pPr>
              <w:spacing w:after="0"/>
              <w:rPr>
                <w:sz w:val="24"/>
                <w:szCs w:val="24"/>
                <w:color w:val="auto"/>
              </w:rPr>
            </w:pPr>
          </w:p>
        </w:tc>
        <w:tc>
          <w:tcPr>
            <w:tcW w:w="4320" w:type="dxa"/>
            <w:vAlign w:val="bottom"/>
          </w:tcPr>
          <w:p>
            <w:pPr>
              <w:jc w:val="center"/>
              <w:ind w:right="59"/>
              <w:spacing w:after="0"/>
              <w:rPr>
                <w:sz w:val="20"/>
                <w:szCs w:val="20"/>
                <w:color w:val="auto"/>
              </w:rPr>
            </w:pPr>
            <w:r>
              <w:rPr>
                <w:rFonts w:ascii="Arial" w:cs="Arial" w:eastAsia="Arial" w:hAnsi="Arial"/>
                <w:sz w:val="18"/>
                <w:szCs w:val="18"/>
                <w:b w:val="1"/>
                <w:bCs w:val="1"/>
                <w:color w:val="auto"/>
                <w:w w:val="99"/>
              </w:rPr>
              <w:t>3655 Nobel Drive, Suite 260</w:t>
            </w:r>
          </w:p>
        </w:tc>
        <w:tc>
          <w:tcPr>
            <w:tcW w:w="1660" w:type="dxa"/>
            <w:vAlign w:val="bottom"/>
          </w:tcPr>
          <w:p>
            <w:pPr>
              <w:spacing w:after="0"/>
              <w:rPr>
                <w:sz w:val="24"/>
                <w:szCs w:val="24"/>
                <w:color w:val="auto"/>
              </w:rPr>
            </w:pPr>
          </w:p>
        </w:tc>
      </w:tr>
      <w:tr>
        <w:trPr>
          <w:trHeight w:val="226"/>
        </w:trPr>
        <w:tc>
          <w:tcPr>
            <w:tcW w:w="2000" w:type="dxa"/>
            <w:vAlign w:val="bottom"/>
          </w:tcPr>
          <w:p>
            <w:pPr>
              <w:spacing w:after="0"/>
              <w:rPr>
                <w:sz w:val="19"/>
                <w:szCs w:val="19"/>
                <w:color w:val="auto"/>
              </w:rPr>
            </w:pPr>
          </w:p>
        </w:tc>
        <w:tc>
          <w:tcPr>
            <w:tcW w:w="4320" w:type="dxa"/>
            <w:vAlign w:val="bottom"/>
          </w:tcPr>
          <w:p>
            <w:pPr>
              <w:jc w:val="center"/>
              <w:ind w:right="79"/>
              <w:spacing w:after="0"/>
              <w:rPr>
                <w:sz w:val="20"/>
                <w:szCs w:val="20"/>
                <w:color w:val="auto"/>
              </w:rPr>
            </w:pPr>
            <w:r>
              <w:rPr>
                <w:rFonts w:ascii="Arial" w:cs="Arial" w:eastAsia="Arial" w:hAnsi="Arial"/>
                <w:sz w:val="18"/>
                <w:szCs w:val="18"/>
                <w:b w:val="1"/>
                <w:bCs w:val="1"/>
                <w:color w:val="auto"/>
              </w:rPr>
              <w:t>San Diego, CA 92122</w:t>
            </w:r>
          </w:p>
        </w:tc>
        <w:tc>
          <w:tcPr>
            <w:tcW w:w="1660" w:type="dxa"/>
            <w:vAlign w:val="bottom"/>
          </w:tcPr>
          <w:p>
            <w:pPr>
              <w:spacing w:after="0"/>
              <w:rPr>
                <w:sz w:val="19"/>
                <w:szCs w:val="19"/>
                <w:color w:val="auto"/>
              </w:rPr>
            </w:pPr>
          </w:p>
        </w:tc>
      </w:tr>
      <w:tr>
        <w:trPr>
          <w:trHeight w:val="190"/>
        </w:trPr>
        <w:tc>
          <w:tcPr>
            <w:tcW w:w="2000" w:type="dxa"/>
            <w:vAlign w:val="bottom"/>
          </w:tcPr>
          <w:p>
            <w:pPr>
              <w:spacing w:after="0"/>
              <w:rPr>
                <w:sz w:val="16"/>
                <w:szCs w:val="16"/>
                <w:color w:val="auto"/>
              </w:rPr>
            </w:pPr>
          </w:p>
        </w:tc>
        <w:tc>
          <w:tcPr>
            <w:tcW w:w="4320" w:type="dxa"/>
            <w:vAlign w:val="bottom"/>
          </w:tcPr>
          <w:p>
            <w:pPr>
              <w:jc w:val="center"/>
              <w:ind w:right="59"/>
              <w:spacing w:after="0"/>
              <w:rPr>
                <w:sz w:val="20"/>
                <w:szCs w:val="20"/>
                <w:color w:val="auto"/>
              </w:rPr>
            </w:pPr>
            <w:r>
              <w:rPr>
                <w:rFonts w:ascii="Arial" w:cs="Arial" w:eastAsia="Arial" w:hAnsi="Arial"/>
                <w:sz w:val="14"/>
                <w:szCs w:val="14"/>
                <w:color w:val="auto"/>
              </w:rPr>
              <w:t>(Address of Principal Executive Offices and Zip Code)</w:t>
            </w:r>
          </w:p>
        </w:tc>
        <w:tc>
          <w:tcPr>
            <w:tcW w:w="1660" w:type="dxa"/>
            <w:vAlign w:val="bottom"/>
          </w:tcPr>
          <w:p>
            <w:pPr>
              <w:spacing w:after="0"/>
              <w:rPr>
                <w:sz w:val="16"/>
                <w:szCs w:val="16"/>
                <w:color w:val="auto"/>
              </w:rPr>
            </w:pPr>
          </w:p>
        </w:tc>
      </w:tr>
    </w:tbl>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926-7655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3"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60" w:right="22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 w:lineRule="exact"/>
        <w:rPr>
          <w:rFonts w:ascii="MS PGothic" w:cs="MS PGothic" w:eastAsia="MS PGothic" w:hAnsi="MS PGothic"/>
          <w:sz w:val="18"/>
          <w:szCs w:val="18"/>
          <w:color w:val="auto"/>
        </w:rPr>
      </w:pPr>
    </w:p>
    <w:p>
      <w:pPr>
        <w:ind w:left="460" w:right="22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070" w:right="339" w:bottom="1440" w:gutter="0" w:footer="0" w:header="0"/>
        </w:sectPr>
      </w:pPr>
    </w:p>
    <w:p>
      <w:pPr>
        <w:spacing w:after="0" w:line="135" w:lineRule="exact"/>
        <w:rPr>
          <w:sz w:val="24"/>
          <w:szCs w:val="24"/>
          <w:color w:val="auto"/>
        </w:rPr>
      </w:pPr>
    </w:p>
    <w:p>
      <w:pPr>
        <w:ind w:left="150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2" w:lineRule="exact"/>
        <w:rPr>
          <w:sz w:val="24"/>
          <w:szCs w:val="24"/>
          <w:color w:val="auto"/>
        </w:rPr>
      </w:pPr>
    </w:p>
    <w:p>
      <w:pPr>
        <w:sectPr>
          <w:pgSz w:w="11900" w:h="16838" w:orient="portrait"/>
          <w:cols w:equalWidth="0" w:num="3">
            <w:col w:w="4220" w:space="720"/>
            <w:col w:w="1820" w:space="720"/>
            <w:col w:w="3760"/>
          </w:cols>
          <w:pgMar w:left="320" w:top="1070" w:right="339" w:bottom="1440" w:gutter="0" w:footer="0" w:header="0"/>
          <w:type w:val="continuous"/>
        </w:sectPr>
      </w:pPr>
    </w:p>
    <w:p>
      <w:pPr>
        <w:ind w:left="156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Arial" w:cs="Arial" w:eastAsia="Arial" w:hAnsi="Arial"/>
          <w:sz w:val="16"/>
          <w:szCs w:val="16"/>
          <w:b w:val="1"/>
          <w:bCs w:val="1"/>
          <w:color w:val="auto"/>
        </w:rPr>
        <w:t>DARE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Nasdaq Capital Market</w:t>
      </w:r>
    </w:p>
    <w:p>
      <w:pPr>
        <w:spacing w:after="0" w:line="200" w:lineRule="exact"/>
        <w:rPr>
          <w:sz w:val="24"/>
          <w:szCs w:val="24"/>
          <w:color w:val="auto"/>
        </w:rPr>
      </w:pPr>
    </w:p>
    <w:p>
      <w:pPr>
        <w:sectPr>
          <w:pgSz w:w="11900" w:h="16838" w:orient="portrait"/>
          <w:cols w:equalWidth="0" w:num="3">
            <w:col w:w="4640" w:space="720"/>
            <w:col w:w="2140" w:space="720"/>
            <w:col w:w="3020"/>
          </w:cols>
          <w:pgMar w:left="320" w:top="1070" w:right="339" w:bottom="1440" w:gutter="0" w:footer="0" w:header="0"/>
          <w:type w:val="continuous"/>
        </w:sectPr>
      </w:pPr>
    </w:p>
    <w:p>
      <w:pPr>
        <w:spacing w:after="0" w:line="16"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8"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1" w:name="page2"/>
    <w:bookmarkEnd w:id="1"/>
    <w:p>
      <w:pPr>
        <w:ind w:left="1100" w:right="2040" w:hanging="1065"/>
        <w:spacing w:after="0" w:line="249" w:lineRule="auto"/>
        <w:tabs>
          <w:tab w:leader="none" w:pos="108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reported in Item 5.07 below, at the 2026 annual meeting of stockholders of Daré Bioscience, Inc. (“Daré,” “we,” “us,” or “our”) (the “Meeting”), our stockholders approved an amendment to the Daré Bioscience, Inc. 2022 Stock Incentive Plan (the “2022 Plan Amendment”) to increase the number of shares available for issuance thereunder by 1,500,000. Our board of directors previously approved the 2022 Plan Amendment, subject to and effective upon approval of the 2022 Plan Amendment by our stockholders. A brief description of the terms and conditions of the 2022 Plan Amendment is in the section entitled “Proposal 6 – To Approve an Amendment to the Company’s 2022 Stock Incentive Plan” of the definitive proxy statement for the Meeting filed with the U.S. Securities and Exchange Commission on April 28, 2026 (the “Proxy Statement”), which description is incorporated herein by reference. A copy of the 2022 Plan Amendment is filed as an exhibit to this report and incorporated by reference herein.</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34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Meeting was held on June 11, 2026 and the following proposals were voted upon by our stockholders. The proposals are described in detail in the Proxy Statement. Below is a brief description of, and the final results of the votes for, each proposal.</w:t>
      </w:r>
    </w:p>
    <w:p>
      <w:pPr>
        <w:spacing w:after="0" w:line="166"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b w:val="1"/>
          <w:bCs w:val="1"/>
          <w:color w:val="auto"/>
        </w:rPr>
        <w:t>Proposal 1</w:t>
      </w:r>
      <w:r>
        <w:rPr>
          <w:rFonts w:ascii="Arial" w:cs="Arial" w:eastAsia="Arial" w:hAnsi="Arial"/>
          <w:sz w:val="18"/>
          <w:szCs w:val="18"/>
          <w:color w:val="auto"/>
        </w:rPr>
        <w:t>: Each of the director nominees identified in the table below was elected as a Class III director to hold office until our 2029</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stockholders, and until their respective successor is duly elected and qualified, by the votes set forth below.</w:t>
      </w:r>
    </w:p>
    <w:p>
      <w:pPr>
        <w:spacing w:after="0" w:line="223"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4000" w:type="dxa"/>
            <w:vAlign w:val="bottom"/>
            <w:gridSpan w:val="2"/>
          </w:tcPr>
          <w:p>
            <w:pPr>
              <w:ind w:left="20"/>
              <w:spacing w:after="0"/>
              <w:rPr>
                <w:sz w:val="20"/>
                <w:szCs w:val="20"/>
                <w:color w:val="auto"/>
              </w:rPr>
            </w:pPr>
            <w:r>
              <w:rPr>
                <w:rFonts w:ascii="Arial" w:cs="Arial" w:eastAsia="Arial" w:hAnsi="Arial"/>
                <w:sz w:val="18"/>
                <w:szCs w:val="18"/>
                <w:i w:val="1"/>
                <w:iCs w:val="1"/>
                <w:color w:val="auto"/>
              </w:rPr>
              <w:t>Nominee</w:t>
            </w:r>
          </w:p>
        </w:tc>
        <w:tc>
          <w:tcPr>
            <w:tcW w:w="1560" w:type="dxa"/>
            <w:vAlign w:val="bottom"/>
            <w:gridSpan w:val="2"/>
          </w:tcPr>
          <w:p>
            <w:pPr>
              <w:ind w:left="300"/>
              <w:spacing w:after="0"/>
              <w:rPr>
                <w:sz w:val="20"/>
                <w:szCs w:val="20"/>
                <w:color w:val="auto"/>
              </w:rPr>
            </w:pPr>
            <w:r>
              <w:rPr>
                <w:rFonts w:ascii="Arial" w:cs="Arial" w:eastAsia="Arial" w:hAnsi="Arial"/>
                <w:sz w:val="18"/>
                <w:szCs w:val="18"/>
                <w:i w:val="1"/>
                <w:iCs w:val="1"/>
                <w:color w:val="auto"/>
              </w:rPr>
              <w:t>Votes For</w:t>
            </w:r>
          </w:p>
        </w:tc>
        <w:tc>
          <w:tcPr>
            <w:tcW w:w="172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99"/>
              </w:rPr>
              <w:t>Votes Withheld</w:t>
            </w:r>
          </w:p>
        </w:tc>
        <w:tc>
          <w:tcPr>
            <w:tcW w:w="1800" w:type="dxa"/>
            <w:vAlign w:val="bottom"/>
          </w:tcPr>
          <w:p>
            <w:pPr>
              <w:jc w:val="center"/>
              <w:spacing w:after="0"/>
              <w:rPr>
                <w:sz w:val="20"/>
                <w:szCs w:val="20"/>
                <w:color w:val="auto"/>
              </w:rPr>
            </w:pPr>
            <w:r>
              <w:rPr>
                <w:rFonts w:ascii="Arial" w:cs="Arial" w:eastAsia="Arial" w:hAnsi="Arial"/>
                <w:sz w:val="18"/>
                <w:szCs w:val="18"/>
                <w:i w:val="1"/>
                <w:iCs w:val="1"/>
                <w:color w:val="auto"/>
              </w:rPr>
              <w:t>Broker Non-Votes</w:t>
            </w:r>
          </w:p>
        </w:tc>
      </w:tr>
      <w:tr>
        <w:trPr>
          <w:trHeight w:val="23"/>
        </w:trPr>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2"/>
        </w:trPr>
        <w:tc>
          <w:tcPr>
            <w:tcW w:w="3900" w:type="dxa"/>
            <w:vAlign w:val="bottom"/>
          </w:tcPr>
          <w:p>
            <w:pPr>
              <w:ind w:left="20"/>
              <w:spacing w:after="0"/>
              <w:rPr>
                <w:sz w:val="20"/>
                <w:szCs w:val="20"/>
                <w:color w:val="auto"/>
              </w:rPr>
            </w:pPr>
            <w:r>
              <w:rPr>
                <w:rFonts w:ascii="Arial" w:cs="Arial" w:eastAsia="Arial" w:hAnsi="Arial"/>
                <w:sz w:val="18"/>
                <w:szCs w:val="18"/>
                <w:color w:val="auto"/>
              </w:rPr>
              <w:t>Gregory W. Matz, CPA</w:t>
            </w:r>
          </w:p>
        </w:tc>
        <w:tc>
          <w:tcPr>
            <w:tcW w:w="100" w:type="dxa"/>
            <w:vAlign w:val="bottom"/>
          </w:tcPr>
          <w:p>
            <w:pPr>
              <w:spacing w:after="0"/>
              <w:rPr>
                <w:sz w:val="20"/>
                <w:szCs w:val="20"/>
                <w:color w:val="auto"/>
              </w:rPr>
            </w:pPr>
          </w:p>
        </w:tc>
        <w:tc>
          <w:tcPr>
            <w:tcW w:w="1380" w:type="dxa"/>
            <w:vAlign w:val="bottom"/>
          </w:tcPr>
          <w:p>
            <w:pPr>
              <w:ind w:left="300"/>
              <w:spacing w:after="0"/>
              <w:rPr>
                <w:sz w:val="20"/>
                <w:szCs w:val="20"/>
                <w:color w:val="auto"/>
              </w:rPr>
            </w:pPr>
            <w:r>
              <w:rPr>
                <w:rFonts w:ascii="Arial" w:cs="Arial" w:eastAsia="Arial" w:hAnsi="Arial"/>
                <w:sz w:val="18"/>
                <w:szCs w:val="18"/>
                <w:color w:val="auto"/>
              </w:rPr>
              <w:t>3,752,211</w:t>
            </w:r>
          </w:p>
        </w:tc>
        <w:tc>
          <w:tcPr>
            <w:tcW w:w="1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403,510</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3,822,158</w:t>
            </w:r>
          </w:p>
        </w:tc>
      </w:tr>
      <w:tr>
        <w:trPr>
          <w:trHeight w:val="251"/>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Sabrina Martucci Johnson</w:t>
            </w:r>
          </w:p>
        </w:tc>
        <w:tc>
          <w:tcPr>
            <w:tcW w:w="1380" w:type="dxa"/>
            <w:vAlign w:val="bottom"/>
          </w:tcPr>
          <w:p>
            <w:pPr>
              <w:ind w:left="280"/>
              <w:spacing w:after="0"/>
              <w:rPr>
                <w:sz w:val="20"/>
                <w:szCs w:val="20"/>
                <w:color w:val="auto"/>
              </w:rPr>
            </w:pPr>
            <w:r>
              <w:rPr>
                <w:rFonts w:ascii="Arial" w:cs="Arial" w:eastAsia="Arial" w:hAnsi="Arial"/>
                <w:sz w:val="18"/>
                <w:szCs w:val="18"/>
                <w:color w:val="auto"/>
              </w:rPr>
              <w:t>3,848,085</w:t>
            </w:r>
          </w:p>
        </w:tc>
        <w:tc>
          <w:tcPr>
            <w:tcW w:w="1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307,636</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3,822,158</w:t>
            </w:r>
          </w:p>
        </w:tc>
      </w:tr>
    </w:tbl>
    <w:p>
      <w:pPr>
        <w:spacing w:after="0" w:line="328"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b w:val="1"/>
          <w:bCs w:val="1"/>
          <w:color w:val="auto"/>
        </w:rPr>
        <w:t>Proposal 2</w:t>
      </w:r>
      <w:r>
        <w:rPr>
          <w:rFonts w:ascii="Arial" w:cs="Arial" w:eastAsia="Arial" w:hAnsi="Arial"/>
          <w:sz w:val="18"/>
          <w:szCs w:val="18"/>
          <w:color w:val="auto"/>
        </w:rPr>
        <w:t>: Our stockholders ratified the appointment of Haskell &amp; White LLP as our independent registered public accounting firm</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fiscal year ending December 31, 2026 by the votes set forth below.</w:t>
      </w:r>
    </w:p>
    <w:p>
      <w:pPr>
        <w:spacing w:after="0" w:line="237"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2100" w:type="dxa"/>
            <w:vAlign w:val="bottom"/>
            <w:gridSpan w:val="2"/>
          </w:tcPr>
          <w:p>
            <w:pPr>
              <w:ind w:left="580"/>
              <w:spacing w:after="0"/>
              <w:rPr>
                <w:sz w:val="20"/>
                <w:szCs w:val="20"/>
                <w:color w:val="auto"/>
              </w:rPr>
            </w:pPr>
            <w:r>
              <w:rPr>
                <w:rFonts w:ascii="Arial" w:cs="Arial" w:eastAsia="Arial" w:hAnsi="Arial"/>
                <w:sz w:val="18"/>
                <w:szCs w:val="18"/>
                <w:i w:val="1"/>
                <w:iCs w:val="1"/>
                <w:color w:val="auto"/>
              </w:rPr>
              <w:t>Votes For</w:t>
            </w: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i w:val="1"/>
                <w:iCs w:val="1"/>
                <w:color w:val="auto"/>
                <w:w w:val="99"/>
              </w:rPr>
              <w:t>Votes Against</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i w:val="1"/>
                <w:iCs w:val="1"/>
                <w:color w:val="auto"/>
                <w:w w:val="99"/>
              </w:rPr>
              <w:t>Abstentions</w:t>
            </w:r>
          </w:p>
        </w:tc>
        <w:tc>
          <w:tcPr>
            <w:tcW w:w="3560" w:type="dxa"/>
            <w:vAlign w:val="bottom"/>
          </w:tcPr>
          <w:p>
            <w:pPr>
              <w:jc w:val="center"/>
              <w:spacing w:after="0"/>
              <w:rPr>
                <w:sz w:val="20"/>
                <w:szCs w:val="20"/>
                <w:color w:val="auto"/>
              </w:rPr>
            </w:pPr>
            <w:r>
              <w:rPr>
                <w:rFonts w:ascii="Arial" w:cs="Arial" w:eastAsia="Arial" w:hAnsi="Arial"/>
                <w:sz w:val="18"/>
                <w:szCs w:val="18"/>
                <w:i w:val="1"/>
                <w:iCs w:val="1"/>
                <w:color w:val="auto"/>
              </w:rPr>
              <w:t>Broker Non-Votes</w:t>
            </w:r>
          </w:p>
        </w:tc>
      </w:tr>
      <w:tr>
        <w:trPr>
          <w:trHeight w:val="23"/>
        </w:trPr>
        <w:tc>
          <w:tcPr>
            <w:tcW w:w="1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32"/>
        </w:trPr>
        <w:tc>
          <w:tcPr>
            <w:tcW w:w="1940" w:type="dxa"/>
            <w:vAlign w:val="bottom"/>
          </w:tcPr>
          <w:p>
            <w:pPr>
              <w:ind w:left="560"/>
              <w:spacing w:after="0"/>
              <w:rPr>
                <w:sz w:val="20"/>
                <w:szCs w:val="20"/>
                <w:color w:val="auto"/>
              </w:rPr>
            </w:pPr>
            <w:r>
              <w:rPr>
                <w:rFonts w:ascii="Arial" w:cs="Arial" w:eastAsia="Arial" w:hAnsi="Arial"/>
                <w:sz w:val="18"/>
                <w:szCs w:val="18"/>
                <w:color w:val="auto"/>
              </w:rPr>
              <w:t>7,754,883</w:t>
            </w:r>
          </w:p>
        </w:tc>
        <w:tc>
          <w:tcPr>
            <w:tcW w:w="160" w:type="dxa"/>
            <w:vAlign w:val="bottom"/>
          </w:tcPr>
          <w:p>
            <w:pPr>
              <w:spacing w:after="0"/>
              <w:rPr>
                <w:sz w:val="20"/>
                <w:szCs w:val="20"/>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131,829</w:t>
            </w:r>
          </w:p>
        </w:tc>
        <w:tc>
          <w:tcPr>
            <w:tcW w:w="160" w:type="dxa"/>
            <w:vAlign w:val="bottom"/>
          </w:tcPr>
          <w:p>
            <w:pPr>
              <w:spacing w:after="0"/>
              <w:rPr>
                <w:sz w:val="20"/>
                <w:szCs w:val="20"/>
                <w:color w:val="auto"/>
              </w:rPr>
            </w:pPr>
          </w:p>
        </w:tc>
        <w:tc>
          <w:tcPr>
            <w:tcW w:w="1980" w:type="dxa"/>
            <w:vAlign w:val="bottom"/>
          </w:tcPr>
          <w:p>
            <w:pPr>
              <w:jc w:val="right"/>
              <w:ind w:right="630"/>
              <w:spacing w:after="0"/>
              <w:rPr>
                <w:sz w:val="20"/>
                <w:szCs w:val="20"/>
                <w:color w:val="auto"/>
              </w:rPr>
            </w:pPr>
            <w:r>
              <w:rPr>
                <w:rFonts w:ascii="Arial" w:cs="Arial" w:eastAsia="Arial" w:hAnsi="Arial"/>
                <w:sz w:val="18"/>
                <w:szCs w:val="18"/>
                <w:color w:val="auto"/>
              </w:rPr>
              <w:t>91,167</w:t>
            </w:r>
          </w:p>
        </w:tc>
        <w:tc>
          <w:tcPr>
            <w:tcW w:w="16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323" w:lineRule="exact"/>
        <w:rPr>
          <w:sz w:val="20"/>
          <w:szCs w:val="20"/>
          <w:color w:val="auto"/>
        </w:rPr>
      </w:pPr>
    </w:p>
    <w:p>
      <w:pPr>
        <w:ind w:left="660" w:right="20"/>
        <w:spacing w:after="0" w:line="271" w:lineRule="auto"/>
        <w:rPr>
          <w:sz w:val="20"/>
          <w:szCs w:val="20"/>
          <w:color w:val="auto"/>
        </w:rPr>
      </w:pPr>
      <w:r>
        <w:rPr>
          <w:rFonts w:ascii="Arial" w:cs="Arial" w:eastAsia="Arial" w:hAnsi="Arial"/>
          <w:sz w:val="18"/>
          <w:szCs w:val="18"/>
          <w:b w:val="1"/>
          <w:bCs w:val="1"/>
          <w:color w:val="auto"/>
        </w:rPr>
        <w:t>Proposal 3</w:t>
      </w:r>
      <w:r>
        <w:rPr>
          <w:rFonts w:ascii="Arial" w:cs="Arial" w:eastAsia="Arial" w:hAnsi="Arial"/>
          <w:sz w:val="18"/>
          <w:szCs w:val="18"/>
          <w:color w:val="auto"/>
        </w:rPr>
        <w:t>: Our stockholders approved, on an advisory basis, the compensation of our named executive officers as disclosed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by the votes set forth below.</w:t>
      </w:r>
    </w:p>
    <w:p>
      <w:pPr>
        <w:spacing w:after="0" w:line="223"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1920" w:type="dxa"/>
            <w:vAlign w:val="bottom"/>
            <w:gridSpan w:val="2"/>
          </w:tcPr>
          <w:p>
            <w:pPr>
              <w:ind w:left="500"/>
              <w:spacing w:after="0"/>
              <w:rPr>
                <w:sz w:val="20"/>
                <w:szCs w:val="20"/>
                <w:color w:val="auto"/>
              </w:rPr>
            </w:pPr>
            <w:r>
              <w:rPr>
                <w:rFonts w:ascii="Arial" w:cs="Arial" w:eastAsia="Arial" w:hAnsi="Arial"/>
                <w:sz w:val="18"/>
                <w:szCs w:val="18"/>
                <w:i w:val="1"/>
                <w:iCs w:val="1"/>
                <w:color w:val="auto"/>
              </w:rPr>
              <w:t>Votes For</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9"/>
              </w:rPr>
              <w:t>Votes Against</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9"/>
              </w:rPr>
              <w:t>Abstentions</w:t>
            </w:r>
          </w:p>
        </w:tc>
        <w:tc>
          <w:tcPr>
            <w:tcW w:w="3240" w:type="dxa"/>
            <w:vAlign w:val="bottom"/>
          </w:tcPr>
          <w:p>
            <w:pPr>
              <w:jc w:val="center"/>
              <w:spacing w:after="0"/>
              <w:rPr>
                <w:sz w:val="20"/>
                <w:szCs w:val="20"/>
                <w:color w:val="auto"/>
              </w:rPr>
            </w:pPr>
            <w:r>
              <w:rPr>
                <w:rFonts w:ascii="Arial" w:cs="Arial" w:eastAsia="Arial" w:hAnsi="Arial"/>
                <w:sz w:val="18"/>
                <w:szCs w:val="18"/>
                <w:i w:val="1"/>
                <w:iCs w:val="1"/>
                <w:color w:val="auto"/>
                <w:w w:val="99"/>
              </w:rPr>
              <w:t>Broker Non-Votes</w:t>
            </w:r>
          </w:p>
        </w:tc>
      </w:tr>
      <w:tr>
        <w:trPr>
          <w:trHeight w:val="23"/>
        </w:trPr>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2"/>
        </w:trPr>
        <w:tc>
          <w:tcPr>
            <w:tcW w:w="1760" w:type="dxa"/>
            <w:vAlign w:val="bottom"/>
          </w:tcPr>
          <w:p>
            <w:pPr>
              <w:ind w:left="480"/>
              <w:spacing w:after="0"/>
              <w:rPr>
                <w:sz w:val="20"/>
                <w:szCs w:val="20"/>
                <w:color w:val="auto"/>
              </w:rPr>
            </w:pPr>
            <w:r>
              <w:rPr>
                <w:rFonts w:ascii="Arial" w:cs="Arial" w:eastAsia="Arial" w:hAnsi="Arial"/>
                <w:sz w:val="18"/>
                <w:szCs w:val="18"/>
                <w:color w:val="auto"/>
              </w:rPr>
              <w:t>3,625,596</w:t>
            </w:r>
          </w:p>
        </w:tc>
        <w:tc>
          <w:tcPr>
            <w:tcW w:w="160" w:type="dxa"/>
            <w:vAlign w:val="bottom"/>
          </w:tcPr>
          <w:p>
            <w:pPr>
              <w:spacing w:after="0"/>
              <w:rPr>
                <w:sz w:val="20"/>
                <w:szCs w:val="20"/>
                <w:color w:val="auto"/>
              </w:rPr>
            </w:pPr>
          </w:p>
        </w:tc>
        <w:tc>
          <w:tcPr>
            <w:tcW w:w="1780" w:type="dxa"/>
            <w:vAlign w:val="bottom"/>
          </w:tcPr>
          <w:p>
            <w:pPr>
              <w:jc w:val="right"/>
              <w:ind w:right="470"/>
              <w:spacing w:after="0"/>
              <w:rPr>
                <w:sz w:val="20"/>
                <w:szCs w:val="20"/>
                <w:color w:val="auto"/>
              </w:rPr>
            </w:pPr>
            <w:r>
              <w:rPr>
                <w:rFonts w:ascii="Arial" w:cs="Arial" w:eastAsia="Arial" w:hAnsi="Arial"/>
                <w:sz w:val="18"/>
                <w:szCs w:val="18"/>
                <w:color w:val="auto"/>
              </w:rPr>
              <w:t>458,662</w:t>
            </w:r>
          </w:p>
        </w:tc>
        <w:tc>
          <w:tcPr>
            <w:tcW w:w="140" w:type="dxa"/>
            <w:vAlign w:val="bottom"/>
          </w:tcPr>
          <w:p>
            <w:pPr>
              <w:spacing w:after="0"/>
              <w:rPr>
                <w:sz w:val="20"/>
                <w:szCs w:val="20"/>
                <w:color w:val="auto"/>
              </w:rPr>
            </w:pPr>
          </w:p>
        </w:tc>
        <w:tc>
          <w:tcPr>
            <w:tcW w:w="1800" w:type="dxa"/>
            <w:vAlign w:val="bottom"/>
          </w:tcPr>
          <w:p>
            <w:pPr>
              <w:jc w:val="right"/>
              <w:ind w:right="530"/>
              <w:spacing w:after="0"/>
              <w:rPr>
                <w:sz w:val="20"/>
                <w:szCs w:val="20"/>
                <w:color w:val="auto"/>
              </w:rPr>
            </w:pPr>
            <w:r>
              <w:rPr>
                <w:rFonts w:ascii="Arial" w:cs="Arial" w:eastAsia="Arial" w:hAnsi="Arial"/>
                <w:sz w:val="18"/>
                <w:szCs w:val="18"/>
                <w:color w:val="auto"/>
              </w:rPr>
              <w:t>71,463</w:t>
            </w:r>
          </w:p>
        </w:tc>
        <w:tc>
          <w:tcPr>
            <w:tcW w:w="160" w:type="dxa"/>
            <w:vAlign w:val="bottom"/>
          </w:tcPr>
          <w:p>
            <w:pPr>
              <w:spacing w:after="0"/>
              <w:rPr>
                <w:sz w:val="20"/>
                <w:szCs w:val="20"/>
                <w:color w:val="auto"/>
              </w:rPr>
            </w:pPr>
          </w:p>
        </w:tc>
        <w:tc>
          <w:tcPr>
            <w:tcW w:w="3240" w:type="dxa"/>
            <w:vAlign w:val="bottom"/>
          </w:tcPr>
          <w:p>
            <w:pPr>
              <w:jc w:val="right"/>
              <w:ind w:right="1130"/>
              <w:spacing w:after="0"/>
              <w:rPr>
                <w:sz w:val="20"/>
                <w:szCs w:val="20"/>
                <w:color w:val="auto"/>
              </w:rPr>
            </w:pPr>
            <w:r>
              <w:rPr>
                <w:rFonts w:ascii="Arial" w:cs="Arial" w:eastAsia="Arial" w:hAnsi="Arial"/>
                <w:sz w:val="18"/>
                <w:szCs w:val="18"/>
                <w:color w:val="auto"/>
              </w:rPr>
              <w:t>3,822,158</w:t>
            </w:r>
          </w:p>
        </w:tc>
      </w:tr>
    </w:tbl>
    <w:p>
      <w:pPr>
        <w:spacing w:after="0" w:line="323"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b w:val="1"/>
          <w:bCs w:val="1"/>
          <w:color w:val="auto"/>
        </w:rPr>
        <w:t>Proposal 4</w:t>
      </w:r>
      <w:r>
        <w:rPr>
          <w:rFonts w:ascii="Arial" w:cs="Arial" w:eastAsia="Arial" w:hAnsi="Arial"/>
          <w:sz w:val="18"/>
          <w:szCs w:val="18"/>
          <w:color w:val="auto"/>
        </w:rPr>
        <w:t>: Our stockholders voted as follows with respect to the preferred frequency of holding an advisory vote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of our named executive officers.</w:t>
      </w:r>
    </w:p>
    <w:p>
      <w:pPr>
        <w:spacing w:after="0" w:line="237"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1840" w:type="dxa"/>
            <w:vAlign w:val="bottom"/>
          </w:tcPr>
          <w:p>
            <w:pPr>
              <w:jc w:val="center"/>
              <w:spacing w:after="0"/>
              <w:rPr>
                <w:sz w:val="20"/>
                <w:szCs w:val="20"/>
                <w:color w:val="auto"/>
              </w:rPr>
            </w:pPr>
            <w:r>
              <w:rPr>
                <w:rFonts w:ascii="Arial" w:cs="Arial" w:eastAsia="Arial" w:hAnsi="Arial"/>
                <w:sz w:val="18"/>
                <w:szCs w:val="18"/>
                <w:i w:val="1"/>
                <w:iCs w:val="1"/>
                <w:color w:val="auto"/>
                <w:w w:val="99"/>
              </w:rPr>
              <w:t>Every year</w:t>
            </w:r>
          </w:p>
        </w:tc>
        <w:tc>
          <w:tcPr>
            <w:tcW w:w="2260" w:type="dxa"/>
            <w:vAlign w:val="bottom"/>
            <w:gridSpan w:val="2"/>
          </w:tcPr>
          <w:p>
            <w:pPr>
              <w:ind w:left="460"/>
              <w:spacing w:after="0"/>
              <w:rPr>
                <w:sz w:val="20"/>
                <w:szCs w:val="20"/>
                <w:color w:val="auto"/>
              </w:rPr>
            </w:pPr>
            <w:r>
              <w:rPr>
                <w:rFonts w:ascii="Arial" w:cs="Arial" w:eastAsia="Arial" w:hAnsi="Arial"/>
                <w:sz w:val="18"/>
                <w:szCs w:val="18"/>
                <w:i w:val="1"/>
                <w:iCs w:val="1"/>
                <w:color w:val="auto"/>
              </w:rPr>
              <w:t>Every two years</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9"/>
              </w:rPr>
              <w:t>Every three years</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9"/>
              </w:rPr>
              <w:t>Abstentions</w:t>
            </w:r>
          </w:p>
        </w:tc>
        <w:tc>
          <w:tcPr>
            <w:tcW w:w="1800" w:type="dxa"/>
            <w:vAlign w:val="bottom"/>
          </w:tcPr>
          <w:p>
            <w:pPr>
              <w:jc w:val="right"/>
              <w:ind w:right="270"/>
              <w:spacing w:after="0"/>
              <w:rPr>
                <w:sz w:val="20"/>
                <w:szCs w:val="20"/>
                <w:color w:val="auto"/>
              </w:rPr>
            </w:pPr>
            <w:r>
              <w:rPr>
                <w:rFonts w:ascii="Arial" w:cs="Arial" w:eastAsia="Arial" w:hAnsi="Arial"/>
                <w:sz w:val="18"/>
                <w:szCs w:val="18"/>
                <w:i w:val="1"/>
                <w:iCs w:val="1"/>
                <w:color w:val="auto"/>
                <w:w w:val="99"/>
              </w:rPr>
              <w:t>Broker Non-Votes</w:t>
            </w:r>
          </w:p>
        </w:tc>
      </w:tr>
      <w:tr>
        <w:trPr>
          <w:trHeight w:val="23"/>
        </w:trPr>
        <w:tc>
          <w:tcPr>
            <w:tcW w:w="18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2"/>
        </w:trPr>
        <w:tc>
          <w:tcPr>
            <w:tcW w:w="1840" w:type="dxa"/>
            <w:vAlign w:val="bottom"/>
          </w:tcPr>
          <w:p>
            <w:pPr>
              <w:jc w:val="right"/>
              <w:ind w:right="390"/>
              <w:spacing w:after="0"/>
              <w:rPr>
                <w:sz w:val="20"/>
                <w:szCs w:val="20"/>
                <w:color w:val="auto"/>
              </w:rPr>
            </w:pPr>
            <w:r>
              <w:rPr>
                <w:rFonts w:ascii="Arial" w:cs="Arial" w:eastAsia="Arial" w:hAnsi="Arial"/>
                <w:sz w:val="18"/>
                <w:szCs w:val="18"/>
                <w:color w:val="auto"/>
              </w:rPr>
              <w:t>3,684,058</w:t>
            </w:r>
          </w:p>
        </w:tc>
        <w:tc>
          <w:tcPr>
            <w:tcW w:w="2140" w:type="dxa"/>
            <w:vAlign w:val="bottom"/>
          </w:tcPr>
          <w:p>
            <w:pPr>
              <w:jc w:val="right"/>
              <w:ind w:right="610"/>
              <w:spacing w:after="0"/>
              <w:rPr>
                <w:sz w:val="20"/>
                <w:szCs w:val="20"/>
                <w:color w:val="auto"/>
              </w:rPr>
            </w:pPr>
            <w:r>
              <w:rPr>
                <w:rFonts w:ascii="Arial" w:cs="Arial" w:eastAsia="Arial" w:hAnsi="Arial"/>
                <w:sz w:val="18"/>
                <w:szCs w:val="18"/>
                <w:color w:val="auto"/>
              </w:rPr>
              <w:t>64,201</w:t>
            </w:r>
          </w:p>
        </w:tc>
        <w:tc>
          <w:tcPr>
            <w:tcW w:w="120" w:type="dxa"/>
            <w:vAlign w:val="bottom"/>
          </w:tcPr>
          <w:p>
            <w:pPr>
              <w:spacing w:after="0"/>
              <w:rPr>
                <w:sz w:val="20"/>
                <w:szCs w:val="20"/>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224,385</w:t>
            </w:r>
          </w:p>
        </w:tc>
        <w:tc>
          <w:tcPr>
            <w:tcW w:w="120" w:type="dxa"/>
            <w:vAlign w:val="bottom"/>
          </w:tcPr>
          <w:p>
            <w:pPr>
              <w:spacing w:after="0"/>
              <w:rPr>
                <w:sz w:val="20"/>
                <w:szCs w:val="20"/>
                <w:color w:val="auto"/>
              </w:rPr>
            </w:pP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183,077</w:t>
            </w:r>
          </w:p>
        </w:tc>
        <w:tc>
          <w:tcPr>
            <w:tcW w:w="120" w:type="dxa"/>
            <w:vAlign w:val="bottom"/>
          </w:tcPr>
          <w:p>
            <w:pPr>
              <w:spacing w:after="0"/>
              <w:rPr>
                <w:sz w:val="20"/>
                <w:szCs w:val="20"/>
                <w:color w:val="auto"/>
              </w:rPr>
            </w:pP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3,822,158</w:t>
            </w:r>
          </w:p>
        </w:tc>
      </w:tr>
    </w:tbl>
    <w:p>
      <w:pPr>
        <w:spacing w:after="0" w:line="323"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In light of the voting results, our board of directors has determined to hold an advisory vote on executive compensation every year until the next required say-on-frequency vote.</w:t>
      </w:r>
    </w:p>
    <w:p>
      <w:pPr>
        <w:spacing w:after="0" w:line="167"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b w:val="1"/>
          <w:bCs w:val="1"/>
          <w:color w:val="auto"/>
        </w:rPr>
        <w:t>Proposal 5</w:t>
      </w:r>
      <w:r>
        <w:rPr>
          <w:rFonts w:ascii="Arial" w:cs="Arial" w:eastAsia="Arial" w:hAnsi="Arial"/>
          <w:sz w:val="18"/>
          <w:szCs w:val="18"/>
          <w:color w:val="auto"/>
        </w:rPr>
        <w:t>: Our stockholders approved, in accordance with Nasdaq rules, the potential future issuance of shares of our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under our existing equity line with Lincoln Park Capital Fund, LLC by the votes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 w:name="page3"/>
    <w:bookmarkEnd w:id="2"/>
    <w:tbl>
      <w:tblPr>
        <w:tblLayout w:type="fixed"/>
        <w:tblInd w:w="980" w:type="dxa"/>
        <w:tblCellMar>
          <w:top w:w="0" w:type="dxa"/>
          <w:left w:w="0" w:type="dxa"/>
          <w:bottom w:w="0" w:type="dxa"/>
          <w:right w:w="0" w:type="dxa"/>
        </w:tblCellMar>
      </w:tblPr>
      <w:tr>
        <w:trPr>
          <w:trHeight w:val="237"/>
        </w:trPr>
        <w:tc>
          <w:tcPr>
            <w:tcW w:w="2100" w:type="dxa"/>
            <w:vAlign w:val="bottom"/>
            <w:gridSpan w:val="2"/>
          </w:tcPr>
          <w:p>
            <w:pPr>
              <w:ind w:left="580"/>
              <w:spacing w:after="0"/>
              <w:rPr>
                <w:sz w:val="20"/>
                <w:szCs w:val="20"/>
                <w:color w:val="auto"/>
              </w:rPr>
            </w:pPr>
            <w:r>
              <w:rPr>
                <w:rFonts w:ascii="Arial" w:cs="Arial" w:eastAsia="Arial" w:hAnsi="Arial"/>
                <w:sz w:val="18"/>
                <w:szCs w:val="18"/>
                <w:i w:val="1"/>
                <w:iCs w:val="1"/>
                <w:color w:val="auto"/>
              </w:rPr>
              <w:t>Votes For</w:t>
            </w: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i w:val="1"/>
                <w:iCs w:val="1"/>
                <w:color w:val="auto"/>
                <w:w w:val="99"/>
              </w:rPr>
              <w:t>Votes Against</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i w:val="1"/>
                <w:iCs w:val="1"/>
                <w:color w:val="auto"/>
                <w:w w:val="99"/>
              </w:rPr>
              <w:t>Abstentions</w:t>
            </w:r>
          </w:p>
        </w:tc>
        <w:tc>
          <w:tcPr>
            <w:tcW w:w="3560" w:type="dxa"/>
            <w:vAlign w:val="bottom"/>
          </w:tcPr>
          <w:p>
            <w:pPr>
              <w:jc w:val="center"/>
              <w:spacing w:after="0"/>
              <w:rPr>
                <w:sz w:val="20"/>
                <w:szCs w:val="20"/>
                <w:color w:val="auto"/>
              </w:rPr>
            </w:pPr>
            <w:r>
              <w:rPr>
                <w:rFonts w:ascii="Arial" w:cs="Arial" w:eastAsia="Arial" w:hAnsi="Arial"/>
                <w:sz w:val="18"/>
                <w:szCs w:val="18"/>
                <w:i w:val="1"/>
                <w:iCs w:val="1"/>
                <w:color w:val="auto"/>
              </w:rPr>
              <w:t>Broker Non-Votes</w:t>
            </w:r>
          </w:p>
        </w:tc>
      </w:tr>
      <w:tr>
        <w:trPr>
          <w:trHeight w:val="23"/>
        </w:trPr>
        <w:tc>
          <w:tcPr>
            <w:tcW w:w="1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32"/>
        </w:trPr>
        <w:tc>
          <w:tcPr>
            <w:tcW w:w="1940" w:type="dxa"/>
            <w:vAlign w:val="bottom"/>
          </w:tcPr>
          <w:p>
            <w:pPr>
              <w:ind w:left="560"/>
              <w:spacing w:after="0"/>
              <w:rPr>
                <w:sz w:val="20"/>
                <w:szCs w:val="20"/>
                <w:color w:val="auto"/>
              </w:rPr>
            </w:pPr>
            <w:r>
              <w:rPr>
                <w:rFonts w:ascii="Arial" w:cs="Arial" w:eastAsia="Arial" w:hAnsi="Arial"/>
                <w:sz w:val="18"/>
                <w:szCs w:val="18"/>
                <w:color w:val="auto"/>
              </w:rPr>
              <w:t>3,771,709</w:t>
            </w:r>
          </w:p>
        </w:tc>
        <w:tc>
          <w:tcPr>
            <w:tcW w:w="160" w:type="dxa"/>
            <w:vAlign w:val="bottom"/>
          </w:tcPr>
          <w:p>
            <w:pPr>
              <w:spacing w:after="0"/>
              <w:rPr>
                <w:sz w:val="20"/>
                <w:szCs w:val="20"/>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325,568</w:t>
            </w:r>
          </w:p>
        </w:tc>
        <w:tc>
          <w:tcPr>
            <w:tcW w:w="160" w:type="dxa"/>
            <w:vAlign w:val="bottom"/>
          </w:tcPr>
          <w:p>
            <w:pPr>
              <w:spacing w:after="0"/>
              <w:rPr>
                <w:sz w:val="20"/>
                <w:szCs w:val="20"/>
                <w:color w:val="auto"/>
              </w:rPr>
            </w:pPr>
          </w:p>
        </w:tc>
        <w:tc>
          <w:tcPr>
            <w:tcW w:w="1980" w:type="dxa"/>
            <w:vAlign w:val="bottom"/>
          </w:tcPr>
          <w:p>
            <w:pPr>
              <w:jc w:val="right"/>
              <w:ind w:right="630"/>
              <w:spacing w:after="0"/>
              <w:rPr>
                <w:sz w:val="20"/>
                <w:szCs w:val="20"/>
                <w:color w:val="auto"/>
              </w:rPr>
            </w:pPr>
            <w:r>
              <w:rPr>
                <w:rFonts w:ascii="Arial" w:cs="Arial" w:eastAsia="Arial" w:hAnsi="Arial"/>
                <w:sz w:val="18"/>
                <w:szCs w:val="18"/>
                <w:color w:val="auto"/>
              </w:rPr>
              <w:t>58,444</w:t>
            </w:r>
          </w:p>
        </w:tc>
        <w:tc>
          <w:tcPr>
            <w:tcW w:w="160" w:type="dxa"/>
            <w:vAlign w:val="bottom"/>
          </w:tcPr>
          <w:p>
            <w:pPr>
              <w:spacing w:after="0"/>
              <w:rPr>
                <w:sz w:val="20"/>
                <w:szCs w:val="20"/>
                <w:color w:val="auto"/>
              </w:rPr>
            </w:pPr>
          </w:p>
        </w:tc>
        <w:tc>
          <w:tcPr>
            <w:tcW w:w="3560" w:type="dxa"/>
            <w:vAlign w:val="bottom"/>
          </w:tcPr>
          <w:p>
            <w:pPr>
              <w:jc w:val="right"/>
              <w:ind w:right="1290"/>
              <w:spacing w:after="0"/>
              <w:rPr>
                <w:sz w:val="20"/>
                <w:szCs w:val="20"/>
                <w:color w:val="auto"/>
              </w:rPr>
            </w:pPr>
            <w:r>
              <w:rPr>
                <w:rFonts w:ascii="Arial" w:cs="Arial" w:eastAsia="Arial" w:hAnsi="Arial"/>
                <w:sz w:val="18"/>
                <w:szCs w:val="18"/>
                <w:color w:val="auto"/>
              </w:rPr>
              <w:t>3,822,158</w:t>
            </w: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Proposal 6</w:t>
      </w:r>
      <w:r>
        <w:rPr>
          <w:rFonts w:ascii="Arial" w:cs="Arial" w:eastAsia="Arial" w:hAnsi="Arial"/>
          <w:sz w:val="18"/>
          <w:szCs w:val="18"/>
          <w:color w:val="auto"/>
        </w:rPr>
        <w:t>: Our stockholders approved the 2022 Plan Amendment by the votes set forth below.</w:t>
      </w:r>
    </w:p>
    <w:p>
      <w:pPr>
        <w:spacing w:after="0" w:line="295"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1920" w:type="dxa"/>
            <w:vAlign w:val="bottom"/>
            <w:gridSpan w:val="2"/>
          </w:tcPr>
          <w:p>
            <w:pPr>
              <w:ind w:left="500"/>
              <w:spacing w:after="0"/>
              <w:rPr>
                <w:sz w:val="20"/>
                <w:szCs w:val="20"/>
                <w:color w:val="auto"/>
              </w:rPr>
            </w:pPr>
            <w:r>
              <w:rPr>
                <w:rFonts w:ascii="Arial" w:cs="Arial" w:eastAsia="Arial" w:hAnsi="Arial"/>
                <w:sz w:val="18"/>
                <w:szCs w:val="18"/>
                <w:i w:val="1"/>
                <w:iCs w:val="1"/>
                <w:color w:val="auto"/>
              </w:rPr>
              <w:t>Votes For</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9"/>
              </w:rPr>
              <w:t>Votes Against</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9"/>
              </w:rPr>
              <w:t>Abstentions</w:t>
            </w:r>
          </w:p>
        </w:tc>
        <w:tc>
          <w:tcPr>
            <w:tcW w:w="3240" w:type="dxa"/>
            <w:vAlign w:val="bottom"/>
          </w:tcPr>
          <w:p>
            <w:pPr>
              <w:jc w:val="center"/>
              <w:spacing w:after="0"/>
              <w:rPr>
                <w:sz w:val="20"/>
                <w:szCs w:val="20"/>
                <w:color w:val="auto"/>
              </w:rPr>
            </w:pPr>
            <w:r>
              <w:rPr>
                <w:rFonts w:ascii="Arial" w:cs="Arial" w:eastAsia="Arial" w:hAnsi="Arial"/>
                <w:sz w:val="18"/>
                <w:szCs w:val="18"/>
                <w:i w:val="1"/>
                <w:iCs w:val="1"/>
                <w:color w:val="auto"/>
                <w:w w:val="99"/>
              </w:rPr>
              <w:t>Broker Non-Votes</w:t>
            </w:r>
          </w:p>
        </w:tc>
      </w:tr>
      <w:tr>
        <w:trPr>
          <w:trHeight w:val="23"/>
        </w:trPr>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2"/>
        </w:trPr>
        <w:tc>
          <w:tcPr>
            <w:tcW w:w="1760" w:type="dxa"/>
            <w:vAlign w:val="bottom"/>
          </w:tcPr>
          <w:p>
            <w:pPr>
              <w:ind w:left="480"/>
              <w:spacing w:after="0"/>
              <w:rPr>
                <w:sz w:val="20"/>
                <w:szCs w:val="20"/>
                <w:color w:val="auto"/>
              </w:rPr>
            </w:pPr>
            <w:r>
              <w:rPr>
                <w:rFonts w:ascii="Arial" w:cs="Arial" w:eastAsia="Arial" w:hAnsi="Arial"/>
                <w:sz w:val="18"/>
                <w:szCs w:val="18"/>
                <w:color w:val="auto"/>
              </w:rPr>
              <w:t>3,497,228</w:t>
            </w:r>
          </w:p>
        </w:tc>
        <w:tc>
          <w:tcPr>
            <w:tcW w:w="160" w:type="dxa"/>
            <w:vAlign w:val="bottom"/>
          </w:tcPr>
          <w:p>
            <w:pPr>
              <w:spacing w:after="0"/>
              <w:rPr>
                <w:sz w:val="20"/>
                <w:szCs w:val="20"/>
                <w:color w:val="auto"/>
              </w:rPr>
            </w:pPr>
          </w:p>
        </w:tc>
        <w:tc>
          <w:tcPr>
            <w:tcW w:w="1780" w:type="dxa"/>
            <w:vAlign w:val="bottom"/>
          </w:tcPr>
          <w:p>
            <w:pPr>
              <w:jc w:val="right"/>
              <w:ind w:right="470"/>
              <w:spacing w:after="0"/>
              <w:rPr>
                <w:sz w:val="20"/>
                <w:szCs w:val="20"/>
                <w:color w:val="auto"/>
              </w:rPr>
            </w:pPr>
            <w:r>
              <w:rPr>
                <w:rFonts w:ascii="Arial" w:cs="Arial" w:eastAsia="Arial" w:hAnsi="Arial"/>
                <w:sz w:val="18"/>
                <w:szCs w:val="18"/>
                <w:color w:val="auto"/>
              </w:rPr>
              <w:t>609,746</w:t>
            </w:r>
          </w:p>
        </w:tc>
        <w:tc>
          <w:tcPr>
            <w:tcW w:w="140" w:type="dxa"/>
            <w:vAlign w:val="bottom"/>
          </w:tcPr>
          <w:p>
            <w:pPr>
              <w:spacing w:after="0"/>
              <w:rPr>
                <w:sz w:val="20"/>
                <w:szCs w:val="20"/>
                <w:color w:val="auto"/>
              </w:rPr>
            </w:pPr>
          </w:p>
        </w:tc>
        <w:tc>
          <w:tcPr>
            <w:tcW w:w="1800" w:type="dxa"/>
            <w:vAlign w:val="bottom"/>
          </w:tcPr>
          <w:p>
            <w:pPr>
              <w:jc w:val="right"/>
              <w:ind w:right="530"/>
              <w:spacing w:after="0"/>
              <w:rPr>
                <w:sz w:val="20"/>
                <w:szCs w:val="20"/>
                <w:color w:val="auto"/>
              </w:rPr>
            </w:pPr>
            <w:r>
              <w:rPr>
                <w:rFonts w:ascii="Arial" w:cs="Arial" w:eastAsia="Arial" w:hAnsi="Arial"/>
                <w:sz w:val="18"/>
                <w:szCs w:val="18"/>
                <w:color w:val="auto"/>
              </w:rPr>
              <w:t>48,747</w:t>
            </w:r>
          </w:p>
        </w:tc>
        <w:tc>
          <w:tcPr>
            <w:tcW w:w="160" w:type="dxa"/>
            <w:vAlign w:val="bottom"/>
          </w:tcPr>
          <w:p>
            <w:pPr>
              <w:spacing w:after="0"/>
              <w:rPr>
                <w:sz w:val="20"/>
                <w:szCs w:val="20"/>
                <w:color w:val="auto"/>
              </w:rPr>
            </w:pPr>
          </w:p>
        </w:tc>
        <w:tc>
          <w:tcPr>
            <w:tcW w:w="3240" w:type="dxa"/>
            <w:vAlign w:val="bottom"/>
          </w:tcPr>
          <w:p>
            <w:pPr>
              <w:jc w:val="right"/>
              <w:ind w:right="1130"/>
              <w:spacing w:after="0"/>
              <w:rPr>
                <w:sz w:val="20"/>
                <w:szCs w:val="20"/>
                <w:color w:val="auto"/>
              </w:rPr>
            </w:pPr>
            <w:r>
              <w:rPr>
                <w:rFonts w:ascii="Arial" w:cs="Arial" w:eastAsia="Arial" w:hAnsi="Arial"/>
                <w:sz w:val="18"/>
                <w:szCs w:val="18"/>
                <w:color w:val="auto"/>
              </w:rPr>
              <w:t>3,822,158</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Proposal 7</w:t>
      </w:r>
      <w:r>
        <w:rPr>
          <w:rFonts w:ascii="Arial" w:cs="Arial" w:eastAsia="Arial" w:hAnsi="Arial"/>
          <w:sz w:val="18"/>
          <w:szCs w:val="18"/>
          <w:color w:val="auto"/>
        </w:rPr>
        <w:t>: Our stockholders approved the adjournment of the Meeting, if necessary or advisable, to solicit additional proxies in</w:t>
      </w:r>
    </w:p>
    <w:p>
      <w:pPr>
        <w:spacing w:after="0" w:line="40" w:lineRule="exact"/>
        <w:rPr>
          <w:sz w:val="20"/>
          <w:szCs w:val="20"/>
          <w:color w:val="auto"/>
        </w:rPr>
      </w:pPr>
    </w:p>
    <w:p>
      <w:pPr>
        <w:jc w:val="both"/>
        <w:ind w:left="660"/>
        <w:spacing w:after="0" w:line="267" w:lineRule="auto"/>
        <w:rPr>
          <w:sz w:val="20"/>
          <w:szCs w:val="20"/>
          <w:color w:val="auto"/>
        </w:rPr>
      </w:pPr>
      <w:r>
        <w:rPr>
          <w:rFonts w:ascii="Arial" w:cs="Arial" w:eastAsia="Arial" w:hAnsi="Arial"/>
          <w:sz w:val="18"/>
          <w:szCs w:val="18"/>
          <w:color w:val="auto"/>
        </w:rPr>
        <w:t>favor of Proposal 5 if there were not sufficient votes to approve Proposal 5 by the votes set forth below. Because Proposal 5 was approved, the adjournment authorized by Proposal 7 was not necessary.</w:t>
      </w:r>
    </w:p>
    <w:p>
      <w:pPr>
        <w:spacing w:after="0" w:line="240"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1920" w:type="dxa"/>
            <w:vAlign w:val="bottom"/>
            <w:gridSpan w:val="2"/>
          </w:tcPr>
          <w:p>
            <w:pPr>
              <w:ind w:left="500"/>
              <w:spacing w:after="0"/>
              <w:rPr>
                <w:sz w:val="20"/>
                <w:szCs w:val="20"/>
                <w:color w:val="auto"/>
              </w:rPr>
            </w:pPr>
            <w:r>
              <w:rPr>
                <w:rFonts w:ascii="Arial" w:cs="Arial" w:eastAsia="Arial" w:hAnsi="Arial"/>
                <w:sz w:val="18"/>
                <w:szCs w:val="18"/>
                <w:i w:val="1"/>
                <w:iCs w:val="1"/>
                <w:color w:val="auto"/>
              </w:rPr>
              <w:t>Votes For</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9"/>
              </w:rPr>
              <w:t>Votes Against</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9"/>
              </w:rPr>
              <w:t>Abstentions</w:t>
            </w:r>
          </w:p>
        </w:tc>
        <w:tc>
          <w:tcPr>
            <w:tcW w:w="3240" w:type="dxa"/>
            <w:vAlign w:val="bottom"/>
          </w:tcPr>
          <w:p>
            <w:pPr>
              <w:jc w:val="center"/>
              <w:spacing w:after="0"/>
              <w:rPr>
                <w:sz w:val="20"/>
                <w:szCs w:val="20"/>
                <w:color w:val="auto"/>
              </w:rPr>
            </w:pPr>
            <w:r>
              <w:rPr>
                <w:rFonts w:ascii="Arial" w:cs="Arial" w:eastAsia="Arial" w:hAnsi="Arial"/>
                <w:sz w:val="18"/>
                <w:szCs w:val="18"/>
                <w:i w:val="1"/>
                <w:iCs w:val="1"/>
                <w:color w:val="auto"/>
                <w:w w:val="99"/>
              </w:rPr>
              <w:t>Broker Non-Votes</w:t>
            </w:r>
          </w:p>
        </w:tc>
      </w:tr>
      <w:tr>
        <w:trPr>
          <w:trHeight w:val="23"/>
        </w:trPr>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2"/>
        </w:trPr>
        <w:tc>
          <w:tcPr>
            <w:tcW w:w="1760" w:type="dxa"/>
            <w:vAlign w:val="bottom"/>
          </w:tcPr>
          <w:p>
            <w:pPr>
              <w:ind w:left="480"/>
              <w:spacing w:after="0"/>
              <w:rPr>
                <w:sz w:val="20"/>
                <w:szCs w:val="20"/>
                <w:color w:val="auto"/>
              </w:rPr>
            </w:pPr>
            <w:r>
              <w:rPr>
                <w:rFonts w:ascii="Arial" w:cs="Arial" w:eastAsia="Arial" w:hAnsi="Arial"/>
                <w:sz w:val="18"/>
                <w:szCs w:val="18"/>
                <w:color w:val="auto"/>
              </w:rPr>
              <w:t>3,650,815</w:t>
            </w:r>
          </w:p>
        </w:tc>
        <w:tc>
          <w:tcPr>
            <w:tcW w:w="160" w:type="dxa"/>
            <w:vAlign w:val="bottom"/>
          </w:tcPr>
          <w:p>
            <w:pPr>
              <w:spacing w:after="0"/>
              <w:rPr>
                <w:sz w:val="20"/>
                <w:szCs w:val="20"/>
                <w:color w:val="auto"/>
              </w:rPr>
            </w:pPr>
          </w:p>
        </w:tc>
        <w:tc>
          <w:tcPr>
            <w:tcW w:w="1780" w:type="dxa"/>
            <w:vAlign w:val="bottom"/>
          </w:tcPr>
          <w:p>
            <w:pPr>
              <w:jc w:val="right"/>
              <w:ind w:right="470"/>
              <w:spacing w:after="0"/>
              <w:rPr>
                <w:sz w:val="20"/>
                <w:szCs w:val="20"/>
                <w:color w:val="auto"/>
              </w:rPr>
            </w:pPr>
            <w:r>
              <w:rPr>
                <w:rFonts w:ascii="Arial" w:cs="Arial" w:eastAsia="Arial" w:hAnsi="Arial"/>
                <w:sz w:val="18"/>
                <w:szCs w:val="18"/>
                <w:color w:val="auto"/>
              </w:rPr>
              <w:t>448,085</w:t>
            </w:r>
          </w:p>
        </w:tc>
        <w:tc>
          <w:tcPr>
            <w:tcW w:w="140" w:type="dxa"/>
            <w:vAlign w:val="bottom"/>
          </w:tcPr>
          <w:p>
            <w:pPr>
              <w:spacing w:after="0"/>
              <w:rPr>
                <w:sz w:val="20"/>
                <w:szCs w:val="20"/>
                <w:color w:val="auto"/>
              </w:rPr>
            </w:pPr>
          </w:p>
        </w:tc>
        <w:tc>
          <w:tcPr>
            <w:tcW w:w="1800" w:type="dxa"/>
            <w:vAlign w:val="bottom"/>
          </w:tcPr>
          <w:p>
            <w:pPr>
              <w:jc w:val="right"/>
              <w:ind w:right="530"/>
              <w:spacing w:after="0"/>
              <w:rPr>
                <w:sz w:val="20"/>
                <w:szCs w:val="20"/>
                <w:color w:val="auto"/>
              </w:rPr>
            </w:pPr>
            <w:r>
              <w:rPr>
                <w:rFonts w:ascii="Arial" w:cs="Arial" w:eastAsia="Arial" w:hAnsi="Arial"/>
                <w:sz w:val="18"/>
                <w:szCs w:val="18"/>
                <w:color w:val="auto"/>
              </w:rPr>
              <w:t>56,821</w:t>
            </w:r>
          </w:p>
        </w:tc>
        <w:tc>
          <w:tcPr>
            <w:tcW w:w="160" w:type="dxa"/>
            <w:vAlign w:val="bottom"/>
          </w:tcPr>
          <w:p>
            <w:pPr>
              <w:spacing w:after="0"/>
              <w:rPr>
                <w:sz w:val="20"/>
                <w:szCs w:val="20"/>
                <w:color w:val="auto"/>
              </w:rPr>
            </w:pPr>
          </w:p>
        </w:tc>
        <w:tc>
          <w:tcPr>
            <w:tcW w:w="3240" w:type="dxa"/>
            <w:vAlign w:val="bottom"/>
          </w:tcPr>
          <w:p>
            <w:pPr>
              <w:jc w:val="right"/>
              <w:ind w:right="1130"/>
              <w:spacing w:after="0"/>
              <w:rPr>
                <w:sz w:val="20"/>
                <w:szCs w:val="20"/>
                <w:color w:val="auto"/>
              </w:rPr>
            </w:pPr>
            <w:r>
              <w:rPr>
                <w:rFonts w:ascii="Arial" w:cs="Arial" w:eastAsia="Arial" w:hAnsi="Arial"/>
                <w:sz w:val="18"/>
                <w:szCs w:val="18"/>
                <w:color w:val="auto"/>
              </w:rPr>
              <w:t>3,822,158</w:t>
            </w:r>
          </w:p>
        </w:tc>
      </w:tr>
    </w:tbl>
    <w:p>
      <w:pPr>
        <w:spacing w:after="0" w:line="323"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b w:val="1"/>
          <w:bCs w:val="1"/>
          <w:color w:val="auto"/>
        </w:rPr>
        <w:t>Proposal 8</w:t>
      </w:r>
      <w:r>
        <w:rPr>
          <w:rFonts w:ascii="Arial" w:cs="Arial" w:eastAsia="Arial" w:hAnsi="Arial"/>
          <w:sz w:val="18"/>
          <w:szCs w:val="18"/>
          <w:color w:val="auto"/>
        </w:rPr>
        <w:t>: Our stockholders approved the adjournment of the Meeting, if necessary or advisable, to solicit additional proxies in</w:t>
      </w:r>
      <w:r>
        <w:rPr>
          <w:rFonts w:ascii="Arial" w:cs="Arial" w:eastAsia="Arial" w:hAnsi="Arial"/>
          <w:sz w:val="18"/>
          <w:szCs w:val="18"/>
          <w:b w:val="1"/>
          <w:bCs w:val="1"/>
          <w:color w:val="auto"/>
        </w:rPr>
        <w:t xml:space="preserve"> </w:t>
      </w:r>
      <w:r>
        <w:rPr>
          <w:rFonts w:ascii="Arial" w:cs="Arial" w:eastAsia="Arial" w:hAnsi="Arial"/>
          <w:sz w:val="18"/>
          <w:szCs w:val="18"/>
          <w:color w:val="auto"/>
        </w:rPr>
        <w:t>favor of Proposal 6 if there were not sufficient votes to approve Proposal 6 by the votes set forth below. Because Proposal 6 was approved, the adjournment authorized by Proposal 8 was not necessary.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p>
        </w:tc>
        <w:tc>
          <w:tcPr>
            <w:tcW w:w="1920" w:type="dxa"/>
            <w:vAlign w:val="bottom"/>
            <w:gridSpan w:val="5"/>
          </w:tcPr>
          <w:p>
            <w:pPr>
              <w:ind w:left="500"/>
              <w:spacing w:after="0"/>
              <w:rPr>
                <w:sz w:val="20"/>
                <w:szCs w:val="20"/>
                <w:color w:val="auto"/>
              </w:rPr>
            </w:pPr>
            <w:r>
              <w:rPr>
                <w:rFonts w:ascii="Arial" w:cs="Arial" w:eastAsia="Arial" w:hAnsi="Arial"/>
                <w:sz w:val="18"/>
                <w:szCs w:val="18"/>
                <w:i w:val="1"/>
                <w:iCs w:val="1"/>
                <w:color w:val="auto"/>
              </w:rPr>
              <w:t>Votes For</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9"/>
              </w:rPr>
              <w:t>Votes Against</w:t>
            </w:r>
          </w:p>
        </w:tc>
        <w:tc>
          <w:tcPr>
            <w:tcW w:w="2540" w:type="dxa"/>
            <w:vAlign w:val="bottom"/>
            <w:gridSpan w:val="3"/>
          </w:tcPr>
          <w:p>
            <w:pPr>
              <w:jc w:val="center"/>
              <w:ind w:right="720"/>
              <w:spacing w:after="0"/>
              <w:rPr>
                <w:sz w:val="20"/>
                <w:szCs w:val="20"/>
                <w:color w:val="auto"/>
              </w:rPr>
            </w:pPr>
            <w:r>
              <w:rPr>
                <w:rFonts w:ascii="Arial" w:cs="Arial" w:eastAsia="Arial" w:hAnsi="Arial"/>
                <w:sz w:val="18"/>
                <w:szCs w:val="18"/>
                <w:i w:val="1"/>
                <w:iCs w:val="1"/>
                <w:color w:val="auto"/>
                <w:w w:val="99"/>
              </w:rPr>
              <w:t>Abstentions</w:t>
            </w:r>
          </w:p>
        </w:tc>
        <w:tc>
          <w:tcPr>
            <w:tcW w:w="3880" w:type="dxa"/>
            <w:vAlign w:val="bottom"/>
            <w:gridSpan w:val="2"/>
          </w:tcPr>
          <w:p>
            <w:pPr>
              <w:jc w:val="center"/>
              <w:ind w:right="1820"/>
              <w:spacing w:after="0"/>
              <w:rPr>
                <w:sz w:val="20"/>
                <w:szCs w:val="20"/>
                <w:color w:val="auto"/>
              </w:rPr>
            </w:pPr>
            <w:r>
              <w:rPr>
                <w:rFonts w:ascii="Arial" w:cs="Arial" w:eastAsia="Arial" w:hAnsi="Arial"/>
                <w:sz w:val="18"/>
                <w:szCs w:val="18"/>
                <w:i w:val="1"/>
                <w:iCs w:val="1"/>
                <w:color w:val="auto"/>
                <w:w w:val="99"/>
              </w:rPr>
              <w:t>Broker Non-Votes</w:t>
            </w:r>
          </w:p>
        </w:tc>
      </w:tr>
      <w:tr>
        <w:trPr>
          <w:trHeight w:val="23"/>
        </w:trPr>
        <w:tc>
          <w:tcPr>
            <w:tcW w:w="9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r>
      <w:tr>
        <w:trPr>
          <w:trHeight w:val="232"/>
        </w:trPr>
        <w:tc>
          <w:tcPr>
            <w:tcW w:w="980" w:type="dxa"/>
            <w:vAlign w:val="bottom"/>
          </w:tcPr>
          <w:p>
            <w:pPr>
              <w:spacing w:after="0"/>
              <w:rPr>
                <w:sz w:val="20"/>
                <w:szCs w:val="20"/>
                <w:color w:val="auto"/>
              </w:rPr>
            </w:pPr>
          </w:p>
        </w:tc>
        <w:tc>
          <w:tcPr>
            <w:tcW w:w="1760" w:type="dxa"/>
            <w:vAlign w:val="bottom"/>
            <w:gridSpan w:val="4"/>
          </w:tcPr>
          <w:p>
            <w:pPr>
              <w:ind w:left="480"/>
              <w:spacing w:after="0"/>
              <w:rPr>
                <w:sz w:val="20"/>
                <w:szCs w:val="20"/>
                <w:color w:val="auto"/>
              </w:rPr>
            </w:pPr>
            <w:r>
              <w:rPr>
                <w:rFonts w:ascii="Arial" w:cs="Arial" w:eastAsia="Arial" w:hAnsi="Arial"/>
                <w:sz w:val="18"/>
                <w:szCs w:val="18"/>
                <w:color w:val="auto"/>
              </w:rPr>
              <w:t>3,531,653</w:t>
            </w:r>
          </w:p>
        </w:tc>
        <w:tc>
          <w:tcPr>
            <w:tcW w:w="160" w:type="dxa"/>
            <w:vAlign w:val="bottom"/>
          </w:tcPr>
          <w:p>
            <w:pPr>
              <w:spacing w:after="0"/>
              <w:rPr>
                <w:sz w:val="20"/>
                <w:szCs w:val="20"/>
                <w:color w:val="auto"/>
              </w:rPr>
            </w:pPr>
          </w:p>
        </w:tc>
        <w:tc>
          <w:tcPr>
            <w:tcW w:w="1780" w:type="dxa"/>
            <w:vAlign w:val="bottom"/>
          </w:tcPr>
          <w:p>
            <w:pPr>
              <w:jc w:val="right"/>
              <w:ind w:right="470"/>
              <w:spacing w:after="0"/>
              <w:rPr>
                <w:sz w:val="20"/>
                <w:szCs w:val="20"/>
                <w:color w:val="auto"/>
              </w:rPr>
            </w:pPr>
            <w:r>
              <w:rPr>
                <w:rFonts w:ascii="Arial" w:cs="Arial" w:eastAsia="Arial" w:hAnsi="Arial"/>
                <w:sz w:val="18"/>
                <w:szCs w:val="18"/>
                <w:color w:val="auto"/>
              </w:rPr>
              <w:t>570,999</w:t>
            </w:r>
          </w:p>
        </w:tc>
        <w:tc>
          <w:tcPr>
            <w:tcW w:w="140" w:type="dxa"/>
            <w:vAlign w:val="bottom"/>
          </w:tcPr>
          <w:p>
            <w:pPr>
              <w:spacing w:after="0"/>
              <w:rPr>
                <w:sz w:val="20"/>
                <w:szCs w:val="20"/>
                <w:color w:val="auto"/>
              </w:rPr>
            </w:pPr>
          </w:p>
        </w:tc>
        <w:tc>
          <w:tcPr>
            <w:tcW w:w="1800" w:type="dxa"/>
            <w:vAlign w:val="bottom"/>
          </w:tcPr>
          <w:p>
            <w:pPr>
              <w:jc w:val="right"/>
              <w:ind w:right="530"/>
              <w:spacing w:after="0"/>
              <w:rPr>
                <w:sz w:val="20"/>
                <w:szCs w:val="20"/>
                <w:color w:val="auto"/>
              </w:rPr>
            </w:pPr>
            <w:r>
              <w:rPr>
                <w:rFonts w:ascii="Arial" w:cs="Arial" w:eastAsia="Arial" w:hAnsi="Arial"/>
                <w:sz w:val="18"/>
                <w:szCs w:val="18"/>
                <w:color w:val="auto"/>
              </w:rPr>
              <w:t>53,069</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60" w:type="dxa"/>
            <w:vAlign w:val="bottom"/>
          </w:tcPr>
          <w:p>
            <w:pPr>
              <w:jc w:val="right"/>
              <w:ind w:right="1130"/>
              <w:spacing w:after="0"/>
              <w:rPr>
                <w:sz w:val="20"/>
                <w:szCs w:val="20"/>
                <w:color w:val="auto"/>
              </w:rPr>
            </w:pPr>
            <w:r>
              <w:rPr>
                <w:rFonts w:ascii="Arial" w:cs="Arial" w:eastAsia="Arial" w:hAnsi="Arial"/>
                <w:sz w:val="18"/>
                <w:szCs w:val="18"/>
                <w:color w:val="auto"/>
              </w:rPr>
              <w:t>3,822,158</w:t>
            </w:r>
          </w:p>
        </w:tc>
        <w:tc>
          <w:tcPr>
            <w:tcW w:w="1220" w:type="dxa"/>
            <w:vAlign w:val="bottom"/>
          </w:tcPr>
          <w:p>
            <w:pPr>
              <w:spacing w:after="0"/>
              <w:rPr>
                <w:sz w:val="20"/>
                <w:szCs w:val="20"/>
                <w:color w:val="auto"/>
              </w:rPr>
            </w:pPr>
          </w:p>
        </w:tc>
      </w:tr>
      <w:tr>
        <w:trPr>
          <w:trHeight w:val="867"/>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3840" w:type="dxa"/>
            <w:vAlign w:val="bottom"/>
            <w:gridSpan w:val="7"/>
          </w:tcPr>
          <w:p>
            <w:pPr>
              <w:ind w:left="280"/>
              <w:spacing w:after="0"/>
              <w:rPr>
                <w:sz w:val="20"/>
                <w:szCs w:val="20"/>
                <w:color w:val="auto"/>
              </w:rPr>
            </w:pPr>
            <w:r>
              <w:rPr>
                <w:rFonts w:ascii="Arial" w:cs="Arial" w:eastAsia="Arial" w:hAnsi="Arial"/>
                <w:sz w:val="18"/>
                <w:szCs w:val="18"/>
                <w:b w:val="1"/>
                <w:bCs w:val="1"/>
                <w:color w:val="auto"/>
              </w:rPr>
              <w:t>Financial Statements and Exhibits.</w:t>
            </w: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9"/>
        </w:trPr>
        <w:tc>
          <w:tcPr>
            <w:tcW w:w="980" w:type="dxa"/>
            <w:vAlign w:val="bottom"/>
          </w:tcPr>
          <w:p>
            <w:pPr>
              <w:spacing w:after="0"/>
              <w:rPr>
                <w:sz w:val="20"/>
                <w:szCs w:val="20"/>
                <w:color w:val="auto"/>
              </w:rPr>
            </w:pPr>
            <w:r>
              <w:rPr>
                <w:rFonts w:ascii="Arial" w:cs="Arial" w:eastAsia="Arial" w:hAnsi="Arial"/>
                <w:sz w:val="18"/>
                <w:szCs w:val="18"/>
                <w:color w:val="auto"/>
              </w:rPr>
              <w:t>(d) Exhibits.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95"/>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Exhibit No.</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83"/>
        </w:trPr>
        <w:tc>
          <w:tcPr>
            <w:tcW w:w="980" w:type="dxa"/>
            <w:vAlign w:val="bottom"/>
          </w:tcPr>
          <w:p>
            <w:pPr>
              <w:ind w:left="20"/>
              <w:spacing w:after="0" w:line="182" w:lineRule="exact"/>
              <w:rPr>
                <w:sz w:val="20"/>
                <w:szCs w:val="20"/>
                <w:color w:val="auto"/>
              </w:rPr>
            </w:pPr>
            <w:r>
              <w:rPr>
                <w:rFonts w:ascii="Arial" w:cs="Arial" w:eastAsia="Arial" w:hAnsi="Arial"/>
                <w:sz w:val="18"/>
                <w:szCs w:val="18"/>
                <w:color w:val="auto"/>
              </w:rPr>
              <w:t>10.1</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4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9"/>
              </w:rPr>
              <w:t>Amendment No. 2 to Daré Bioscience, Inc. 2022 Stock Incentive Plan</w:t>
            </w:r>
          </w:p>
        </w:tc>
        <w:tc>
          <w:tcPr>
            <w:tcW w:w="26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54"/>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2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04"/>
        </w:trPr>
        <w:tc>
          <w:tcPr>
            <w:tcW w:w="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880" w:type="dxa"/>
            <w:vAlign w:val="bottom"/>
          </w:tcPr>
          <w:p>
            <w:pPr>
              <w:spacing w:after="0"/>
              <w:rPr>
                <w:sz w:val="21"/>
                <w:szCs w:val="21"/>
                <w:color w:val="auto"/>
              </w:rPr>
            </w:pPr>
          </w:p>
        </w:tc>
        <w:tc>
          <w:tcPr>
            <w:tcW w:w="7320" w:type="dxa"/>
            <w:vAlign w:val="bottom"/>
            <w:gridSpan w:val="2"/>
          </w:tcPr>
          <w:p>
            <w:pPr>
              <w:ind w:left="2140"/>
              <w:spacing w:after="0"/>
              <w:rPr>
                <w:sz w:val="20"/>
                <w:szCs w:val="20"/>
                <w:color w:val="auto"/>
              </w:rPr>
            </w:pPr>
            <w:r>
              <w:rPr>
                <w:rFonts w:ascii="Arial" w:cs="Arial" w:eastAsia="Arial" w:hAnsi="Arial"/>
                <w:sz w:val="18"/>
                <w:szCs w:val="18"/>
                <w:b w:val="1"/>
                <w:bCs w:val="1"/>
                <w:color w:val="auto"/>
              </w:rPr>
              <w:t>DARÉ BIOSCIENCE, INC.</w:t>
            </w:r>
          </w:p>
        </w:tc>
      </w:tr>
      <w:tr>
        <w:trPr>
          <w:trHeight w:val="434"/>
        </w:trPr>
        <w:tc>
          <w:tcPr>
            <w:tcW w:w="3880" w:type="dxa"/>
            <w:vAlign w:val="bottom"/>
          </w:tcPr>
          <w:p>
            <w:pPr>
              <w:spacing w:after="0"/>
              <w:rPr>
                <w:sz w:val="20"/>
                <w:szCs w:val="20"/>
                <w:color w:val="auto"/>
              </w:rPr>
            </w:pPr>
            <w:r>
              <w:rPr>
                <w:rFonts w:ascii="Arial" w:cs="Arial" w:eastAsia="Arial" w:hAnsi="Arial"/>
                <w:sz w:val="18"/>
                <w:szCs w:val="18"/>
                <w:color w:val="auto"/>
              </w:rPr>
              <w:t>Dated: June 12, 2026</w:t>
            </w:r>
          </w:p>
        </w:tc>
        <w:tc>
          <w:tcPr>
            <w:tcW w:w="3380" w:type="dxa"/>
            <w:vAlign w:val="bottom"/>
          </w:tcPr>
          <w:p>
            <w:pPr>
              <w:ind w:left="214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Sabrina Martucci Johnson</w:t>
            </w:r>
          </w:p>
        </w:tc>
      </w:tr>
      <w:tr>
        <w:trPr>
          <w:trHeight w:val="218"/>
        </w:trPr>
        <w:tc>
          <w:tcPr>
            <w:tcW w:w="3880" w:type="dxa"/>
            <w:vAlign w:val="bottom"/>
          </w:tcPr>
          <w:p>
            <w:pPr>
              <w:spacing w:after="0"/>
              <w:rPr>
                <w:sz w:val="18"/>
                <w:szCs w:val="18"/>
                <w:color w:val="auto"/>
              </w:rPr>
            </w:pPr>
          </w:p>
        </w:tc>
        <w:tc>
          <w:tcPr>
            <w:tcW w:w="3380" w:type="dxa"/>
            <w:vAlign w:val="bottom"/>
          </w:tcPr>
          <w:p>
            <w:pPr>
              <w:ind w:left="2140"/>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Sabrina Martucci Johnson</w:t>
            </w:r>
          </w:p>
        </w:tc>
      </w:tr>
      <w:tr>
        <w:trPr>
          <w:trHeight w:val="239"/>
        </w:trPr>
        <w:tc>
          <w:tcPr>
            <w:tcW w:w="3880" w:type="dxa"/>
            <w:vAlign w:val="bottom"/>
          </w:tcPr>
          <w:p>
            <w:pPr>
              <w:spacing w:after="0"/>
              <w:rPr>
                <w:sz w:val="20"/>
                <w:szCs w:val="20"/>
                <w:color w:val="auto"/>
              </w:rPr>
            </w:pPr>
          </w:p>
        </w:tc>
        <w:tc>
          <w:tcPr>
            <w:tcW w:w="3380" w:type="dxa"/>
            <w:vAlign w:val="bottom"/>
          </w:tcPr>
          <w:p>
            <w:pPr>
              <w:ind w:left="2140"/>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20"/>
          </w:cols>
          <w:pgMar w:left="320" w:top="1133"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 No. 2 to Daré Bioscience, Inc. 2022 Stock Incentive Plan</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Amendment No. 2 (this “Amendment”) to the Daré Bioscience, Inc. 2022 Stock Incentive Plan (the “Plan”) is adopted by Daré Bioscience, Inc. (the “Company”), effective as of June 11, 2026, the date it was approved by the Company’s stockholders. Capitalized terms used but not otherwise defined herein shall have the meanings ascribed to them in the Plan.</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WHEREAS, the Company maintains the Plan;</w:t>
      </w:r>
    </w:p>
    <w:p>
      <w:pPr>
        <w:spacing w:after="0" w:line="22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WHEREAS, Section 11(d) of the Plan provides that the Board may amend, suspend or terminate the Plan or any portion thereof at any time provided that no amendment that would require stockholder approval under the rules of Nasdaq may be made effective unless and until the Company’s stockholders approve such amendment; and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WHEREAS, subject to the approval of the Company’s stockholders, the Board approved this Amendment to increase the number of shares of Common Stock reserved for issuance under the Plan by 1,500,000.</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NOW, THEREFORE, in accordance with the foregoing and subject to approval of the Company’s stockholders, the</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Plan shall be, and hereby is, amended as follows:</w:t>
      </w:r>
    </w:p>
    <w:p>
      <w:pPr>
        <w:spacing w:after="0" w:line="213" w:lineRule="exact"/>
        <w:rPr>
          <w:sz w:val="20"/>
          <w:szCs w:val="20"/>
          <w:color w:val="auto"/>
        </w:rPr>
      </w:pPr>
    </w:p>
    <w:p>
      <w:pPr>
        <w:ind w:firstLine="8"/>
        <w:spacing w:after="0" w:line="259" w:lineRule="auto"/>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Section 4(a)(1)(A) of the Daré Bioscience, Inc. 2022 Stock Incentive Plan is deleted in its entirety and replaced with the following:</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 2,883,333 shares of Common Stock; plus”</w:t>
      </w:r>
    </w:p>
    <w:p>
      <w:pPr>
        <w:spacing w:after="0" w:line="23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Amendment shall be and is hereby incorporated in and forms a part of the Plan.</w:t>
      </w:r>
    </w:p>
    <w:p>
      <w:pPr>
        <w:spacing w:after="0" w:line="219" w:lineRule="exact"/>
        <w:rPr>
          <w:rFonts w:ascii="Arial" w:cs="Arial" w:eastAsia="Arial" w:hAnsi="Arial"/>
          <w:sz w:val="22"/>
          <w:szCs w:val="22"/>
          <w:color w:val="auto"/>
        </w:rPr>
      </w:pPr>
    </w:p>
    <w:p>
      <w:pPr>
        <w:ind w:firstLine="8"/>
        <w:spacing w:after="0" w:line="259" w:lineRule="auto"/>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Except as expressly provided herein, all other terms and provisions of the Plan shall remain unchanged and in full force and effect.</w:t>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2026-06-12T15:03:03Z</dcterms:created>
  <dcterms:modified xsi:type="dcterms:W3CDTF">2026-06-12T15:03:03Z</dcterms:modified>
</cp:coreProperties>
</file>