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1" w:lineRule="exact"/>
        <w:rPr>
          <w:sz w:val="24"/>
          <w:szCs w:val="24"/>
          <w:color w:val="auto"/>
        </w:rPr>
      </w:pPr>
    </w:p>
    <w:p>
      <w:pPr>
        <w:ind w:left="820" w:hanging="794"/>
        <w:spacing w:after="0"/>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36" w:lineRule="exact"/>
        <w:rPr>
          <w:sz w:val="24"/>
          <w:szCs w:val="24"/>
          <w:color w:val="auto"/>
        </w:rPr>
      </w:pPr>
    </w:p>
    <w:p>
      <w:pPr>
        <w:ind w:left="5920"/>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820" w:hanging="794"/>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-5080</wp:posOffset>
            </wp:positionV>
            <wp:extent cx="2687955"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7955"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DARÉ BIOSCIENCE, INC.</w:t>
      </w:r>
    </w:p>
    <w:p>
      <w:pPr>
        <w:spacing w:after="0" w:line="8"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(Exact Name of Registrant as Specified in its Charter)</w:t>
      </w:r>
    </w:p>
    <w:p>
      <w:pPr>
        <w:spacing w:after="0" w:line="1"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3240" w:type="dxa"/>
            <w:vAlign w:val="bottom"/>
          </w:tcPr>
          <w:p>
            <w:pPr>
              <w:jc w:val="center"/>
              <w:ind w:right="295"/>
              <w:spacing w:after="0"/>
              <w:rPr>
                <w:sz w:val="20"/>
                <w:szCs w:val="20"/>
                <w:color w:val="auto"/>
              </w:rPr>
            </w:pPr>
            <w:r>
              <w:rPr>
                <w:rFonts w:ascii="Arial" w:cs="Arial" w:eastAsia="Arial" w:hAnsi="Arial"/>
                <w:sz w:val="18"/>
                <w:szCs w:val="18"/>
                <w:b w:val="1"/>
                <w:bCs w:val="1"/>
                <w:color w:val="auto"/>
                <w:w w:val="98"/>
              </w:rPr>
              <w:t>Delaware</w:t>
            </w:r>
          </w:p>
        </w:tc>
        <w:tc>
          <w:tcPr>
            <w:tcW w:w="4900" w:type="dxa"/>
            <w:vAlign w:val="bottom"/>
          </w:tcPr>
          <w:p>
            <w:pPr>
              <w:jc w:val="center"/>
              <w:ind w:right="233"/>
              <w:spacing w:after="0"/>
              <w:rPr>
                <w:sz w:val="20"/>
                <w:szCs w:val="20"/>
                <w:color w:val="auto"/>
              </w:rPr>
            </w:pPr>
            <w:r>
              <w:rPr>
                <w:rFonts w:ascii="Arial" w:cs="Arial" w:eastAsia="Arial" w:hAnsi="Arial"/>
                <w:sz w:val="18"/>
                <w:szCs w:val="18"/>
                <w:b w:val="1"/>
                <w:bCs w:val="1"/>
                <w:color w:val="auto"/>
              </w:rPr>
              <w:t>Commission File No. 001-36395</w:t>
            </w:r>
          </w:p>
        </w:tc>
        <w:tc>
          <w:tcPr>
            <w:tcW w:w="1980" w:type="dxa"/>
            <w:vAlign w:val="bottom"/>
          </w:tcPr>
          <w:p>
            <w:pPr>
              <w:jc w:val="right"/>
              <w:ind w:right="75"/>
              <w:spacing w:after="0"/>
              <w:rPr>
                <w:sz w:val="20"/>
                <w:szCs w:val="20"/>
                <w:color w:val="auto"/>
              </w:rPr>
            </w:pPr>
            <w:r>
              <w:rPr>
                <w:rFonts w:ascii="Arial" w:cs="Arial" w:eastAsia="Arial" w:hAnsi="Arial"/>
                <w:sz w:val="18"/>
                <w:szCs w:val="18"/>
                <w:b w:val="1"/>
                <w:bCs w:val="1"/>
                <w:color w:val="auto"/>
              </w:rPr>
              <w:t>20-4139823</w:t>
            </w:r>
          </w:p>
        </w:tc>
      </w:tr>
      <w:tr>
        <w:trPr>
          <w:trHeight w:val="162"/>
        </w:trPr>
        <w:tc>
          <w:tcPr>
            <w:tcW w:w="3240" w:type="dxa"/>
            <w:vAlign w:val="bottom"/>
          </w:tcPr>
          <w:p>
            <w:pPr>
              <w:jc w:val="center"/>
              <w:ind w:right="295"/>
              <w:spacing w:after="0" w:line="162" w:lineRule="exact"/>
              <w:rPr>
                <w:sz w:val="20"/>
                <w:szCs w:val="20"/>
                <w:color w:val="auto"/>
              </w:rPr>
            </w:pPr>
            <w:r>
              <w:rPr>
                <w:rFonts w:ascii="Arial" w:cs="Arial" w:eastAsia="Arial" w:hAnsi="Arial"/>
                <w:sz w:val="16"/>
                <w:szCs w:val="16"/>
                <w:color w:val="auto"/>
              </w:rPr>
              <w:t>(State or Other Jurisdiction</w:t>
            </w:r>
          </w:p>
        </w:tc>
        <w:tc>
          <w:tcPr>
            <w:tcW w:w="4900" w:type="dxa"/>
            <w:vAlign w:val="bottom"/>
          </w:tcPr>
          <w:p>
            <w:pPr>
              <w:spacing w:after="0"/>
              <w:rPr>
                <w:sz w:val="14"/>
                <w:szCs w:val="14"/>
                <w:color w:val="auto"/>
              </w:rPr>
            </w:pPr>
          </w:p>
        </w:tc>
        <w:tc>
          <w:tcPr>
            <w:tcW w:w="1980" w:type="dxa"/>
            <w:vAlign w:val="bottom"/>
          </w:tcPr>
          <w:p>
            <w:pPr>
              <w:jc w:val="center"/>
              <w:ind w:left="635"/>
              <w:spacing w:after="0" w:line="162" w:lineRule="exact"/>
              <w:rPr>
                <w:sz w:val="20"/>
                <w:szCs w:val="20"/>
                <w:color w:val="auto"/>
              </w:rPr>
            </w:pPr>
            <w:r>
              <w:rPr>
                <w:rFonts w:ascii="Arial" w:cs="Arial" w:eastAsia="Arial" w:hAnsi="Arial"/>
                <w:sz w:val="16"/>
                <w:szCs w:val="16"/>
                <w:color w:val="auto"/>
              </w:rPr>
              <w:t>(IRS Employer</w:t>
            </w:r>
          </w:p>
        </w:tc>
      </w:tr>
      <w:tr>
        <w:trPr>
          <w:trHeight w:val="195"/>
        </w:trPr>
        <w:tc>
          <w:tcPr>
            <w:tcW w:w="3240" w:type="dxa"/>
            <w:vAlign w:val="bottom"/>
          </w:tcPr>
          <w:p>
            <w:pPr>
              <w:jc w:val="center"/>
              <w:ind w:right="295"/>
              <w:spacing w:after="0"/>
              <w:rPr>
                <w:sz w:val="20"/>
                <w:szCs w:val="20"/>
                <w:color w:val="auto"/>
              </w:rPr>
            </w:pPr>
            <w:r>
              <w:rPr>
                <w:rFonts w:ascii="Arial" w:cs="Arial" w:eastAsia="Arial" w:hAnsi="Arial"/>
                <w:sz w:val="16"/>
                <w:szCs w:val="16"/>
                <w:color w:val="auto"/>
              </w:rPr>
              <w:t>of Incorporation)</w:t>
            </w:r>
          </w:p>
        </w:tc>
        <w:tc>
          <w:tcPr>
            <w:tcW w:w="4900" w:type="dxa"/>
            <w:vAlign w:val="bottom"/>
          </w:tcPr>
          <w:p>
            <w:pPr>
              <w:spacing w:after="0"/>
              <w:rPr>
                <w:sz w:val="16"/>
                <w:szCs w:val="16"/>
                <w:color w:val="auto"/>
              </w:rPr>
            </w:pPr>
          </w:p>
        </w:tc>
        <w:tc>
          <w:tcPr>
            <w:tcW w:w="1980" w:type="dxa"/>
            <w:vAlign w:val="bottom"/>
          </w:tcPr>
          <w:p>
            <w:pPr>
              <w:jc w:val="center"/>
              <w:ind w:left="635"/>
              <w:spacing w:after="0"/>
              <w:rPr>
                <w:sz w:val="20"/>
                <w:szCs w:val="20"/>
                <w:color w:val="auto"/>
              </w:rPr>
            </w:pPr>
            <w:r>
              <w:rPr>
                <w:rFonts w:ascii="Arial" w:cs="Arial" w:eastAsia="Arial" w:hAnsi="Arial"/>
                <w:sz w:val="16"/>
                <w:szCs w:val="16"/>
                <w:color w:val="auto"/>
              </w:rPr>
              <w:t>Identification No.)</w:t>
            </w:r>
          </w:p>
        </w:tc>
      </w:tr>
      <w:tr>
        <w:trPr>
          <w:trHeight w:val="317"/>
        </w:trPr>
        <w:tc>
          <w:tcPr>
            <w:tcW w:w="3240" w:type="dxa"/>
            <w:vAlign w:val="bottom"/>
          </w:tcPr>
          <w:p>
            <w:pPr>
              <w:jc w:val="center"/>
              <w:ind w:right="295"/>
              <w:spacing w:after="0"/>
              <w:rPr>
                <w:sz w:val="20"/>
                <w:szCs w:val="20"/>
                <w:color w:val="auto"/>
              </w:rPr>
            </w:pPr>
            <w:r>
              <w:rPr>
                <w:rFonts w:ascii="Arial" w:cs="Arial" w:eastAsia="Arial" w:hAnsi="Arial"/>
                <w:sz w:val="18"/>
                <w:szCs w:val="18"/>
                <w:b w:val="1"/>
                <w:bCs w:val="1"/>
                <w:color w:val="auto"/>
                <w:w w:val="99"/>
              </w:rPr>
              <w:t>3655 Nobel Drive, Suite 260</w:t>
            </w:r>
          </w:p>
        </w:tc>
        <w:tc>
          <w:tcPr>
            <w:tcW w:w="4900" w:type="dxa"/>
            <w:vAlign w:val="bottom"/>
          </w:tcPr>
          <w:p>
            <w:pPr>
              <w:jc w:val="center"/>
              <w:ind w:right="233"/>
              <w:spacing w:after="0"/>
              <w:rPr>
                <w:sz w:val="20"/>
                <w:szCs w:val="20"/>
                <w:color w:val="auto"/>
              </w:rPr>
            </w:pPr>
            <w:r>
              <w:rPr>
                <w:rFonts w:ascii="Arial" w:cs="Arial" w:eastAsia="Arial" w:hAnsi="Arial"/>
                <w:sz w:val="18"/>
                <w:szCs w:val="18"/>
                <w:b w:val="1"/>
                <w:bCs w:val="1"/>
                <w:color w:val="auto"/>
                <w:w w:val="99"/>
              </w:rPr>
              <w:t>(858) 926-7655</w:t>
            </w:r>
          </w:p>
        </w:tc>
        <w:tc>
          <w:tcPr>
            <w:tcW w:w="1980" w:type="dxa"/>
            <w:vAlign w:val="bottom"/>
          </w:tcPr>
          <w:p>
            <w:pPr>
              <w:jc w:val="right"/>
              <w:ind w:right="295"/>
              <w:spacing w:after="0"/>
              <w:rPr>
                <w:sz w:val="20"/>
                <w:szCs w:val="20"/>
                <w:color w:val="auto"/>
              </w:rPr>
            </w:pPr>
            <w:r>
              <w:rPr>
                <w:rFonts w:ascii="Arial" w:cs="Arial" w:eastAsia="Arial" w:hAnsi="Arial"/>
                <w:sz w:val="18"/>
                <w:szCs w:val="18"/>
                <w:b w:val="1"/>
                <w:bCs w:val="1"/>
                <w:color w:val="auto"/>
              </w:rPr>
              <w:t>92122</w:t>
            </w:r>
          </w:p>
        </w:tc>
      </w:tr>
      <w:tr>
        <w:trPr>
          <w:trHeight w:val="191"/>
        </w:trPr>
        <w:tc>
          <w:tcPr>
            <w:tcW w:w="3240" w:type="dxa"/>
            <w:vAlign w:val="bottom"/>
          </w:tcPr>
          <w:p>
            <w:pPr>
              <w:jc w:val="center"/>
              <w:ind w:right="315"/>
              <w:spacing w:after="0" w:line="191" w:lineRule="exact"/>
              <w:rPr>
                <w:sz w:val="20"/>
                <w:szCs w:val="20"/>
                <w:color w:val="auto"/>
              </w:rPr>
            </w:pPr>
            <w:r>
              <w:rPr>
                <w:rFonts w:ascii="Arial" w:cs="Arial" w:eastAsia="Arial" w:hAnsi="Arial"/>
                <w:sz w:val="18"/>
                <w:szCs w:val="18"/>
                <w:b w:val="1"/>
                <w:bCs w:val="1"/>
                <w:color w:val="auto"/>
                <w:w w:val="99"/>
              </w:rPr>
              <w:t>San Diego, CA</w:t>
            </w:r>
          </w:p>
        </w:tc>
        <w:tc>
          <w:tcPr>
            <w:tcW w:w="4900" w:type="dxa"/>
            <w:vAlign w:val="bottom"/>
          </w:tcPr>
          <w:p>
            <w:pPr>
              <w:jc w:val="center"/>
              <w:ind w:right="213"/>
              <w:spacing w:after="0"/>
              <w:rPr>
                <w:sz w:val="20"/>
                <w:szCs w:val="20"/>
                <w:color w:val="auto"/>
              </w:rPr>
            </w:pPr>
            <w:r>
              <w:rPr>
                <w:rFonts w:ascii="Arial" w:cs="Arial" w:eastAsia="Arial" w:hAnsi="Arial"/>
                <w:sz w:val="16"/>
                <w:szCs w:val="16"/>
                <w:color w:val="auto"/>
              </w:rPr>
              <w:t>(Registrant’s telephone number, including area code)</w:t>
            </w:r>
          </w:p>
        </w:tc>
        <w:tc>
          <w:tcPr>
            <w:tcW w:w="1980" w:type="dxa"/>
            <w:vAlign w:val="bottom"/>
          </w:tcPr>
          <w:p>
            <w:pPr>
              <w:jc w:val="center"/>
              <w:ind w:left="635"/>
              <w:spacing w:after="0"/>
              <w:rPr>
                <w:sz w:val="20"/>
                <w:szCs w:val="20"/>
                <w:color w:val="auto"/>
              </w:rPr>
            </w:pPr>
            <w:r>
              <w:rPr>
                <w:rFonts w:ascii="Arial" w:cs="Arial" w:eastAsia="Arial" w:hAnsi="Arial"/>
                <w:sz w:val="16"/>
                <w:szCs w:val="16"/>
                <w:color w:val="auto"/>
              </w:rPr>
              <w:t>(Zip Code)</w:t>
            </w:r>
          </w:p>
        </w:tc>
      </w:tr>
      <w:tr>
        <w:trPr>
          <w:trHeight w:val="195"/>
        </w:trPr>
        <w:tc>
          <w:tcPr>
            <w:tcW w:w="3240" w:type="dxa"/>
            <w:vAlign w:val="bottom"/>
          </w:tcPr>
          <w:p>
            <w:pPr>
              <w:jc w:val="center"/>
              <w:ind w:right="315"/>
              <w:spacing w:after="0"/>
              <w:rPr>
                <w:sz w:val="20"/>
                <w:szCs w:val="20"/>
                <w:color w:val="auto"/>
              </w:rPr>
            </w:pPr>
            <w:r>
              <w:rPr>
                <w:rFonts w:ascii="Arial" w:cs="Arial" w:eastAsia="Arial" w:hAnsi="Arial"/>
                <w:sz w:val="16"/>
                <w:szCs w:val="16"/>
                <w:color w:val="auto"/>
              </w:rPr>
              <w:t>(Address of Principal Executive Offices)</w:t>
            </w:r>
          </w:p>
        </w:tc>
        <w:tc>
          <w:tcPr>
            <w:tcW w:w="4900" w:type="dxa"/>
            <w:vAlign w:val="bottom"/>
          </w:tcPr>
          <w:p>
            <w:pPr>
              <w:spacing w:after="0"/>
              <w:rPr>
                <w:sz w:val="16"/>
                <w:szCs w:val="16"/>
                <w:color w:val="auto"/>
              </w:rPr>
            </w:pPr>
          </w:p>
        </w:tc>
        <w:tc>
          <w:tcPr>
            <w:tcW w:w="1980" w:type="dxa"/>
            <w:vAlign w:val="bottom"/>
          </w:tcPr>
          <w:p>
            <w:pPr>
              <w:spacing w:after="0"/>
              <w:rPr>
                <w:sz w:val="16"/>
                <w:szCs w:val="16"/>
                <w:color w:val="auto"/>
              </w:rPr>
            </w:pPr>
          </w:p>
        </w:tc>
      </w:tr>
    </w:tbl>
    <w:p>
      <w:pPr>
        <w:spacing w:after="0" w:line="143" w:lineRule="exact"/>
        <w:rPr>
          <w:sz w:val="24"/>
          <w:szCs w:val="24"/>
          <w:color w:val="auto"/>
        </w:rPr>
      </w:pPr>
    </w:p>
    <w:p>
      <w:pPr>
        <w:ind w:left="268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8" w:lineRule="exact"/>
        <w:rPr>
          <w:sz w:val="24"/>
          <w:szCs w:val="24"/>
          <w:color w:val="auto"/>
        </w:rPr>
      </w:pPr>
    </w:p>
    <w:p>
      <w:pPr>
        <w:ind w:left="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6" w:lineRule="exact"/>
        <w:rPr>
          <w:sz w:val="24"/>
          <w:szCs w:val="24"/>
          <w:color w:val="auto"/>
        </w:rPr>
      </w:pPr>
    </w:p>
    <w:p>
      <w:pPr>
        <w:ind w:left="8500"/>
        <w:spacing w:after="0"/>
        <w:rPr>
          <w:sz w:val="20"/>
          <w:szCs w:val="20"/>
          <w:color w:val="auto"/>
        </w:rPr>
      </w:pPr>
      <w:r>
        <w:rPr>
          <w:rFonts w:ascii="Arial" w:cs="Arial" w:eastAsia="Arial" w:hAnsi="Arial"/>
          <w:sz w:val="16"/>
          <w:szCs w:val="16"/>
          <w:color w:val="auto"/>
        </w:rPr>
        <w:t>Name of each exchange on which</w:t>
      </w:r>
    </w:p>
    <w:p>
      <w:pPr>
        <w:spacing w:after="0" w:line="5" w:lineRule="exact"/>
        <w:rPr>
          <w:sz w:val="24"/>
          <w:szCs w:val="24"/>
          <w:color w:val="auto"/>
        </w:rPr>
      </w:pPr>
    </w:p>
    <w:p>
      <w:pPr>
        <w:ind w:left="1020"/>
        <w:spacing w:after="0"/>
        <w:tabs>
          <w:tab w:leader="none" w:pos="5100" w:val="left"/>
          <w:tab w:leader="none" w:pos="934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Symbol(s)</w:t>
      </w:r>
      <w:r>
        <w:rPr>
          <w:sz w:val="20"/>
          <w:szCs w:val="20"/>
          <w:color w:val="auto"/>
        </w:rPr>
        <w:tab/>
      </w:r>
      <w:r>
        <w:rPr>
          <w:rFonts w:ascii="Arial" w:cs="Arial" w:eastAsia="Arial" w:hAnsi="Arial"/>
          <w:sz w:val="16"/>
          <w:szCs w:val="16"/>
          <w:color w:val="auto"/>
        </w:rPr>
        <w:t>registered</w:t>
      </w:r>
    </w:p>
    <w:p>
      <w:pPr>
        <w:spacing w:after="0" w:line="39" w:lineRule="exact"/>
        <w:rPr>
          <w:sz w:val="24"/>
          <w:szCs w:val="24"/>
          <w:color w:val="auto"/>
        </w:rPr>
      </w:pPr>
    </w:p>
    <w:p>
      <w:pPr>
        <w:ind w:left="1080"/>
        <w:spacing w:after="0"/>
        <w:tabs>
          <w:tab w:leader="none" w:pos="5520" w:val="left"/>
          <w:tab w:leader="none" w:pos="8840" w:val="left"/>
        </w:tabs>
        <w:rPr>
          <w:sz w:val="20"/>
          <w:szCs w:val="20"/>
          <w:color w:val="auto"/>
        </w:rPr>
      </w:pPr>
      <w:r>
        <w:rPr>
          <w:rFonts w:ascii="Arial" w:cs="Arial" w:eastAsia="Arial" w:hAnsi="Arial"/>
          <w:sz w:val="16"/>
          <w:szCs w:val="16"/>
          <w:b w:val="1"/>
          <w:bCs w:val="1"/>
          <w:color w:val="auto"/>
        </w:rPr>
        <w:t>Common Stock</w:t>
      </w:r>
      <w:r>
        <w:rPr>
          <w:sz w:val="20"/>
          <w:szCs w:val="20"/>
          <w:color w:val="auto"/>
        </w:rPr>
        <w:tab/>
      </w:r>
      <w:r>
        <w:rPr>
          <w:rFonts w:ascii="Arial" w:cs="Arial" w:eastAsia="Arial" w:hAnsi="Arial"/>
          <w:sz w:val="16"/>
          <w:szCs w:val="16"/>
          <w:b w:val="1"/>
          <w:bCs w:val="1"/>
          <w:color w:val="auto"/>
        </w:rPr>
        <w:t>DARE</w:t>
      </w:r>
      <w:r>
        <w:rPr>
          <w:sz w:val="20"/>
          <w:szCs w:val="20"/>
          <w:color w:val="auto"/>
        </w:rPr>
        <w:tab/>
      </w:r>
      <w:r>
        <w:rPr>
          <w:rFonts w:ascii="Arial" w:cs="Arial" w:eastAsia="Arial" w:hAnsi="Arial"/>
          <w:sz w:val="16"/>
          <w:szCs w:val="16"/>
          <w:b w:val="1"/>
          <w:bCs w:val="1"/>
          <w:color w:val="auto"/>
        </w:rPr>
        <w:t>Nasdaq Capital Market</w:t>
      </w:r>
    </w:p>
    <w:p>
      <w:pPr>
        <w:spacing w:after="0" w:line="214"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6" w:lineRule="exact"/>
        <w:rPr>
          <w:sz w:val="24"/>
          <w:szCs w:val="24"/>
          <w:color w:val="auto"/>
        </w:rPr>
      </w:pPr>
    </w:p>
    <w:p>
      <w:pPr>
        <w:jc w:val="both"/>
        <w:ind w:firstLine="324"/>
        <w:spacing w:after="0" w:line="26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9"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p>
      <w:pPr>
        <w:spacing w:after="0" w:line="134" w:lineRule="exact"/>
        <w:rPr>
          <w:sz w:val="24"/>
          <w:szCs w:val="24"/>
          <w:color w:val="auto"/>
        </w:rPr>
      </w:pPr>
    </w:p>
    <w:tbl>
      <w:tblPr>
        <w:tblLayout w:type="fixed"/>
        <w:tblInd w:w="20" w:type="dxa"/>
        <w:tblCellMar>
          <w:top w:w="0" w:type="dxa"/>
          <w:left w:w="0" w:type="dxa"/>
          <w:bottom w:w="0" w:type="dxa"/>
          <w:right w:w="0" w:type="dxa"/>
        </w:tblCellMar>
      </w:tblPr>
      <w:tr>
        <w:trPr>
          <w:trHeight w:val="195"/>
        </w:trPr>
        <w:tc>
          <w:tcPr>
            <w:tcW w:w="25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620"/>
              <w:spacing w:after="0"/>
              <w:rPr>
                <w:sz w:val="20"/>
                <w:szCs w:val="20"/>
                <w:color w:val="auto"/>
              </w:rPr>
            </w:pPr>
            <w:r>
              <w:rPr>
                <w:rFonts w:ascii="Arial" w:cs="Arial" w:eastAsia="Arial" w:hAnsi="Arial"/>
                <w:sz w:val="16"/>
                <w:szCs w:val="16"/>
                <w:color w:val="auto"/>
              </w:rPr>
              <w:t>o</w:t>
            </w:r>
          </w:p>
        </w:tc>
        <w:tc>
          <w:tcPr>
            <w:tcW w:w="476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620"/>
              <w:spacing w:after="0"/>
              <w:rPr>
                <w:sz w:val="20"/>
                <w:szCs w:val="20"/>
                <w:color w:val="auto"/>
              </w:rPr>
            </w:pPr>
            <w:r>
              <w:rPr>
                <w:rFonts w:ascii="Arial" w:cs="Arial" w:eastAsia="Arial" w:hAnsi="Arial"/>
                <w:sz w:val="16"/>
                <w:szCs w:val="16"/>
                <w:color w:val="auto"/>
              </w:rPr>
              <w:t>x</w:t>
            </w:r>
          </w:p>
        </w:tc>
        <w:tc>
          <w:tcPr>
            <w:tcW w:w="476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57"/>
        </w:trPr>
        <w:tc>
          <w:tcPr>
            <w:tcW w:w="2540" w:type="dxa"/>
            <w:vAlign w:val="bottom"/>
            <w:vMerge w:val="restart"/>
          </w:tcPr>
          <w:p>
            <w:pPr>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620"/>
              <w:spacing w:after="0"/>
              <w:rPr>
                <w:sz w:val="20"/>
                <w:szCs w:val="20"/>
                <w:color w:val="auto"/>
              </w:rPr>
            </w:pPr>
            <w:r>
              <w:rPr>
                <w:rFonts w:ascii="Arial" w:cs="Arial" w:eastAsia="Arial" w:hAnsi="Arial"/>
                <w:sz w:val="16"/>
                <w:szCs w:val="16"/>
                <w:color w:val="auto"/>
              </w:rPr>
              <w:t>o</w:t>
            </w:r>
          </w:p>
        </w:tc>
        <w:tc>
          <w:tcPr>
            <w:tcW w:w="4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540" w:type="dxa"/>
            <w:vAlign w:val="bottom"/>
            <w:vMerge w:val="continue"/>
          </w:tcPr>
          <w:p>
            <w:pPr>
              <w:spacing w:after="0"/>
              <w:rPr>
                <w:sz w:val="4"/>
                <w:szCs w:val="4"/>
                <w:color w:val="auto"/>
              </w:rPr>
            </w:pPr>
          </w:p>
        </w:tc>
        <w:tc>
          <w:tcPr>
            <w:tcW w:w="3120" w:type="dxa"/>
            <w:vAlign w:val="bottom"/>
          </w:tcPr>
          <w:p>
            <w:pPr>
              <w:spacing w:after="0"/>
              <w:rPr>
                <w:sz w:val="4"/>
                <w:szCs w:val="4"/>
                <w:color w:val="auto"/>
              </w:rPr>
            </w:pPr>
          </w:p>
        </w:tc>
        <w:tc>
          <w:tcPr>
            <w:tcW w:w="4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43" w:lineRule="exact"/>
        <w:rPr>
          <w:sz w:val="24"/>
          <w:szCs w:val="24"/>
          <w:color w:val="auto"/>
        </w:rPr>
      </w:pPr>
    </w:p>
    <w:p>
      <w:pPr>
        <w:jc w:val="both"/>
        <w:ind w:right="340" w:firstLine="324"/>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 o</w:t>
      </w:r>
    </w:p>
    <w:p>
      <w:pPr>
        <w:spacing w:after="0" w:line="19" w:lineRule="exact"/>
        <w:rPr>
          <w:sz w:val="24"/>
          <w:szCs w:val="24"/>
          <w:color w:val="auto"/>
        </w:rPr>
      </w:pPr>
    </w:p>
    <w:p>
      <w:pPr>
        <w:ind w:left="340"/>
        <w:spacing w:after="0" w:line="184" w:lineRule="exact"/>
        <w:tabs>
          <w:tab w:leader="none" w:pos="7820" w:val="left"/>
          <w:tab w:leader="none" w:pos="8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1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August 11, 2020, 31,552,412 shares of the Registrant’s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costs, prospects, plans and objectives of management, are forward-looking statements. Forward-looking statements, in some cases, can be identified by terms such as “believe,” “may,” “will,” “estimate,” “continue,” “anticipate,” “design,” “intend,” “expect,” “could,” “plan,” “potential,” “predict,” “seek,” “should,” “would,” “contemplate,” project,” “target,” “tend to,” or the negative version of these words and similar expressions.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spacing w:after="0" w:line="14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continue as a going concern;</w:t>
      </w:r>
    </w:p>
    <w:p>
      <w:pPr>
        <w:spacing w:after="0" w:line="184"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raise additional capital, under favorable terms or at all, including as a result of the effects of the COVID-19 pandemic;</w:t>
      </w:r>
    </w:p>
    <w:p>
      <w:pPr>
        <w:spacing w:after="0" w:line="198"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successfully attract partners and enter into collaborations on acceptable terms;</w:t>
      </w:r>
    </w:p>
    <w:p>
      <w:pPr>
        <w:spacing w:after="0" w:line="184"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decision by Bayer HealthCare LLC to discontinue its commercial interest in Ovaprene® and/or to terminate our license agreement;</w:t>
      </w:r>
    </w:p>
    <w:p>
      <w:pPr>
        <w:spacing w:after="0" w:line="184"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timely develop, obtain regulatory approval for and commercialize our product candidates;</w:t>
      </w:r>
    </w:p>
    <w:p>
      <w:pPr>
        <w:spacing w:after="0" w:line="198" w:lineRule="exact"/>
        <w:rPr>
          <w:rFonts w:ascii="Arial" w:cs="Arial" w:eastAsia="Arial" w:hAnsi="Arial"/>
          <w:sz w:val="18"/>
          <w:szCs w:val="18"/>
          <w:i w:val="1"/>
          <w:iCs w:val="1"/>
          <w:color w:val="auto"/>
        </w:rPr>
      </w:pPr>
    </w:p>
    <w:p>
      <w:pPr>
        <w:jc w:val="both"/>
        <w:ind w:left="340" w:right="20" w:hanging="332"/>
        <w:spacing w:after="0" w:line="266"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or delay in starting, conducting and completing clinical trials or obtaining United States Food and Drug Administration, or FDA, or foreign regulatory approval for our product candidates in a timely manner, including as a result of matters beyond our control such as the effects related to geopolitical actions, natural disasters, or public health emergencies or pandemics, such as the COVID-19 pandemic;</w:t>
      </w:r>
    </w:p>
    <w:p>
      <w:pPr>
        <w:spacing w:after="0" w:line="135"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the FDA Center assigned primary oversight responsibility for our combination product candidates;</w:t>
      </w:r>
    </w:p>
    <w:p>
      <w:pPr>
        <w:spacing w:after="0" w:line="184"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regulatory requirements for our product candidates, including the development pathway pursuant to Section 505(b)(2) of the Federal Food, Drug, and Cosmetic Act, or the FDA's 505(b)(2) pathway;</w:t>
      </w:r>
    </w:p>
    <w:p>
      <w:pPr>
        <w:spacing w:after="0" w:line="134" w:lineRule="exact"/>
        <w:rPr>
          <w:rFonts w:ascii="Arial" w:cs="Arial" w:eastAsia="Arial" w:hAnsi="Arial"/>
          <w:sz w:val="18"/>
          <w:szCs w:val="18"/>
          <w:i w:val="1"/>
          <w:iCs w:val="1"/>
          <w:color w:val="auto"/>
        </w:rPr>
      </w:pPr>
    </w:p>
    <w:p>
      <w:pPr>
        <w:ind w:left="340" w:right="2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spacing w:after="0" w:line="121"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Negative publicity concerning the safety and efficacy of our product candidates, or of product candidates being developed by others that share characteristics similar to our candidates;</w:t>
      </w:r>
    </w:p>
    <w:p>
      <w:pPr>
        <w:spacing w:after="0" w:line="121"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demonstrate sufficient efficacy of our product candidates;</w:t>
      </w:r>
    </w:p>
    <w:p>
      <w:pPr>
        <w:spacing w:after="0" w:line="198" w:lineRule="exact"/>
        <w:rPr>
          <w:rFonts w:ascii="Arial" w:cs="Arial" w:eastAsia="Arial" w:hAnsi="Arial"/>
          <w:sz w:val="18"/>
          <w:szCs w:val="18"/>
          <w:i w:val="1"/>
          <w:iCs w:val="1"/>
          <w:color w:val="auto"/>
        </w:rPr>
      </w:pPr>
    </w:p>
    <w:p>
      <w:pPr>
        <w:ind w:left="340" w:right="2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select or capitalize on the most scientifically, clinically or commercially promising or profitable indications or therapeutic areas for our product candidates due to limited financial resources;</w:t>
      </w:r>
    </w:p>
    <w:p>
      <w:pPr>
        <w:spacing w:after="0" w:line="121"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Loss of our licensed rights to develop and commercialize a product candidate as a result of the termination of the underlying licensing agreement;</w:t>
      </w:r>
    </w:p>
    <w:p>
      <w:pPr>
        <w:spacing w:after="0" w:line="121" w:lineRule="exact"/>
        <w:rPr>
          <w:rFonts w:ascii="Arial" w:cs="Arial" w:eastAsia="Arial" w:hAnsi="Arial"/>
          <w:sz w:val="18"/>
          <w:szCs w:val="18"/>
          <w:i w:val="1"/>
          <w:iCs w:val="1"/>
          <w:color w:val="auto"/>
        </w:rPr>
      </w:pPr>
    </w:p>
    <w:p>
      <w:pPr>
        <w:ind w:left="340" w:right="2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Monetary obligations and other requirements in connection with our exclusive, in-license agreements covering the patents and related intellectual property related to our product candidates;</w:t>
      </w:r>
    </w:p>
    <w:p>
      <w:pPr>
        <w:spacing w:after="0" w:line="134"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Developments by our competitors that make our product candidates less competitive or obsolete;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600710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third parties to conduct nonclinical studies and clinical trials of our product candidates;</w:t>
      </w:r>
    </w:p>
    <w:p>
      <w:pPr>
        <w:spacing w:after="0" w:line="198" w:lineRule="exact"/>
        <w:rPr>
          <w:rFonts w:ascii="Arial" w:cs="Arial" w:eastAsia="Arial" w:hAnsi="Arial"/>
          <w:sz w:val="18"/>
          <w:szCs w:val="18"/>
          <w:i w:val="1"/>
          <w:iCs w:val="1"/>
          <w:color w:val="auto"/>
        </w:rPr>
      </w:pPr>
    </w:p>
    <w:p>
      <w:pPr>
        <w:jc w:val="both"/>
        <w:ind w:left="332" w:hanging="332"/>
        <w:spacing w:after="0" w:line="266"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third parties to supply and manufacture clinical trial materials and, if any of our candidates are approved, commercial product, including components of our products as well as the finished product, in accordance with current good manufacturing practices and in the quantities needed;</w:t>
      </w:r>
    </w:p>
    <w:p>
      <w:pPr>
        <w:spacing w:after="0" w:line="135" w:lineRule="exact"/>
        <w:rPr>
          <w:rFonts w:ascii="Arial" w:cs="Arial" w:eastAsia="Arial" w:hAnsi="Arial"/>
          <w:sz w:val="18"/>
          <w:szCs w:val="18"/>
          <w:i w:val="1"/>
          <w:iCs w:val="1"/>
          <w:color w:val="auto"/>
        </w:rPr>
      </w:pPr>
    </w:p>
    <w:p>
      <w:pPr>
        <w:jc w:val="both"/>
        <w:ind w:left="332" w:hanging="332"/>
        <w:spacing w:after="0" w:line="261"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Interruptions in, or the complete shutdown of, the operations of third parties on which we rely, including clinical sites, manufacturers, suppliers, and other vendors, from matters beyond their control, such as the effects related to geopolitical actions, natural disasters, or public health emergencies or pandemics, such as the COVID-19 pandemic, and our lack of recourse against such third parties if their inability to perform is excused under the terms of our agreements with such parties;</w:t>
      </w:r>
    </w:p>
    <w:p>
      <w:pPr>
        <w:spacing w:after="0" w:line="139"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of our product candidates, if approved, to gain market acceptance or obtain adequate coverage for third party reimbursement;</w:t>
      </w:r>
    </w:p>
    <w:p>
      <w:pPr>
        <w:spacing w:after="0" w:line="198" w:lineRule="exact"/>
        <w:rPr>
          <w:rFonts w:ascii="Arial" w:cs="Arial" w:eastAsia="Arial" w:hAnsi="Arial"/>
          <w:sz w:val="18"/>
          <w:szCs w:val="18"/>
          <w:i w:val="1"/>
          <w:iCs w:val="1"/>
          <w:color w:val="auto"/>
        </w:rPr>
      </w:pPr>
    </w:p>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 reduction in demand for contraceptives caused by an elimination of current requirements that health insurance plans cover and reimburse certain FDA-cleared or approved contraceptive products without cost sharing;</w:t>
      </w:r>
    </w:p>
    <w:p>
      <w:pPr>
        <w:spacing w:after="0" w:line="121" w:lineRule="exact"/>
        <w:rPr>
          <w:rFonts w:ascii="Arial" w:cs="Arial" w:eastAsia="Arial" w:hAnsi="Arial"/>
          <w:sz w:val="18"/>
          <w:szCs w:val="18"/>
          <w:i w:val="1"/>
          <w:iCs w:val="1"/>
          <w:color w:val="auto"/>
        </w:rPr>
      </w:pPr>
    </w:p>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as to whether health insurance plans will cover our product candidates even if we successfully develop and obtain regulatory approval for them;</w:t>
      </w:r>
    </w:p>
    <w:p>
      <w:pPr>
        <w:spacing w:after="0" w:line="121" w:lineRule="exact"/>
        <w:rPr>
          <w:rFonts w:ascii="Arial" w:cs="Arial" w:eastAsia="Arial" w:hAnsi="Arial"/>
          <w:sz w:val="18"/>
          <w:szCs w:val="18"/>
          <w:i w:val="1"/>
          <w:iCs w:val="1"/>
          <w:color w:val="auto"/>
        </w:rPr>
      </w:pPr>
    </w:p>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or inadequate reimbursement rates for our product candidates set by the United States government and other third-party payers even if they become covered products under health insurance plans;</w:t>
      </w:r>
    </w:p>
    <w:p>
      <w:pPr>
        <w:spacing w:after="0" w:line="134"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Difficulty in introducing branded products in a market made up of generic products;</w:t>
      </w:r>
    </w:p>
    <w:p>
      <w:pPr>
        <w:spacing w:after="0" w:line="184"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adequately protect or enforce our, or our licensor’s, intellectual property rights;</w:t>
      </w:r>
    </w:p>
    <w:p>
      <w:pPr>
        <w:spacing w:after="0" w:line="184" w:lineRule="exact"/>
        <w:rPr>
          <w:rFonts w:ascii="Arial" w:cs="Arial" w:eastAsia="Arial" w:hAnsi="Arial"/>
          <w:sz w:val="18"/>
          <w:szCs w:val="18"/>
          <w:i w:val="1"/>
          <w:iCs w:val="1"/>
          <w:color w:val="auto"/>
        </w:rPr>
      </w:pPr>
    </w:p>
    <w:p>
      <w:pPr>
        <w:ind w:left="332"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Lack of patent protection for the active ingredients in certain of our product candidates which could expose those product candidates to competition from other formulations using the same active ingredients;</w:t>
      </w:r>
    </w:p>
    <w:p>
      <w:pPr>
        <w:spacing w:after="0" w:line="134" w:lineRule="exact"/>
        <w:rPr>
          <w:rFonts w:ascii="Arial" w:cs="Arial" w:eastAsia="Arial" w:hAnsi="Arial"/>
          <w:sz w:val="18"/>
          <w:szCs w:val="18"/>
          <w:i w:val="1"/>
          <w:iCs w:val="1"/>
          <w:color w:val="auto"/>
        </w:rPr>
      </w:pPr>
    </w:p>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Higher risk of failure associated with product candidates in pre-clinical stages of development that may lead investors to assign them little to no value and make these assets difficult to fund;</w:t>
      </w:r>
    </w:p>
    <w:p>
      <w:pPr>
        <w:spacing w:after="0" w:line="121"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Disputes or other developments concerning our intellectual property rights;</w:t>
      </w:r>
    </w:p>
    <w:p>
      <w:pPr>
        <w:spacing w:after="0" w:line="184"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Actual and anticipated fluctuations in our quarterly or annual operating results;</w:t>
      </w:r>
    </w:p>
    <w:p>
      <w:pPr>
        <w:spacing w:after="0" w:line="198" w:lineRule="exact"/>
        <w:rPr>
          <w:rFonts w:ascii="Arial" w:cs="Arial" w:eastAsia="Arial" w:hAnsi="Arial"/>
          <w:sz w:val="18"/>
          <w:szCs w:val="18"/>
          <w:i w:val="1"/>
          <w:iCs w:val="1"/>
          <w:color w:val="auto"/>
        </w:rPr>
      </w:pPr>
    </w:p>
    <w:p>
      <w:pPr>
        <w:ind w:left="332"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Price and volume fluctuations in the stock market, and in our stock in particular, which could subject us to securities class-action litigation;</w:t>
      </w:r>
    </w:p>
    <w:p>
      <w:pPr>
        <w:spacing w:after="0" w:line="121"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maintain the listing of our common stock on the Nasdaq Capital Market or another nationally recognized exchange;</w:t>
      </w:r>
    </w:p>
    <w:p>
      <w:pPr>
        <w:spacing w:after="0" w:line="184"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Litigation or public concern about the safety of our potential products;</w:t>
      </w:r>
    </w:p>
    <w:p>
      <w:pPr>
        <w:spacing w:after="0" w:line="198" w:lineRule="exact"/>
        <w:rPr>
          <w:rFonts w:ascii="Arial" w:cs="Arial" w:eastAsia="Arial" w:hAnsi="Arial"/>
          <w:sz w:val="18"/>
          <w:szCs w:val="18"/>
          <w:i w:val="1"/>
          <w:iCs w:val="1"/>
          <w:color w:val="auto"/>
        </w:rPr>
      </w:pPr>
    </w:p>
    <w:p>
      <w:pPr>
        <w:ind w:left="332"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Strict government regulations on our business, including various fraud and abuse laws, including, without limitation, the U.S. federal Anti-Kickback Statute, the U.S. federal False Claims Act and the U.S. Foreign Corrupt Practices Act;</w:t>
      </w:r>
    </w:p>
    <w:p>
      <w:pPr>
        <w:spacing w:after="0" w:line="121"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Regulations governing the production or marketing of our product candidates;</w:t>
      </w:r>
    </w:p>
    <w:p>
      <w:pPr>
        <w:spacing w:after="0" w:line="184"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Loss of, or inability to attract, key personnel; and</w:t>
      </w:r>
    </w:p>
    <w:p>
      <w:pPr>
        <w:spacing w:after="0" w:line="198" w:lineRule="exact"/>
        <w:rPr>
          <w:rFonts w:ascii="Arial" w:cs="Arial" w:eastAsia="Arial" w:hAnsi="Arial"/>
          <w:sz w:val="18"/>
          <w:szCs w:val="18"/>
          <w:i w:val="1"/>
          <w:iCs w:val="1"/>
          <w:color w:val="auto"/>
        </w:rPr>
      </w:pPr>
    </w:p>
    <w:p>
      <w:pPr>
        <w:ind w:left="332"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costs as a result of operating as a public company, and substantial time devoted by our management to compliance initiatives and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560070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06" w:right="339" w:bottom="1440" w:gutter="0" w:footer="0" w:header="0"/>
        </w:sectPr>
      </w:pPr>
    </w:p>
    <w:bookmarkStart w:id="3" w:name="page4"/>
    <w:bookmarkEnd w:id="3"/>
    <w:p>
      <w:pPr>
        <w:jc w:val="both"/>
        <w:ind w:firstLine="648"/>
        <w:spacing w:after="0" w:line="258"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800" w:type="dxa"/>
            <w:vAlign w:val="bottom"/>
          </w:tcPr>
          <w:p>
            <w:pPr>
              <w:jc w:val="right"/>
              <w:ind w:right="51"/>
              <w:spacing w:after="0"/>
              <w:rPr>
                <w:sz w:val="20"/>
                <w:szCs w:val="20"/>
                <w:color w:val="auto"/>
              </w:rPr>
            </w:pPr>
            <w:r>
              <w:rPr>
                <w:rFonts w:ascii="Arial" w:cs="Arial" w:eastAsia="Arial" w:hAnsi="Arial"/>
                <w:sz w:val="14"/>
                <w:szCs w:val="14"/>
                <w:color w:val="auto"/>
              </w:rPr>
              <w:t>Page</w:t>
            </w:r>
          </w:p>
        </w:tc>
      </w:tr>
      <w:tr>
        <w:trPr>
          <w:trHeight w:val="242"/>
        </w:trPr>
        <w:tc>
          <w:tcPr>
            <w:tcW w:w="9440" w:type="dxa"/>
            <w:vAlign w:val="bottom"/>
            <w:gridSpan w:val="2"/>
          </w:tcPr>
          <w:p>
            <w:pPr>
              <w:ind w:left="2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PART I. FINANCIAL INFORMATION</w:t>
              </w:r>
            </w:hyperlink>
          </w:p>
        </w:tc>
        <w:tc>
          <w:tcPr>
            <w:tcW w:w="1800" w:type="dxa"/>
            <w:vAlign w:val="bottom"/>
          </w:tcPr>
          <w:p>
            <w:pPr>
              <w:spacing w:after="0"/>
              <w:rPr>
                <w:sz w:val="21"/>
                <w:szCs w:val="21"/>
                <w:color w:val="auto"/>
              </w:rPr>
            </w:pPr>
          </w:p>
        </w:tc>
      </w:tr>
      <w:tr>
        <w:trPr>
          <w:trHeight w:val="311"/>
        </w:trPr>
        <w:tc>
          <w:tcPr>
            <w:tcW w:w="860" w:type="dxa"/>
            <w:vAlign w:val="bottom"/>
          </w:tcPr>
          <w:p>
            <w:pPr>
              <w:ind w:left="20"/>
              <w:spacing w:after="0"/>
              <w:rPr>
                <w:sz w:val="20"/>
                <w:szCs w:val="20"/>
                <w:color w:val="auto"/>
              </w:rPr>
            </w:pPr>
            <w:r>
              <w:rPr>
                <w:rFonts w:ascii="Arial" w:cs="Arial" w:eastAsia="Arial" w:hAnsi="Arial"/>
                <w:sz w:val="18"/>
                <w:szCs w:val="18"/>
                <w:color w:val="auto"/>
              </w:rPr>
              <w:t>Item 1.</w:t>
            </w:r>
          </w:p>
        </w:tc>
        <w:tc>
          <w:tcPr>
            <w:tcW w:w="8580" w:type="dxa"/>
            <w:vAlign w:val="bottom"/>
          </w:tcPr>
          <w:p>
            <w:pPr>
              <w:ind w:left="1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Financial Statements (Unaudited)</w:t>
              </w:r>
            </w:hyperlink>
          </w:p>
        </w:tc>
        <w:tc>
          <w:tcPr>
            <w:tcW w:w="180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1</w:t>
              </w:r>
            </w:hyperlink>
          </w:p>
        </w:tc>
      </w:tr>
      <w:tr>
        <w:trPr>
          <w:trHeight w:val="310"/>
        </w:trPr>
        <w:tc>
          <w:tcPr>
            <w:tcW w:w="86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tcPr>
          <w:p>
            <w:pPr>
              <w:ind w:left="18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Management's Discussion and Analysis of Financial Condition and Results of Operations</w:t>
              </w:r>
            </w:hyperlink>
          </w:p>
        </w:tc>
        <w:tc>
          <w:tcPr>
            <w:tcW w:w="180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21</w:t>
              </w:r>
            </w:hyperlink>
          </w:p>
        </w:tc>
      </w:tr>
      <w:tr>
        <w:trPr>
          <w:trHeight w:val="311"/>
        </w:trPr>
        <w:tc>
          <w:tcPr>
            <w:tcW w:w="86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tcPr>
          <w:p>
            <w:pPr>
              <w:ind w:left="1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Quantitative and Qualitative Disclosures About Market Risk</w:t>
              </w:r>
            </w:hyperlink>
          </w:p>
        </w:tc>
        <w:tc>
          <w:tcPr>
            <w:tcW w:w="180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33</w:t>
              </w:r>
            </w:hyperlink>
          </w:p>
        </w:tc>
      </w:tr>
      <w:tr>
        <w:trPr>
          <w:trHeight w:val="310"/>
        </w:trPr>
        <w:tc>
          <w:tcPr>
            <w:tcW w:w="860" w:type="dxa"/>
            <w:vAlign w:val="bottom"/>
          </w:tcPr>
          <w:p>
            <w:pPr>
              <w:ind w:left="20"/>
              <w:spacing w:after="0"/>
              <w:rPr>
                <w:sz w:val="20"/>
                <w:szCs w:val="20"/>
                <w:color w:val="auto"/>
              </w:rPr>
            </w:pPr>
            <w:r>
              <w:rPr>
                <w:rFonts w:ascii="Arial" w:cs="Arial" w:eastAsia="Arial" w:hAnsi="Arial"/>
                <w:sz w:val="18"/>
                <w:szCs w:val="18"/>
                <w:color w:val="auto"/>
              </w:rPr>
              <w:t>Item 4.</w:t>
            </w:r>
          </w:p>
        </w:tc>
        <w:tc>
          <w:tcPr>
            <w:tcW w:w="8580" w:type="dxa"/>
            <w:vAlign w:val="bottom"/>
          </w:tcPr>
          <w:p>
            <w:pPr>
              <w:ind w:left="1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Controls and Procedures</w:t>
              </w:r>
            </w:hyperlink>
          </w:p>
        </w:tc>
        <w:tc>
          <w:tcPr>
            <w:tcW w:w="180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33</w:t>
              </w:r>
            </w:hyperlink>
          </w:p>
        </w:tc>
      </w:tr>
      <w:tr>
        <w:trPr>
          <w:trHeight w:val="554"/>
        </w:trPr>
        <w:tc>
          <w:tcPr>
            <w:tcW w:w="9440" w:type="dxa"/>
            <w:vAlign w:val="bottom"/>
            <w:gridSpan w:val="2"/>
          </w:tcPr>
          <w:p>
            <w:pPr>
              <w:ind w:left="2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PART II. OTHER INFORMATION</w:t>
              </w:r>
            </w:hyperlink>
          </w:p>
        </w:tc>
        <w:tc>
          <w:tcPr>
            <w:tcW w:w="1800" w:type="dxa"/>
            <w:vAlign w:val="bottom"/>
          </w:tcPr>
          <w:p>
            <w:pPr>
              <w:spacing w:after="0"/>
              <w:rPr>
                <w:sz w:val="24"/>
                <w:szCs w:val="24"/>
                <w:color w:val="auto"/>
              </w:rPr>
            </w:pPr>
          </w:p>
        </w:tc>
      </w:tr>
      <w:tr>
        <w:trPr>
          <w:trHeight w:val="310"/>
        </w:trPr>
        <w:tc>
          <w:tcPr>
            <w:tcW w:w="860" w:type="dxa"/>
            <w:vAlign w:val="bottom"/>
          </w:tcPr>
          <w:p>
            <w:pPr>
              <w:ind w:left="20"/>
              <w:spacing w:after="0"/>
              <w:rPr>
                <w:sz w:val="20"/>
                <w:szCs w:val="20"/>
                <w:color w:val="auto"/>
              </w:rPr>
            </w:pPr>
            <w:r>
              <w:rPr>
                <w:rFonts w:ascii="Arial" w:cs="Arial" w:eastAsia="Arial" w:hAnsi="Arial"/>
                <w:sz w:val="18"/>
                <w:szCs w:val="18"/>
                <w:color w:val="auto"/>
              </w:rPr>
              <w:t>Item 1.</w:t>
            </w:r>
          </w:p>
        </w:tc>
        <w:tc>
          <w:tcPr>
            <w:tcW w:w="8580" w:type="dxa"/>
            <w:vAlign w:val="bottom"/>
          </w:tcPr>
          <w:p>
            <w:pPr>
              <w:ind w:left="1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Legal Proceedings</w:t>
              </w:r>
            </w:hyperlink>
          </w:p>
        </w:tc>
        <w:tc>
          <w:tcPr>
            <w:tcW w:w="180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34</w:t>
              </w:r>
            </w:hyperlink>
          </w:p>
        </w:tc>
      </w:tr>
      <w:tr>
        <w:trPr>
          <w:trHeight w:val="311"/>
        </w:trPr>
        <w:tc>
          <w:tcPr>
            <w:tcW w:w="860" w:type="dxa"/>
            <w:vAlign w:val="bottom"/>
          </w:tcPr>
          <w:p>
            <w:pPr>
              <w:ind w:left="20"/>
              <w:spacing w:after="0"/>
              <w:rPr>
                <w:sz w:val="20"/>
                <w:szCs w:val="20"/>
                <w:color w:val="auto"/>
              </w:rPr>
            </w:pPr>
            <w:r>
              <w:rPr>
                <w:rFonts w:ascii="Arial" w:cs="Arial" w:eastAsia="Arial" w:hAnsi="Arial"/>
                <w:sz w:val="18"/>
                <w:szCs w:val="18"/>
                <w:color w:val="auto"/>
              </w:rPr>
              <w:t>Item 1A.</w:t>
            </w:r>
          </w:p>
        </w:tc>
        <w:tc>
          <w:tcPr>
            <w:tcW w:w="8580" w:type="dxa"/>
            <w:vAlign w:val="bottom"/>
          </w:tcPr>
          <w:p>
            <w:pPr>
              <w:ind w:left="1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Risk Factors</w:t>
              </w:r>
            </w:hyperlink>
          </w:p>
        </w:tc>
        <w:tc>
          <w:tcPr>
            <w:tcW w:w="180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34</w:t>
              </w:r>
            </w:hyperlink>
          </w:p>
        </w:tc>
      </w:tr>
      <w:tr>
        <w:trPr>
          <w:trHeight w:val="310"/>
        </w:trPr>
        <w:tc>
          <w:tcPr>
            <w:tcW w:w="86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tcPr>
          <w:p>
            <w:pPr>
              <w:ind w:left="18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Unregistered Sales of Equity Securities and Use of Proceeds</w:t>
              </w:r>
            </w:hyperlink>
          </w:p>
        </w:tc>
        <w:tc>
          <w:tcPr>
            <w:tcW w:w="180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36</w:t>
              </w:r>
            </w:hyperlink>
          </w:p>
        </w:tc>
      </w:tr>
      <w:tr>
        <w:trPr>
          <w:trHeight w:val="311"/>
        </w:trPr>
        <w:tc>
          <w:tcPr>
            <w:tcW w:w="86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tcPr>
          <w:p>
            <w:pPr>
              <w:ind w:left="18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Defaults Upon Senior Securities</w:t>
              </w:r>
            </w:hyperlink>
          </w:p>
        </w:tc>
        <w:tc>
          <w:tcPr>
            <w:tcW w:w="180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36</w:t>
              </w:r>
            </w:hyperlink>
          </w:p>
        </w:tc>
      </w:tr>
      <w:tr>
        <w:trPr>
          <w:trHeight w:val="310"/>
        </w:trPr>
        <w:tc>
          <w:tcPr>
            <w:tcW w:w="860" w:type="dxa"/>
            <w:vAlign w:val="bottom"/>
          </w:tcPr>
          <w:p>
            <w:pPr>
              <w:ind w:left="20"/>
              <w:spacing w:after="0"/>
              <w:rPr>
                <w:sz w:val="20"/>
                <w:szCs w:val="20"/>
                <w:color w:val="auto"/>
              </w:rPr>
            </w:pPr>
            <w:r>
              <w:rPr>
                <w:rFonts w:ascii="Arial" w:cs="Arial" w:eastAsia="Arial" w:hAnsi="Arial"/>
                <w:sz w:val="18"/>
                <w:szCs w:val="18"/>
                <w:color w:val="auto"/>
              </w:rPr>
              <w:t>Item 4.</w:t>
            </w:r>
          </w:p>
        </w:tc>
        <w:tc>
          <w:tcPr>
            <w:tcW w:w="8580" w:type="dxa"/>
            <w:vAlign w:val="bottom"/>
          </w:tcPr>
          <w:p>
            <w:pPr>
              <w:ind w:left="18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Mine Safety Disclosures</w:t>
              </w:r>
            </w:hyperlink>
          </w:p>
        </w:tc>
        <w:tc>
          <w:tcPr>
            <w:tcW w:w="180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36</w:t>
              </w:r>
            </w:hyperlink>
          </w:p>
        </w:tc>
      </w:tr>
      <w:tr>
        <w:trPr>
          <w:trHeight w:val="311"/>
        </w:trPr>
        <w:tc>
          <w:tcPr>
            <w:tcW w:w="860" w:type="dxa"/>
            <w:vAlign w:val="bottom"/>
          </w:tcPr>
          <w:p>
            <w:pPr>
              <w:ind w:left="20"/>
              <w:spacing w:after="0"/>
              <w:rPr>
                <w:sz w:val="20"/>
                <w:szCs w:val="20"/>
                <w:color w:val="auto"/>
              </w:rPr>
            </w:pPr>
            <w:r>
              <w:rPr>
                <w:rFonts w:ascii="Arial" w:cs="Arial" w:eastAsia="Arial" w:hAnsi="Arial"/>
                <w:sz w:val="18"/>
                <w:szCs w:val="18"/>
                <w:color w:val="auto"/>
              </w:rPr>
              <w:t>Item 5.</w:t>
            </w:r>
          </w:p>
        </w:tc>
        <w:tc>
          <w:tcPr>
            <w:tcW w:w="8580" w:type="dxa"/>
            <w:vAlign w:val="bottom"/>
          </w:tcPr>
          <w:p>
            <w:pPr>
              <w:ind w:left="18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Other Information</w:t>
              </w:r>
            </w:hyperlink>
          </w:p>
        </w:tc>
        <w:tc>
          <w:tcPr>
            <w:tcW w:w="180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36</w:t>
              </w:r>
            </w:hyperlink>
          </w:p>
        </w:tc>
      </w:tr>
      <w:tr>
        <w:trPr>
          <w:trHeight w:val="311"/>
        </w:trPr>
        <w:tc>
          <w:tcPr>
            <w:tcW w:w="860" w:type="dxa"/>
            <w:vAlign w:val="bottom"/>
          </w:tcPr>
          <w:p>
            <w:pPr>
              <w:ind w:left="20"/>
              <w:spacing w:after="0"/>
              <w:rPr>
                <w:sz w:val="20"/>
                <w:szCs w:val="20"/>
                <w:color w:val="auto"/>
              </w:rPr>
            </w:pPr>
            <w:r>
              <w:rPr>
                <w:rFonts w:ascii="Arial" w:cs="Arial" w:eastAsia="Arial" w:hAnsi="Arial"/>
                <w:sz w:val="18"/>
                <w:szCs w:val="18"/>
                <w:color w:val="auto"/>
              </w:rPr>
              <w:t>Item 6.</w:t>
            </w:r>
          </w:p>
        </w:tc>
        <w:tc>
          <w:tcPr>
            <w:tcW w:w="8580" w:type="dxa"/>
            <w:vAlign w:val="bottom"/>
          </w:tcPr>
          <w:p>
            <w:pPr>
              <w:ind w:left="18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Exhibits</w:t>
              </w:r>
            </w:hyperlink>
          </w:p>
        </w:tc>
        <w:tc>
          <w:tcPr>
            <w:tcW w:w="180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37</w:t>
              </w:r>
            </w:hyperlink>
          </w:p>
        </w:tc>
      </w:tr>
      <w:tr>
        <w:trPr>
          <w:trHeight w:val="283"/>
        </w:trPr>
        <w:tc>
          <w:tcPr>
            <w:tcW w:w="860" w:type="dxa"/>
            <w:vAlign w:val="bottom"/>
          </w:tcPr>
          <w:p>
            <w:pPr>
              <w:spacing w:after="0"/>
              <w:rPr>
                <w:sz w:val="24"/>
                <w:szCs w:val="24"/>
                <w:color w:val="auto"/>
              </w:rPr>
            </w:pPr>
          </w:p>
        </w:tc>
        <w:tc>
          <w:tcPr>
            <w:tcW w:w="8580" w:type="dxa"/>
            <w:vAlign w:val="bottom"/>
          </w:tcPr>
          <w:p>
            <w:pPr>
              <w:ind w:left="18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SIGNATURES</w:t>
              </w:r>
            </w:hyperlink>
          </w:p>
        </w:tc>
        <w:tc>
          <w:tcPr>
            <w:tcW w:w="180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39</w:t>
              </w:r>
            </w:hyperlink>
          </w:p>
        </w:tc>
      </w:tr>
      <w:tr>
        <w:trPr>
          <w:trHeight w:val="1249"/>
        </w:trPr>
        <w:tc>
          <w:tcPr>
            <w:tcW w:w="86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4"/>
                <w:szCs w:val="14"/>
                <w:color w:val="auto"/>
              </w:rPr>
            </w:pPr>
          </w:p>
        </w:tc>
        <w:tc>
          <w:tcPr>
            <w:tcW w:w="1260" w:type="dxa"/>
            <w:vAlign w:val="bottom"/>
          </w:tcPr>
          <w:p>
            <w:pPr>
              <w:jc w:val="right"/>
              <w:ind w:right="1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5,346,872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4,780,107</w:t>
            </w:r>
          </w:p>
        </w:tc>
        <w:tc>
          <w:tcPr>
            <w:tcW w:w="0" w:type="dxa"/>
            <w:vAlign w:val="bottom"/>
          </w:tcPr>
          <w:p>
            <w:pPr>
              <w:spacing w:after="0"/>
              <w:rPr>
                <w:sz w:val="1"/>
                <w:szCs w:val="1"/>
                <w:color w:val="auto"/>
              </w:rPr>
            </w:pPr>
          </w:p>
        </w:tc>
      </w:tr>
      <w:tr>
        <w:trPr>
          <w:trHeight w:val="250"/>
        </w:trPr>
        <w:tc>
          <w:tcPr>
            <w:tcW w:w="8220" w:type="dxa"/>
            <w:vAlign w:val="bottom"/>
          </w:tcPr>
          <w:p>
            <w:pPr>
              <w:ind w:left="220"/>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177,133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555,210</w:t>
            </w: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2,252,860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1,108,615</w:t>
            </w:r>
          </w:p>
        </w:tc>
        <w:tc>
          <w:tcPr>
            <w:tcW w:w="0" w:type="dxa"/>
            <w:vAlign w:val="bottom"/>
          </w:tcPr>
          <w:p>
            <w:pPr>
              <w:spacing w:after="0"/>
              <w:rPr>
                <w:sz w:val="1"/>
                <w:szCs w:val="1"/>
                <w:color w:val="auto"/>
              </w:rPr>
            </w:pPr>
          </w:p>
        </w:tc>
      </w:tr>
      <w:tr>
        <w:trPr>
          <w:trHeight w:val="243"/>
        </w:trPr>
        <w:tc>
          <w:tcPr>
            <w:tcW w:w="8220" w:type="dxa"/>
            <w:vAlign w:val="bottom"/>
          </w:tcPr>
          <w:p>
            <w:pPr>
              <w:ind w:left="46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7,776,865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6,443,932</w:t>
            </w: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54,849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63,531</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738,656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935,325</w:t>
            </w:r>
          </w:p>
        </w:tc>
        <w:tc>
          <w:tcPr>
            <w:tcW w:w="0" w:type="dxa"/>
            <w:vAlign w:val="bottom"/>
          </w:tcPr>
          <w:p>
            <w:pPr>
              <w:spacing w:after="0"/>
              <w:rPr>
                <w:sz w:val="1"/>
                <w:szCs w:val="1"/>
                <w:color w:val="auto"/>
              </w:rPr>
            </w:pPr>
          </w:p>
        </w:tc>
      </w:tr>
      <w:tr>
        <w:trPr>
          <w:trHeight w:val="275"/>
        </w:trPr>
        <w:tc>
          <w:tcPr>
            <w:tcW w:w="8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8,570,370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7,442,788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1,714,082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1,083,183</w:t>
            </w: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1,640,752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2,098,653</w:t>
            </w:r>
          </w:p>
        </w:tc>
        <w:tc>
          <w:tcPr>
            <w:tcW w:w="0" w:type="dxa"/>
            <w:vAlign w:val="bottom"/>
          </w:tcPr>
          <w:p>
            <w:pPr>
              <w:spacing w:after="0"/>
              <w:rPr>
                <w:sz w:val="1"/>
                <w:szCs w:val="1"/>
                <w:color w:val="auto"/>
              </w:rPr>
            </w:pPr>
          </w:p>
        </w:tc>
      </w:tr>
      <w:tr>
        <w:trPr>
          <w:trHeight w:val="250"/>
        </w:trPr>
        <w:tc>
          <w:tcPr>
            <w:tcW w:w="8220" w:type="dxa"/>
            <w:vAlign w:val="bottom"/>
          </w:tcPr>
          <w:p>
            <w:pPr>
              <w:ind w:left="220"/>
              <w:spacing w:after="0"/>
              <w:rPr>
                <w:sz w:val="20"/>
                <w:szCs w:val="20"/>
                <w:color w:val="auto"/>
              </w:rPr>
            </w:pPr>
            <w:r>
              <w:rPr>
                <w:rFonts w:ascii="Arial" w:cs="Arial" w:eastAsia="Arial" w:hAnsi="Arial"/>
                <w:sz w:val="18"/>
                <w:szCs w:val="18"/>
                <w:color w:val="auto"/>
              </w:rPr>
              <w:t>Deferred grant funding</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1,944,781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2,019,674</w:t>
            </w: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payable</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367,285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portion of lease liabilities</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416,945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410,896</w:t>
            </w:r>
          </w:p>
        </w:tc>
        <w:tc>
          <w:tcPr>
            <w:tcW w:w="0" w:type="dxa"/>
            <w:vAlign w:val="bottom"/>
          </w:tcPr>
          <w:p>
            <w:pPr>
              <w:spacing w:after="0"/>
              <w:rPr>
                <w:sz w:val="1"/>
                <w:szCs w:val="1"/>
                <w:color w:val="auto"/>
              </w:rPr>
            </w:pPr>
          </w:p>
        </w:tc>
      </w:tr>
      <w:tr>
        <w:trPr>
          <w:trHeight w:val="257"/>
        </w:trPr>
        <w:tc>
          <w:tcPr>
            <w:tcW w:w="82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6,083,845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5,612,406</w:t>
            </w:r>
          </w:p>
        </w:tc>
        <w:tc>
          <w:tcPr>
            <w:tcW w:w="0" w:type="dxa"/>
            <w:vAlign w:val="bottom"/>
          </w:tcPr>
          <w:p>
            <w:pPr>
              <w:spacing w:after="0"/>
              <w:rPr>
                <w:sz w:val="1"/>
                <w:szCs w:val="1"/>
                <w:color w:val="auto"/>
              </w:rPr>
            </w:pPr>
          </w:p>
        </w:tc>
      </w:tr>
      <w:tr>
        <w:trPr>
          <w:trHeight w:val="250"/>
        </w:trPr>
        <w:tc>
          <w:tcPr>
            <w:tcW w:w="8220" w:type="dxa"/>
            <w:vAlign w:val="bottom"/>
          </w:tcPr>
          <w:p>
            <w:pPr>
              <w:ind w:left="20"/>
              <w:spacing w:after="0"/>
              <w:rPr>
                <w:sz w:val="20"/>
                <w:szCs w:val="20"/>
                <w:color w:val="auto"/>
              </w:rPr>
            </w:pPr>
            <w:r>
              <w:rPr>
                <w:rFonts w:ascii="Arial" w:cs="Arial" w:eastAsia="Arial" w:hAnsi="Arial"/>
                <w:sz w:val="18"/>
                <w:szCs w:val="18"/>
                <w:color w:val="auto"/>
              </w:rPr>
              <w:t>Deferred license revenue</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liabilities long-term</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175,270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389,556</w:t>
            </w:r>
          </w:p>
        </w:tc>
        <w:tc>
          <w:tcPr>
            <w:tcW w:w="0" w:type="dxa"/>
            <w:vAlign w:val="bottom"/>
          </w:tcPr>
          <w:p>
            <w:pPr>
              <w:spacing w:after="0"/>
              <w:rPr>
                <w:sz w:val="1"/>
                <w:szCs w:val="1"/>
                <w:color w:val="auto"/>
              </w:rPr>
            </w:pPr>
          </w:p>
        </w:tc>
      </w:tr>
      <w:tr>
        <w:trPr>
          <w:trHeight w:val="257"/>
        </w:trPr>
        <w:tc>
          <w:tcPr>
            <w:tcW w:w="82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8,259,115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7,001,962</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20"/>
              <w:spacing w:after="0"/>
              <w:rPr>
                <w:sz w:val="20"/>
                <w:szCs w:val="20"/>
                <w:color w:val="auto"/>
              </w:rPr>
            </w:pPr>
            <w:r>
              <w:rPr>
                <w:rFonts w:ascii="Arial" w:cs="Arial" w:eastAsia="Arial" w:hAnsi="Arial"/>
                <w:sz w:val="18"/>
                <w:szCs w:val="18"/>
                <w:color w:val="auto"/>
              </w:rPr>
              <w:t>Preferred stock, $0.01 par value, 5,000,000 shares authorized; None issued and outstanding</w:t>
            </w:r>
          </w:p>
        </w:tc>
        <w:tc>
          <w:tcPr>
            <w:tcW w:w="2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8220" w:type="dxa"/>
            <w:vAlign w:val="bottom"/>
            <w:shd w:val="clear" w:color="auto" w:fill="CCEEFF"/>
          </w:tcPr>
          <w:p>
            <w:pPr>
              <w:ind w:left="220"/>
              <w:spacing w:after="0" w:line="195" w:lineRule="exact"/>
              <w:rPr>
                <w:sz w:val="20"/>
                <w:szCs w:val="20"/>
                <w:color w:val="auto"/>
              </w:rPr>
            </w:pPr>
            <w:r>
              <w:rPr>
                <w:rFonts w:ascii="Arial" w:cs="Arial" w:eastAsia="Arial" w:hAnsi="Arial"/>
                <w:sz w:val="18"/>
                <w:szCs w:val="18"/>
                <w:color w:val="auto"/>
              </w:rPr>
              <w:t>Common stock, $0.0001 par value; 120,000,000 shares authorized; 28,524,004 and 19,683,401</w:t>
            </w:r>
          </w:p>
        </w:tc>
        <w:tc>
          <w:tcPr>
            <w:tcW w:w="2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2,852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and outstanding at June 30, 2020 and December 31, 2019, respectively</w:t>
            </w:r>
          </w:p>
        </w:tc>
        <w:tc>
          <w:tcPr>
            <w:tcW w:w="2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2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(113,479)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(102,625)</w:t>
            </w: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55,821,534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44,564,674</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(55,399,652)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(44,023,191)</w:t>
            </w:r>
          </w:p>
        </w:tc>
        <w:tc>
          <w:tcPr>
            <w:tcW w:w="0" w:type="dxa"/>
            <w:vAlign w:val="bottom"/>
          </w:tcPr>
          <w:p>
            <w:pPr>
              <w:spacing w:after="0"/>
              <w:rPr>
                <w:sz w:val="1"/>
                <w:szCs w:val="1"/>
                <w:color w:val="auto"/>
              </w:rPr>
            </w:pPr>
          </w:p>
        </w:tc>
      </w:tr>
      <w:tr>
        <w:trPr>
          <w:trHeight w:val="257"/>
        </w:trPr>
        <w:tc>
          <w:tcPr>
            <w:tcW w:w="82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311,255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440,826</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8,570,370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7,442,788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Daré Bioscience</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w:t>
      </w:r>
      <w:r>
        <w:rPr>
          <w:rFonts w:ascii="Arial" w:cs="Arial" w:eastAsia="Arial" w:hAnsi="Arial"/>
          <w:sz w:val="18"/>
          <w:szCs w:val="18"/>
          <w:b w:val="1"/>
          <w:bCs w:val="1"/>
          <w:color w:val="auto"/>
        </w:rPr>
        <w:t xml:space="preserve">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7"/>
                <w:szCs w:val="17"/>
                <w:color w:val="auto"/>
              </w:rPr>
            </w:pPr>
          </w:p>
        </w:tc>
        <w:tc>
          <w:tcPr>
            <w:tcW w:w="274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1,557,548</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1,307,379</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3,419,313</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2,584,559</w:t>
            </w:r>
          </w:p>
        </w:tc>
        <w:tc>
          <w:tcPr>
            <w:tcW w:w="0" w:type="dxa"/>
            <w:vAlign w:val="bottom"/>
          </w:tcPr>
          <w:p>
            <w:pPr>
              <w:spacing w:after="0"/>
              <w:rPr>
                <w:sz w:val="1"/>
                <w:szCs w:val="1"/>
                <w:color w:val="auto"/>
              </w:rPr>
            </w:pPr>
          </w:p>
        </w:tc>
      </w:tr>
      <w:tr>
        <w:trPr>
          <w:trHeight w:val="250"/>
        </w:trPr>
        <w:tc>
          <w:tcPr>
            <w:tcW w:w="5240" w:type="dxa"/>
            <w:vAlign w:val="bottom"/>
          </w:tcPr>
          <w:p>
            <w:pPr>
              <w:ind w:left="12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5,547,450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2,512,572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7,927,254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4,205,963</w:t>
            </w:r>
          </w:p>
        </w:tc>
        <w:tc>
          <w:tcPr>
            <w:tcW w:w="0" w:type="dxa"/>
            <w:vAlign w:val="bottom"/>
          </w:tcPr>
          <w:p>
            <w:pPr>
              <w:spacing w:after="0"/>
              <w:rPr>
                <w:sz w:val="1"/>
                <w:szCs w:val="1"/>
                <w:color w:val="auto"/>
              </w:rPr>
            </w:pPr>
          </w:p>
        </w:tc>
      </w:tr>
      <w:tr>
        <w:trPr>
          <w:trHeight w:val="263"/>
        </w:trPr>
        <w:tc>
          <w:tcPr>
            <w:tcW w:w="5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License expenses</w:t>
            </w:r>
          </w:p>
        </w:tc>
        <w:tc>
          <w:tcPr>
            <w:tcW w:w="24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20,833</w:t>
            </w:r>
          </w:p>
        </w:tc>
        <w:tc>
          <w:tcPr>
            <w:tcW w:w="120" w:type="dxa"/>
            <w:vAlign w:val="bottom"/>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162,500</w:t>
            </w:r>
          </w:p>
        </w:tc>
        <w:tc>
          <w:tcPr>
            <w:tcW w:w="120" w:type="dxa"/>
            <w:vAlign w:val="bottom"/>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33,333</w:t>
            </w:r>
          </w:p>
        </w:tc>
        <w:tc>
          <w:tcPr>
            <w:tcW w:w="100" w:type="dxa"/>
            <w:vAlign w:val="bottom"/>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CFF0FC"/>
            </w:tcBorders>
          </w:tcPr>
          <w:p>
            <w:pPr>
              <w:ind w:left="22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7,125,831</w:t>
            </w:r>
          </w:p>
        </w:tc>
        <w:tc>
          <w:tcPr>
            <w:tcW w:w="1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3,982,451</w:t>
            </w:r>
          </w:p>
        </w:tc>
        <w:tc>
          <w:tcPr>
            <w:tcW w:w="1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11,379,900</w:t>
            </w:r>
          </w:p>
        </w:tc>
        <w:tc>
          <w:tcPr>
            <w:tcW w:w="1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7,065,522</w:t>
            </w:r>
          </w:p>
        </w:tc>
        <w:tc>
          <w:tcPr>
            <w:tcW w:w="0" w:type="dxa"/>
            <w:vAlign w:val="bottom"/>
          </w:tcPr>
          <w:p>
            <w:pPr>
              <w:spacing w:after="0"/>
              <w:rPr>
                <w:sz w:val="1"/>
                <w:szCs w:val="1"/>
                <w:color w:val="auto"/>
              </w:rPr>
            </w:pPr>
          </w:p>
        </w:tc>
      </w:tr>
      <w:tr>
        <w:trPr>
          <w:trHeight w:val="257"/>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(7,125,831)</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(3,982,451)</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(11,379,900)</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(7,065,522)</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1,618</w:t>
            </w:r>
          </w:p>
        </w:tc>
        <w:tc>
          <w:tcPr>
            <w:tcW w:w="1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30,001</w:t>
            </w:r>
          </w:p>
        </w:tc>
        <w:tc>
          <w:tcPr>
            <w:tcW w:w="1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3,439</w:t>
            </w:r>
          </w:p>
        </w:tc>
        <w:tc>
          <w:tcPr>
            <w:tcW w:w="1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61,232</w:t>
            </w:r>
          </w:p>
        </w:tc>
        <w:tc>
          <w:tcPr>
            <w:tcW w:w="0" w:type="dxa"/>
            <w:vAlign w:val="bottom"/>
          </w:tcPr>
          <w:p>
            <w:pPr>
              <w:spacing w:after="0"/>
              <w:rPr>
                <w:sz w:val="1"/>
                <w:szCs w:val="1"/>
                <w:color w:val="auto"/>
              </w:rPr>
            </w:pPr>
          </w:p>
        </w:tc>
      </w:tr>
      <w:tr>
        <w:trPr>
          <w:trHeight w:val="315"/>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(7,124,213)</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(3,952,450)</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(11,376,461)</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(7,004,290)</w:t>
            </w:r>
          </w:p>
        </w:tc>
        <w:tc>
          <w:tcPr>
            <w:tcW w:w="0" w:type="dxa"/>
            <w:vAlign w:val="bottom"/>
          </w:tcPr>
          <w:p>
            <w:pPr>
              <w:spacing w:after="0"/>
              <w:rPr>
                <w:sz w:val="1"/>
                <w:szCs w:val="1"/>
                <w:color w:val="auto"/>
              </w:rPr>
            </w:pPr>
          </w:p>
        </w:tc>
      </w:tr>
      <w:tr>
        <w:trPr>
          <w:trHeight w:val="230"/>
        </w:trPr>
        <w:tc>
          <w:tcPr>
            <w:tcW w:w="52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Deemed dividend from trigger of down round provision feature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(789,594)</w:t>
            </w:r>
          </w:p>
        </w:tc>
        <w:tc>
          <w:tcPr>
            <w:tcW w:w="12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(789,594)</w:t>
            </w:r>
          </w:p>
        </w:tc>
        <w:tc>
          <w:tcPr>
            <w:tcW w:w="0" w:type="dxa"/>
            <w:vAlign w:val="bottom"/>
          </w:tcPr>
          <w:p>
            <w:pPr>
              <w:spacing w:after="0"/>
              <w:rPr>
                <w:sz w:val="1"/>
                <w:szCs w:val="1"/>
                <w:color w:val="auto"/>
              </w:rPr>
            </w:pPr>
          </w:p>
        </w:tc>
      </w:tr>
      <w:tr>
        <w:trPr>
          <w:trHeight w:val="315"/>
        </w:trPr>
        <w:tc>
          <w:tcPr>
            <w:tcW w:w="52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loss to common shareholders</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(7,124,213)</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(4,742,044)</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(11,376,461)</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(7,793,884)</w:t>
            </w:r>
          </w:p>
        </w:tc>
        <w:tc>
          <w:tcPr>
            <w:tcW w:w="0" w:type="dxa"/>
            <w:vAlign w:val="bottom"/>
          </w:tcPr>
          <w:p>
            <w:pPr>
              <w:spacing w:after="0"/>
              <w:rPr>
                <w:sz w:val="1"/>
                <w:szCs w:val="1"/>
                <w:color w:val="auto"/>
              </w:rPr>
            </w:pPr>
          </w:p>
        </w:tc>
      </w:tr>
      <w:tr>
        <w:trPr>
          <w:trHeight w:val="230"/>
        </w:trPr>
        <w:tc>
          <w:tcPr>
            <w:tcW w:w="5240" w:type="dxa"/>
            <w:vAlign w:val="bottom"/>
            <w:tcBorders>
              <w:top w:val="single" w:sz="8" w:color="CFF0FC"/>
            </w:tcBorders>
          </w:tcPr>
          <w:p>
            <w:pPr>
              <w:ind w:left="120"/>
              <w:spacing w:after="0" w:line="196" w:lineRule="exact"/>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12,090</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(7,917)</w:t>
            </w:r>
          </w:p>
        </w:tc>
        <w:tc>
          <w:tcPr>
            <w:tcW w:w="12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(10,854)</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82"/>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(7,112,123)</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(4,749,961)</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(11,387,315)</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(7,794,180)</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Loss per common share - basic and diluted</w:t>
            </w: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
        </w:trPr>
        <w:tc>
          <w:tcPr>
            <w:tcW w:w="524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24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26,710,750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16,105,252</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25,255,073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13,776,643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0"/>
        </w:trPr>
        <w:tc>
          <w:tcPr>
            <w:tcW w:w="2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Total</w:t>
            </w:r>
          </w:p>
        </w:tc>
      </w:tr>
      <w:tr>
        <w:trPr>
          <w:trHeight w:val="222"/>
        </w:trPr>
        <w:tc>
          <w:tcPr>
            <w:tcW w:w="2960" w:type="dxa"/>
            <w:vAlign w:val="bottom"/>
          </w:tcPr>
          <w:p>
            <w:pPr>
              <w:spacing w:after="0"/>
              <w:rPr>
                <w:sz w:val="19"/>
                <w:szCs w:val="19"/>
                <w:color w:val="auto"/>
              </w:rPr>
            </w:pPr>
          </w:p>
        </w:tc>
        <w:tc>
          <w:tcPr>
            <w:tcW w:w="22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9"/>
                <w:szCs w:val="19"/>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stockholders'</w:t>
            </w:r>
          </w:p>
        </w:tc>
      </w:tr>
      <w:tr>
        <w:trPr>
          <w:trHeight w:val="209"/>
        </w:trPr>
        <w:tc>
          <w:tcPr>
            <w:tcW w:w="296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8"/>
                <w:szCs w:val="18"/>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equity</w:t>
            </w:r>
          </w:p>
        </w:tc>
      </w:tr>
      <w:tr>
        <w:trPr>
          <w:trHeight w:val="256"/>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2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19,683,401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1,968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44,564,674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(102,625)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(44,023,191)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440,826</w:t>
            </w:r>
          </w:p>
        </w:tc>
      </w:tr>
      <w:tr>
        <w:trPr>
          <w:trHeight w:val="250"/>
        </w:trPr>
        <w:tc>
          <w:tcPr>
            <w:tcW w:w="2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160,841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160,841</w:t>
            </w:r>
          </w:p>
        </w:tc>
      </w:tr>
      <w:tr>
        <w:trPr>
          <w:trHeight w:val="263"/>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3,308,003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5,222,356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5,222,687</w:t>
            </w: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Issuance of common stock from the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2960" w:type="dxa"/>
            <w:vAlign w:val="bottom"/>
          </w:tcPr>
          <w:p>
            <w:pPr>
              <w:spacing w:after="0"/>
              <w:rPr>
                <w:sz w:val="20"/>
                <w:szCs w:val="20"/>
                <w:color w:val="auto"/>
              </w:rPr>
            </w:pPr>
            <w:r>
              <w:rPr>
                <w:rFonts w:ascii="Arial" w:cs="Arial" w:eastAsia="Arial" w:hAnsi="Arial"/>
                <w:sz w:val="18"/>
                <w:szCs w:val="18"/>
                <w:color w:val="auto"/>
              </w:rPr>
              <w:t>exercise of warrants</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1,699,000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1,664,850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1,665,020</w:t>
            </w:r>
          </w:p>
        </w:tc>
      </w:tr>
      <w:tr>
        <w:trPr>
          <w:trHeight w:val="263"/>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10,149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r>
      <w:tr>
        <w:trPr>
          <w:trHeight w:val="250"/>
        </w:trPr>
        <w:tc>
          <w:tcPr>
            <w:tcW w:w="296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(4,252,248)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(4,252,248)</w:t>
            </w:r>
          </w:p>
        </w:tc>
      </w:tr>
      <w:tr>
        <w:trPr>
          <w:trHeight w:val="235"/>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(22,944)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(22,944)</w:t>
            </w:r>
          </w:p>
        </w:tc>
      </w:tr>
      <w:tr>
        <w:trPr>
          <w:trHeight w:val="243"/>
        </w:trPr>
        <w:tc>
          <w:tcPr>
            <w:tcW w:w="296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12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24,700,553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2,470</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51,612,721</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(125,569)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(48,275,439)</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3,214,183</w:t>
            </w:r>
          </w:p>
        </w:tc>
      </w:tr>
      <w:tr>
        <w:trPr>
          <w:trHeight w:val="263"/>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186,859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186,859</w:t>
            </w:r>
          </w:p>
        </w:tc>
      </w:tr>
      <w:tr>
        <w:trPr>
          <w:trHeight w:val="250"/>
        </w:trPr>
        <w:tc>
          <w:tcPr>
            <w:tcW w:w="29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3,823,451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4,021,954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4,022,336</w:t>
            </w:r>
          </w:p>
        </w:tc>
      </w:tr>
      <w:tr>
        <w:trPr>
          <w:trHeight w:val="263"/>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(7,124,213)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(7,124,213)</w:t>
            </w: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2960" w:type="dxa"/>
            <w:vAlign w:val="bottom"/>
          </w:tcPr>
          <w:p>
            <w:pPr>
              <w:spacing w:after="0"/>
              <w:rPr>
                <w:sz w:val="20"/>
                <w:szCs w:val="20"/>
                <w:color w:val="auto"/>
              </w:rPr>
            </w:pPr>
            <w:r>
              <w:rPr>
                <w:rFonts w:ascii="Arial" w:cs="Arial" w:eastAsia="Arial" w:hAnsi="Arial"/>
                <w:sz w:val="18"/>
                <w:szCs w:val="18"/>
                <w:color w:val="auto"/>
              </w:rPr>
              <w:t>adjustments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12,090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12,090</w:t>
            </w:r>
          </w:p>
        </w:tc>
      </w:tr>
      <w:tr>
        <w:trPr>
          <w:trHeight w:val="281"/>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12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28,524,004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2,852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55,821,534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(113,479)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(55,399,652)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311,255</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2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2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Total</w:t>
            </w:r>
          </w:p>
        </w:tc>
      </w:tr>
      <w:tr>
        <w:trPr>
          <w:trHeight w:val="222"/>
        </w:trPr>
        <w:tc>
          <w:tcPr>
            <w:tcW w:w="2960" w:type="dxa"/>
            <w:vAlign w:val="bottom"/>
          </w:tcPr>
          <w:p>
            <w:pPr>
              <w:spacing w:after="0"/>
              <w:rPr>
                <w:sz w:val="19"/>
                <w:szCs w:val="19"/>
                <w:color w:val="auto"/>
              </w:rPr>
            </w:pPr>
          </w:p>
        </w:tc>
        <w:tc>
          <w:tcPr>
            <w:tcW w:w="22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9"/>
                <w:szCs w:val="19"/>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stockholders'</w:t>
            </w:r>
          </w:p>
        </w:tc>
      </w:tr>
      <w:tr>
        <w:trPr>
          <w:trHeight w:val="209"/>
        </w:trPr>
        <w:tc>
          <w:tcPr>
            <w:tcW w:w="296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8"/>
                <w:szCs w:val="18"/>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equity</w:t>
            </w:r>
          </w:p>
        </w:tc>
      </w:tr>
      <w:tr>
        <w:trPr>
          <w:trHeight w:val="256"/>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2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11,422,161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1,143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35,791,972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(96,728)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(28,969,767)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6,726,620</w:t>
            </w:r>
          </w:p>
        </w:tc>
      </w:tr>
      <w:tr>
        <w:trPr>
          <w:trHeight w:val="250"/>
        </w:trPr>
        <w:tc>
          <w:tcPr>
            <w:tcW w:w="2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97,968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97,968</w:t>
            </w:r>
          </w:p>
        </w:tc>
      </w:tr>
      <w:tr>
        <w:trPr>
          <w:trHeight w:val="263"/>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(3,051,840)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(3,051,840)</w:t>
            </w: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2960" w:type="dxa"/>
            <w:vAlign w:val="bottom"/>
          </w:tcPr>
          <w:p>
            <w:pPr>
              <w:spacing w:after="0"/>
              <w:rPr>
                <w:sz w:val="20"/>
                <w:szCs w:val="20"/>
                <w:color w:val="auto"/>
              </w:rPr>
            </w:pPr>
            <w:r>
              <w:rPr>
                <w:rFonts w:ascii="Arial" w:cs="Arial" w:eastAsia="Arial" w:hAnsi="Arial"/>
                <w:sz w:val="18"/>
                <w:szCs w:val="18"/>
                <w:color w:val="auto"/>
              </w:rPr>
              <w:t>adjustments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7,621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7,621</w:t>
            </w:r>
          </w:p>
        </w:tc>
      </w:tr>
      <w:tr>
        <w:trPr>
          <w:trHeight w:val="256"/>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2019</w:t>
            </w:r>
          </w:p>
        </w:tc>
        <w:tc>
          <w:tcPr>
            <w:tcW w:w="12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11,422,161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1,143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35,889,940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(89,107)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(32,021,607)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3,780,369</w:t>
            </w:r>
          </w:p>
        </w:tc>
      </w:tr>
      <w:tr>
        <w:trPr>
          <w:trHeight w:val="250"/>
        </w:trPr>
        <w:tc>
          <w:tcPr>
            <w:tcW w:w="2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111,351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111,351</w:t>
            </w:r>
          </w:p>
        </w:tc>
      </w:tr>
      <w:tr>
        <w:trPr>
          <w:trHeight w:val="235"/>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via</w:t>
            </w: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net</w:t>
            </w: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5,261,250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5,151,177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5,151,702</w:t>
            </w: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Deemed dividend from trigger of</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2960" w:type="dxa"/>
            <w:vAlign w:val="bottom"/>
          </w:tcPr>
          <w:p>
            <w:pPr>
              <w:spacing w:after="0"/>
              <w:rPr>
                <w:sz w:val="20"/>
                <w:szCs w:val="20"/>
                <w:color w:val="auto"/>
              </w:rPr>
            </w:pPr>
            <w:r>
              <w:rPr>
                <w:rFonts w:ascii="Arial" w:cs="Arial" w:eastAsia="Arial" w:hAnsi="Arial"/>
                <w:sz w:val="18"/>
                <w:szCs w:val="18"/>
                <w:color w:val="auto"/>
              </w:rPr>
              <w:t>down round provision</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789,594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(789,594)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63"/>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(3,952,450)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(3,952,450)</w:t>
            </w: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2960" w:type="dxa"/>
            <w:vAlign w:val="bottom"/>
          </w:tcPr>
          <w:p>
            <w:pPr>
              <w:spacing w:after="0"/>
              <w:rPr>
                <w:sz w:val="20"/>
                <w:szCs w:val="20"/>
                <w:color w:val="auto"/>
              </w:rPr>
            </w:pPr>
            <w:r>
              <w:rPr>
                <w:rFonts w:ascii="Arial" w:cs="Arial" w:eastAsia="Arial" w:hAnsi="Arial"/>
                <w:sz w:val="18"/>
                <w:szCs w:val="18"/>
                <w:color w:val="auto"/>
              </w:rPr>
              <w:t>adjustments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(7,917)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(7,917)</w:t>
            </w:r>
          </w:p>
        </w:tc>
      </w:tr>
      <w:tr>
        <w:trPr>
          <w:trHeight w:val="282"/>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12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16,683,411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1,668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41,942,062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(97,024)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(36,763,651)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5,083,055</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62" w:right="399" w:bottom="1440" w:gutter="0" w:footer="0" w:header="0"/>
        </w:sectPr>
      </w:pPr>
    </w:p>
    <w:bookmarkStart w:id="8" w:name="page9"/>
    <w:bookmarkEnd w:id="8"/>
    <w:p>
      <w:pPr>
        <w:ind w:left="3980"/>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8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50"/>
        </w:trPr>
        <w:tc>
          <w:tcPr>
            <w:tcW w:w="822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(11,376,461)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(7,004,290)</w:t>
            </w:r>
          </w:p>
        </w:tc>
      </w:tr>
      <w:tr>
        <w:trPr>
          <w:trHeight w:val="26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adjustments reconciling net loss to operating cash flows:</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82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23,929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2,315</w:t>
            </w:r>
          </w:p>
        </w:tc>
      </w:tr>
      <w:tr>
        <w:trPr>
          <w:trHeight w:val="26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347,700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209,319</w:t>
            </w:r>
          </w:p>
        </w:tc>
      </w:tr>
      <w:tr>
        <w:trPr>
          <w:trHeight w:val="250"/>
        </w:trPr>
        <w:tc>
          <w:tcPr>
            <w:tcW w:w="8220" w:type="dxa"/>
            <w:vAlign w:val="bottom"/>
          </w:tcPr>
          <w:p>
            <w:pPr>
              <w:ind w:left="220"/>
              <w:spacing w:after="0"/>
              <w:rPr>
                <w:sz w:val="20"/>
                <w:szCs w:val="20"/>
                <w:color w:val="auto"/>
              </w:rPr>
            </w:pPr>
            <w:r>
              <w:rPr>
                <w:rFonts w:ascii="Arial" w:cs="Arial" w:eastAsia="Arial" w:hAnsi="Arial"/>
                <w:sz w:val="18"/>
                <w:szCs w:val="18"/>
                <w:color w:val="auto"/>
              </w:rPr>
              <w:t>Non-cash operating lease cost</w:t>
            </w:r>
          </w:p>
        </w:tc>
        <w:tc>
          <w:tcPr>
            <w:tcW w:w="2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(90,080)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838</w:t>
            </w:r>
          </w:p>
        </w:tc>
      </w:tr>
      <w:tr>
        <w:trPr>
          <w:trHeight w:val="26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8220" w:type="dxa"/>
            <w:vAlign w:val="bottom"/>
          </w:tcPr>
          <w:p>
            <w:pPr>
              <w:ind w:left="220"/>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378,077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(461,982)</w:t>
            </w:r>
          </w:p>
        </w:tc>
      </w:tr>
      <w:tr>
        <w:trPr>
          <w:trHeight w:val="26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(1,144,246)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(34,861)</w:t>
            </w:r>
          </w:p>
        </w:tc>
      </w:tr>
      <w:tr>
        <w:trPr>
          <w:trHeight w:val="250"/>
        </w:trPr>
        <w:tc>
          <w:tcPr>
            <w:tcW w:w="8220" w:type="dxa"/>
            <w:vAlign w:val="bottom"/>
          </w:tcPr>
          <w:p>
            <w:pPr>
              <w:ind w:left="22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78,513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79,063</w:t>
            </w:r>
          </w:p>
        </w:tc>
      </w:tr>
      <w:tr>
        <w:trPr>
          <w:trHeight w:val="26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630,899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172,413</w:t>
            </w:r>
          </w:p>
        </w:tc>
      </w:tr>
      <w:tr>
        <w:trPr>
          <w:trHeight w:val="250"/>
        </w:trPr>
        <w:tc>
          <w:tcPr>
            <w:tcW w:w="82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(457,901)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710,459</w:t>
            </w:r>
          </w:p>
        </w:tc>
      </w:tr>
      <w:tr>
        <w:trPr>
          <w:trHeight w:val="26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grant funding</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(74,894)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5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license revenue</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r>
      <w:tr>
        <w:trPr>
          <w:trHeight w:val="25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(10,684,464)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(6,326,726)</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(15,246)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4"/>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(15,246)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50"/>
        </w:trPr>
        <w:tc>
          <w:tcPr>
            <w:tcW w:w="8220" w:type="dxa"/>
            <w:vAlign w:val="bottom"/>
          </w:tcPr>
          <w:p>
            <w:pPr>
              <w:ind w:left="220"/>
              <w:spacing w:after="0"/>
              <w:rPr>
                <w:sz w:val="20"/>
                <w:szCs w:val="20"/>
                <w:color w:val="auto"/>
              </w:rPr>
            </w:pPr>
            <w:r>
              <w:rPr>
                <w:rFonts w:ascii="Arial" w:cs="Arial" w:eastAsia="Arial" w:hAnsi="Arial"/>
                <w:sz w:val="18"/>
                <w:szCs w:val="18"/>
                <w:color w:val="auto"/>
              </w:rPr>
              <w:t>Net proceeds from issuance of common stock</w:t>
            </w: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9,245,023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5,151,702</w:t>
            </w:r>
          </w:p>
        </w:tc>
      </w:tr>
      <w:tr>
        <w:trPr>
          <w:trHeight w:val="26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exercise of common stock warrants</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1,665,020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50"/>
        </w:trPr>
        <w:tc>
          <w:tcPr>
            <w:tcW w:w="8220" w:type="dxa"/>
            <w:vAlign w:val="bottom"/>
          </w:tcPr>
          <w:p>
            <w:pPr>
              <w:ind w:left="220"/>
              <w:spacing w:after="0"/>
              <w:rPr>
                <w:sz w:val="20"/>
                <w:szCs w:val="20"/>
                <w:color w:val="auto"/>
              </w:rPr>
            </w:pPr>
            <w:r>
              <w:rPr>
                <w:rFonts w:ascii="Arial" w:cs="Arial" w:eastAsia="Arial" w:hAnsi="Arial"/>
                <w:sz w:val="18"/>
                <w:szCs w:val="18"/>
                <w:color w:val="auto"/>
              </w:rPr>
              <w:t>Proceeds from the exercise of stock options</w:t>
            </w: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6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note payable</w:t>
            </w: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367,285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4"/>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11,277,329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5,151,702</w:t>
            </w:r>
          </w:p>
        </w:tc>
      </w:tr>
      <w:tr>
        <w:trPr>
          <w:trHeight w:val="256"/>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(10,854)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(296)</w:t>
            </w:r>
          </w:p>
        </w:tc>
      </w:tr>
      <w:tr>
        <w:trPr>
          <w:trHeight w:val="25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566,765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(1,175,320)</w:t>
            </w:r>
          </w:p>
        </w:tc>
      </w:tr>
      <w:tr>
        <w:trPr>
          <w:trHeight w:val="26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4,780,107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6,805,889</w:t>
            </w:r>
          </w:p>
        </w:tc>
      </w:tr>
      <w:tr>
        <w:trPr>
          <w:trHeight w:val="244"/>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5,346,872</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5,630,569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operating and financing activities: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0"/>
        </w:trPr>
        <w:tc>
          <w:tcPr>
            <w:tcW w:w="8220" w:type="dxa"/>
            <w:vAlign w:val="bottom"/>
          </w:tcPr>
          <w:p>
            <w:pPr>
              <w:ind w:left="220"/>
              <w:spacing w:after="0"/>
              <w:rPr>
                <w:sz w:val="20"/>
                <w:szCs w:val="20"/>
                <w:color w:val="auto"/>
              </w:rPr>
            </w:pPr>
            <w:r>
              <w:rPr>
                <w:rFonts w:ascii="Arial" w:cs="Arial" w:eastAsia="Arial" w:hAnsi="Arial"/>
                <w:sz w:val="18"/>
                <w:szCs w:val="18"/>
                <w:color w:val="auto"/>
              </w:rPr>
              <w:t>Operating right-of-use assets obtained in exchange for new operating lease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231,698</w:t>
            </w:r>
          </w:p>
        </w:tc>
      </w:tr>
      <w:tr>
        <w:trPr>
          <w:trHeight w:val="263"/>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Deemed dividend from trigger of down round provision feature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789,594</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THE BUSINESS</w:t>
      </w:r>
    </w:p>
    <w:p>
      <w:pPr>
        <w:spacing w:after="0" w:line="22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Daré Bioscience, Inc. is a clinical-stage biopharmaceutical company committed to the acceleration of innovative products for women’s health. Daré Bioscience, Inc. and its wholly owned subsidiaries operate in one segment. In this report, the “Company” refers collectively to Daré Bioscience, Inc. and its wholly owned subsidiaries, unless otherwise stated or the context otherwise requires.</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is driven by a mission to identify, acquire and develop a diverse portfolio of differentiated therapies that expand treatment options, improve outcomes and facilitate convenience for women, primarily in the areas of contraception, fertility, and sexual and vaginal health. The Company's business strategy is to in-license or otherwise acquire the rights to differentiated product candidates in the Company's areas of focus, some of which have existing clinical proof-of-concept data, and to take those candidates through advanced stages of clinical development, and then out-license the products to companies with sales and distribution capabilities in women's health to leverage their commercial capabilities.</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Since July 2017, the Company has assembled a portfolio of clinical-stage and pre-clinical-stage candidates. While the Company will continue to assess opportunities to expand its portfolio, its current focus is on advancing its existing product candidates through mid- and late-stages of clinical development or approval. The Company's global commercialization and development strategy involves partnering with pharmaceutical companies and regional distributors with established marketing and sales capabilities in women's health, including through co-development and promotion agreements, once the Company has advanced a candidate through mid- to late-stage clinical development.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portfolio includes three product candidates in advanced clinical development:</w:t>
      </w:r>
    </w:p>
    <w:p>
      <w:pPr>
        <w:spacing w:after="0" w:line="163" w:lineRule="exact"/>
        <w:rPr>
          <w:sz w:val="20"/>
          <w:szCs w:val="20"/>
          <w:color w:val="auto"/>
        </w:rPr>
      </w:pPr>
    </w:p>
    <w:p>
      <w:pPr>
        <w:ind w:left="1300" w:hanging="320"/>
        <w:spacing w:after="0" w:line="287"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DARE-BV1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novel thermosetting bioadhesive hydrogel formulated with clindamycin phosphate 2% to be administered in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vaginally delivered application, as a first line treatment for bacterial vaginosis;</w:t>
      </w:r>
    </w:p>
    <w:p>
      <w:pPr>
        <w:spacing w:after="0" w:line="112"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Ovaprene®</w:t>
      </w:r>
      <w:r>
        <w:rPr>
          <w:rFonts w:ascii="Arial" w:cs="Arial" w:eastAsia="Arial" w:hAnsi="Arial"/>
          <w:sz w:val="18"/>
          <w:szCs w:val="18"/>
          <w:color w:val="auto"/>
        </w:rPr>
        <w:t>, a hormone-free, monthly vaginal contraceptive; and</w:t>
      </w:r>
    </w:p>
    <w:p>
      <w:pPr>
        <w:spacing w:after="0" w:line="198"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Sildenafil Cream, 3.6%</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proprietary cream formulation of sildenafil for topical administration to the vulva and vagina for</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female sexual arousal disorder.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portfolio also includes three product candidates in Phase 1 clinical development or that the Company believes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Phase 1-ready:</w:t>
      </w:r>
    </w:p>
    <w:p>
      <w:pPr>
        <w:spacing w:after="0" w:line="163" w:lineRule="exact"/>
        <w:rPr>
          <w:sz w:val="20"/>
          <w:szCs w:val="20"/>
          <w:color w:val="auto"/>
        </w:rPr>
      </w:pPr>
    </w:p>
    <w:p>
      <w:pPr>
        <w:ind w:left="1300" w:right="20" w:hanging="320"/>
        <w:spacing w:after="0" w:line="28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DARE-HRT1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combination bio-identical estradiol and progesterone intravaginal ring for the treatment of menopausal</w:t>
      </w:r>
      <w:r>
        <w:rPr>
          <w:rFonts w:ascii="Arial" w:cs="Arial" w:eastAsia="Arial" w:hAnsi="Arial"/>
          <w:sz w:val="18"/>
          <w:szCs w:val="18"/>
          <w:b w:val="1"/>
          <w:bCs w:val="1"/>
          <w:color w:val="auto"/>
        </w:rPr>
        <w:t xml:space="preserve"> </w:t>
      </w:r>
      <w:r>
        <w:rPr>
          <w:rFonts w:ascii="Arial" w:cs="Arial" w:eastAsia="Arial" w:hAnsi="Arial"/>
          <w:sz w:val="18"/>
          <w:szCs w:val="18"/>
          <w:color w:val="auto"/>
        </w:rPr>
        <w:t>symptoms, including vasomotor symptoms, as part of a hormone replacement therapy, or HRT, following menopause;</w:t>
      </w:r>
    </w:p>
    <w:p>
      <w:pPr>
        <w:spacing w:after="0" w:line="125"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DARE-FRT1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 intravaginal ring containing bio-identical progesterone for the prevention of preterm birth and for fertility</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as part of an in vitro fertilization treatment plan; and</w:t>
      </w:r>
    </w:p>
    <w:p>
      <w:pPr>
        <w:spacing w:after="0" w:line="112" w:lineRule="exact"/>
        <w:rPr>
          <w:rFonts w:ascii="Arial" w:cs="Arial" w:eastAsia="Arial" w:hAnsi="Arial"/>
          <w:sz w:val="18"/>
          <w:szCs w:val="18"/>
          <w:color w:val="auto"/>
        </w:rPr>
      </w:pPr>
    </w:p>
    <w:p>
      <w:pPr>
        <w:ind w:left="1300" w:right="20" w:hanging="320"/>
        <w:spacing w:after="0" w:line="28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DARE-VVA1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vaginally delivered formulation of tamoxifen to treat vulvar vaginal atrophy,</w:t>
      </w:r>
      <w:r>
        <w:rPr>
          <w:rFonts w:ascii="Arial" w:cs="Arial" w:eastAsia="Arial" w:hAnsi="Arial"/>
          <w:sz w:val="18"/>
          <w:szCs w:val="18"/>
          <w:b w:val="1"/>
          <w:bCs w:val="1"/>
          <w:color w:val="auto"/>
        </w:rPr>
        <w:t xml:space="preserve"> </w:t>
      </w:r>
      <w:r>
        <w:rPr>
          <w:rFonts w:ascii="Arial" w:cs="Arial" w:eastAsia="Arial" w:hAnsi="Arial"/>
          <w:sz w:val="18"/>
          <w:szCs w:val="18"/>
          <w:color w:val="auto"/>
        </w:rPr>
        <w:t>or VVA,</w:t>
      </w:r>
      <w:r>
        <w:rPr>
          <w:rFonts w:ascii="Arial" w:cs="Arial" w:eastAsia="Arial" w:hAnsi="Arial"/>
          <w:sz w:val="18"/>
          <w:szCs w:val="18"/>
          <w:b w:val="1"/>
          <w:bCs w:val="1"/>
          <w:color w:val="auto"/>
        </w:rPr>
        <w:t xml:space="preserve"> </w:t>
      </w:r>
      <w:r>
        <w:rPr>
          <w:rFonts w:ascii="Arial" w:cs="Arial" w:eastAsia="Arial" w:hAnsi="Arial"/>
          <w:sz w:val="18"/>
          <w:szCs w:val="18"/>
          <w:color w:val="auto"/>
        </w:rPr>
        <w:t>in patients with hormone-receptor positive breast cancer.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portfolio also includes these pre-clinical stage product candidates:</w:t>
      </w:r>
    </w:p>
    <w:p>
      <w:pPr>
        <w:spacing w:after="0" w:line="176" w:lineRule="exact"/>
        <w:rPr>
          <w:sz w:val="20"/>
          <w:szCs w:val="20"/>
          <w:color w:val="auto"/>
        </w:rPr>
      </w:pPr>
    </w:p>
    <w:p>
      <w:pPr>
        <w:ind w:left="1300" w:hanging="320"/>
        <w:spacing w:after="0" w:line="28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DARE-LARC1</w:t>
      </w:r>
      <w:r>
        <w:rPr>
          <w:rFonts w:ascii="Arial" w:cs="Arial" w:eastAsia="Arial" w:hAnsi="Arial"/>
          <w:sz w:val="18"/>
          <w:szCs w:val="18"/>
          <w:color w:val="auto"/>
        </w:rPr>
        <w:t>, a combination product designed to provide long-acting, reversible contraception comprising an implantable,</w:t>
      </w:r>
      <w:r>
        <w:rPr>
          <w:rFonts w:ascii="Arial" w:cs="Arial" w:eastAsia="Arial" w:hAnsi="Arial"/>
          <w:sz w:val="18"/>
          <w:szCs w:val="18"/>
          <w:b w:val="1"/>
          <w:bCs w:val="1"/>
          <w:color w:val="auto"/>
        </w:rPr>
        <w:t xml:space="preserve"> </w:t>
      </w:r>
      <w:r>
        <w:rPr>
          <w:rFonts w:ascii="Arial" w:cs="Arial" w:eastAsia="Arial" w:hAnsi="Arial"/>
          <w:sz w:val="18"/>
          <w:szCs w:val="18"/>
          <w:color w:val="auto"/>
        </w:rPr>
        <w:t>user-controlled wireless drug delivery system and levonorgestrel;</w:t>
      </w:r>
    </w:p>
    <w:p>
      <w:pPr>
        <w:spacing w:after="0" w:line="112" w:lineRule="exact"/>
        <w:rPr>
          <w:rFonts w:ascii="Arial" w:cs="Arial" w:eastAsia="Arial" w:hAnsi="Arial"/>
          <w:sz w:val="18"/>
          <w:szCs w:val="18"/>
          <w:color w:val="auto"/>
        </w:rPr>
      </w:pPr>
    </w:p>
    <w:p>
      <w:pPr>
        <w:ind w:left="1300" w:right="20" w:hanging="320"/>
        <w:spacing w:after="0" w:line="28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ORB-204 and ORB-214</w:t>
      </w:r>
      <w:r>
        <w:rPr>
          <w:rFonts w:ascii="Arial" w:cs="Arial" w:eastAsia="Arial" w:hAnsi="Arial"/>
          <w:sz w:val="18"/>
          <w:szCs w:val="18"/>
          <w:color w:val="auto"/>
        </w:rPr>
        <w:t>, injectable formulations of etonogestrel designed to provide contraception over 6-month and 12-month periods, respectively; 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p>
      <w:pPr>
        <w:ind w:left="1300" w:hanging="320"/>
        <w:spacing w:after="0" w:line="28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DARE-RH1</w:t>
      </w:r>
      <w:r>
        <w:rPr>
          <w:rFonts w:ascii="Arial" w:cs="Arial" w:eastAsia="Arial" w:hAnsi="Arial"/>
          <w:sz w:val="18"/>
          <w:szCs w:val="18"/>
          <w:color w:val="auto"/>
        </w:rPr>
        <w:t>, a novel approach to non-hormonal contraception for both men and women by targeting the CatSper ion</w:t>
      </w:r>
      <w:r>
        <w:rPr>
          <w:rFonts w:ascii="Arial" w:cs="Arial" w:eastAsia="Arial" w:hAnsi="Arial"/>
          <w:sz w:val="18"/>
          <w:szCs w:val="18"/>
          <w:b w:val="1"/>
          <w:bCs w:val="1"/>
          <w:color w:val="auto"/>
        </w:rPr>
        <w:t xml:space="preserve"> </w:t>
      </w:r>
      <w:r>
        <w:rPr>
          <w:rFonts w:ascii="Arial" w:cs="Arial" w:eastAsia="Arial" w:hAnsi="Arial"/>
          <w:sz w:val="18"/>
          <w:szCs w:val="18"/>
          <w:color w:val="auto"/>
        </w:rPr>
        <w:t>channel.</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primary operations have consisted of, and are expected to continue to consist of, product research and development and advancing its portfolio of product candidates through clinical development and regulatory approval. The Company expects that the majority of its development expenses in 2020 and 2021 will support the advancement of DARE-BV1, Ovaprene, and Sildenafil Cream, 3.6%.</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the Company has not obtained any regulatory approvals for any of its product candidates, commercialized any of its product candidates or generated any product revenue. The Company is subject to several risks common to clinical-stage biopharmaceutical companies, including dependence on key individuals, competition from other companies, the need to develop commercially viable products in a timely and cost-effective manner, and the need to obtain adequate additional capital to fund the development of product candidates. The Company is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dependence on third parties, and product liability.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has prepared its interim consolidated financial statements on a going concern basis, which assumes that the Company will realize its assets and satisfy its liabilities in the normal course of business. The Company has a history of losses from operations, expects negative cash flows from its operations will continue for the foreseeable future, and expects that its net losses will continue for at least the next several years as it develops its existing product candidates and seeks to acquire, license or develop additional product candidates. These circumstances raise substantial doubt about the Company's ability to continue as a going concern. The accompanying consolidated financial statements do not include any adjustments to reflect the possible future effects on the recoverability and classification of assets or the amounts and classifications of liabilities that may result from the outcome of the uncertainty of the Company's ability to continue as a going concern.</w:t>
      </w:r>
    </w:p>
    <w:p>
      <w:pPr>
        <w:spacing w:after="0" w:line="1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June 30, 2020, the Company had an accumulated deficit of approximately $55.4 million and cash and cash equivalents of approximately $ 5.3 million. The Company also had negative cash flow from operations of approximately $10.7 million during the six months ended June 30, 2020.</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is focused primarily on the development and commercialization of innovative products in women’s health. The Company will continue to incur significant research and development and other expenses related to these activities. If the clinical trials for any of the Company’s product candidates fail to produce successful results such that those product candidates do not advance in clinical development, then the Company’s business and prospects may suffer. Even if the product candidates advance in clinical development, they may fail to gain regulatory approval. Even if the product candidates are approved, they may fail to achieve market acceptance, and the Company may never become profitable. Even if the Company becomes profitable, it may not sustain profitability.</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Based on the Company's current operating plan estimates, the Company does not have sufficient cash to satisfy its working capital needs and other liquidity requirements over at least the next 12 months from the date of issuance of the accompanying consolidated financial statements. The Company needs to raise substantial additional capital to continue to fund its operations and to successfully execute its current operating plan, including to continue the planned development of DARE-BV1, Ovaprene, and Sildenafil Cream, 3.6%.</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 w:name="page12"/>
    <w:bookmarkEnd w:id="11"/>
    <w:p>
      <w:pPr>
        <w:jc w:val="both"/>
        <w:ind w:firstLine="648"/>
        <w:spacing w:after="0" w:line="251" w:lineRule="auto"/>
        <w:rPr>
          <w:sz w:val="20"/>
          <w:szCs w:val="20"/>
          <w:color w:val="auto"/>
        </w:rPr>
      </w:pPr>
      <w:r>
        <w:rPr>
          <w:rFonts w:ascii="Arial" w:cs="Arial" w:eastAsia="Arial" w:hAnsi="Arial"/>
          <w:sz w:val="18"/>
          <w:szCs w:val="18"/>
          <w:color w:val="auto"/>
        </w:rPr>
        <w:t>The Company is currently evaluating a variety of capital raising options, including equity and debt financings, government or other grant funding, collaborations and strategic alliances or other similar types of arrangements to cover its operating expenses, including the development of its product candidates and any future product candidates it may license or otherwise acquire. The amount and timing of the Company's capital needs have been and will continue to depend highly on many factors, including the product development programs the Company chooses to pursue and the pace and results of its clinical development efforts. If the Company raises capital through collaborations, strategic alliances or other similar types of arrangements, it may have to relinquish, on terms that are not favorable to the Company, rights to some of its technologies or product candidates it would otherwise seek to develop or commercialize. There can be no assurances that capital will be available when needed or that, if available, it will be obtained on terms favorable to the Company and its stockholders. Additionally, equity or debt financings may have a dilutive effect on the holdings of the Company's existing stockholders.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consolidated financial statements, and stockholders may lose all or part of their investment in the Company's common stock. The consolidated financial statements do not include any adjustments that might result from the outcome of this uncertainty.</w:t>
      </w:r>
    </w:p>
    <w:p>
      <w:pPr>
        <w:spacing w:after="0" w:line="18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effect of the COVID-19 pandemic and efforts to reduce its spread remain a rapidly evolving and uncertain risk to the Company's business, operating results, financial condition and stock price. In large part, the extent to which COVID-19 affects the Company will depend on future developments that are beyond its knowledge or control, including, but not limited to, the duration and severity of the pandemic, governmental and individual organization actions and policies implemented to reduce transmission of the disease or facilitate development of or access to therapies to treat or vaccinations to protect against the disease, governmental actions and policies to assist economic recovery, and the speed with which and degree to which normal economic and operating conditions resume. The pandemic may increase the anticipated aggregate costs for the development of the Company's product candidates and may adversely impact the anticipated timelines for the development of the Company's product candidates by, among other things, causing disruptions in the supply chain for clinical supplies, delays in the timing and pace of subject enrollment in clinical trials and lower than anticipated subject enrollment and completion rates, delays in the review and approval of the Company's regulatory submissions by regulatory agencies with respect to the Company's product candidates, and other unforeseen disruptions. The economic impact of the COVID-19 pandemic and the uncertainty and volatility in the capital markets it has caused and may continue to cause may negatively impact investor sentiment and the availability and cost of capital, and may adversely impact the Company's ability to raise capital when needed or on terms favorable to the Company and its stockholders to fund its development programs and operations. The Company does not yet know the full extent of potential delays or impacts on its business, clinical trial activities, ability to access capital or on healthcare systems or the global economy as a whole. However, these effects could have a material adverse impact on the Company's business and financial condition.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December 31, 2019, filed with the Securities and Exchange Commission, or SEC on March 27, 2020. Since the date of those consolidated financial statements, there have been no material changes to the Company’s significant accounting policies, except for the accounting policies related to revenue recognition as described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interim consolidated financial statements have been prepared in accordance with accounting principles generally accepted in the United States, or GAAP, as defined by the Financial Accounting Standards Board, or FASB, for interim financial information and the instructions to Form 10-Q and Article 8 of Regulation S-X. Accordingly, they do not include all of the information and footnotes required by GAAP for complete financial statements. In management’s opinion, the accompanying interim consolidated financial statements reflect all adjustments, consisting of normal recurring adjustments, considered necessary for a fair presentation of the results of the interim periods presented.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2" w:name="page13"/>
    <w:bookmarkEnd w:id="12"/>
    <w:p>
      <w:pPr>
        <w:jc w:val="both"/>
        <w:ind w:firstLine="648"/>
        <w:spacing w:after="0" w:line="256" w:lineRule="auto"/>
        <w:rPr>
          <w:sz w:val="20"/>
          <w:szCs w:val="20"/>
          <w:color w:val="auto"/>
        </w:rPr>
      </w:pPr>
      <w:r>
        <w:rPr>
          <w:rFonts w:ascii="Arial" w:cs="Arial" w:eastAsia="Arial" w:hAnsi="Arial"/>
          <w:sz w:val="18"/>
          <w:szCs w:val="18"/>
          <w:color w:val="auto"/>
        </w:rPr>
        <w:t>Interim financial results are not necessarily indicative of results anticipated for any other interim period or for the full year. The accompanying interim consolidated financial statements should be read in conjunction with the audited financial statements and notes thereto included in the Company’s Annual Report on Form 10-K for the year ended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determines if an arrangement is a lease at inception. Operating leases are included in right-of-use, or ROU, lease assets, current portion of lease obligations, and long-term lease obligations on the Company's consolidated balance sheets.</w:t>
      </w:r>
    </w:p>
    <w:p>
      <w:pPr>
        <w:spacing w:after="0" w:line="13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ROU lease assets represent the Company's right to use an underlying asset for the lease term and lease obligations represent the Company's obligation to make lease payments arising from the lease. Operating ROU lease assets and obligations are recognized at the commencement date based on the present value of lease payments over the lease term. If the lease does not provide an implicit rate, the Company uses its incremental borrowing rate based on the information available at the commencement date in determining the present value of lease payments. The ROU lease asset also includes any lease payments made and excludes lease incentives. The Company's lease terms may include options to extend or terminate the lease and the related payments are only included in the lease liability when it is reasonably certain that the Company will exercise that option. Lease expense for lease payments is recognized on a straight-line basis over the lease term. (See Note 7, Leased Properties.)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9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w:t>
      </w:r>
    </w:p>
    <w:p>
      <w:pPr>
        <w:spacing w:after="0" w:line="117" w:lineRule="exact"/>
        <w:rPr>
          <w:rFonts w:ascii="Arial" w:cs="Arial" w:eastAsia="Arial" w:hAnsi="Arial"/>
          <w:sz w:val="18"/>
          <w:szCs w:val="18"/>
          <w:color w:val="auto"/>
        </w:rPr>
      </w:pPr>
    </w:p>
    <w:p>
      <w:pPr>
        <w:jc w:val="both"/>
        <w:ind w:left="1300" w:hanging="644"/>
        <w:spacing w:after="0" w:line="254"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95" w:lineRule="exact"/>
        <w:rPr>
          <w:rFonts w:ascii="Arial" w:cs="Arial" w:eastAsia="Arial" w:hAnsi="Arial"/>
          <w:sz w:val="18"/>
          <w:szCs w:val="18"/>
          <w:color w:val="auto"/>
        </w:rPr>
      </w:pPr>
    </w:p>
    <w:p>
      <w:pPr>
        <w:ind w:left="1300" w:right="20" w:hanging="644"/>
        <w:spacing w:after="0" w:line="261"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3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191C1F"/>
        </w:rPr>
        <w:t>following tables present the classification within the fair value hierarchy of financial assets and liabilities that are remeasured on</w:t>
      </w:r>
      <w:r>
        <w:rPr>
          <w:rFonts w:ascii="Arial" w:cs="Arial" w:eastAsia="Arial" w:hAnsi="Arial"/>
          <w:sz w:val="18"/>
          <w:szCs w:val="18"/>
          <w:color w:val="auto"/>
        </w:rPr>
        <w:t xml:space="preserve"> </w:t>
      </w:r>
      <w:r>
        <w:rPr>
          <w:rFonts w:ascii="Arial" w:cs="Arial" w:eastAsia="Arial" w:hAnsi="Arial"/>
          <w:sz w:val="18"/>
          <w:szCs w:val="18"/>
          <w:color w:val="191C1F"/>
        </w:rPr>
        <w:t>a recurring basis as of June 30, 2020 and December 31, 2019. There were no financial assets or liabilities that were remeasured using a quoted price in active markets for identical assets (Level 2) as of June 30, 2020.</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Fair Value Measurements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8"/>
                <w:szCs w:val="18"/>
                <w:color w:val="auto"/>
              </w:rPr>
            </w:pPr>
          </w:p>
        </w:tc>
        <w:tc>
          <w:tcPr>
            <w:tcW w:w="23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1"/>
                <w:szCs w:val="21"/>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2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340" w:type="dxa"/>
            <w:vAlign w:val="bottom"/>
          </w:tcPr>
          <w:p>
            <w:pPr>
              <w:spacing w:after="0"/>
              <w:rPr>
                <w:sz w:val="24"/>
                <w:szCs w:val="24"/>
                <w:color w:val="auto"/>
              </w:rPr>
            </w:pPr>
          </w:p>
        </w:tc>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5,346,872</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5,346,872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Other non-current 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40" w:type="dxa"/>
            <w:vAlign w:val="bottom"/>
          </w:tcPr>
          <w:p>
            <w:pPr>
              <w:spacing w:after="0"/>
              <w:rPr>
                <w:sz w:val="17"/>
                <w:szCs w:val="17"/>
                <w:color w:val="auto"/>
              </w:rPr>
            </w:pPr>
          </w:p>
        </w:tc>
        <w:tc>
          <w:tcPr>
            <w:tcW w:w="3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340" w:type="dxa"/>
            <w:vAlign w:val="bottom"/>
          </w:tcPr>
          <w:p>
            <w:pPr>
              <w:spacing w:after="0"/>
              <w:rPr>
                <w:sz w:val="24"/>
                <w:szCs w:val="24"/>
                <w:color w:val="auto"/>
              </w:rPr>
            </w:pPr>
          </w:p>
        </w:tc>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1,000,000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at December 31, 2019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40" w:type="dxa"/>
            <w:vAlign w:val="bottom"/>
          </w:tcPr>
          <w:p>
            <w:pPr>
              <w:spacing w:after="0"/>
              <w:rPr>
                <w:sz w:val="17"/>
                <w:szCs w:val="17"/>
                <w:color w:val="auto"/>
              </w:rPr>
            </w:pPr>
          </w:p>
        </w:tc>
        <w:tc>
          <w:tcPr>
            <w:tcW w:w="3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340" w:type="dxa"/>
            <w:vAlign w:val="bottom"/>
          </w:tcPr>
          <w:p>
            <w:pPr>
              <w:spacing w:after="0"/>
              <w:rPr>
                <w:sz w:val="22"/>
                <w:szCs w:val="22"/>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2"/>
                <w:szCs w:val="22"/>
                <w:color w:val="auto"/>
              </w:rPr>
            </w:pPr>
          </w:p>
        </w:tc>
        <w:tc>
          <w:tcPr>
            <w:tcW w:w="31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4,780,107</w:t>
            </w:r>
          </w:p>
        </w:tc>
        <w:tc>
          <w:tcPr>
            <w:tcW w:w="2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4,780,107</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340" w:type="dxa"/>
            <w:vAlign w:val="bottom"/>
          </w:tcPr>
          <w:p>
            <w:pPr>
              <w:spacing w:after="0"/>
              <w:rPr>
                <w:sz w:val="22"/>
                <w:szCs w:val="22"/>
                <w:color w:val="auto"/>
              </w:rPr>
            </w:pPr>
          </w:p>
        </w:tc>
        <w:tc>
          <w:tcPr>
            <w:tcW w:w="314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1,000,000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13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The Company recognizes revenue is accordance with Accounting Standards Codification, or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which applies to all contracts with customers, except for contracts that are within the scope of other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leases, insurance, collaboration arrangements and financial instruments.</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recognizes revenue when it transfers promised goods or services to customers in an amount that reflects the consideration to which it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At contract inception, the Company assesses the goods or services agreed upon within each contract and assess whether each good or service is distinct and determine those that are performance obligations. The Company then recognizes as revenue the amount of the transaction price that is allocated to the respective performance obligation when (or as) the performance obligation is satisfied.</w:t>
      </w:r>
    </w:p>
    <w:p>
      <w:pPr>
        <w:spacing w:after="0" w:line="13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 contract with multiple performance obligations, 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If the license to the Company’s intellectual property is determined to be distinct from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in a contract,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To date, the Company has not recognized any license fee revenue resulting from any of its collaborative arrangements.</w:t>
      </w:r>
    </w:p>
    <w:p>
      <w:pPr>
        <w:spacing w:after="0" w:line="10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For arrangements that include sales-based royalties, including milestone payments based on the level of sales, and for</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collaborative arrangements.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Bayer License. </w:t>
      </w:r>
      <w:r>
        <w:rPr>
          <w:rFonts w:ascii="Arial" w:cs="Arial" w:eastAsia="Arial" w:hAnsi="Arial"/>
          <w:sz w:val="18"/>
          <w:szCs w:val="18"/>
          <w:color w:val="auto"/>
        </w:rPr>
        <w:t>In January 2020, the Company entered into a license agreement with Bayer HealthCare LLC, or Bayer,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development and commercialization of Ovaprene in the U.S. Upon execution of the agreement, the Company received a $1.0 million upfront non-refundable license fee payment from Bayer. Bayer, in its sole discretion, has the right to make the license effective by paying the Company an additional $20.0 million. The Company concluded that there was one significant performance obligation related to the $1.0 million upfront payment: a distinct license to commercialize Ovaprene effective upon the receipt of the $20.0 million fee. The $1.0 million upfront payment will be recorded as license revenue at the earlier of (1) the point in time the Company receives the $20.0 million fee, the license is transferred to Bayer and Bayer is able to use and benefit from the license and (2) the termination of the agreement. As of June 30, 2020, neither of the foregoing had occurred. The $1.0 million payment is recorded as deferred revenue in the Company's consolidated balance sheet at June 30, 2020.</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will also be entitled to receive (a) milestone payments totaling up to $310.0 million related to the commercial sales of Ovaprene, if all such milestones are achieved, (b) tiered royalties starting in the low double digits based on annual net sales of Ovaprene during a calendar year, subject to customary royalty reductions and offsets, and (c) a percentage of sublicense revenue.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4" w:name="page15"/>
    <w:bookmarkEnd w:id="14"/>
    <w:p>
      <w:pPr>
        <w:jc w:val="both"/>
        <w:ind w:firstLine="648"/>
        <w:spacing w:after="0" w:line="256" w:lineRule="auto"/>
        <w:rPr>
          <w:sz w:val="20"/>
          <w:szCs w:val="20"/>
          <w:color w:val="auto"/>
        </w:rPr>
      </w:pPr>
      <w:r>
        <w:rPr>
          <w:rFonts w:ascii="Arial" w:cs="Arial" w:eastAsia="Arial" w:hAnsi="Arial"/>
          <w:sz w:val="18"/>
          <w:szCs w:val="18"/>
          <w:color w:val="auto"/>
        </w:rPr>
        <w:t>Potential future payments for variable consideration, such as commercial milestones, will be recognized when it is probable that, if recorded, a significant reversal will not take place. Potential future royalty payments will be recorded as revenue when the associated sales occur. (See Note 3, License and Collaboration Agreements.)</w:t>
      </w:r>
    </w:p>
    <w:p>
      <w:pPr>
        <w:spacing w:after="0" w:line="288" w:lineRule="exact"/>
        <w:rPr>
          <w:sz w:val="20"/>
          <w:szCs w:val="20"/>
          <w:color w:val="auto"/>
        </w:rPr>
      </w:pPr>
    </w:p>
    <w:p>
      <w:pPr>
        <w:ind w:right="6820" w:firstLine="8"/>
        <w:spacing w:after="0" w:line="540" w:lineRule="auto"/>
        <w:tabs>
          <w:tab w:leader="none" w:pos="25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COLLABORATION AGREEMENTS Out-License Agreements</w:t>
      </w:r>
    </w:p>
    <w:p>
      <w:pPr>
        <w:ind w:left="660"/>
        <w:spacing w:after="0"/>
        <w:rPr>
          <w:sz w:val="20"/>
          <w:szCs w:val="20"/>
          <w:color w:val="auto"/>
        </w:rPr>
      </w:pPr>
      <w:r>
        <w:rPr>
          <w:rFonts w:ascii="Arial" w:cs="Arial" w:eastAsia="Arial" w:hAnsi="Arial"/>
          <w:sz w:val="18"/>
          <w:szCs w:val="18"/>
          <w:b w:val="1"/>
          <w:bCs w:val="1"/>
          <w:i w:val="1"/>
          <w:iCs w:val="1"/>
          <w:color w:val="auto"/>
        </w:rPr>
        <w:t>Bayer HealthCare License Agreement</w:t>
      </w:r>
    </w:p>
    <w:p>
      <w:pPr>
        <w:spacing w:after="0" w:line="2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January 10, 2020, the Company entered into a license agreement with Bayer HealthCare LLC, or Bayer, regarding the further development and commercialization of Ovaprene in the U.S. Under the agreement, the Company received a $1.0 million upfront non-refundable license fee payment from Bayer. If Bayer pays an additional $20.0 million to the Company after Bayer receives and reviews the results of the pivotal clinical trial of Ovaprene, which payment Bayer may elect to make in its sole discretion, the license grant to Bayer to develop and commercialize Ovaprene for human contraception in the U.S. becomes effective.</w:t>
      </w:r>
    </w:p>
    <w:p>
      <w:pPr>
        <w:spacing w:after="0" w:line="14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Milestone &amp; Royalty Payments</w:t>
      </w:r>
      <w:r>
        <w:rPr>
          <w:rFonts w:ascii="Arial" w:cs="Arial" w:eastAsia="Arial" w:hAnsi="Arial"/>
          <w:sz w:val="18"/>
          <w:szCs w:val="18"/>
          <w:color w:val="auto"/>
        </w:rPr>
        <w:t>. The Company would also be entitled to receive (a) a milestone payment in the low double-digit</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 upon the first commercial sale of 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spacing w:after="0" w:line="1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will be responsible for the pivotal trial for Ovaprene and for its development and regulatory activities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supply obligations. Bayer will support the Company in development and regulatory activities by providing up to two full-time equivalents with expertise in clinical, regulatory, preclinical, commercial, CMC and product supply matters in an advisory capacity. After payment of the $20.0 million fee, Bayer will be responsible for the commercialization of Ovaprene for human contraception in the U.S.</w:t>
      </w:r>
    </w:p>
    <w:p>
      <w:pPr>
        <w:spacing w:after="0" w:line="1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initial term of the agreement, which is subject to automatic renewal terms, continues until the later of (a) the expiration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any valid claim covering the manufacture, use, sale or import of Ovaprene in the U.S.; or (b) 15 years from the first commercial sale of Ovaprene in the U.S. In addition to customary termination rights for both parties, Bayer may terminate the agreement at any time on 90 days' notice and the agreement will automatically terminate if the Company does not receive the $20.0 million fee if and when due.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In-License Agreements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Hammock/MilanaPharm Assignment and License Agreement</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December 2018, the Company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to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DARE-BV1, this proprietary technology is formulated with clindamycin, an antibiotic with FDA approval to treat certain bacterial infections, including bacterial vaginosis. In December 2019, the Company entered into amendments to each of the License Amendment and Assignment Agreement.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License Amendment, as amended:</w:t>
      </w:r>
    </w:p>
    <w:p>
      <w:pPr>
        <w:spacing w:after="0" w:line="9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The Company paid MilanaPharm: (1) $25,000 in connection with the execution of the License Amendment; (2)</w:t>
      </w:r>
      <w:r>
        <w:rPr>
          <w:rFonts w:ascii="Arial" w:cs="Arial" w:eastAsia="Arial" w:hAnsi="Arial"/>
          <w:sz w:val="18"/>
          <w:szCs w:val="18"/>
          <w:i w:val="1"/>
          <w:iCs w:val="1"/>
          <w:color w:val="auto"/>
        </w:rPr>
        <w:t xml:space="preserve"> </w:t>
      </w:r>
      <w:r>
        <w:rPr>
          <w:rFonts w:ascii="Arial" w:cs="Arial" w:eastAsia="Arial" w:hAnsi="Arial"/>
          <w:sz w:val="18"/>
          <w:szCs w:val="18"/>
          <w:color w:val="auto"/>
        </w:rPr>
        <w:t>$100,000 on December 5, 2019; and (3) $110,000 on January 31, 2020.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5" w:name="page16"/>
    <w:bookmarkEnd w:id="15"/>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will pay to MilanaPharm (1) up to $300,000 in the aggregate upon achievement of certain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regulatory development milestones, $50,000 of which was paid during the second quarter of 2020, and (2) up to $1.75 million in the aggregate upon achieving certain commercial sales milestones.</w:t>
      </w:r>
    </w:p>
    <w:p>
      <w:pPr>
        <w:spacing w:after="0" w:line="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Foreign Sublicense Income. </w:t>
      </w:r>
      <w:r>
        <w:rPr>
          <w:rFonts w:ascii="Arial" w:cs="Arial" w:eastAsia="Arial" w:hAnsi="Arial"/>
          <w:sz w:val="18"/>
          <w:szCs w:val="18"/>
          <w:color w:val="auto"/>
        </w:rPr>
        <w:t>The Company will pay MilanaPharm a low double-digit percentage of all income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its affiliates in connection with any sublicense granted to a third party for use outside of the United States, subject to certain exclusions.</w:t>
      </w:r>
    </w:p>
    <w:p>
      <w:pPr>
        <w:spacing w:after="0" w:line="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After the commercial launch of licensed products and processes and during the royalty term, the Company will</w:t>
      </w:r>
      <w:r>
        <w:rPr>
          <w:rFonts w:ascii="Arial" w:cs="Arial" w:eastAsia="Arial" w:hAnsi="Arial"/>
          <w:sz w:val="18"/>
          <w:szCs w:val="18"/>
          <w:i w:val="1"/>
          <w:iCs w:val="1"/>
          <w:color w:val="auto"/>
        </w:rPr>
        <w:t xml:space="preserve"> </w:t>
      </w:r>
      <w:r>
        <w:rPr>
          <w:rFonts w:ascii="Arial" w:cs="Arial" w:eastAsia="Arial" w:hAnsi="Arial"/>
          <w:sz w:val="18"/>
          <w:szCs w:val="18"/>
          <w:color w:val="auto"/>
        </w:rPr>
        <w:t>pay MilanaPharm high single-digit to low double-digit royalties based on annual worldwide net sales of licensed products and processes in accordance with the agreement.</w:t>
      </w:r>
    </w:p>
    <w:p>
      <w:pPr>
        <w:spacing w:after="0" w:line="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must use commercially reasonable efforts and resources to (1) develop and commercialize at least one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product or process in the United States and at least one licensed product or process in Canada, the United Kingdom, France, Germany, Italy or Spain, and (2) continue to commercialize that product or process following the first commercial sale of a licensed product or process in the applicable jurisdiction.</w:t>
      </w:r>
    </w:p>
    <w:p>
      <w:pPr>
        <w:spacing w:after="0" w:line="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earlier terminated, the license term continues until (1) on a licensed product-by-product (or process-by-process basis)</w:t>
      </w:r>
      <w:r>
        <w:rPr>
          <w:rFonts w:ascii="Arial" w:cs="Arial" w:eastAsia="Arial" w:hAnsi="Arial"/>
          <w:sz w:val="18"/>
          <w:szCs w:val="18"/>
          <w:i w:val="1"/>
          <w:iCs w:val="1"/>
          <w:color w:val="auto"/>
        </w:rPr>
        <w:t xml:space="preserve"> </w:t>
      </w:r>
      <w:r>
        <w:rPr>
          <w:rFonts w:ascii="Arial" w:cs="Arial" w:eastAsia="Arial" w:hAnsi="Arial"/>
          <w:sz w:val="18"/>
          <w:szCs w:val="18"/>
          <w:color w:val="auto"/>
        </w:rPr>
        <w:t>and country-by-country basis, the date of expiration of the royalty term with respect to such licensed product (or process)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the Company under the MilanaPharm License Agreement will convert automatically to an exclusive, fully paid-up, royalty-free, perpetual, non-terminable and irrevocable right and license under the licensed intellectual property.</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to customary termination rights in favor of all parties, MilanaPharm may terminate the license solely with respect to a licensed product or process in a country if, after having launched such product or process in such country, the Company or its affiliates or sublicensees, (1) discontinue the sale of such product or process in such country and MilanaPharm notifies the Company of such termination within 60 days of having first been notified by the Company of such discontinuation, or (2)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the Company.</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Assignment Agreement, as amended:</w:t>
      </w:r>
    </w:p>
    <w:p>
      <w:pPr>
        <w:spacing w:after="0" w:line="9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Assignment; Technology Transfer</w:t>
      </w:r>
      <w:r>
        <w:rPr>
          <w:rFonts w:ascii="Arial" w:cs="Arial" w:eastAsia="Arial" w:hAnsi="Arial"/>
          <w:sz w:val="18"/>
          <w:szCs w:val="18"/>
          <w:color w:val="auto"/>
        </w:rPr>
        <w:t>. Hammock assigned and transferred to the Company all of its right, title and interest in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MilanaPharm License Agreement and agreed to cooperate to transfer to the Company all of the data, materials and the licensed technology in its possession pursuant to a technology transfer plan to be agreed upon by the parties, with a goal for the Company to independently practice the licensed intellectual property as soon as commercially practical in order to develop and commercialize the licensed products and processes.</w:t>
      </w:r>
    </w:p>
    <w:p>
      <w:pPr>
        <w:spacing w:after="0" w:line="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Fees</w:t>
      </w:r>
      <w:r>
        <w:rPr>
          <w:rFonts w:ascii="Arial" w:cs="Arial" w:eastAsia="Arial" w:hAnsi="Arial"/>
          <w:sz w:val="18"/>
          <w:szCs w:val="18"/>
          <w:color w:val="auto"/>
        </w:rPr>
        <w:t>. The Company paid Hammock: (1) $250,000 in connection with the execution of the Assignment Agreement; (2) $125,000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5, 2019; and (3) $137,500 on January 31, 2020.</w:t>
      </w:r>
    </w:p>
    <w:p>
      <w:pPr>
        <w:spacing w:after="0" w:line="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will pay Hammock up to $1.1 million in the aggregate upon achievement of certain clinical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development milestones.</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Assignment Agreement will terminate upon the later of (1) completion of the parties' technology transfer plan, and (2)</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to Hammock of the last of the milestone payments.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ADVA-Tec License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March 2017, the Company entered into a license agreement with ADVA-Tec, Inc., under which the Company was granted the exclusive right to develop and commercialize Ovaprene for human contraceptive use worldwide. The Company must use commercially reasonable efforts to develop and commercialize Ovaprene.</w:t>
      </w:r>
    </w:p>
    <w:p>
      <w:pPr>
        <w:spacing w:after="0" w:line="1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will pay to ADVA-Tec: (1) up to $14.6 million in the aggregate based on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development and regulatory milestones; and (2) up to $20.0 million in the aggregate based on the achievement of certain worldwide net sales milestones.</w:t>
      </w:r>
    </w:p>
    <w:p>
      <w:pPr>
        <w:sectPr>
          <w:pgSz w:w="11900" w:h="16838" w:orient="portrait"/>
          <w:cols w:equalWidth="0" w:num="1">
            <w:col w:w="11240"/>
          </w:cols>
          <w:pgMar w:left="320" w:top="998"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16" w:name="page17"/>
    <w:bookmarkEnd w:id="16"/>
    <w:p>
      <w:pPr>
        <w:jc w:val="both"/>
        <w:ind w:firstLine="648"/>
        <w:spacing w:after="0" w:line="266"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After the commercial launch of Ovaprene, the Company will pay to ADVA-Tec royalties based on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net sales of Ovaprene in specified regions, at a royalty rate that will vary between 1% and 10% and will increase based on various net sales thresholds.</w:t>
      </w:r>
    </w:p>
    <w:p>
      <w:pPr>
        <w:spacing w:after="0" w:line="14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Unless earlier terminated, the license continues on a country-by-country basis until the later of the life of the licensed patents</w:t>
      </w:r>
      <w:r>
        <w:rPr>
          <w:rFonts w:ascii="Arial" w:cs="Arial" w:eastAsia="Arial" w:hAnsi="Arial"/>
          <w:sz w:val="18"/>
          <w:szCs w:val="18"/>
          <w:i w:val="1"/>
          <w:iCs w:val="1"/>
          <w:color w:val="auto"/>
        </w:rPr>
        <w:t xml:space="preserve"> </w:t>
      </w:r>
      <w:r>
        <w:rPr>
          <w:rFonts w:ascii="Arial" w:cs="Arial" w:eastAsia="Arial" w:hAnsi="Arial"/>
          <w:sz w:val="18"/>
          <w:szCs w:val="18"/>
          <w:color w:val="auto"/>
        </w:rPr>
        <w:t>or final commercial sale of Ovaprene. In addition to customary termination rights for both parties: (A) the Company may terminate the agreement with or without cause in whole or on a country-by-country basis upon 60 days prior written notice; and (B) ADVA-Tec may terminate the agreement if (1) the Company develops or commercializes any non-hormonal ring-based vaginal contraceptive device competitive to Ovaprene or (2) if the Company fails to meet agreed upon efforts to commercialize Ovaprene.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SST License and Collaboration Agreement</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the Licensed Product, which is defined as SST’s proprietary topical formulation of sildenafil cream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this license and collaboration agreement:</w:t>
      </w:r>
    </w:p>
    <w:p>
      <w:pPr>
        <w:spacing w:after="0" w:line="9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Invention Ownership. </w:t>
      </w:r>
      <w:r>
        <w:rPr>
          <w:rFonts w:ascii="Arial" w:cs="Arial" w:eastAsia="Arial" w:hAnsi="Arial"/>
          <w:sz w:val="18"/>
          <w:szCs w:val="18"/>
          <w:color w:val="auto"/>
        </w:rPr>
        <w:t>The Company retains rights to inventions made by its employees, SST retains rights to inventions made by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each party will own a 50% undivided interest in all joint inventions.</w:t>
      </w:r>
    </w:p>
    <w:p>
      <w:pPr>
        <w:spacing w:after="0" w:line="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Joint Development Committee. </w:t>
      </w:r>
      <w:r>
        <w:rPr>
          <w:rFonts w:ascii="Arial" w:cs="Arial" w:eastAsia="Arial" w:hAnsi="Arial"/>
          <w:sz w:val="18"/>
          <w:szCs w:val="18"/>
          <w:color w:val="auto"/>
        </w:rPr>
        <w:t>The parties will collaborate through a joint development committee that will determine the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for, and generally oversee, the development efforts of both parties under the agreement.</w:t>
      </w:r>
    </w:p>
    <w:p>
      <w:pPr>
        <w:spacing w:after="0" w:line="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Development. </w:t>
      </w:r>
      <w:r>
        <w:rPr>
          <w:rFonts w:ascii="Arial" w:cs="Arial" w:eastAsia="Arial" w:hAnsi="Arial"/>
          <w:sz w:val="18"/>
          <w:szCs w:val="18"/>
          <w:color w:val="auto"/>
        </w:rPr>
        <w:t>The Company must use commercially reasonable efforts to develop the Licensed Products in the Field of Use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 development plan in the agreement, and to commercialize the Licensed Products in the Field of Use. The Company is responsible for all reasonable internal and external costs and expenses incurred by SST in its performance of the development activities it must perform under the agreement.</w:t>
      </w:r>
    </w:p>
    <w:p>
      <w:pPr>
        <w:spacing w:after="0" w:line="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SST will be eligible to receive tiered royalties based on percentages of annual net sales of Licensed Products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single digits to the mid double digits, subject to customary royalty reductions and offsets, and a percentage of sublicense revenue.</w:t>
      </w:r>
    </w:p>
    <w:p>
      <w:pPr>
        <w:spacing w:after="0" w:line="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SST will be eligible to receive payments (1) ranging from $0.5 million to $ 18.0 million in the aggregate on</w:t>
      </w:r>
      <w:r>
        <w:rPr>
          <w:rFonts w:ascii="Arial" w:cs="Arial" w:eastAsia="Arial" w:hAnsi="Arial"/>
          <w:sz w:val="18"/>
          <w:szCs w:val="18"/>
          <w:i w:val="1"/>
          <w:iCs w:val="1"/>
          <w:color w:val="auto"/>
        </w:rPr>
        <w:t xml:space="preserve"> </w:t>
      </w:r>
      <w:r>
        <w:rPr>
          <w:rFonts w:ascii="Arial" w:cs="Arial" w:eastAsia="Arial" w:hAnsi="Arial"/>
          <w:sz w:val="18"/>
          <w:szCs w:val="18"/>
          <w:color w:val="auto"/>
        </w:rPr>
        <w:t>achieving certain clinical and regulatory milestones in the U.S. and worldwide, and (2) between $10.0 million to $100.0 million in the aggregate upon achieving certain commercial sales milestones. If the Company enters into strategic development or distribution partnerships related to the Licensed Products, additional milestone payments would be due to SST.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Catalent JNP License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April 2018, the Company entered into an exclusive license agreement with Catalent JNP, Inc. (formerly known as Juniper Pharmaceuticals, Inc., and which the Company refers to as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The Company is entitled to sublicense the rights granted to it under this agreement.</w:t>
      </w:r>
    </w:p>
    <w:p>
      <w:pPr>
        <w:spacing w:after="0" w:line="8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Upfront Fee. </w:t>
      </w:r>
      <w:r>
        <w:rPr>
          <w:rFonts w:ascii="Arial" w:cs="Arial" w:eastAsia="Arial" w:hAnsi="Arial"/>
          <w:sz w:val="18"/>
          <w:szCs w:val="18"/>
          <w:color w:val="auto"/>
        </w:rPr>
        <w:t>The Company paid a $250,000 non-creditable upfront license fee to Catalent in connection with the execution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7" w:name="page18"/>
    <w:bookmarkEnd w:id="17"/>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Annual Maintenance Fee. </w:t>
      </w:r>
      <w:r>
        <w:rPr>
          <w:rFonts w:ascii="Arial" w:cs="Arial" w:eastAsia="Arial" w:hAnsi="Arial"/>
          <w:sz w:val="18"/>
          <w:szCs w:val="18"/>
          <w:color w:val="auto"/>
        </w:rPr>
        <w:t>The Company will pay an annual license maintenance fee to Catalent on each anniversary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agreement, the amount of which will be $50,000 for the first two years and $100,000 thereafter, and which will be creditable against royalties and other payments due to Catalent in the same calendar year but may not be carried forward to any other year.</w:t>
      </w:r>
    </w:p>
    <w:p>
      <w:pPr>
        <w:spacing w:after="0" w:line="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must make potential future development and sales milestone payments of (1) up to $13.5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aggregate upon achieving certain clinical and regulatory milestones, and (2) up to $30.3 million in the aggregate upon achieving certain commercial sales milestones for each product or process covered by the licenses granted under the agreement.</w:t>
      </w:r>
    </w:p>
    <w:p>
      <w:pPr>
        <w:spacing w:after="0" w:line="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During the royalty term, the Company will pay Catalent mid-single-digit to low double-digit royalties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Orbis Development and Option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March 2018, the Company entered into an exclusive development and option agreement with Orbis Biosciences, or Orbis, for the development of long-acting injectable etonogestrel contraceptive with 6- and 12-month durations (ORB-204 and ORB-214, respectively). Under this agreement, the Company paid Orbis $300,000 to conduct the first stage of development work as follows: $150,000 upon signing the agreement; $75,000 at the 50% completion point, not later than 6 months following the date the agreement was signed (which the Company paid in September 2018); and $75,000 upon delivery by Orbis of the 6-month batch, not later than 11 months following the date the agreement was signed (which the Company paid in January 2019).</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Upon Orbis successfully completing the first stage of development work and achieving the predetermined target milestones for that stage, the Company will have 90 days to instruct Orbis whether to commence the second stage of development work. Should the Company execute its option to proceed with the second stage, it will have to provide additional funding to Orbis for such activities.</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Pre-clinical studies for the 6- and 12-month formulations have been completed, including establishing pharmacokinetics and pharmacodynamics profiles. The collaboration with Orbis will continue to advance the program through formulation optimization with the goal of achieving sustained release over the target time period.</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agreement provides the Company with an option to enter into a license agreement for ORB-204 and ORB-214 should development efforts be successful.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Products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Microchips Acquisition</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November 2019, the Company completed its acquisition of Microchips Biotech, Inc., or Microchips. On the closing date of the merger, Microchips became a wholly owned subsidiary of the Company. The Company acquired Microchips to secure the rights to develop an implantable, user-controlled, long-acting reversible contraception method, now known as DARE-LARC1. The Company agreed to use commercially reasonable efforts to achieve specified development and regulatory objectives relating to the implantable contraceptive product in development by Microchips.</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issued an aggregate of 2,999,990 shares of its common stock to the holders of shares of Microchips' capital stock outstanding immediately prior to the effective time of the merger.</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also agreed to pay the following contingent consideration to the former Microchips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acquired by the Company in the merger; (c) tiered royalty payments ranging from low single-digit to low double-digit percentages of annual net sales of such products, subject to customary provisions permitting royalty reductions and offset; and (d) a percentage of sublicense revenue related to such products. The Company agreed to use commercially reasonable efforts to achieve specified development and regulatory objectives relating to DARE-LARC1. The Company expects approximately $1.0 million of the contingent consideration payments to become payable in late 2021.</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i w:val="1"/>
          <w:iCs w:val="1"/>
          <w:color w:val="auto"/>
        </w:rPr>
        <w:t>Pear Tree Acquisition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May 2018, the Company completed its acquisition of Pear Tree Pharmaceuticals, Inc., or Pear Tree. The Company acquired Pear Tree to secure the rights to develop a proprietary vaginal formulation of tamoxifen, now known as DARE-VVA1, as a potential treatment for vulvar and vaginal atrophy.</w:t>
      </w:r>
    </w:p>
    <w:p>
      <w:pPr>
        <w:spacing w:after="0" w:line="7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must make contingent payments to the Pear Tree former stockholders and their representatives,</w:t>
      </w:r>
      <w:r>
        <w:rPr>
          <w:rFonts w:ascii="Arial" w:cs="Arial" w:eastAsia="Arial" w:hAnsi="Arial"/>
          <w:sz w:val="18"/>
          <w:szCs w:val="18"/>
          <w:i w:val="1"/>
          <w:iCs w:val="1"/>
          <w:color w:val="auto"/>
        </w:rPr>
        <w:t xml:space="preserve"> </w:t>
      </w:r>
      <w:r>
        <w:rPr>
          <w:rFonts w:ascii="Arial" w:cs="Arial" w:eastAsia="Arial" w:hAnsi="Arial"/>
          <w:sz w:val="18"/>
          <w:szCs w:val="18"/>
          <w:color w:val="auto"/>
        </w:rPr>
        <w:t>or the Holders, that are based on achieving certain clinical, regulatory and commercial milestones, which may be paid, in the Company’s sole discretion, in cash or shares of the Company’s common stock.</w:t>
      </w:r>
    </w:p>
    <w:p>
      <w:pPr>
        <w:spacing w:after="0" w:line="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The Holders will be eligible to receive, subject to certain offsets, tiered royalties, including customary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permitting royalty reductions and offset, based on percentages of annual net sales of certain products subject to license agreements the Company assumed and a percentage of sublicense revenue.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November 2019, the Company acquired Microchips Biotech, Inc., or Microchips, via a merger transaction in which a wholly owned subsidiary of the Company, formed for purposes of this transaction, merged with and into Microchips, and Microchips survived as the Company’s wholly owned subsidiary. Microchips is developing a proprietary, implantable drug delivery system designed to store and precisely deliver numerous therapeutic doses over months and years on a schedule determined by the user and controlled via wireless remote. Microchips’ lead product candidate is a pre-clinical stage contraceptive application of that technology that utilizes levonorgestrel, now known as DARE-LARC1.</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issued an aggregate of 2,999,990 shares of its common stock to the holders of shares of Microchips' capital stock outstanding immediately prior to the effective time of the merger. The transaction was valued at $2.4 million, based on the fair value of the 2,999,990 shares issued of $0.79 per share, which was the closing price per share of the Company's common stock on the date of closing. The shares were issued in exchange for Microchips’ cash and cash equivalents of $6.1 million, less net liabilities of $3.5 million and transaction costs of $202,000, which was allocated based on the relative fair value of the assets acquired and liabilities assumed.</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also agreed to pay (1) contingent consideration based upon the achievement of specified funding, product development and regulatory milestones, and upon the achievement of specified amounts of aggregate net sales of products incorporating the intellectual property the Company acquired in the merger, (2) tiered royalty payments ranging from low single-digit to low double-digit percentages of annual net sales of such products, and (3) a percentage of sublicense revenue related to such products. The Company recorded $1.0 million in contingent consideration associated with milestone payments expected to become payable in late 2021.</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determined the transaction was accounted for as an asset acquisition as there were no outputs or substantive processes in existence as of the acquisition date. Transaction costs of approximately $202,000 associated with the merger were included in the Company’s research and development expense in the fourth quarter of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2015 Employee, Director and Consultant Equity Incentive Plan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connection with the business combination transaction in July 2017 between the Company and Daré Bioscience Operations, Inc., a privately held Delaware corporation, or Private Daré, the Company assumed the Private Daré 2015 Employee, Director and Consultant Equity Incentive Plan, or the 2015 Private Daré Plan and each then outstanding award granted thereunder, which consisted of options and restricted stock. Based on the exchange ratio for the business combination transaction and after giving effect to the reverse stock split effected in connection with the closing of that transaction, the outstanding options and restricted stock awards granted under the 2015 Private Daré Plan were replaced with options to purchase 10,149 shares of the Company’s common stock with a correspondingly adjusted exercise price and 223,295 shares of the Company’s common stock. All of the options that were assumed were exercised as of June 30, 2020. No awards may be granted under the 2015 Private Daré Plan following the closing of the business combination transaction.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2014 Employee Stock Purchase Plan, or the ESPP, became effective in April 2014, but no offering period has been initiated thereunder since January 2017 and there was no stock-based compensation related to the ESPP for the six months ended June 30, 2020 or June 30,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2014 Stock Incentive Plan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maintains the Amended and Restated 2014 Plan, or the Amended 2014 Plan, which provides for the grant of options, stock appreciation rights, restricted stock, restricted stock units and other stock-based awards to employees, officers and directors, and consultants and advisors. There were 2,046,885 shares of common stock authorized for issuance under the Amended 2014 Plan when it was approved by the Company's stockholders in July 2018. The number of authorized shares increases annually on the first day of each fiscal year until, and including, the fiscal year ending December 31, 2024 by the least of (i) 2,000,000, (ii) 4% of the number of outstanding shares of common stock on such date, or (iii) an amount determined by the Company’s board of directors. On January 1, 2020, the number of authorized shares increased by 787,336 to 1,411,481, which increase represented 4% of the number of outstanding shares of common stock on such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table below summarizes stock option activity under the Amended 2014 Plan, and related information for the six months ended June 30, 2020. The exercise price of all options granted during the six months ended June 30, 2020 was equal to the market value of the Company’s common stock on the date of grant. As of June 30, 2020, unamortized stock-based compensation expense of $1,674,495 will be amortized over a weighted average period of 2.6 years. At June 30, 2020, 524,481 shares of common stock were reserved for future awards granted under the Amended 2014 Plan.</w:t>
      </w:r>
    </w:p>
    <w:p>
      <w:pPr>
        <w:spacing w:after="0" w:line="233" w:lineRule="exact"/>
        <w:rPr>
          <w:sz w:val="20"/>
          <w:szCs w:val="20"/>
          <w:color w:val="auto"/>
        </w:rPr>
      </w:pPr>
    </w:p>
    <w:tbl>
      <w:tblPr>
        <w:tblLayout w:type="fixed"/>
        <w:tblInd w:w="102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 Average</w:t>
            </w:r>
          </w:p>
        </w:tc>
      </w:tr>
      <w:tr>
        <w:trPr>
          <w:trHeight w:val="196"/>
        </w:trPr>
        <w:tc>
          <w:tcPr>
            <w:tcW w:w="646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7"/>
                <w:szCs w:val="17"/>
                <w:color w:val="auto"/>
              </w:rPr>
            </w:pPr>
          </w:p>
        </w:tc>
        <w:tc>
          <w:tcPr>
            <w:tcW w:w="1200" w:type="dxa"/>
            <w:vAlign w:val="bottom"/>
          </w:tcPr>
          <w:p>
            <w:pPr>
              <w:jc w:val="right"/>
              <w:ind w:right="92"/>
              <w:spacing w:after="0"/>
              <w:rPr>
                <w:sz w:val="20"/>
                <w:szCs w:val="20"/>
                <w:color w:val="auto"/>
              </w:rPr>
            </w:pPr>
            <w:r>
              <w:rPr>
                <w:rFonts w:ascii="Arial" w:cs="Arial" w:eastAsia="Arial" w:hAnsi="Arial"/>
                <w:sz w:val="14"/>
                <w:szCs w:val="14"/>
                <w:b w:val="1"/>
                <w:bCs w:val="1"/>
                <w:color w:val="auto"/>
              </w:rPr>
              <w:t>Exercise Price</w:t>
            </w:r>
          </w:p>
        </w:tc>
      </w:tr>
      <w:tr>
        <w:trPr>
          <w:trHeight w:val="256"/>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1,889,775</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1.21</w:t>
            </w:r>
          </w:p>
        </w:tc>
      </w:tr>
      <w:tr>
        <w:trPr>
          <w:trHeight w:val="250"/>
        </w:trPr>
        <w:tc>
          <w:tcPr>
            <w:tcW w:w="64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887,000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1.05</w:t>
            </w:r>
          </w:p>
        </w:tc>
      </w:tr>
      <w:tr>
        <w:trPr>
          <w:trHeight w:val="263"/>
        </w:trPr>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(10,149)</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0.01</w:t>
            </w:r>
          </w:p>
        </w:tc>
      </w:tr>
      <w:tr>
        <w:trPr>
          <w:trHeight w:val="250"/>
        </w:trPr>
        <w:tc>
          <w:tcPr>
            <w:tcW w:w="6460" w:type="dxa"/>
            <w:vAlign w:val="bottom"/>
          </w:tcPr>
          <w:p>
            <w:pPr>
              <w:ind w:left="200"/>
              <w:spacing w:after="0"/>
              <w:rPr>
                <w:sz w:val="20"/>
                <w:szCs w:val="20"/>
                <w:color w:val="auto"/>
              </w:rPr>
            </w:pPr>
            <w:r>
              <w:rPr>
                <w:rFonts w:ascii="Arial" w:cs="Arial" w:eastAsia="Arial" w:hAnsi="Arial"/>
                <w:sz w:val="18"/>
                <w:szCs w:val="18"/>
                <w:color w:val="auto"/>
              </w:rPr>
              <w:t>Canceled/forfeited</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63"/>
        </w:trPr>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Expired</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44"/>
        </w:trPr>
        <w:tc>
          <w:tcPr>
            <w:tcW w:w="6460" w:type="dxa"/>
            <w:vAlign w:val="bottom"/>
          </w:tcPr>
          <w:p>
            <w:pPr>
              <w:ind w:left="20"/>
              <w:spacing w:after="0"/>
              <w:rPr>
                <w:sz w:val="20"/>
                <w:szCs w:val="20"/>
                <w:color w:val="auto"/>
              </w:rPr>
            </w:pPr>
            <w:r>
              <w:rPr>
                <w:rFonts w:ascii="Arial" w:cs="Arial" w:eastAsia="Arial" w:hAnsi="Arial"/>
                <w:sz w:val="18"/>
                <w:szCs w:val="18"/>
                <w:color w:val="auto"/>
              </w:rPr>
              <w:t>Outstanding at June 30, 2020</w:t>
            </w:r>
          </w:p>
        </w:tc>
        <w:tc>
          <w:tcPr>
            <w:tcW w:w="1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2,766,626</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1.16</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5"/>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June 30, 2020</w:t>
            </w: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806,763</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3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Total stock-based compensation expense related to stock options granted to employees and directors recognized in the consolidated statement of operations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346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1000" w:type="dxa"/>
            <w:vAlign w:val="bottom"/>
          </w:tcPr>
          <w:p>
            <w:pPr>
              <w:spacing w:after="0"/>
              <w:rPr>
                <w:sz w:val="18"/>
                <w:szCs w:val="18"/>
                <w:color w:val="auto"/>
              </w:rPr>
            </w:pPr>
          </w:p>
        </w:tc>
        <w:tc>
          <w:tcPr>
            <w:tcW w:w="36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0" w:type="dxa"/>
            <w:vAlign w:val="bottom"/>
          </w:tcPr>
          <w:p>
            <w:pPr>
              <w:spacing w:after="0"/>
              <w:rPr>
                <w:sz w:val="18"/>
                <w:szCs w:val="18"/>
                <w:color w:val="auto"/>
              </w:rPr>
            </w:pPr>
          </w:p>
        </w:tc>
      </w:tr>
      <w:tr>
        <w:trPr>
          <w:trHeight w:val="256"/>
        </w:trPr>
        <w:tc>
          <w:tcPr>
            <w:tcW w:w="1000" w:type="dxa"/>
            <w:vAlign w:val="bottom"/>
          </w:tcPr>
          <w:p>
            <w:pPr>
              <w:spacing w:after="0"/>
              <w:rPr>
                <w:sz w:val="22"/>
                <w:szCs w:val="22"/>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59,713</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26,996</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106,093</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51,699</w:t>
            </w:r>
          </w:p>
        </w:tc>
        <w:tc>
          <w:tcPr>
            <w:tcW w:w="1000" w:type="dxa"/>
            <w:vAlign w:val="bottom"/>
          </w:tcPr>
          <w:p>
            <w:pPr>
              <w:spacing w:after="0"/>
              <w:rPr>
                <w:sz w:val="22"/>
                <w:szCs w:val="22"/>
                <w:color w:val="auto"/>
              </w:rPr>
            </w:pPr>
          </w:p>
        </w:tc>
      </w:tr>
      <w:tr>
        <w:trPr>
          <w:trHeight w:val="250"/>
        </w:trPr>
        <w:tc>
          <w:tcPr>
            <w:tcW w:w="1000" w:type="dxa"/>
            <w:vAlign w:val="bottom"/>
          </w:tcPr>
          <w:p>
            <w:pPr>
              <w:spacing w:after="0"/>
              <w:rPr>
                <w:sz w:val="21"/>
                <w:szCs w:val="21"/>
                <w:color w:val="auto"/>
              </w:rPr>
            </w:pPr>
          </w:p>
        </w:tc>
        <w:tc>
          <w:tcPr>
            <w:tcW w:w="36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127,146</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84,355</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241,607</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157,620</w:t>
            </w:r>
          </w:p>
        </w:tc>
        <w:tc>
          <w:tcPr>
            <w:tcW w:w="1000" w:type="dxa"/>
            <w:vAlign w:val="bottom"/>
          </w:tcPr>
          <w:p>
            <w:pPr>
              <w:spacing w:after="0"/>
              <w:rPr>
                <w:sz w:val="21"/>
                <w:szCs w:val="21"/>
                <w:color w:val="auto"/>
              </w:rPr>
            </w:pPr>
          </w:p>
        </w:tc>
      </w:tr>
      <w:tr>
        <w:trPr>
          <w:trHeight w:val="282"/>
        </w:trPr>
        <w:tc>
          <w:tcPr>
            <w:tcW w:w="1000" w:type="dxa"/>
            <w:vAlign w:val="bottom"/>
          </w:tcPr>
          <w:p>
            <w:pPr>
              <w:spacing w:after="0"/>
              <w:rPr>
                <w:sz w:val="24"/>
                <w:szCs w:val="24"/>
                <w:color w:val="auto"/>
              </w:rPr>
            </w:pPr>
          </w:p>
        </w:tc>
        <w:tc>
          <w:tcPr>
            <w:tcW w:w="36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186,859</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111,351</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347,700</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209,319</w:t>
            </w:r>
          </w:p>
        </w:tc>
        <w:tc>
          <w:tcPr>
            <w:tcW w:w="100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36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838"/>
        </w:trPr>
        <w:tc>
          <w:tcPr>
            <w:tcW w:w="1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0" w:name="page21"/>
    <w:bookmarkEnd w:id="20"/>
    <w:p>
      <w:pPr>
        <w:ind w:left="2180" w:right="80" w:hanging="1445"/>
        <w:spacing w:after="0" w:line="261" w:lineRule="auto"/>
        <w:rPr>
          <w:sz w:val="20"/>
          <w:szCs w:val="20"/>
          <w:color w:val="auto"/>
        </w:rPr>
      </w:pPr>
      <w:r>
        <w:rPr>
          <w:rFonts w:ascii="Arial" w:cs="Arial" w:eastAsia="Arial" w:hAnsi="Arial"/>
          <w:sz w:val="18"/>
          <w:szCs w:val="18"/>
          <w:color w:val="auto"/>
        </w:rPr>
        <w:t>The assumptions used in the Black-Scholes option-pricing model for stock options granted to employees and to directors in respect of board services during the three and six months ended June 30, 2020 are as follows:</w:t>
      </w:r>
    </w:p>
    <w:p>
      <w:pPr>
        <w:spacing w:after="0" w:line="226"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 June 30,</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Ended June 30,</w:t>
            </w:r>
          </w:p>
        </w:tc>
      </w:tr>
      <w:tr>
        <w:trPr>
          <w:trHeight w:val="196"/>
        </w:trPr>
        <w:tc>
          <w:tcPr>
            <w:tcW w:w="6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249"/>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Expected life in years</w:t>
            </w:r>
          </w:p>
        </w:tc>
        <w:tc>
          <w:tcPr>
            <w:tcW w:w="1220" w:type="dxa"/>
            <w:vAlign w:val="bottom"/>
          </w:tcPr>
          <w:p>
            <w:pPr>
              <w:jc w:val="center"/>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6"/>
              </w:rPr>
              <w:t>10.0</w:t>
            </w:r>
          </w:p>
        </w:tc>
      </w:tr>
      <w:tr>
        <w:trPr>
          <w:trHeight w:val="263"/>
        </w:trPr>
        <w:tc>
          <w:tcPr>
            <w:tcW w:w="6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FF0FC"/>
          </w:tcPr>
          <w:p>
            <w:pPr>
              <w:spacing w:after="0"/>
              <w:rPr>
                <w:sz w:val="22"/>
                <w:szCs w:val="22"/>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0.82%</w:t>
            </w:r>
          </w:p>
        </w:tc>
      </w:tr>
      <w:tr>
        <w:trPr>
          <w:trHeight w:val="250"/>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118%</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120%</w:t>
            </w:r>
          </w:p>
        </w:tc>
      </w:tr>
      <w:tr>
        <w:trPr>
          <w:trHeight w:val="263"/>
        </w:trPr>
        <w:tc>
          <w:tcPr>
            <w:tcW w:w="6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Forfeiture rate</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0.0%</w:t>
            </w:r>
          </w:p>
        </w:tc>
        <w:tc>
          <w:tcPr>
            <w:tcW w:w="120" w:type="dxa"/>
            <w:vAlign w:val="bottom"/>
            <w:shd w:val="clear" w:color="auto" w:fill="CFF0FC"/>
          </w:tcPr>
          <w:p>
            <w:pPr>
              <w:spacing w:after="0"/>
              <w:rPr>
                <w:sz w:val="22"/>
                <w:szCs w:val="22"/>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0.0%</w:t>
            </w:r>
          </w:p>
        </w:tc>
      </w:tr>
      <w:tr>
        <w:trPr>
          <w:trHeight w:val="250"/>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0.0%</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0.0%</w:t>
            </w:r>
          </w:p>
        </w:tc>
      </w:tr>
      <w:tr>
        <w:trPr>
          <w:trHeight w:val="263"/>
        </w:trPr>
        <w:tc>
          <w:tcPr>
            <w:tcW w:w="6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Weighted-average fair value of options granted</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$0.97</w:t>
            </w:r>
          </w:p>
        </w:tc>
        <w:tc>
          <w:tcPr>
            <w:tcW w:w="120" w:type="dxa"/>
            <w:vAlign w:val="bottom"/>
            <w:shd w:val="clear" w:color="auto" w:fill="CFF0FC"/>
          </w:tcPr>
          <w:p>
            <w:pPr>
              <w:spacing w:after="0"/>
              <w:rPr>
                <w:sz w:val="22"/>
                <w:szCs w:val="22"/>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$1.00</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Sales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January 2018, the Company entered into a common stock sales agreement under which the Company may sell shares of its common stock from time to time in “at-the-market” equity offerings (as defined in Rule 415 promulgated under the Securities Act of 1933, as amended). The Company will pay a commission of up to 3% of the gross proceeds of any common stock sold under this agreement plus certain legal expenses. The common stock sales agreement was amended in August 2018 to refer to the Company’s shelf registration statement on Form S-3 (File No. 333-227019) that was filed to replace the Company’s shelf registration statement on Form S-3 (File No. 333-206396) that expired on August 28, 2018.</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six months ended June 30, 2020, the Company sold 5,963,580 shares under the common stock sales agreement for gross proceeds of approximately $ 8.4 million and incurred offering expenses of approximately $338,000. The Company did not sell any shares under this agreement during the six months ended June 30,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2019 Underwritten Public Offering</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April 2019, the Company closed an underwritten public offering of 4,575,000 shares of its common stock at a public offering price of $1.10 per share. The Company granted the underwriters a 30-day over-allotment option to purchase up to an additional 686,250 shares which was exercised in full on April 12, 2019. Including the over-allotment shares, the Company issued a total of 5,261,250 shares in the underwritten public offering and received gross proceeds of approximately $5.8 million and net proceeds of approximately $5.2 million after deducting underwriting discounts and offering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Line</w:t>
      </w:r>
    </w:p>
    <w:p>
      <w:pPr>
        <w:spacing w:after="0" w:line="2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April 22, 2020, the Company entered into a purchase agreement, or the Purchase Agreement, and a registration rights agreement with Lincoln Park Capital Fund, LLC, or Lincoln Park. Under the terms and subject to the conditions of the Purchase Agreement, the Company has the right, but not the obligation, to sell to Lincoln Park, and Lincoln Park is obligated to purchase up to $15.0 million of the Company’s common stock. Such sales of common stock by the Company may occur from time to time, at the Company’s sole discretion, subject to certain limitations, until May 19, 2023. On April 22, 2020, in accordance with the Purchase Agreement, the Company issued 285,714 shares of its common stock, or the Commitment Shares, to Lincoln Park in consideration for its commitment to purchase shares under the Purchase Agreement. The Company filed a registration statement on Form S-1 (File No. 333-237954) to register the resale by Lincoln Park of up to 7.5 million shares of the Company's common stock issued or issuable to Lincoln Park under the Purchase Agreement, including the Commitment Shares, and such registration statement was declared effective by the SEC on May 12, 2020.</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incurred legal, accounting, and other fees related to the Purchase Agreement of approximately $374,000. These costs are amortized and expensed as shares are sold under the Purchase Agreement and as of June 30, 2020 there was $351,000 of unamortized costs. During the six months ended June 30, 2020, the Company sold, and Lincoln Park purchased, 882,000 shares under the Purchase Agreement for gross proceeds of approximately $911,000 and incurred offering expenses of approximately $23,000.</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February 2018, the Company closed an underwritten public offering in connection with which the Company issued to the investors in that offering warrants that initially had an exercise price of $3.00 per share and are exercisable through February 2023. The warrants include a price-based anti-dilution provision, which provides that, subject to certain limited exceptions, the exercise price of the warrants will be reduced each time the Company issues or sells (or is deemed to issue or sell) securities for a net consideration per share less than the exercise price of those warrants in effect immediately prior to such issuance or sale. In addition, subject to certain exceptions, if the Company issues, sells or enters into any agreement to issue or sell securities at a price which varies or may vary with the market price of the shares of the Company’s common stock, the warrant holders have the right to substitute such variable price for the exercise price of the warrant then in effect. These warrants are exercisable only for cash, unless a registration statement covering the shares issued upon exercise of the warrants is not effective, in which case the warrants may be exercised on a cashless basis. A registration statement covering the shares issued upon exercise of the warrants is currently effective. The Company estimated the fair value of the warrants as of February 15, 2018 to be approximately $3.0 million which has been recorded in equity as of the grant date. The Company early adopted ASU 2017-11 as of January 1, 2018 and recorded the fair value of the warrants as equity.</w:t>
      </w:r>
    </w:p>
    <w:p>
      <w:pPr>
        <w:spacing w:after="0" w:line="1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April 2019, in accordance with the price-based anti-dilution provision discussed above, as a result of the sale of shares in the April 2019 underwritten offering, the exercise price of these warrants was automatically reduced to $0.98 per share and $0.8 million was recorded to additional paid-in capital as a result of the triggering of the anti-dilution provision.</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six months ended June 30, 2020, 1,699,000 warrants were exercised for gross proceeds of approximately $1.7 million. No warrants were exercised during the six months ended June 30, 2019. As of June 30, 2020, the Company had the following warrants outstanding:</w:t>
      </w:r>
    </w:p>
    <w:p>
      <w:pPr>
        <w:spacing w:after="0" w:line="230" w:lineRule="exact"/>
        <w:rPr>
          <w:sz w:val="20"/>
          <w:szCs w:val="20"/>
          <w:color w:val="auto"/>
        </w:rPr>
      </w:pPr>
    </w:p>
    <w:tbl>
      <w:tblPr>
        <w:tblLayout w:type="fixed"/>
        <w:tblInd w:w="1020" w:type="dxa"/>
        <w:tblCellMar>
          <w:top w:w="0" w:type="dxa"/>
          <w:left w:w="0" w:type="dxa"/>
          <w:bottom w:w="0" w:type="dxa"/>
          <w:right w:w="0" w:type="dxa"/>
        </w:tblCellMar>
      </w:tblPr>
      <w:tr>
        <w:trPr>
          <w:trHeight w:val="162"/>
        </w:trPr>
        <w:tc>
          <w:tcPr>
            <w:tcW w:w="3020" w:type="dxa"/>
            <w:vAlign w:val="bottom"/>
          </w:tcPr>
          <w:p>
            <w:pPr>
              <w:jc w:val="center"/>
              <w:spacing w:after="0"/>
              <w:rPr>
                <w:sz w:val="20"/>
                <w:szCs w:val="20"/>
                <w:color w:val="auto"/>
              </w:rPr>
            </w:pPr>
            <w:r>
              <w:rPr>
                <w:rFonts w:ascii="Arial" w:cs="Arial" w:eastAsia="Arial" w:hAnsi="Arial"/>
                <w:sz w:val="14"/>
                <w:szCs w:val="14"/>
                <w:b w:val="1"/>
                <w:bCs w:val="1"/>
                <w:color w:val="auto"/>
              </w:rPr>
              <w:t>Shares Underlying</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96"/>
        </w:trPr>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 Warrants</w:t>
            </w:r>
          </w:p>
        </w:tc>
        <w:tc>
          <w:tcPr>
            <w:tcW w:w="42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Exercise Price</w:t>
            </w:r>
          </w:p>
        </w:tc>
        <w:tc>
          <w:tcPr>
            <w:tcW w:w="420" w:type="dxa"/>
            <w:vAlign w:val="bottom"/>
            <w:tcBorders>
              <w:bottom w:val="single" w:sz="8" w:color="CFF0FC"/>
            </w:tcBorders>
          </w:tcPr>
          <w:p>
            <w:pPr>
              <w:spacing w:after="0"/>
              <w:rPr>
                <w:sz w:val="17"/>
                <w:szCs w:val="17"/>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256"/>
        </w:trPr>
        <w:tc>
          <w:tcPr>
            <w:tcW w:w="3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2,906</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center"/>
              <w:ind w:right="34"/>
              <w:spacing w:after="0"/>
              <w:rPr>
                <w:sz w:val="20"/>
                <w:szCs w:val="20"/>
                <w:color w:val="auto"/>
              </w:rPr>
            </w:pPr>
            <w:r>
              <w:rPr>
                <w:rFonts w:ascii="Arial" w:cs="Arial" w:eastAsia="Arial" w:hAnsi="Arial"/>
                <w:sz w:val="18"/>
                <w:szCs w:val="18"/>
                <w:color w:val="auto"/>
              </w:rPr>
              <w:t>120.40</w:t>
            </w:r>
          </w:p>
        </w:tc>
        <w:tc>
          <w:tcPr>
            <w:tcW w:w="420" w:type="dxa"/>
            <w:vAlign w:val="bottom"/>
            <w:shd w:val="clear" w:color="auto" w:fill="CFF0FC"/>
          </w:tcPr>
          <w:p>
            <w:pPr>
              <w:spacing w:after="0"/>
              <w:rPr>
                <w:sz w:val="22"/>
                <w:szCs w:val="22"/>
                <w:color w:val="auto"/>
              </w:rPr>
            </w:pPr>
          </w:p>
        </w:tc>
        <w:tc>
          <w:tcPr>
            <w:tcW w:w="2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2021-12-01</w:t>
            </w:r>
          </w:p>
        </w:tc>
      </w:tr>
      <w:tr>
        <w:trPr>
          <w:trHeight w:val="243"/>
        </w:trPr>
        <w:tc>
          <w:tcPr>
            <w:tcW w:w="3020" w:type="dxa"/>
            <w:vAlign w:val="bottom"/>
          </w:tcPr>
          <w:p>
            <w:pPr>
              <w:jc w:val="center"/>
              <w:spacing w:after="0"/>
              <w:rPr>
                <w:sz w:val="20"/>
                <w:szCs w:val="20"/>
                <w:color w:val="auto"/>
              </w:rPr>
            </w:pPr>
            <w:r>
              <w:rPr>
                <w:rFonts w:ascii="Arial" w:cs="Arial" w:eastAsia="Arial" w:hAnsi="Arial"/>
                <w:sz w:val="18"/>
                <w:szCs w:val="18"/>
                <w:color w:val="auto"/>
                <w:w w:val="97"/>
              </w:rPr>
              <w:t>3,737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tcPr>
          <w:p>
            <w:pPr>
              <w:jc w:val="center"/>
              <w:ind w:right="34"/>
              <w:spacing w:after="0"/>
              <w:rPr>
                <w:sz w:val="20"/>
                <w:szCs w:val="20"/>
                <w:color w:val="auto"/>
              </w:rPr>
            </w:pPr>
            <w:r>
              <w:rPr>
                <w:rFonts w:ascii="Arial" w:cs="Arial" w:eastAsia="Arial" w:hAnsi="Arial"/>
                <w:sz w:val="18"/>
                <w:szCs w:val="18"/>
                <w:color w:val="auto"/>
              </w:rPr>
              <w:t>120.40</w:t>
            </w:r>
          </w:p>
        </w:tc>
        <w:tc>
          <w:tcPr>
            <w:tcW w:w="420" w:type="dxa"/>
            <w:vAlign w:val="bottom"/>
          </w:tcPr>
          <w:p>
            <w:pPr>
              <w:spacing w:after="0"/>
              <w:rPr>
                <w:sz w:val="21"/>
                <w:szCs w:val="21"/>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9"/>
              </w:rPr>
              <w:t>2021-12-06</w:t>
            </w:r>
          </w:p>
        </w:tc>
      </w:tr>
      <w:tr>
        <w:trPr>
          <w:trHeight w:val="263"/>
        </w:trPr>
        <w:tc>
          <w:tcPr>
            <w:tcW w:w="3020" w:type="dxa"/>
            <w:vAlign w:val="bottom"/>
          </w:tcPr>
          <w:p>
            <w:pPr>
              <w:jc w:val="center"/>
              <w:spacing w:after="0"/>
              <w:rPr>
                <w:sz w:val="20"/>
                <w:szCs w:val="20"/>
                <w:color w:val="auto"/>
              </w:rPr>
            </w:pPr>
            <w:r>
              <w:rPr>
                <w:rFonts w:ascii="Arial" w:cs="Arial" w:eastAsia="Arial" w:hAnsi="Arial"/>
                <w:sz w:val="18"/>
                <w:szCs w:val="18"/>
                <w:color w:val="auto"/>
                <w:w w:val="97"/>
              </w:rPr>
              <w:t>6,500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tcPr>
          <w:p>
            <w:pPr>
              <w:jc w:val="center"/>
              <w:ind w:right="34"/>
              <w:spacing w:after="0"/>
              <w:rPr>
                <w:sz w:val="20"/>
                <w:szCs w:val="20"/>
                <w:color w:val="auto"/>
              </w:rPr>
            </w:pPr>
            <w:r>
              <w:rPr>
                <w:rFonts w:ascii="Arial" w:cs="Arial" w:eastAsia="Arial" w:hAnsi="Arial"/>
                <w:sz w:val="18"/>
                <w:szCs w:val="18"/>
                <w:color w:val="auto"/>
                <w:w w:val="97"/>
              </w:rPr>
              <w:t>10.00</w:t>
            </w:r>
          </w:p>
        </w:tc>
        <w:tc>
          <w:tcPr>
            <w:tcW w:w="420" w:type="dxa"/>
            <w:vAlign w:val="bottom"/>
          </w:tcPr>
          <w:p>
            <w:pPr>
              <w:spacing w:after="0"/>
              <w:rPr>
                <w:sz w:val="22"/>
                <w:szCs w:val="22"/>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9"/>
              </w:rPr>
              <w:t>2026-04-04</w:t>
            </w:r>
          </w:p>
        </w:tc>
      </w:tr>
      <w:tr>
        <w:trPr>
          <w:trHeight w:val="257"/>
        </w:trPr>
        <w:tc>
          <w:tcPr>
            <w:tcW w:w="30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2,021,500</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center"/>
              <w:ind w:right="34"/>
              <w:spacing w:after="0"/>
              <w:rPr>
                <w:sz w:val="20"/>
                <w:szCs w:val="20"/>
                <w:color w:val="auto"/>
              </w:rPr>
            </w:pPr>
            <w:r>
              <w:rPr>
                <w:rFonts w:ascii="Arial" w:cs="Arial" w:eastAsia="Arial" w:hAnsi="Arial"/>
                <w:sz w:val="18"/>
                <w:szCs w:val="18"/>
                <w:color w:val="auto"/>
              </w:rPr>
              <w:t>0.98</w:t>
            </w:r>
          </w:p>
        </w:tc>
        <w:tc>
          <w:tcPr>
            <w:tcW w:w="420" w:type="dxa"/>
            <w:vAlign w:val="bottom"/>
            <w:shd w:val="clear" w:color="auto" w:fill="CFF0FC"/>
          </w:tcPr>
          <w:p>
            <w:pPr>
              <w:spacing w:after="0"/>
              <w:rPr>
                <w:sz w:val="22"/>
                <w:szCs w:val="22"/>
                <w:color w:val="auto"/>
              </w:rPr>
            </w:pPr>
          </w:p>
        </w:tc>
        <w:tc>
          <w:tcPr>
            <w:tcW w:w="2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2023-02-15</w:t>
            </w:r>
          </w:p>
        </w:tc>
      </w:tr>
      <w:tr>
        <w:trPr>
          <w:trHeight w:val="250"/>
        </w:trPr>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2,034,643</w:t>
            </w: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27"/>
        </w:trPr>
        <w:tc>
          <w:tcPr>
            <w:tcW w:w="30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0" w:type="dxa"/>
            <w:vAlign w:val="bottom"/>
          </w:tcPr>
          <w:p>
            <w:pPr>
              <w:spacing w:after="0"/>
              <w:rPr>
                <w:sz w:val="2"/>
                <w:szCs w:val="2"/>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LEASED PROPERTIES</w:t>
      </w:r>
    </w:p>
    <w:p>
      <w:pPr>
        <w:spacing w:after="0" w:line="13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Company's lease for its corporate headquarters (3,169 square feet of office space) commenced on July 1, 2018 and terminates on July 31, 2021. The Company has the option to extend the term of the lease for one year.</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Microchips, which the Company acquired in November 2019, leases general office space in Lexington, Massachusetts and warehouse space in Billerica, Massachusetts. The Lexington lease commenced on July 1, 2013 and terminates on September 30, 2021. The Billerica lease commenced on October 1, 2016 and terminates on March 31, 2022.</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Under </w:t>
      </w:r>
      <w:r>
        <w:rPr>
          <w:rFonts w:ascii="Arial" w:cs="Arial" w:eastAsia="Arial" w:hAnsi="Arial"/>
          <w:sz w:val="18"/>
          <w:szCs w:val="18"/>
          <w:color w:val="191C1F"/>
        </w:rPr>
        <w:t>the terms of each lease, the Company pays base annual rent (subject to an annual fixed percentage increase), plus property</w:t>
      </w:r>
      <w:r>
        <w:rPr>
          <w:rFonts w:ascii="Arial" w:cs="Arial" w:eastAsia="Arial" w:hAnsi="Arial"/>
          <w:sz w:val="18"/>
          <w:szCs w:val="18"/>
          <w:color w:val="auto"/>
        </w:rPr>
        <w:t xml:space="preserve"> </w:t>
      </w:r>
      <w:r>
        <w:rPr>
          <w:rFonts w:ascii="Arial" w:cs="Arial" w:eastAsia="Arial" w:hAnsi="Arial"/>
          <w:sz w:val="18"/>
          <w:szCs w:val="18"/>
          <w:color w:val="191C1F"/>
        </w:rPr>
        <w:t xml:space="preserve">taxes, and other normal and necessary expenses, such as utilities, repairs, and maintenance. </w:t>
      </w:r>
      <w:r>
        <w:rPr>
          <w:rFonts w:ascii="Arial" w:cs="Arial" w:eastAsia="Arial" w:hAnsi="Arial"/>
          <w:sz w:val="18"/>
          <w:szCs w:val="18"/>
          <w:color w:val="000000"/>
        </w:rPr>
        <w:t>The Company evaluates renewal options at</w:t>
      </w:r>
      <w:r>
        <w:rPr>
          <w:rFonts w:ascii="Arial" w:cs="Arial" w:eastAsia="Arial" w:hAnsi="Arial"/>
          <w:sz w:val="18"/>
          <w:szCs w:val="18"/>
          <w:color w:val="191C1F"/>
        </w:rPr>
        <w:t xml:space="preserve"> </w:t>
      </w:r>
      <w:r>
        <w:rPr>
          <w:rFonts w:ascii="Arial" w:cs="Arial" w:eastAsia="Arial" w:hAnsi="Arial"/>
          <w:sz w:val="18"/>
          <w:szCs w:val="18"/>
          <w:color w:val="000000"/>
        </w:rPr>
        <w:t>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of 7% for operating leases that commenced prior to January 2019. The depreciable lives of operating leases and leasehold improvements are limited by the expected lease term.</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2" w:name="page23"/>
    <w:bookmarkEnd w:id="22"/>
    <w:p>
      <w:pPr>
        <w:jc w:val="both"/>
        <w:ind w:firstLine="648"/>
        <w:spacing w:after="0" w:line="261" w:lineRule="auto"/>
        <w:rPr>
          <w:sz w:val="20"/>
          <w:szCs w:val="20"/>
          <w:color w:val="auto"/>
        </w:rPr>
      </w:pPr>
      <w:r>
        <w:rPr>
          <w:rFonts w:ascii="Arial" w:cs="Arial" w:eastAsia="Arial" w:hAnsi="Arial"/>
          <w:sz w:val="18"/>
          <w:szCs w:val="18"/>
          <w:color w:val="auto"/>
        </w:rPr>
        <w:t>At June 30, 2020, the Company reported operating lease ROU assets of approximately $ 370,000 in other non-current assets, and $417,000 and $175,000, respectively, in current and non-current other liabilities on the consolidated balance sheet.</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Total operating lease costs were approximately $76,000 and $27,000 for the three months ended June 30, 2020 and June 30, 2019, respectively, and $152,000 and $54,000 for the six months ended June 30, 2020 and June 30, 2019, respectively. Operating lease costs consist of monthly lease payments expense, common area maintenance and other repair and maintenance costs and are included in general and administrative expenses in the consolidated statement of operations.</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Cash paid for amounts included in the measurement of operating lease liabilities were approximately $110,000 and $27,000 for three months ended June 30, 2020 and June 30, 2019, respectively, and $238,000 and $53,000 for the six months ended June 30, 2020 and June 30, 2019, respectively. These amounts are included in operating activities in the consolidated statements of cash flows. Further, at June 30, 2020, operating leases had a weighted average remaining lease term of 1.36 years.</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future minimum payments under the Company's operating leases are approximately:</w:t>
      </w:r>
    </w:p>
    <w:p>
      <w:pPr>
        <w:spacing w:after="0" w:line="200" w:lineRule="exact"/>
        <w:rPr>
          <w:sz w:val="20"/>
          <w:szCs w:val="20"/>
          <w:color w:val="auto"/>
        </w:rPr>
      </w:pPr>
    </w:p>
    <w:p>
      <w:pPr>
        <w:spacing w:after="0" w:line="309" w:lineRule="exact"/>
        <w:rPr>
          <w:sz w:val="20"/>
          <w:szCs w:val="20"/>
          <w:color w:val="auto"/>
        </w:rPr>
      </w:pPr>
    </w:p>
    <w:tbl>
      <w:tblPr>
        <w:tblLayout w:type="fixed"/>
        <w:tblInd w:w="1020" w:type="dxa"/>
        <w:tblCellMar>
          <w:top w:w="0" w:type="dxa"/>
          <w:left w:w="0" w:type="dxa"/>
          <w:bottom w:w="0" w:type="dxa"/>
          <w:right w:w="0" w:type="dxa"/>
        </w:tblCellMar>
      </w:tblPr>
      <w:tr>
        <w:trPr>
          <w:trHeight w:val="257"/>
        </w:trPr>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Remainder of 2020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224,000</w:t>
            </w:r>
          </w:p>
        </w:tc>
      </w:tr>
      <w:tr>
        <w:trPr>
          <w:trHeight w:val="250"/>
        </w:trPr>
        <w:tc>
          <w:tcPr>
            <w:tcW w:w="7840" w:type="dxa"/>
            <w:vAlign w:val="bottom"/>
          </w:tcPr>
          <w:p>
            <w:pPr>
              <w:ind w:left="20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363,000</w:t>
            </w:r>
          </w:p>
        </w:tc>
      </w:tr>
      <w:tr>
        <w:trPr>
          <w:trHeight w:val="263"/>
        </w:trPr>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42,000</w:t>
            </w:r>
          </w:p>
        </w:tc>
      </w:tr>
      <w:tr>
        <w:trPr>
          <w:trHeight w:val="243"/>
        </w:trPr>
        <w:tc>
          <w:tcPr>
            <w:tcW w:w="7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future minimum lease payments</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629,000</w:t>
            </w:r>
          </w:p>
        </w:tc>
      </w:tr>
      <w:tr>
        <w:trPr>
          <w:trHeight w:val="215"/>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Difference between future minimum lease payments and discounted operating lease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37,000</w:t>
            </w:r>
          </w:p>
        </w:tc>
      </w:tr>
      <w:tr>
        <w:trPr>
          <w:trHeight w:val="257"/>
        </w:trPr>
        <w:tc>
          <w:tcPr>
            <w:tcW w:w="7840" w:type="dxa"/>
            <w:vAlign w:val="bottom"/>
          </w:tcPr>
          <w:p>
            <w:pPr>
              <w:ind w:left="320"/>
              <w:spacing w:after="0"/>
              <w:rPr>
                <w:sz w:val="20"/>
                <w:szCs w:val="20"/>
                <w:color w:val="auto"/>
              </w:rPr>
            </w:pPr>
            <w:r>
              <w:rPr>
                <w:rFonts w:ascii="Arial" w:cs="Arial" w:eastAsia="Arial" w:hAnsi="Arial"/>
                <w:sz w:val="18"/>
                <w:szCs w:val="18"/>
                <w:b w:val="1"/>
                <w:bCs w:val="1"/>
                <w:color w:val="auto"/>
              </w:rPr>
              <w:t>Total operating lease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592,000</w:t>
            </w:r>
          </w:p>
        </w:tc>
      </w:tr>
      <w:tr>
        <w:trPr>
          <w:trHeight w:val="20"/>
        </w:trPr>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ind w:right="7680"/>
        <w:spacing w:after="0"/>
        <w:rPr>
          <w:sz w:val="20"/>
          <w:szCs w:val="20"/>
          <w:color w:val="auto"/>
        </w:rPr>
      </w:pPr>
      <w:r>
        <w:rPr>
          <w:rFonts w:ascii="Arial" w:cs="Arial" w:eastAsia="Arial" w:hAnsi="Arial"/>
          <w:sz w:val="18"/>
          <w:szCs w:val="18"/>
          <w:b w:val="1"/>
          <w:bCs w:val="1"/>
          <w:color w:val="auto"/>
        </w:rPr>
        <w:t>8. COMMITMENTS AND 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3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connection with the acquisition of Microchips, the Company agreed to pay contingent consideration based upon the achievement of specified funding, product development and regulatory milestones. The Company recorded $1.0 million in contingent consideration liability associated with milestone payments expected to become payable in late 2021 in its consolidated balance sheet at June 30, 2020.</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 Payable</w:t>
      </w:r>
    </w:p>
    <w:p>
      <w:pPr>
        <w:spacing w:after="0" w:line="2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April 2020, due to the economic uncertainty resulting from the impact of the COVID-19 pandemic on the Company's operations and to support its ongoing operations and retain all employees, the Company applied for a loan under the Paycheck Protection Program, or the PPP, of the Coronavirus Aid, Relief, and Economic Security Act, or CARES Act, administered by the U.S. Small Business Administration. The Company received a loan of approximately $367,000. The loan matures in April 2022, bears interest at a rate of 1.00% per annum, is payable in equal monthly payments commencing in November 2020 through maturity and may be prepaid at any time prior to maturity with no prepayment penalties. Under the terms of the PPP, subject to specified limitations, the loan prinicpal and accrued interest may be forgiven if the proceeds are used in accordance with the CARES Act. The Company intends to apply for forgiveness of the entire loan. However, there can be no assurance that the Company will obtain forgiveness of the loan in whole or in part. The Company recorded a note payable plus accrued interest for the loan in the amount of approximately $368,000 in its consolidated balance sheet at June 30, 2020.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9. GRANT AWARD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Eunice Kennedy Shriver National Institute of Child Health and Human Development</w:t>
      </w:r>
    </w:p>
    <w:p>
      <w:pPr>
        <w:spacing w:after="0" w:line="3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Since 2018, the Company has received grant funding for clinical development efforts supporting Ovaprene from the Eunice Kennedy Shriver National Institute of Child Health and Human Development, a division of the National Institutes of Health, or the NIH. Through year-end 2019, the Company received award payments from the NIH totaling $1.2 million. In April 2020, the Company received a final notice of award for approximately $731,000 of the total $1.9 million in grant funding for clinical development efforts supporting Ovaprene from the NIH. The NIH issued this final notice of award after reviewing data from the completed postcoital test (or PCT) clinical trial and commercialization plans of Ovaprene</w:t>
      </w:r>
      <w:r>
        <w:rPr>
          <w:rFonts w:ascii="Arial" w:cs="Arial" w:eastAsia="Arial" w:hAnsi="Arial"/>
          <w:sz w:val="18"/>
          <w:szCs w:val="18"/>
          <w:b w:val="1"/>
          <w:bCs w:val="1"/>
          <w:color w:val="auto"/>
        </w:rPr>
        <w:t>,</w:t>
      </w:r>
      <w:r>
        <w:rPr>
          <w:rFonts w:ascii="Arial" w:cs="Arial" w:eastAsia="Arial" w:hAnsi="Arial"/>
          <w:sz w:val="18"/>
          <w:szCs w:val="18"/>
          <w:color w:val="auto"/>
        </w:rPr>
        <w:t xml:space="preserve"> which satisfied specified requirements set out in the award notice.</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NIH issues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 of operations as a reduction to research and development activities as the related costs are incurred to meet those obligations over the period.</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recorded credits to research and development expense for costs related to the NIH award of approximately $ 167,000 and $295,000 for the three months ended June 30, 2020 and June 30, 2019, respectively and $459,000 and $456,000 for the six months ended June 30, 2020 and June 30, 2019, respectively. At June 30, 2020, the Company recorded a receivable of approximately $167,000 for expenses incurred through such date that it believes are eligible for reimbursement under the final notice of award received in April 2020.</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Bill &amp; Melinda Gates Foundation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Company's wholly-owned subsidiary, Microchips, has a grant agreement with the Bill &amp; Melinda Gates Foundation, or the Foundation, relating to the development of the pre-clinical stage contraceptive candidate, DARE-LARC1. Expenses eligible for grant funding must be incurred, tracked and reported to the Foundation. Microchips received grant funding payments of approximately $2.9 million and $1.6 million in July 2019 and June 2020, respectively. At June 30, 2020, grant funding payments associated with research and development expenses for DARE-LARC1 not yet incurred totaled approximately $1.9 million and are recorded as deferred grant funding liability in the Company's consolidated balance sheet.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outstanding options and warrants to purchase shares of the Company’s common stock. Common share equivalents are excluded from the diluted net loss per share calculation if their effect is anti-dilutive.</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potentially dilutive outstanding securities were excluded from diluted net loss per common share for the period indicated because of their anti-dilutive effect: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gridSpan w:val="5"/>
          </w:tcPr>
          <w:p>
            <w:pPr>
              <w:jc w:val="center"/>
              <w:ind w:right="100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46"/>
        </w:trPr>
        <w:tc>
          <w:tcPr>
            <w:tcW w:w="1020" w:type="dxa"/>
            <w:vAlign w:val="bottom"/>
          </w:tcPr>
          <w:p>
            <w:pPr>
              <w:spacing w:after="0"/>
              <w:rPr>
                <w:sz w:val="21"/>
                <w:szCs w:val="21"/>
                <w:color w:val="auto"/>
              </w:rPr>
            </w:pPr>
          </w:p>
        </w:tc>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Potentially dilutive securities</w:t>
            </w:r>
          </w:p>
        </w:tc>
        <w:tc>
          <w:tcPr>
            <w:tcW w:w="28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Borders>
              <w:bottom w:val="single" w:sz="8" w:color="auto"/>
            </w:tcBorders>
            <w:gridSpan w:val="3"/>
          </w:tcPr>
          <w:p>
            <w:pPr>
              <w:jc w:val="center"/>
              <w:ind w:left="875"/>
              <w:spacing w:after="0"/>
              <w:rPr>
                <w:sz w:val="20"/>
                <w:szCs w:val="20"/>
                <w:color w:val="auto"/>
              </w:rPr>
            </w:pPr>
            <w:r>
              <w:rPr>
                <w:rFonts w:ascii="Arial" w:cs="Arial" w:eastAsia="Arial" w:hAnsi="Arial"/>
                <w:sz w:val="18"/>
                <w:szCs w:val="18"/>
                <w:b w:val="1"/>
                <w:bCs w:val="1"/>
                <w:color w:val="auto"/>
                <w:w w:val="99"/>
              </w:rPr>
              <w:t>June 30,</w:t>
            </w:r>
          </w:p>
        </w:tc>
        <w:tc>
          <w:tcPr>
            <w:tcW w:w="980" w:type="dxa"/>
            <w:vAlign w:val="bottom"/>
            <w:tcBorders>
              <w:bottom w:val="single" w:sz="8" w:color="auto"/>
            </w:tcBorders>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1"/>
                <w:szCs w:val="21"/>
                <w:color w:val="auto"/>
              </w:rPr>
            </w:pPr>
          </w:p>
        </w:tc>
        <w:tc>
          <w:tcPr>
            <w:tcW w:w="3500" w:type="dxa"/>
            <w:vAlign w:val="bottom"/>
            <w:tcBorders>
              <w:bottom w:val="single" w:sz="8" w:color="CFF0FC"/>
            </w:tcBorders>
          </w:tcPr>
          <w:p>
            <w:pPr>
              <w:spacing w:after="0"/>
              <w:rPr>
                <w:sz w:val="21"/>
                <w:szCs w:val="21"/>
                <w:color w:val="auto"/>
              </w:rPr>
            </w:pPr>
          </w:p>
        </w:tc>
        <w:tc>
          <w:tcPr>
            <w:tcW w:w="3020" w:type="dxa"/>
            <w:vAlign w:val="bottom"/>
            <w:tcBorders>
              <w:bottom w:val="single" w:sz="8" w:color="CFF0FC"/>
            </w:tcBorders>
            <w:gridSpan w:val="2"/>
          </w:tcPr>
          <w:p>
            <w:pPr>
              <w:spacing w:after="0"/>
              <w:rPr>
                <w:sz w:val="21"/>
                <w:szCs w:val="21"/>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020" w:type="dxa"/>
            <w:vAlign w:val="bottom"/>
          </w:tcPr>
          <w:p>
            <w:pPr>
              <w:spacing w:after="0"/>
              <w:rPr>
                <w:sz w:val="22"/>
                <w:szCs w:val="22"/>
                <w:color w:val="auto"/>
              </w:rPr>
            </w:pPr>
          </w:p>
        </w:tc>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4300" w:type="dxa"/>
            <w:vAlign w:val="bottom"/>
            <w:gridSpan w:val="3"/>
            <w:shd w:val="clear" w:color="auto" w:fill="CFF0FC"/>
          </w:tcPr>
          <w:p>
            <w:pPr>
              <w:jc w:val="right"/>
              <w:ind w:right="55"/>
              <w:spacing w:after="0"/>
              <w:rPr>
                <w:sz w:val="20"/>
                <w:szCs w:val="20"/>
                <w:color w:val="auto"/>
              </w:rPr>
            </w:pPr>
            <w:r>
              <w:rPr>
                <w:rFonts w:ascii="Arial" w:cs="Arial" w:eastAsia="Arial" w:hAnsi="Arial"/>
                <w:sz w:val="18"/>
                <w:szCs w:val="18"/>
                <w:color w:val="auto"/>
              </w:rPr>
              <w:t>2,766,626</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2,190,360</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1"/>
                <w:szCs w:val="21"/>
                <w:color w:val="auto"/>
              </w:rPr>
            </w:pPr>
          </w:p>
        </w:tc>
        <w:tc>
          <w:tcPr>
            <w:tcW w:w="35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Warrants</w:t>
            </w:r>
          </w:p>
        </w:tc>
        <w:tc>
          <w:tcPr>
            <w:tcW w:w="3020" w:type="dxa"/>
            <w:vAlign w:val="bottom"/>
            <w:tcBorders>
              <w:bottom w:val="single" w:sz="8" w:color="CFF0FC"/>
            </w:tcBorders>
            <w:gridSpan w:val="2"/>
          </w:tcPr>
          <w:p>
            <w:pPr>
              <w:spacing w:after="0"/>
              <w:rPr>
                <w:sz w:val="21"/>
                <w:szCs w:val="21"/>
                <w:color w:val="auto"/>
              </w:rPr>
            </w:pP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2,034,643</w:t>
            </w: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3,750,833</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4"/>
                <w:szCs w:val="24"/>
                <w:color w:val="auto"/>
              </w:rPr>
            </w:pPr>
          </w:p>
        </w:tc>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4300" w:type="dxa"/>
            <w:vAlign w:val="bottom"/>
            <w:gridSpan w:val="3"/>
            <w:shd w:val="clear" w:color="auto" w:fill="CFF0FC"/>
          </w:tcPr>
          <w:p>
            <w:pPr>
              <w:jc w:val="right"/>
              <w:ind w:right="55"/>
              <w:spacing w:after="0"/>
              <w:rPr>
                <w:sz w:val="20"/>
                <w:szCs w:val="20"/>
                <w:color w:val="auto"/>
              </w:rPr>
            </w:pPr>
            <w:r>
              <w:rPr>
                <w:rFonts w:ascii="Arial" w:cs="Arial" w:eastAsia="Arial" w:hAnsi="Arial"/>
                <w:sz w:val="18"/>
                <w:szCs w:val="18"/>
                <w:color w:val="auto"/>
              </w:rPr>
              <w:t>4,801,269</w:t>
            </w:r>
          </w:p>
        </w:tc>
        <w:tc>
          <w:tcPr>
            <w:tcW w:w="1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5,941,193</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500" w:type="dxa"/>
            <w:vAlign w:val="bottom"/>
            <w:tcBorders>
              <w:top w:val="single" w:sz="8" w:color="CFF0FC"/>
            </w:tcBorders>
          </w:tcPr>
          <w:p>
            <w:pPr>
              <w:spacing w:after="0" w:line="20" w:lineRule="exact"/>
              <w:rPr>
                <w:sz w:val="1"/>
                <w:szCs w:val="1"/>
                <w:color w:val="auto"/>
              </w:rPr>
            </w:pPr>
          </w:p>
        </w:tc>
        <w:tc>
          <w:tcPr>
            <w:tcW w:w="2880" w:type="dxa"/>
            <w:vAlign w:val="bottom"/>
            <w:tcBorders>
              <w:top w:val="single" w:sz="8" w:color="CFF0FC"/>
              <w:bottom w:val="single" w:sz="8" w:color="CFF0FC"/>
            </w:tcBorders>
            <w:vMerge w:val="restart"/>
          </w:tcPr>
          <w:p>
            <w:pPr>
              <w:jc w:val="right"/>
              <w:ind w:right="1590"/>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2"/>
        </w:trPr>
        <w:tc>
          <w:tcPr>
            <w:tcW w:w="10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11. 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2018 Warrant Exercise Price Reduced</w:t>
      </w:r>
    </w:p>
    <w:p>
      <w:pPr>
        <w:spacing w:after="0" w:line="2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discussed in Note 6 above, the warrants issued by the Company in February 2018 include price-based anti-dilution provisions. On July 10, 2020, in accordance with the anti-dilution provision in the warrants, the exercise price of warrants to purchase an aggregate of 2,021,500 shares of common stock was reduced from $0.98 to $0.96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February 2018 Warrants</w:t>
      </w:r>
    </w:p>
    <w:p>
      <w:pPr>
        <w:spacing w:after="0" w:line="2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July 2020, warrants to purchase an aggregate of 126,000 shares of common stock were exercised at an exercise price of $0.96 per share resulting in gross proceeds to the Company of approximately $121,000 and reducing the number of February 2018 warrants outstanding to 1,895,500.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ATM </w:t>
      </w:r>
      <w:r>
        <w:rPr>
          <w:rFonts w:ascii="Arial" w:cs="Arial" w:eastAsia="Arial" w:hAnsi="Arial"/>
          <w:sz w:val="18"/>
          <w:szCs w:val="18"/>
          <w:b w:val="1"/>
          <w:bCs w:val="1"/>
          <w:color w:val="auto"/>
        </w:rPr>
        <w:t>Sales</w:t>
      </w:r>
    </w:p>
    <w:p>
      <w:pPr>
        <w:spacing w:after="0" w:line="2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Between July 1, 2020 and August 11, 2020, the Company sold an aggregate of 1,902,408 shares of common stock in "at-the-market" equity offerings and received aggregate net proceeds of approximately $2.3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Line</w:t>
      </w:r>
    </w:p>
    <w:p>
      <w:pPr>
        <w:spacing w:after="0" w:line="2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Between July 1, 2020 and August 11, 2020 the Company sold an aggregate of 1,000,000 shares of common stock to Lincoln Park under the Purchase Agreement and received aggregate net proceeds of approximately $1.1 million.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in conjunction with our interim consolidated financial statements and notes thereto included in this Quarterly Report on Form 10-Q and our audited financial statements and notes thereto for the year ended December 31, 2019 included in our Annual Report on Form 10-K for the year ended December 31, 2019, or our 2019 10 -K, filed with the Securities and Exchange Commission, or SEC, on March 27, 2020. Past operating results are not necessarily indicative of results that may occur in future periods.</w:t>
      </w:r>
    </w:p>
    <w:p>
      <w:pPr>
        <w:spacing w:after="0" w:line="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2019 10-K, and in our subsequent filings with the SEC, including any discussed in Part II, Item 1A of this report under the heading “Risk Factors,” which are incorporated herein by reference.</w:t>
      </w:r>
    </w:p>
    <w:p>
      <w:pPr>
        <w:spacing w:after="0" w:line="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Daré Bioscience</w:t>
      </w:r>
      <w:r>
        <w:rPr>
          <w:rFonts w:ascii="Arial" w:cs="Arial" w:eastAsia="Arial" w:hAnsi="Arial"/>
          <w:sz w:val="16"/>
          <w:szCs w:val="16"/>
          <w:color w:val="auto"/>
        </w:rPr>
        <w:t>®</w:t>
      </w:r>
      <w:r>
        <w:rPr>
          <w:rFonts w:ascii="Arial" w:cs="Arial" w:eastAsia="Arial" w:hAnsi="Arial"/>
          <w:sz w:val="18"/>
          <w:szCs w:val="18"/>
          <w:color w:val="auto"/>
        </w:rPr>
        <w:t xml:space="preserve"> is a registered trademark of Daré Bioscience, Inc. Ovaprene</w:t>
      </w:r>
      <w:r>
        <w:rPr>
          <w:rFonts w:ascii="Arial" w:cs="Arial" w:eastAsia="Arial" w:hAnsi="Arial"/>
          <w:sz w:val="16"/>
          <w:szCs w:val="16"/>
          <w:color w:val="auto"/>
        </w:rPr>
        <w:t>®</w:t>
      </w:r>
      <w:r>
        <w:rPr>
          <w:rFonts w:ascii="Arial" w:cs="Arial" w:eastAsia="Arial" w:hAnsi="Arial"/>
          <w:sz w:val="18"/>
          <w:szCs w:val="18"/>
          <w:color w:val="auto"/>
        </w:rPr>
        <w:t xml:space="preserve"> 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a clinical-stage biopharmaceutical company committed to the acceleration of innovative products for women’s health. We are driven by a mission to identify, acquire and develop a diverse portfolio of differentiated therapies that expand treatment options, improve outcomes and facilitate convenience for women, primarily in the areas of contraception, fertility, and sexual and vaginal health. Our business strategy is to in-license or otherwise acquire the rights to differentiated product candidates in our areas of focus, some of which have existing clinical proof-of-concept data, and to take those candidates through advanced stages of clinical development, and then out-license the products to companies with sales and distribution capabilities in women's health to leverage their commercial capabilities. We and our wholly owned subsidiaries operate in one business segment.</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Since July 2017, we have assembled a portfolio of clinical-stage and pre-clinical-stage candidates. While we will continue to assess opportunities to expand our portfolio, our current focus is on advancing our existing product candidates through mid- and late stages of clinical development or approval. Our global commercialization and development strategy involves partnering with pharmaceutical companies and regional distributors with established marketing and sales capabilities in women's health, including through co-development and promotion agreements, once we have advanced a candidate through mid- to late-stage clinical development.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includes three product candidates in advanced clinical development:</w:t>
      </w:r>
    </w:p>
    <w:p>
      <w:pPr>
        <w:spacing w:after="0" w:line="217" w:lineRule="exact"/>
        <w:rPr>
          <w:sz w:val="20"/>
          <w:szCs w:val="20"/>
          <w:color w:val="auto"/>
        </w:rPr>
      </w:pPr>
    </w:p>
    <w:p>
      <w:pPr>
        <w:ind w:left="1300" w:right="20" w:hanging="320"/>
        <w:spacing w:after="0" w:line="287" w:lineRule="auto"/>
        <w:tabs>
          <w:tab w:leader="none" w:pos="129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DARE-BV1</w:t>
      </w:r>
      <w:r>
        <w:rPr>
          <w:rFonts w:ascii="Arial" w:cs="Arial" w:eastAsia="Arial" w:hAnsi="Arial"/>
          <w:sz w:val="18"/>
          <w:szCs w:val="18"/>
          <w:color w:val="auto"/>
        </w:rPr>
        <w:t>, a novel thermosetting bioadhesive hydrogel formulated with clindamycin phosphate 2% to be administered in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vaginally delivered application, as a first line treatment for bacterial vaginosis, or BV;</w:t>
      </w:r>
    </w:p>
    <w:p>
      <w:pPr>
        <w:spacing w:after="0" w:line="44" w:lineRule="exact"/>
        <w:rPr>
          <w:rFonts w:ascii="Arial" w:cs="Arial" w:eastAsia="Arial" w:hAnsi="Arial"/>
          <w:sz w:val="18"/>
          <w:szCs w:val="18"/>
          <w:b w:val="1"/>
          <w:bCs w:val="1"/>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Ovaprene</w:t>
      </w:r>
      <w:r>
        <w:rPr>
          <w:rFonts w:ascii="Arial" w:cs="Arial" w:eastAsia="Arial" w:hAnsi="Arial"/>
          <w:sz w:val="18"/>
          <w:szCs w:val="18"/>
          <w:color w:val="auto"/>
        </w:rPr>
        <w:t>, a hormone-free, monthly vaginal contraceptive; and</w:t>
      </w:r>
    </w:p>
    <w:p>
      <w:pPr>
        <w:spacing w:after="0" w:line="117" w:lineRule="exact"/>
        <w:rPr>
          <w:rFonts w:ascii="Arial" w:cs="Arial" w:eastAsia="Arial" w:hAnsi="Arial"/>
          <w:sz w:val="18"/>
          <w:szCs w:val="18"/>
          <w:color w:val="auto"/>
        </w:rPr>
      </w:pPr>
    </w:p>
    <w:p>
      <w:pPr>
        <w:ind w:left="1300" w:right="20" w:hanging="320"/>
        <w:spacing w:after="0" w:line="287"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Sildenafil Cream, 3.6%</w:t>
      </w:r>
      <w:r>
        <w:rPr>
          <w:rFonts w:ascii="Arial" w:cs="Arial" w:eastAsia="Arial" w:hAnsi="Arial"/>
          <w:sz w:val="18"/>
          <w:szCs w:val="18"/>
          <w:color w:val="auto"/>
        </w:rPr>
        <w:t>, a proprietary cream formulation of sildenafil for topical administration to the vulva and vagina for</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female sexual arousal disorder, or FSAD.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also includes three product candidates in Phase 1 clinical development or that we believe are Phase 1-ready: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6" w:name="page27"/>
    <w:bookmarkEnd w:id="26"/>
    <w:p>
      <w:pPr>
        <w:ind w:left="1300" w:hanging="320"/>
        <w:spacing w:after="0" w:line="287" w:lineRule="auto"/>
        <w:tabs>
          <w:tab w:leader="none" w:pos="129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DARE-HRT1</w:t>
      </w:r>
      <w:r>
        <w:rPr>
          <w:rFonts w:ascii="Arial" w:cs="Arial" w:eastAsia="Arial" w:hAnsi="Arial"/>
          <w:sz w:val="18"/>
          <w:szCs w:val="18"/>
          <w:color w:val="auto"/>
        </w:rPr>
        <w:t>, a combination bio-identical estradiol and progesterone intravaginal ring for the treatment of menopausal</w:t>
      </w:r>
      <w:r>
        <w:rPr>
          <w:rFonts w:ascii="Arial" w:cs="Arial" w:eastAsia="Arial" w:hAnsi="Arial"/>
          <w:sz w:val="18"/>
          <w:szCs w:val="18"/>
          <w:b w:val="1"/>
          <w:bCs w:val="1"/>
          <w:color w:val="auto"/>
        </w:rPr>
        <w:t xml:space="preserve"> </w:t>
      </w:r>
      <w:r>
        <w:rPr>
          <w:rFonts w:ascii="Arial" w:cs="Arial" w:eastAsia="Arial" w:hAnsi="Arial"/>
          <w:sz w:val="18"/>
          <w:szCs w:val="18"/>
          <w:color w:val="auto"/>
        </w:rPr>
        <w:t>symptoms, including vasomotor symptoms, as part of a hormone replacement therapy, or HRT, following menopause;</w:t>
      </w:r>
    </w:p>
    <w:p>
      <w:pPr>
        <w:spacing w:after="0" w:line="125" w:lineRule="exact"/>
        <w:rPr>
          <w:rFonts w:ascii="Arial" w:cs="Arial" w:eastAsia="Arial" w:hAnsi="Arial"/>
          <w:sz w:val="18"/>
          <w:szCs w:val="18"/>
          <w:b w:val="1"/>
          <w:bCs w:val="1"/>
          <w:color w:val="auto"/>
        </w:rPr>
      </w:pPr>
    </w:p>
    <w:p>
      <w:pPr>
        <w:ind w:left="1300" w:hanging="320"/>
        <w:spacing w:after="0" w:line="28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DARE-FRT1</w:t>
      </w:r>
      <w:r>
        <w:rPr>
          <w:rFonts w:ascii="Arial" w:cs="Arial" w:eastAsia="Arial" w:hAnsi="Arial"/>
          <w:sz w:val="18"/>
          <w:szCs w:val="18"/>
          <w:color w:val="auto"/>
        </w:rPr>
        <w:t>, an intravaginal ring containing bio-identical progesterone for the prevention of preterm birth and for fertility</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as part of an in vitro fertilization treatment plan; and</w:t>
      </w:r>
    </w:p>
    <w:p>
      <w:pPr>
        <w:spacing w:after="0" w:line="44"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DARE-VVA1</w:t>
      </w:r>
      <w:r>
        <w:rPr>
          <w:rFonts w:ascii="Arial" w:cs="Arial" w:eastAsia="Arial" w:hAnsi="Arial"/>
          <w:sz w:val="18"/>
          <w:szCs w:val="18"/>
          <w:color w:val="auto"/>
        </w:rPr>
        <w:t>, a vaginally delivered formulation of tamoxifen to treat vulvar vaginal atrophy, or VVA, in patients with hormone-receptor positive breast cancer.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our portfolio includes these pre-clinical stage product candidates:</w:t>
      </w:r>
    </w:p>
    <w:p>
      <w:pPr>
        <w:spacing w:after="0" w:line="163" w:lineRule="exact"/>
        <w:rPr>
          <w:sz w:val="20"/>
          <w:szCs w:val="20"/>
          <w:color w:val="auto"/>
        </w:rPr>
      </w:pPr>
    </w:p>
    <w:p>
      <w:pPr>
        <w:ind w:left="1300" w:hanging="320"/>
        <w:spacing w:after="0" w:line="28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DARE-LARC1</w:t>
      </w:r>
      <w:r>
        <w:rPr>
          <w:rFonts w:ascii="Arial" w:cs="Arial" w:eastAsia="Arial" w:hAnsi="Arial"/>
          <w:sz w:val="18"/>
          <w:szCs w:val="18"/>
          <w:color w:val="auto"/>
        </w:rPr>
        <w:t>, a combination product designed to provide long-acting, reversible contraception comprising an implantable,</w:t>
      </w:r>
      <w:r>
        <w:rPr>
          <w:rFonts w:ascii="Arial" w:cs="Arial" w:eastAsia="Arial" w:hAnsi="Arial"/>
          <w:sz w:val="18"/>
          <w:szCs w:val="18"/>
          <w:b w:val="1"/>
          <w:bCs w:val="1"/>
          <w:color w:val="auto"/>
        </w:rPr>
        <w:t xml:space="preserve"> </w:t>
      </w:r>
      <w:r>
        <w:rPr>
          <w:rFonts w:ascii="Arial" w:cs="Arial" w:eastAsia="Arial" w:hAnsi="Arial"/>
          <w:sz w:val="18"/>
          <w:szCs w:val="18"/>
          <w:color w:val="auto"/>
        </w:rPr>
        <w:t>user-controlled wireless drug delivery system and levonorgestrel;</w:t>
      </w:r>
    </w:p>
    <w:p>
      <w:pPr>
        <w:spacing w:after="0" w:line="125" w:lineRule="exact"/>
        <w:rPr>
          <w:rFonts w:ascii="Arial" w:cs="Arial" w:eastAsia="Arial" w:hAnsi="Arial"/>
          <w:sz w:val="18"/>
          <w:szCs w:val="18"/>
          <w:color w:val="auto"/>
        </w:rPr>
      </w:pPr>
    </w:p>
    <w:p>
      <w:pPr>
        <w:ind w:left="1300" w:right="20" w:hanging="320"/>
        <w:spacing w:after="0" w:line="28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ORB-204 and ORB-214</w:t>
      </w:r>
      <w:r>
        <w:rPr>
          <w:rFonts w:ascii="Arial" w:cs="Arial" w:eastAsia="Arial" w:hAnsi="Arial"/>
          <w:sz w:val="18"/>
          <w:szCs w:val="18"/>
          <w:color w:val="auto"/>
        </w:rPr>
        <w:t>, injectable formulations of etonogestrel designed to provide contraception over 6-month and 12-month periods, respectively; and</w:t>
      </w:r>
    </w:p>
    <w:p>
      <w:pPr>
        <w:spacing w:after="0" w:line="112"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DARE-RH1</w:t>
      </w:r>
      <w:r>
        <w:rPr>
          <w:rFonts w:ascii="Arial" w:cs="Arial" w:eastAsia="Arial" w:hAnsi="Arial"/>
          <w:sz w:val="18"/>
          <w:szCs w:val="18"/>
          <w:color w:val="auto"/>
        </w:rPr>
        <w:t>, a novel approach to non-hormonal contraception for both men and women by targeting the CatSper ion</w:t>
      </w:r>
      <w:r>
        <w:rPr>
          <w:rFonts w:ascii="Arial" w:cs="Arial" w:eastAsia="Arial" w:hAnsi="Arial"/>
          <w:sz w:val="18"/>
          <w:szCs w:val="18"/>
          <w:b w:val="1"/>
          <w:bCs w:val="1"/>
          <w:color w:val="auto"/>
        </w:rPr>
        <w:t xml:space="preserve"> </w:t>
      </w:r>
      <w:r>
        <w:rPr>
          <w:rFonts w:ascii="Arial" w:cs="Arial" w:eastAsia="Arial" w:hAnsi="Arial"/>
          <w:sz w:val="18"/>
          <w:szCs w:val="18"/>
          <w:color w:val="auto"/>
        </w:rPr>
        <w:t>channel.</w:t>
      </w:r>
    </w:p>
    <w:p>
      <w:pPr>
        <w:spacing w:after="0" w:line="13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primary operations have consisted of, and are expected to continue to consist of, product research and development and advancing our portfolio of product candidates through clinical development and regulatory approval. We expect that the majority of our development expenses in 2020 and 2021 will support the advancement of DARE-BV1, Ovaprene and Sildenafil Cream, 3.6%.</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we have not obtained any regulatory approvals for any of our product candidates, commercialized any of our product candidates or generated any product revenue. We are subject to several risks common to clinical-stage biopharmaceutical companies, including dependence on key individuals, competition from other companies, the need to develop commercially viable products in a timely and cost-effective manner, and the need to obtain adequate additional capital to fund the development of product candidates. We are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dependence on third parties, and product liability.</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In addition, the COVID-19 pandemic continues to rapidly evolve. We do not yet know the full extent of its potential effects on our business, including the anticipated aggregate costs for development of our product candidates, on our anticipated timelines for the development of our product candidates, or on the supply chain for our clinical supplies. However, these effects could have a material adverse impact on our business and financial condition. See the risk factor titled, </w:t>
      </w:r>
      <w:r>
        <w:rPr>
          <w:rFonts w:ascii="Arial" w:cs="Arial" w:eastAsia="Arial" w:hAnsi="Arial"/>
          <w:sz w:val="18"/>
          <w:szCs w:val="18"/>
          <w:i w:val="1"/>
          <w:iCs w:val="1"/>
          <w:color w:val="auto"/>
        </w:rPr>
        <w:t>The novel coronavirus (COVID-19) pandemic and efforts to reduce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its spread could negatively impact our business, including by increasing the cost and timelines for our clinical development programs, </w:t>
      </w:r>
      <w:r>
        <w:rPr>
          <w:rFonts w:ascii="Arial" w:cs="Arial" w:eastAsia="Arial" w:hAnsi="Arial"/>
          <w:sz w:val="18"/>
          <w:szCs w:val="18"/>
          <w:color w:val="auto"/>
        </w:rPr>
        <w:t>in Part</w:t>
      </w:r>
      <w:r>
        <w:rPr>
          <w:rFonts w:ascii="Arial" w:cs="Arial" w:eastAsia="Arial" w:hAnsi="Arial"/>
          <w:sz w:val="18"/>
          <w:szCs w:val="18"/>
          <w:i w:val="1"/>
          <w:iCs w:val="1"/>
          <w:color w:val="auto"/>
        </w:rPr>
        <w:t xml:space="preserve"> </w:t>
      </w:r>
      <w:r>
        <w:rPr>
          <w:rFonts w:ascii="Arial" w:cs="Arial" w:eastAsia="Arial" w:hAnsi="Arial"/>
          <w:sz w:val="18"/>
          <w:szCs w:val="18"/>
          <w:color w:val="auto"/>
        </w:rPr>
        <w:t>II, Item 1A. Risk Factors of this report</w:t>
      </w:r>
      <w:r>
        <w:rPr>
          <w:rFonts w:ascii="Arial" w:cs="Arial" w:eastAsia="Arial" w:hAnsi="Arial"/>
          <w:sz w:val="18"/>
          <w:szCs w:val="18"/>
          <w:i w:val="1"/>
          <w:iCs w:val="1"/>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Stage Product Candidates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DARE-BV1</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June 2020, we commenced a Phase 3, multicenter, randomized, double-blind, placebo-controlled study of DARE-BV1 (clindamycin phosphate vaginal gel, 2%) for the treatment of BV, or the DARE-BVFREE (DARE-BV1-001) study. We expect to enroll approximately 240 postmenarchal women, ages 12 and above, at approximately 40 sites in the United States. The primary efficacy endpoint of the study is clinical cure of BV at the evaluation visit to occur 21 to 30 days after enrollment in the study, or the Day 21-30 visit, with clinical cure defined as meeting three criteria (derived from the Amsel criteria): resolution of abnormal vaginal discharge associated with BV as confirmed by the investigator; a negative 10% potassium hydroxide (KOH) "whiff test"; and the presence of clue cells at less than 20% of total epithelial cells in a saline wet mount. If the study's rate of enrollment occurs as we currently expect, then we anticipate having topline data from this study by year-end 2020. If the DARE-BVFREE clinical study is successfully completed on the anticipated timeline, we expect to be in a position to file a new drug application, or NDA, with the FDA in early 2021.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7" w:name="page28"/>
    <w:bookmarkEnd w:id="27"/>
    <w:p>
      <w:pPr>
        <w:jc w:val="both"/>
        <w:ind w:firstLine="648"/>
        <w:spacing w:after="0" w:line="261" w:lineRule="auto"/>
        <w:rPr>
          <w:sz w:val="20"/>
          <w:szCs w:val="20"/>
          <w:color w:val="auto"/>
        </w:rPr>
      </w:pPr>
      <w:r>
        <w:rPr>
          <w:rFonts w:ascii="Arial" w:cs="Arial" w:eastAsia="Arial" w:hAnsi="Arial"/>
          <w:sz w:val="18"/>
          <w:szCs w:val="18"/>
          <w:color w:val="auto"/>
        </w:rPr>
        <w:t>We anticipate that the aggregate costs of the DARE-BV1 program through NDA filing, including the DARE-BV1FREE study, planned nonclinical studies, manufacturing activities for the program through filing of the NDA, and the NDA filing, will be approximately $10.0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Ovaprene</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Based on the positive results of our postcoital test (PCT) clinical trial of Ovaprene, topline data from which was announced in November 2019, and with the support of Bayer under the commercial license agreement we executed in January 2020, we are conducting activities to support submission of an Investigational Device Exemption application, or IDE, to the FDA for a pivotal clinical study of Ovaprene. We are designing that study to evaluate the safety and efficacy of Ovaprene to prevent pregnancy when used over a period of 12 months by approximately 250 women and will seek to confirm alignment with the FDA on the study's design prior to commencement. We are conducting development activities prior to commencement of the planned pivotal study of Ovaprene that we believe will continue to advance this program and enable us to report topline data for the pivotal clinical study by year-end 2022. If successful, we expect the study's data to support a premarket approval, or PMA, submission to the FDA, as well as marketing approvals of Ovaprene in Europe and other countries worldwide.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Sildenafil Cream, 3.6%</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Sildenafil Cream, 3.6% is in Phase 2b clinical development for FSAD. In December 2019, we announced that, we reached alignment with the FDA on the design of our Phase 2b clinical trial, including the patient reported outcome, or PRO, instruments to be used to screen eligible patients with FSAD and to measure achievement of the primary efficacy endpoints, namely improvement in localized genital sensations of arousal and reduction in the distress that women with FSAD experience. The Phase 2b trial is designed to evaluate Sildenafil Cream, 3.6% compared to placebo cream over 12 weeks of dosing following both a non-drug and placebo run-in period. In light of disruptions resulting from the COVID-19 pandemic, we are evaluating the optimal time to commence enrollment in the Phase 2b trial to support projected topline data for the Phase 2b trial by year-end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DARE-HRT1</w:t>
      </w:r>
    </w:p>
    <w:p>
      <w:pPr>
        <w:spacing w:after="0" w:line="20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July 2020, our wholly-owned Australian subsidiary commenced a Phase 1 open-label, three-arm, parallel group clinical study of DARE-HRT1 in Australia to evaluate the pharmacokinetics, or PK, and safety of DARE-HRT1 in approximately 30 healthy, post-menopausal women, at specialty women's health sites in Australia. The primary objective of the study is to describe the PK parameters of two different dose combinations (estradiol 80 µg/progesterone 4 mg IVR and estradiol 160 µg/progesterone 8 mg IVR) over 28 days. Secondary endpoints of the study include assessing the safety and tolerability of DARE-HRT1 and comparing the exposure of estradiol, estrone, and progesterone of DARE-HRT1 over 28 days against a daily combination of oral estrogen (Estrofem®) and oral progesterone (Prometrium®). If the study's rate of enrollment occurs as we currently expect, then we anticipate having topline data from this study in the first half of 2021. We anticipate that the aggregate costs of the DARE-HRT1 Phase 1 clinical study will be approximately $2.5 million. Currently, Australia's research and development tax incentive, or R&amp;DTI, gives 43.5% of every dollar spent by eligible companies on eligible R&amp;D activities back to those companies in a cash payment. At the conclusion of the Phase 1 study, Daré’s subsidiary intends to apply for the maximum refundable cash credit then available under the Australian R&amp;DTI program for eligible study costs incurred.</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 xml:space="preserve">Our currently anticipated timelines and aggregate costs for the development of our product candidates could be delayed and could increase as a result of the COVID-19 pandemic. See the risk factor titled, </w:t>
      </w:r>
      <w:r>
        <w:rPr>
          <w:rFonts w:ascii="Arial" w:cs="Arial" w:eastAsia="Arial" w:hAnsi="Arial"/>
          <w:sz w:val="18"/>
          <w:szCs w:val="18"/>
          <w:i w:val="1"/>
          <w:iCs w:val="1"/>
          <w:color w:val="auto"/>
        </w:rPr>
        <w:t>The novel coronavirus (COVID-19) pandemic and efforts to reduce</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its spread could negatively impact our business, including by increasing the cost and timelines for our clinical development programs, </w:t>
      </w:r>
      <w:r>
        <w:rPr>
          <w:rFonts w:ascii="Arial" w:cs="Arial" w:eastAsia="Arial" w:hAnsi="Arial"/>
          <w:sz w:val="18"/>
          <w:szCs w:val="18"/>
          <w:color w:val="auto"/>
        </w:rPr>
        <w:t>in Part</w:t>
      </w:r>
      <w:r>
        <w:rPr>
          <w:rFonts w:ascii="Arial" w:cs="Arial" w:eastAsia="Arial" w:hAnsi="Arial"/>
          <w:sz w:val="18"/>
          <w:szCs w:val="18"/>
          <w:i w:val="1"/>
          <w:iCs w:val="1"/>
          <w:color w:val="auto"/>
        </w:rPr>
        <w:t xml:space="preserve"> </w:t>
      </w:r>
      <w:r>
        <w:rPr>
          <w:rFonts w:ascii="Arial" w:cs="Arial" w:eastAsia="Arial" w:hAnsi="Arial"/>
          <w:sz w:val="18"/>
          <w:szCs w:val="18"/>
          <w:color w:val="auto"/>
        </w:rPr>
        <w:t>II, Item 1A. Risk Factors of this report.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Recent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Line</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April 22, 2020, we entered into a purchase agreement, or the Purchase Agreement, and a registration rights agreement with Lincoln Park Capital Fund, LLC, or Lincoln Park. Under the terms and subject to the conditions of the Purchase Agreement, we may sell to Lincoln Park up to $15.0 million in shares of our common stock. Such sales of our common stock may occur from time to time, at our sole discretion subject to certain limitations, until May 19, 2023. On April 22, 2020, in accordance with the Purchase Agreement, we issued 285,714 shares of our common stock, or the Commitment Shares, to Lincoln Park in consideration for its commitment to purchase shares under the Purchase Agreement. We filed a registration statement on Form S-1 (File No. 333-237954) to register the resale by Lincoln Park of up to 7.5 million shares of the Company’s common stock issued or issuable to Lincoln Park under the Purchase Agreement, including the Commitment Shares, and such registration statement was declared effective by the SEC on May 12, 2020.</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incurred legal, accounting, and other fees related to the Purchase Agreement of approximately $374,000. These costs are amortized and expensed as shares are sold under the Purchase Agreement and as of June 30, 2020 there was $351,000 of unamortized costs. During the three months ended June 30, 2020, we sold and Lincoln Park purchased 882,000 shares under the Purchase Agreement for gross proceeds of approximately $911,000 and incurred offering expenses of approximately $23,000.</w:t>
      </w:r>
    </w:p>
    <w:p>
      <w:pPr>
        <w:spacing w:after="0" w:line="1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Purchase Agreement, on any business day until May 19, 2023, we may direct Lincoln Park to purchase up to 200,000 shares of our common stock, each, a Regular Purchase. We may increase the share amount we direct Lincoln Park to purchase under a Regular Purchase to up to 250,000 shares or up to 300,000 shares if the closing sale price of our common stock is not below $1.50 or $3.00, respectively, on the business day on which we initiate the purchase, subject to adjustment for any reorganization, recapitalization, non-cash dividend, stock split or other similar transaction as provided in the Purchase Agreement. However, Lincoln Park’s maximum commitment in any single Regular Purchase may not exceed $1.0 million. The purchase price per share for each Regular Purchase will be the lower of (i) the lowest sale price of our common stock on the business day on which we initiate the purchase and (ii) the average of the three lowest closing sale prices of our common stock during the 10-business day period immediately preceding the business day on which we initiate the purchase. In addition to Regular Purchases, we may also direct Lincoln Park to purchase other amounts of common stock as accelerated purchases and as additional accelerated purchases, subject to limits specified in the Purchase Agreement, at a purchase price per share calculated as specified in the Purchase Agreement, but in no case lower than the minimum price per share we stipulate in our notice to Lincoln Park initiating these purchases.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Sales of shares of our common stock to Lincoln Park under the Purchase Agreement will depend on a variety of factors to be determined by us from time to time, including, among others, market conditions, the trading price of our common stock and our determination as to the appropriate sources of funding for our operations. The net proceeds we receive under the Purchase Agreement will depend on the frequency and prices at which we sell shares to Lincoln Park. We expect that any proceeds we receive from such sales will be used for working capital and general corporate purposes.</w:t>
      </w:r>
    </w:p>
    <w:p>
      <w:pPr>
        <w:spacing w:after="0" w:line="16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under applicable Nasdaq rules, we may not issue or sell to Lincoln Park under the Purchase Agreement more than 4,941,089 shares of our common stock, which we refer to as the Exchange Cap, unless (i) we obtain stockholder approval to issue shares in excess of the Exchange Cap or (ii) the average price of all applicable sales of our common stock to Lincoln Park under the Purchase Agreement equals or exceeds $ 1.0117 (which represents the closing sale price per share of our common stock on the day before we entered into the Purchase Agreement, plus an incremental amount). In addition, we may not sell shares to Lincoln Park under the Purchase Agreement if such sale would result in Lincoln Park beneficially owning more than 9.99% of our then outstanding shares of common stock.</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2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 xml:space="preserve">We closely monitor the COVID-19 pandemic and actions taken in the United States and other countries to contain and treat the disease and aid economic recovery, and we continue to assess the potential impact on our employees, operations, including our clinical trials, business strategy and financial condition and performance. In response to the spread of COVID-19, in March 2020 we implemented work-from-home and restricted travel policies and, subsequently, the governors of California and Massachusetts, where we have operations, issued statewide stay-at-home orders. While we have systems and technologies in place to enable our employees to work from home, productivity may be adversely impacted and challenge our ability to effectively manage and operate our business. In addition, many of our consultants, partners and vendors on which we rely heavily are subject to similar work and travel restrictions that may adversely impact their ability to perform contracted services in a timely manner or at all. In May 2020, we modified our work-from-home policy such that some of our personnel returned to working in our facilities for a portion or all of their working time. We expect to continue to modify our work-from-home and restricted travel policies as the COVID-19 pandemic and state and local stay-at-home orders evolve. The effect of the COVID-19 pandemic and its associated restrictions may increase the anticipated aggregate costs for the development of our product candidates and may adversely impact our anticipated timelines for the development of our product candidates by, among other things, causing disruptions in the supply chain for our clinical supplies, delays in the timing and pace of subject enrollment in our clinical trials and lower than anticipated subject enrollment and completion rates, delays in the review and approval of our regulatory submissions by the FDA and other agencies with respect to our product candidates, and other unforeseen disruptions. The economic impact of the COVID-19 pandemic and the uncertainty and volatility in the capital markets it has caused and may continue to cause may negatively impact investor sentiment and the availability and cost of capital, and may adversely impact our ability to raise capital when needed or on terms favorable to us and our stockholders to fund our development programs and our operations. We do not yet know the full extent of potential delays or impacts on our business, clinical trial activities, ability to access capital or on healthcare systems or the global economy as a whole. However, these effects could have a material adverse impact on our business and financial condition. See the risk factor titled, </w:t>
      </w:r>
      <w:r>
        <w:rPr>
          <w:rFonts w:ascii="Arial" w:cs="Arial" w:eastAsia="Arial" w:hAnsi="Arial"/>
          <w:sz w:val="18"/>
          <w:szCs w:val="18"/>
          <w:i w:val="1"/>
          <w:iCs w:val="1"/>
          <w:color w:val="auto"/>
        </w:rPr>
        <w:t>The novel coronavirus (COVID-19)</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pandemic and efforts to reduce its spread could negatively impact our business, including by increasing the cost and timelines for our clinical development programs, </w:t>
      </w:r>
      <w:r>
        <w:rPr>
          <w:rFonts w:ascii="Arial" w:cs="Arial" w:eastAsia="Arial" w:hAnsi="Arial"/>
          <w:sz w:val="18"/>
          <w:szCs w:val="18"/>
          <w:color w:val="auto"/>
        </w:rPr>
        <w:t>in Part II, Item 1A. Risk Factors of this report.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Financial Overview</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incurred a loss of approximately $11.4 million for the six months ended June 30, 2020. As of June 30, 2020, we had an accumulated deficit of approximately $55.4 million and cash and cash equivalents of approximately $5.3 million. We also had negative cash flow from operations of approximately $10.7 million during the six months ended June 30, 2020. We will need to raise substantial additional capital to continue to fund our operations and to successfully execute our current operating plan, including the development of our current product candidates. The amount and timing of future funding will depend on many factors, including the pace and results of our clinical development efforts. If we do not raise capital as and when needed, we will not be able to continue development of our product candidates or we will be required to delay, scale back or eliminate some or all of our development programs or cease operations. For additional information regarding our ability to continue as a going concern, see Note 1 to our unaudited interim consolidated financial statements contained in this report and “Liquidity and Capital Resources and Financial Condition,”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we have not generated any revenue. In the future, and if we are successful in advancing our product candidates through late stages of clinical development, we may generate revenue from license fees, milestone payments, research and development payments in connection with strategic partnerships, as well as royalties and commercial milestones resulting from the sale of products. Our ability to generate such revenue will depend on the successful clinical development of our product candidates, the receipt of regulatory approvals to market such products and the eventual successful commercialization of product candidates. If we fail to complete the development of product candidates in a timely manner, or to receive regulatory approval for such product candidates, our ability to generate future revenue and our results of operations would be materially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spacing w:after="0" w:line="94" w:lineRule="exact"/>
        <w:rPr>
          <w:sz w:val="20"/>
          <w:szCs w:val="20"/>
          <w:color w:val="auto"/>
        </w:rPr>
      </w:pPr>
    </w:p>
    <w:p>
      <w:pPr>
        <w:ind w:left="1460" w:hanging="399"/>
        <w:spacing w:after="0" w:line="261" w:lineRule="auto"/>
        <w:tabs>
          <w:tab w:leader="none" w:pos="14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incurred under agreements with consultants and clinical trial sites that conduct research and development activities on our behalf;</w:t>
      </w:r>
    </w:p>
    <w:p>
      <w:pPr>
        <w:spacing w:after="0" w:line="89" w:lineRule="exact"/>
        <w:rPr>
          <w:rFonts w:ascii="Arial" w:cs="Arial" w:eastAsia="Arial" w:hAnsi="Arial"/>
          <w:sz w:val="18"/>
          <w:szCs w:val="18"/>
          <w:color w:val="auto"/>
        </w:rPr>
      </w:pPr>
    </w:p>
    <w:p>
      <w:pPr>
        <w:ind w:left="1460" w:hanging="399"/>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nonclinical studies and clinical trials;</w:t>
      </w:r>
    </w:p>
    <w:p>
      <w:pPr>
        <w:spacing w:after="0" w:line="63" w:lineRule="exact"/>
        <w:rPr>
          <w:rFonts w:ascii="Arial" w:cs="Arial" w:eastAsia="Arial" w:hAnsi="Arial"/>
          <w:sz w:val="18"/>
          <w:szCs w:val="18"/>
          <w:color w:val="auto"/>
        </w:rPr>
      </w:pPr>
    </w:p>
    <w:p>
      <w:pPr>
        <w:ind w:left="1460" w:hanging="399"/>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 manufacturing expenses, primarily for the production of clinical supplies;</w:t>
      </w:r>
    </w:p>
    <w:p>
      <w:pPr>
        <w:spacing w:after="0" w:line="63" w:lineRule="exact"/>
        <w:rPr>
          <w:rFonts w:ascii="Arial" w:cs="Arial" w:eastAsia="Arial" w:hAnsi="Arial"/>
          <w:sz w:val="18"/>
          <w:szCs w:val="18"/>
          <w:color w:val="auto"/>
        </w:rPr>
      </w:pPr>
    </w:p>
    <w:p>
      <w:pPr>
        <w:ind w:left="1460" w:right="20" w:hanging="399"/>
        <w:spacing w:after="0" w:line="261" w:lineRule="auto"/>
        <w:tabs>
          <w:tab w:leader="none" w:pos="14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transaction costs related to the acquisitions of companies, technologies and related intellectual property, and other assets; and</w:t>
      </w:r>
    </w:p>
    <w:p>
      <w:pPr>
        <w:spacing w:after="0" w:line="35" w:lineRule="exact"/>
        <w:rPr>
          <w:rFonts w:ascii="Arial" w:cs="Arial" w:eastAsia="Arial" w:hAnsi="Arial"/>
          <w:sz w:val="18"/>
          <w:szCs w:val="18"/>
          <w:color w:val="auto"/>
        </w:rPr>
      </w:pPr>
    </w:p>
    <w:p>
      <w:pPr>
        <w:ind w:left="1460" w:hanging="399"/>
        <w:spacing w:after="0" w:line="261" w:lineRule="auto"/>
        <w:tabs>
          <w:tab w:leader="none" w:pos="14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internal costs that are associated with activities performed by our research and development organization and generally benefit multiple programs.</w:t>
      </w:r>
    </w:p>
    <w:p>
      <w:pPr>
        <w:spacing w:after="0" w:line="1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expect research and development expenses to increase in the future as we continue to invest in the development of our clinical-stage product candidates and as any other potential product candidates we may develop are advanced into and through clinical trials in the pursuit of regulatory approvals. Such activities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Conducting clinical trials necessary to obtain regulatory approval is costly and time consuming. We may not obtain regulatory approval for any product candidate on a timely and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6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Management’s discussion and analysis of financial condition and results of operations is based on our interim consolidated financial statements, which have been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unaudited consolidated interim financial statements, refer to Item 7 in Management’s Discussion and Analysis of Financial Condition and Results of Operations, Note 1 to our financial statements contained in our 2019 10-K, and Note 2 to our unaudited interim consolidated financial statements contained in this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2020 and 2019 (Unaudited)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for the periods indicated, together with the changes in those items in dollars:</w:t>
      </w:r>
    </w:p>
    <w:p>
      <w:pPr>
        <w:spacing w:after="0" w:line="240" w:lineRule="exact"/>
        <w:rPr>
          <w:sz w:val="20"/>
          <w:szCs w:val="20"/>
          <w:color w:val="auto"/>
        </w:rPr>
      </w:pPr>
    </w:p>
    <w:tbl>
      <w:tblPr>
        <w:tblLayout w:type="fixed"/>
        <w:tblInd w:w="92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1120" w:type="dxa"/>
            <w:vAlign w:val="bottom"/>
          </w:tcPr>
          <w:p>
            <w:pPr>
              <w:jc w:val="right"/>
              <w:ind w:right="393"/>
              <w:spacing w:after="0"/>
              <w:rPr>
                <w:sz w:val="20"/>
                <w:szCs w:val="20"/>
                <w:color w:val="auto"/>
              </w:rPr>
            </w:pPr>
            <w:r>
              <w:rPr>
                <w:rFonts w:ascii="Arial" w:cs="Arial" w:eastAsia="Arial" w:hAnsi="Arial"/>
                <w:sz w:val="14"/>
                <w:szCs w:val="14"/>
                <w:b w:val="1"/>
                <w:bCs w:val="1"/>
                <w:color w:val="auto"/>
              </w:rPr>
              <w:t>Dollar</w:t>
            </w:r>
          </w:p>
        </w:tc>
      </w:tr>
      <w:tr>
        <w:trPr>
          <w:trHeight w:val="210"/>
        </w:trPr>
        <w:tc>
          <w:tcPr>
            <w:tcW w:w="49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r>
      <w:tr>
        <w:trPr>
          <w:trHeight w:val="24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0"/>
        </w:trPr>
        <w:tc>
          <w:tcPr>
            <w:tcW w:w="49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1,557,548</w:t>
            </w:r>
          </w:p>
        </w:tc>
        <w:tc>
          <w:tcPr>
            <w:tcW w:w="1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1,307,379</w:t>
            </w:r>
          </w:p>
        </w:tc>
        <w:tc>
          <w:tcPr>
            <w:tcW w:w="1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250,169</w:t>
            </w:r>
          </w:p>
        </w:tc>
      </w:tr>
      <w:tr>
        <w:trPr>
          <w:trHeight w:val="263"/>
        </w:trPr>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5,547,450</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2,512,572</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3,034,878</w:t>
            </w:r>
          </w:p>
        </w:tc>
      </w:tr>
      <w:tr>
        <w:trPr>
          <w:trHeight w:val="250"/>
        </w:trPr>
        <w:tc>
          <w:tcPr>
            <w:tcW w:w="4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License fees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20,833</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162,500</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(141,667)</w:t>
            </w:r>
          </w:p>
        </w:tc>
      </w:tr>
      <w:tr>
        <w:trPr>
          <w:trHeight w:val="256"/>
        </w:trPr>
        <w:tc>
          <w:tcPr>
            <w:tcW w:w="4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7,125,831</w:t>
            </w:r>
          </w:p>
        </w:tc>
        <w:tc>
          <w:tcPr>
            <w:tcW w:w="1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3,982,451</w:t>
            </w: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3,143,380</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(7,125,831)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(3,982,451)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(3,143,380)</w:t>
            </w:r>
          </w:p>
        </w:tc>
      </w:tr>
      <w:tr>
        <w:trPr>
          <w:trHeight w:val="26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1,618</w:t>
            </w:r>
          </w:p>
        </w:tc>
        <w:tc>
          <w:tcPr>
            <w:tcW w:w="1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30,001</w:t>
            </w: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(28,383)</w:t>
            </w:r>
          </w:p>
        </w:tc>
      </w:tr>
      <w:tr>
        <w:trPr>
          <w:trHeight w:val="24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(7,124,213)</w:t>
            </w: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(3,952,450)</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(3,171,763)</w:t>
            </w:r>
          </w:p>
        </w:tc>
      </w:tr>
      <w:tr>
        <w:trPr>
          <w:trHeight w:val="21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Deemed dividend from trigger of down round provision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feature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(789,594)</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789,594</w:t>
            </w:r>
          </w:p>
        </w:tc>
      </w:tr>
      <w:tr>
        <w:trPr>
          <w:trHeight w:val="244"/>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to common shareholders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(7,124,213)</w:t>
            </w:r>
          </w:p>
        </w:tc>
        <w:tc>
          <w:tcPr>
            <w:tcW w:w="140" w:type="dxa"/>
            <w:vAlign w:val="bottom"/>
            <w:tcBorders>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(4,742,044)</w:t>
            </w: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(2,382,169)</w:t>
            </w:r>
          </w:p>
        </w:tc>
      </w:tr>
      <w:tr>
        <w:trPr>
          <w:trHeight w:val="24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0"/>
        </w:trPr>
        <w:tc>
          <w:tcPr>
            <w:tcW w:w="4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12,090</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(7,917)</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20,007</w:t>
            </w:r>
          </w:p>
        </w:tc>
      </w:tr>
      <w:tr>
        <w:trPr>
          <w:trHeight w:val="275"/>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(7,112,123)</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(4,749,961)</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(2,362,162)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recognize any revenues for either of the three months ended June 30, 2020 or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increase of $ 250,169 in general and administrative expenses for the three months ended June 30, 2020 as compared to the three months ended June 30, 2019 was primarily attributable to (i) an increase in personnel costs of approximately $111,000, (ii) an increase in rent and facilities expenses of approximately $66,000 due to the addition of two leases when we acquired Microchips in November 2019, and (iii) an increase in stock-based compensation expense of approximately $43,000.</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increase of $3.0 million in research and development expenses for the three months ended June 30, 2020 as compared to the three months ended June 30, 2019 was primarily attributable to (i) an increase in costs related to development activities of approximately $3.6 million for DARE-BV1 and Ovaprene, including decreased grant funding recorded as a reduction to research and development expenses of approximately $290,000 related to Ovaprene, (ii) an increase in costs related to pre-clinical development activities of approximately $719,000 for DARE-LARC1, which we acquired in November 2019, and (iii) an increase in personnel costs of approximately $332,000. These increases were partially offset by, (a) an increase in grant funding recorded as a reduction to research and development expenses of approximately $719,000 related to preclinical expenses for DARE-LARC1, and (b) a decrease in costs related to development activities of approximately $737,000 for Sildenafil Cream, 3.6% and DARE-HRT1.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the three months ended June 30, 2020 we accrued $20,833 of the $100,000 annual license maintenance fee payable in the second quarter of 2021 under our license agreement related to DARE-HRT1.</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the three months ended June 30, 2019 we accrued $ 162,500 of license expenses comprised of the $112,500 of deferred license fees due under our license agreement related to DARE-BV1 and the $50,000 annual license maintenance fee payable in the second quarter of 2020 under our license agreement related to DARE-HRT1.</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discussion of these license fees, see Note 3 to our unaudited interim consolidated financial statements contained in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decrease of $28,383 in other income for the three months ended June 30, 2020 as compared to the three months ended June 30, 2019 was primarily due to a decrease in interest earned on cash balances in the current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2020 and 2019 (Unaudited)</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for the periods indicated, together with the changes in those items in dollars:</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Pr>
          <w:p>
            <w:pPr>
              <w:spacing w:after="0"/>
              <w:rPr>
                <w:sz w:val="17"/>
                <w:szCs w:val="17"/>
                <w:color w:val="auto"/>
              </w:rPr>
            </w:pPr>
          </w:p>
        </w:tc>
        <w:tc>
          <w:tcPr>
            <w:tcW w:w="1120" w:type="dxa"/>
            <w:vAlign w:val="bottom"/>
          </w:tcPr>
          <w:p>
            <w:pPr>
              <w:jc w:val="right"/>
              <w:ind w:right="393"/>
              <w:spacing w:after="0"/>
              <w:rPr>
                <w:sz w:val="20"/>
                <w:szCs w:val="20"/>
                <w:color w:val="auto"/>
              </w:rPr>
            </w:pPr>
            <w:r>
              <w:rPr>
                <w:rFonts w:ascii="Arial" w:cs="Arial" w:eastAsia="Arial" w:hAnsi="Arial"/>
                <w:sz w:val="14"/>
                <w:szCs w:val="14"/>
                <w:b w:val="1"/>
                <w:bCs w:val="1"/>
                <w:color w:val="auto"/>
              </w:rPr>
              <w:t>Dollar</w:t>
            </w:r>
          </w:p>
        </w:tc>
      </w:tr>
      <w:tr>
        <w:trPr>
          <w:trHeight w:val="209"/>
        </w:trPr>
        <w:tc>
          <w:tcPr>
            <w:tcW w:w="48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0"/>
        </w:trPr>
        <w:tc>
          <w:tcPr>
            <w:tcW w:w="486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3,419,313</w:t>
            </w:r>
          </w:p>
        </w:tc>
        <w:tc>
          <w:tcPr>
            <w:tcW w:w="1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2,584,559</w:t>
            </w:r>
          </w:p>
        </w:tc>
        <w:tc>
          <w:tcPr>
            <w:tcW w:w="1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834,754</w:t>
            </w:r>
          </w:p>
        </w:tc>
      </w:tr>
      <w:tr>
        <w:trPr>
          <w:trHeight w:val="263"/>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7,927,254</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4,205,963</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3,721,291</w:t>
            </w:r>
          </w:p>
        </w:tc>
      </w:tr>
      <w:tr>
        <w:trPr>
          <w:trHeight w:val="250"/>
        </w:trPr>
        <w:tc>
          <w:tcPr>
            <w:tcW w:w="4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License fees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33,333</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275,000</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(241,667)</w:t>
            </w:r>
          </w:p>
        </w:tc>
      </w:tr>
      <w:tr>
        <w:trPr>
          <w:trHeight w:val="257"/>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11,379,900</w:t>
            </w:r>
          </w:p>
        </w:tc>
        <w:tc>
          <w:tcPr>
            <w:tcW w:w="1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7,065,522</w:t>
            </w: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4,314,378</w:t>
            </w:r>
          </w:p>
        </w:tc>
      </w:tr>
      <w:tr>
        <w:trPr>
          <w:trHeight w:val="24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(11,379,900)</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(7,065,522)</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(4,314,378)</w:t>
            </w:r>
          </w:p>
        </w:tc>
      </w:tr>
      <w:tr>
        <w:trPr>
          <w:trHeight w:val="25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3,439</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61,232</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(57,793)</w:t>
            </w:r>
          </w:p>
        </w:tc>
      </w:tr>
      <w:tr>
        <w:trPr>
          <w:trHeight w:val="25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(11,376,461)</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(7,004,290)</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(4,372,171)</w:t>
            </w:r>
          </w:p>
        </w:tc>
      </w:tr>
      <w:tr>
        <w:trPr>
          <w:trHeight w:val="215"/>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Deemed dividend from trigger of down round provision</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feature</w:t>
            </w: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(789,594)</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789,594</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Net loss to common shareholders</w:t>
            </w: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(11,376,461)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(7,793,884)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(3,582,577)</w:t>
            </w:r>
          </w:p>
        </w:tc>
      </w:tr>
      <w:tr>
        <w:trPr>
          <w:trHeight w:val="263"/>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4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(10,854)</w:t>
            </w: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(296)</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(10,558)</w:t>
            </w:r>
          </w:p>
        </w:tc>
      </w:tr>
      <w:tr>
        <w:trPr>
          <w:trHeight w:val="275"/>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(11,387,315)</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(7,794,180)</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(3,593,135)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recognize any revenues for either of the six months ended June 30, 2020 or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increase of $834,754 in general and administrative expenses for the six months ended June 30, 2020 as compared to the six months ended June 30, 2019 was primarily attributable to (i) an increase in expenses for professional services of approximately $322,000, (ii) an increase in personnel costs of approximately $249,000, (iii) an increase in rent and facilities expenses of approximately $122,000 due to the addition of two leases when we acquired Microchips in November 2019, and (iv) an increase in stock-based compensation expense of approximately $84,000.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increase of $3.7 million in research and development expenses for the six months ended June 30, 2020 as compared to the six months ended June 30, 2019 was primarily attributable to, (i) an increase in costs related to development activities of approximately $4.3 million for DARE-BV1 and Ovaprene, including decreased grant funding recorded as a reduction to research and development expenses of approximately $158,000 related to Ovaprene, (ii) an increase in costs related to pre-clinical development activities of approximately $1.6 million for DARE-LARC1, which we acquired in November 2019, and (iii) an increase in personnel costs of approximately $181,000. Those increases were partially offset by (a) an increase in grant funding recorded as a reduction to research and development expenses of approximately $1.7 million related to preclinical expenses for DARE-LARC1, (b) a decrease in costs related to development activities of approximately $775,000 for Sildenafil Cream, 3.6% and DARE-HRT1, and (c) a decrease in costs related to pre-clinical development activities of approximately $89,000.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the six months ended June 30, 2020 we accrued $33,333 of the $100,000 license maintenance fee payable in the second quarter of 2021 under our license agreement related to DARE-HRT1.</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the six months ended June 30, 2019 we accrued $275,000 of license expenses comprised of $225,000 of deferred license fees due under our license agreement related to DARE-BV1, and the $50,000 annual license maintenance fee payable in the second quarter of 2020 under our license agreement related to DARE-HRT1.</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discussion of these license fees, see Note 3 to our unaudited interim consolidated financial statements contained in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decrease of $57,793 in other income for the six months ended June 30, 2020 as compared to the six months ended June 30, 2019 was primarily due to a decrease in interest earned on cash balances in the current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and Financial Condition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prepared the accompanying consolidated financial statements on a going concern basis, which assumes that we will realize our assets and satisfy our liabilities in the normal course of business. In addition, we have a history of losses from operations, we expect negative cash flows from our operations to continue for the foreseeable future, and we expect that our net losses will continue for at least the next several years as we develop our existing product candidates and seek to acquire, license or develop additional product candidates. These circumstances raise substantial doubt about our ability to continue as a going concern. The accompanying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June 30, 2020, our accumulated deficit was approximately $55.4 million, our cash and cash equivalents were approximately $5.3 million, and our working capital was approximately $1.7 million. We incurred a loss from operations of approximately $11.4 million, and had negative cash flow from operations of approximately $10.7 million during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4" w:name="page35"/>
    <w:bookmarkEnd w:id="34"/>
    <w:p>
      <w:pPr>
        <w:jc w:val="both"/>
        <w:ind w:firstLine="648"/>
        <w:spacing w:after="0" w:line="251" w:lineRule="auto"/>
        <w:rPr>
          <w:sz w:val="20"/>
          <w:szCs w:val="20"/>
          <w:color w:val="auto"/>
        </w:rPr>
      </w:pPr>
      <w:r>
        <w:rPr>
          <w:rFonts w:ascii="Arial" w:cs="Arial" w:eastAsia="Arial" w:hAnsi="Arial"/>
          <w:sz w:val="18"/>
          <w:szCs w:val="18"/>
          <w:color w:val="auto"/>
        </w:rPr>
        <w:t xml:space="preserve">We may raise additional capital to fund our operations through the sale and issuance of additional shares of our common stock from time to time under the Purchase Agreement discussed above (see "—Recent Events—Equity Line," above) and in "at-the-market" equity offerings (as defined in Rule 415 promulgated under the Securities Act of 1933, as amended) under our common stock sales agreement with H.C. Wainwright &amp; Co., LLC, or our ATM sales agreement. While we control the initiation of sales of our common stock under both the Purchase Agreement and the ATM sales agreement, our ability to sell stock is subject to limitations and restrictions on the timing and amount of such sales under both agreements, as well as under applicable securities laws and Nasdaq Stock Market rules. See the discussion of the Purchase Agreement above under "—Recent Events—Equity Line," the risk factor titled, </w:t>
      </w:r>
      <w:r>
        <w:rPr>
          <w:rFonts w:ascii="Arial" w:cs="Arial" w:eastAsia="Arial" w:hAnsi="Arial"/>
          <w:sz w:val="18"/>
          <w:szCs w:val="18"/>
          <w:i w:val="1"/>
          <w:iCs w:val="1"/>
          <w:color w:val="auto"/>
        </w:rPr>
        <w:t>Our ability to raise capital may be limited by laws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regulations </w:t>
      </w:r>
      <w:r>
        <w:rPr>
          <w:rFonts w:ascii="Arial" w:cs="Arial" w:eastAsia="Arial" w:hAnsi="Arial"/>
          <w:sz w:val="18"/>
          <w:szCs w:val="18"/>
          <w:color w:val="auto"/>
        </w:rPr>
        <w:t>in Part I, Item 1A. Risk Factors of our 2019 10-K, and the risk factor titled,</w:t>
      </w:r>
      <w:r>
        <w:rPr>
          <w:rFonts w:ascii="Arial" w:cs="Arial" w:eastAsia="Arial" w:hAnsi="Arial"/>
          <w:sz w:val="18"/>
          <w:szCs w:val="18"/>
          <w:i w:val="1"/>
          <w:iCs w:val="1"/>
          <w:color w:val="auto"/>
        </w:rPr>
        <w:t xml:space="preserve"> The sale of our common stock through our ATM sales agreement or our Purchase Agreement may cause substantial dilution to our existing stockholders, and such sales, or the anticipation of such sales, may cause the price of our common stock to decline, </w:t>
      </w:r>
      <w:r>
        <w:rPr>
          <w:rFonts w:ascii="Arial" w:cs="Arial" w:eastAsia="Arial" w:hAnsi="Arial"/>
          <w:sz w:val="18"/>
          <w:szCs w:val="18"/>
          <w:color w:val="auto"/>
        </w:rPr>
        <w:t>in Part II, Item 1A. Risk Factors of this report.</w:t>
      </w:r>
    </w:p>
    <w:p>
      <w:pPr>
        <w:spacing w:after="0" w:line="23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April 2020, due to the economic uncertainty resulting from the impact of the COVID-19 pandemic on our operations and to support our ongoing operations and retain all employees, we applied for a loan under the Paycheck Protection Program, or the PPP, of the Coronavirus Aid, Relief, and Economic Security Act, or CARES Act, administered by the U.S. Small Business Administration. We received a loan of approximately $ 367,000. The loan matures in April 2022, bears interest at a rate of 1.00% per annum, is payable in equal monthly payments commencing in November 2020 through maturity and may be prepaid at any time prior to maturity with no prepayment penalties. Under the terms of the PPP, subject to specified limitations, the loan principal and accrued interest may be forgiven if the proceeds are used in accordance with the CARES Act. We intend to apply for forgiveness of the entire loan, however, there can be no assurance that we will obtain forgiveness of the loan in whole or in part.</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The cash used to fund our operations comes from a variety of sources. During the six months ended June 30, 2020, we received (1) a $1.0 million upfront non-refundable license fee payment under our license agreement with Bayer HealthCare, LLC, (2) approximately $8.1 million in net proceeds from sales of shares of our common stock under our ATM sales agreement; (3) approximately $1.7 million upon the exercise of warrants to purchase 1.7 million shares of our common stock; (4) approximately $1.6 million under an existing grant from the Bill</w:t>
      </w:r>
    </w:p>
    <w:p>
      <w:pPr>
        <w:spacing w:after="0" w:line="2" w:lineRule="exact"/>
        <w:rPr>
          <w:sz w:val="20"/>
          <w:szCs w:val="20"/>
          <w:color w:val="auto"/>
        </w:rPr>
      </w:pPr>
    </w:p>
    <w:p>
      <w:pPr>
        <w:jc w:val="both"/>
        <w:ind w:firstLine="8"/>
        <w:spacing w:after="0" w:line="252" w:lineRule="auto"/>
        <w:tabs>
          <w:tab w:leader="none" w:pos="1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Melinda Gates Foundation that funded a portion of research and development expenses for DARE-LARC1; (5) approximately $888,000 in net proceeds from sales of shares of our common stock under the Purchase Agreement; (6) approximately $428,000 under an existing grant from the National Institutes of Health that funded a portion of the Ovaprene PCT clinical study costs; and (7) approximately $367,000 in loan proceeds under the PPP. Subsequent to June 30, 2020 and through August 11, 2020, we received (a) approximately $2.3 million in net proceeds from sales of shares of our common stock under our ATM sales agreement; (b) approximately $108,000 under the National Institutes of Health grant described above; (c) approximately $121,000 upon the exercise of warrants to purchase 126,000 shares of our common stock; and (d) approximately $1.1 million in net proceeds from sales of shares of our common stock under the Purchase Agreement.</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primary uses of capital are, and we expect will continue to be, staff-related expenses, the cost of clinical trials and regulatory activities related to our product candidates, costs associated with contract manufacturing services and third-party clinical research and development services, payments due under license agreements upon the successful achievement of milestones of our product candidates, legal expenses, other regulatory expenses and general overhead costs.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continue to expect our expenses to increase significantly during the second half of 2020 as compared to the similar period of 2019 as we continue the development of our product candidates, with a focus on DARE-BV1, Sildenafil Cream, 3.6%, Ovaprene, and DARE-HRT1, as discussed above, and as we incur license expenses associated therewith and as milestones associated therewith are achieved.</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we have not obtained any regulatory approvals for any of our product candidates, commercialized any of our product candidates or generated any product revenue, and we cannot anticipate if, and when we will generate any revenue. We have devoted significant resources to acquiring our portfolio of product candidates and to research and development activities for our product candidates. We must obtain regulatory approvals to sell any of our products in the future. We will need to generate sufficient safety and efficacy data on our product candidates for them to be attractive assets for potential strategic partners to license or for pharmaceutical companies to acquire, and for us to generate cash and other license fees related to such product candidates.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5" w:name="page36"/>
    <w:bookmarkEnd w:id="35"/>
    <w:p>
      <w:pPr>
        <w:jc w:val="both"/>
        <w:ind w:right="20" w:firstLine="648"/>
        <w:spacing w:after="0" w:line="261" w:lineRule="auto"/>
        <w:rPr>
          <w:sz w:val="20"/>
          <w:szCs w:val="20"/>
          <w:color w:val="auto"/>
        </w:rPr>
      </w:pPr>
      <w:r>
        <w:rPr>
          <w:rFonts w:ascii="Arial" w:cs="Arial" w:eastAsia="Arial" w:hAnsi="Arial"/>
          <w:sz w:val="18"/>
          <w:szCs w:val="18"/>
          <w:color w:val="auto"/>
        </w:rPr>
        <w:t>Based on our current operating plan estimates, we will not have sufficient cash to satisfy our working capital needs and other liquidity requirements over at least the next 12 months from the date of issuance of the accompanying interim consolidated financial statements.</w:t>
      </w:r>
    </w:p>
    <w:p>
      <w:pPr>
        <w:spacing w:after="0" w:line="1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will need to raise substantial additional capital to continue to fund our operations and to successfully execute our current operating plan, including the development of our current product candidates. We will continue to seek to raise capital through the sale of shares of our common stock under our ATM sales agreement and the Purchase Agreement, however, when we can effect such sales and the amount of shares we can sell under these agreements depends on a variety of factors to be determined by us from time to time, including, among others, market conditions, the trading price of our common stock and our determination as to the appropriate sources of funding for our operations. We are also currently evaluating a variety of capital raising options, including equity and debt financings, government or other grant funding, collaborations and strategic alliances or other similar types of arrangements to cover our operating expenses, including the development of our product candidates and any future product candidates we may license or otherwise acquire. The amount and timing of our capital needs have been and will continue to depend highly on many factors, including the product development programs we choose to pursue and the pace and results of our clinical development efforts. If we raise capital through collaborations, strategic alliances or other similar types of arrangements, we may have to relinquish, on terms that are not favorable to us, rights to some of our technologies or product candidates we would otherwise seek to develop or commercialize.</w:t>
      </w:r>
    </w:p>
    <w:p>
      <w:pPr>
        <w:spacing w:after="0" w:line="1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There can be no assurance that capital will be available when needed or that, if available, it will be obtained on terms favorable to us and our stockholders, and the uncertainty and volatility in the capital markets caused by the COVID-19 pandemic may negatively impact the availability and cost of capital and investor sentiment. In addition, equity or debt financings may have a dilutive effect on the holdings of our existing stockholders.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67" w:lineRule="exact"/>
        <w:rPr>
          <w:sz w:val="20"/>
          <w:szCs w:val="20"/>
          <w:color w:val="auto"/>
        </w:rPr>
      </w:pPr>
    </w:p>
    <w:tbl>
      <w:tblPr>
        <w:tblLayout w:type="fixed"/>
        <w:tblInd w:w="94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6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8"/>
                <w:szCs w:val="18"/>
                <w:color w:val="auto"/>
              </w:rPr>
            </w:pPr>
          </w:p>
        </w:tc>
        <w:tc>
          <w:tcPr>
            <w:tcW w:w="14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50"/>
        </w:trPr>
        <w:tc>
          <w:tcPr>
            <w:tcW w:w="6400" w:type="dxa"/>
            <w:vAlign w:val="bottom"/>
          </w:tcPr>
          <w:p>
            <w:pPr>
              <w:ind w:left="20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(10,684,464)</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(6,326,726)</w:t>
            </w:r>
          </w:p>
        </w:tc>
      </w:tr>
      <w:tr>
        <w:trPr>
          <w:trHeight w:val="263"/>
        </w:trPr>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investing activities</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(15,246)</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r>
      <w:tr>
        <w:trPr>
          <w:trHeight w:val="250"/>
        </w:trPr>
        <w:tc>
          <w:tcPr>
            <w:tcW w:w="6400" w:type="dxa"/>
            <w:vAlign w:val="bottom"/>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11,277,329</w:t>
            </w:r>
          </w:p>
        </w:tc>
        <w:tc>
          <w:tcPr>
            <w:tcW w:w="140" w:type="dxa"/>
            <w:vAlign w:val="bottom"/>
          </w:tcPr>
          <w:p>
            <w:pPr>
              <w:spacing w:after="0"/>
              <w:rPr>
                <w:sz w:val="21"/>
                <w:szCs w:val="21"/>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5,151,702</w:t>
            </w:r>
          </w:p>
        </w:tc>
      </w:tr>
      <w:tr>
        <w:trPr>
          <w:trHeight w:val="263"/>
        </w:trPr>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(10,854)</w:t>
            </w:r>
          </w:p>
        </w:tc>
        <w:tc>
          <w:tcPr>
            <w:tcW w:w="140" w:type="dxa"/>
            <w:vAlign w:val="bottom"/>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6400" w:type="dxa"/>
            <w:vAlign w:val="bottom"/>
          </w:tcPr>
          <w:p>
            <w:pPr>
              <w:ind w:left="98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566,765</w:t>
            </w:r>
          </w:p>
        </w:tc>
        <w:tc>
          <w:tcPr>
            <w:tcW w:w="14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(1,175,320)</w:t>
            </w:r>
          </w:p>
        </w:tc>
      </w:tr>
      <w:tr>
        <w:trPr>
          <w:trHeight w:val="27"/>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used in operating activities for the six months ended June 30, 2020 included the net loss of $11.4 million, decreased by non-cash stock-based compensation expense of approximately $348,000. Components providing operating cash were a $631,000 increase in accounts payable, an increase of $1.0 million in deferred license revenue, and a decrease in other receivables of $378,000. Components reducing operating cash were a $1.1 million increase in prepaid expenses, a $458,000 decrease in accrued expenses and a $75,000 decrease in deferred grant funding.</w:t>
      </w: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used in operating activities for the six months ended June 30, 2019 included the net loss of $7.0 million, decreased by non-cash stock-based compensation expense of $209,000. Major components reducing operating cash in this period were a $ 462,000 increase in other receivables and a $35,000 increase in prepaid expense. Major components providing operating cash in this period were a $710,000 increase of accrued expenses, and a $172,000 increase in accounts payable, and a $79,000 increase in other non-current assets and deferred charges.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provided by financing activities for the six months ended June 30, 2020 consisted of approximately $8.1 million of net proceeds from the sales of an aggregate of 5,963,580 shares of our common stock in "at-the-market" offerings completed during the period, approximately $1.7 million received upon the exercise of warrants to purchase 1.7 million shares of our common stock, approximately $888,000 of net proceeds from the sales of an aggregate of 882,000 shares of common stock under the Purchase Agreement, and approximately $367,000 in loan proceeds under the PPP.</w:t>
      </w:r>
    </w:p>
    <w:p>
      <w:pPr>
        <w:spacing w:after="0" w:line="20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provided by financing activities for the six months ended June 30, 2019 consisted of proceeds from the underwritten public offering completed in April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used in investing activities for the six months ended June 30, 2020 was $15,246. No cash was provided by or used in investing activities for the six months ended June 30,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Agreements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to make various royalty and milestone payments under the product license and development agreements related to DARE-BV1, Ovaprene, and Sildenafil Cream, 3.6%, and under the other agreements related to our other clinical and preclinical candidates. For further discussion of these potential payments, see Note 3 to our unaudited interim consolidated financial statements contained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of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the conclusion of the quarterly period covered by this report, we carried out an evaluation, under the supervision and with the participation of our management, including our Chief Executive Officer and Chief Financial Officer, of the effectiveness of our disclosure controls and procedures. Based upon that evaluation, our Chief Executive Officer and Chief Financial Officer concluded that our disclosure controls and procedures (as defined in Rule 13a-15(e) of the Exchange Act) were effective as of June 30, 2020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There are no material pending legal proceedings, other than ordinary routine litigation incidental to our business, to which we are a party or of which any of our property is in the subject.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 investment in shares of our common stock involves a high degree of risk. You should carefully consider the risks and uncertainties described in our 2019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There have been no material changes from the risk factors disclosed in Part I, Item 1A. Risk Factors in our 2019 10-K other than as described below:</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i w:val="1"/>
          <w:iCs w:val="1"/>
          <w:color w:val="auto"/>
        </w:rPr>
        <w:t>The novel coronavirus (COVID-19) pandemic and efforts to reduce its spread could negatively impact our business, including by increasing the cost and timelines for our clinical development programs.</w:t>
      </w:r>
    </w:p>
    <w:p>
      <w:pPr>
        <w:spacing w:after="0" w:line="1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COVID-19 pandemic and efforts to reduce its spread remain a rapidly evolving and uncertain risk to our business, operating results, financial condition and stock price. In large part, the extent to which the pandemic affects us will depend on future developments that are beyond our knowledge or control, including, but not limited to, the duration and severity of the pandemic, governmental and individual organization actions and policies implemented to reduce transmission of the disease, and the speed with which and degree to which normal economic and operating conditions resume.</w:t>
      </w:r>
    </w:p>
    <w:p>
      <w:pPr>
        <w:spacing w:after="0" w:line="13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longer the COVID-19 pandemic persists, the greater the potential for significant adverse impact to our business operations and those of the contract research organizations (CROs), contract manufacturing organizations (CMOs) and other third-party consultants and vendors on which we depend to, among other things, conduct our clinical and nonclinical studies, supply our clinical trial materials, and assist with regulatory affairs necessary to advance our programs. Employee and family member illness, increased childcare and elder care responsibilities, and quarantines, travel restrictions, prohibitions on non-essential gatherings, shelter-in-place orders and other similar directives and policies intended to reduce the spread of the disease, may reduce our productivity and that of the third parties on which we rely and may disrupt and delay many aspects of our business, including research and development activities and production and supply of clinical trial materials. As a result of resource constraints, third parties on which we rely may not meet their contractual obligations to us or may allocate constrained resources to projects other than ours, any of which could significantly increase the cost and timelines for our development programs. In addition, the increase in personnel working remotely, both ours and those of the third parties on which we rely, could increase our cybersecurity risk, create data accessibility concerns, and make us more susceptible to communication disruptions, any of which could significantly adversely impact our business operations or significantly delay necessary interactions with the FDA and other regulatory agencies, our CROs and CMOs, clinical trial sites, current and potential collaborators, and other third parties.</w:t>
      </w:r>
    </w:p>
    <w:p>
      <w:pPr>
        <w:spacing w:after="0" w:line="12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COVID-19 pandemic could cause delays in current timelines for our planned clinical studies. As of the date of this report, we expect to commence and conduct our planned clinical studies such that we can report topline data for the Phase 3 study of DARE-BV1 in 2020, the Phase 1 study of DARE-HRT1 and the Phase 2b study of Sildenafil Cream, 3.6% in 2021, and the pivotal study of Ovaprene in 2022. However, the COVID-19 pandemic may adversely impact these expectations. For example, clinical site initiation and/or patient enrollment may be significantly delayed or suspended as a result of personnel and other resource constraints of healthcare providers, as well as adherence to governmental orders and internal policies intended to reduce the spread of COVID-19. In addition, we may experience lower than anticipated subject enrollment and completion rates, including because individuals may avoid medical settings, particularly for non-critical conditions, due to concerns of contracting COVID-19 or due to shelter-in-place and social distancing orders.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9" w:name="page40"/>
    <w:bookmarkEnd w:id="39"/>
    <w:p>
      <w:pPr>
        <w:jc w:val="both"/>
        <w:ind w:firstLine="648"/>
        <w:spacing w:after="0" w:line="252" w:lineRule="auto"/>
        <w:rPr>
          <w:sz w:val="20"/>
          <w:szCs w:val="20"/>
          <w:color w:val="auto"/>
        </w:rPr>
      </w:pPr>
      <w:r>
        <w:rPr>
          <w:rFonts w:ascii="Arial" w:cs="Arial" w:eastAsia="Arial" w:hAnsi="Arial"/>
          <w:sz w:val="18"/>
          <w:szCs w:val="18"/>
          <w:color w:val="auto"/>
        </w:rPr>
        <w:t>In addition, the COVID-19 pandemic has resulted in disruption and volatility in the global capital markets, and while the longer-term economic impact is difficult to assess and predict at this time, it could negatively impact our ability to access additional capital when needed or on terms favorable to us and our stockholders. We currently do not have adequate capital to complete all of our planned clinical studies on our current timelines. If we cannot raise capital when needed, on favorable terms or at all, we will not be able to continue development of our product candidates as currently planned or at all, will need to reevaluate our planned operations and may need to delay, scale back or eliminate some or all of our development programs, reduce expenses or cease operations, any of which could have a significant negative impact on our prospects and financial condition, as well as the trading price of our common stock.</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Further, a key aspect of our business strategy is to seek collaborations with partners, such as large pharmaceutical companies, that are willing to conduct later-stage clinical trials and further develop and commercialize our product candidates. As a result of the COVID-19 pandemic, potential and current partners may experience operational disruptions and financial and other resource constraints and implement new strategic plans that delay or reduce their efforts in the women’s health in general or in our programs in particular, which could adversely affect our ability to enter into or maintain collaborations, strategic alliances or other similar types of arrangements and may result in or contribute to disruption and delays in later-stage clinical development and, if approved, commercial launch of our product candidates. We do not have, and do not currently plan to develop, the internal sales, marketing and distribution infrastructure necessary to independently market and sell our product candidates, if approved.</w:t>
      </w:r>
    </w:p>
    <w:p>
      <w:pPr>
        <w:spacing w:after="0" w:line="1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not developed a specific and comprehensive contingency plan designed to address the challenges and risks presented by the COVID-19 pandemic and, even if and when we do develop such a plan, there can be no assurance that such plan will be effective in mitigating the potential adverse effects on our business, financial condition and results of operations.</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extent to which the COVID-19 pandemic and efforts to reduce its spread impacts our business, financial condition and results of operations is uncertain and cannot be predicted with reasonable accuracy at this time and will depend on future developments that are also uncertain and cannot be predicted with reasonable accuracy at this time, including new information that may emerge concerning the degree to which COVID-19 is contagious and virulent, the effect of actions taken in the United States and other countries to contain and treat COVID-19, and further actions implemented to contain and treat the disease and its impact, among others.</w:t>
      </w:r>
    </w:p>
    <w:p>
      <w:pPr>
        <w:spacing w:after="0" w:line="12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COVID-19 pandemic may also have the effect of heightening many of the other risks and uncertainties described the “Risk Factors” section of our 2019 10-K.</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sale of our common stock through our ATM sales agreement or our Purchase Agreement may cause substantial dilution to our existing stockholders, and such sales, or the anticipation of such sales, may cause the price of our common stock to decline.</w:t>
      </w:r>
    </w:p>
    <w:p>
      <w:pPr>
        <w:spacing w:after="0" w:line="13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January 2018, we entered into the ATM sales agreement , under which, from time to time, we may offer and sell shares of our common stock. In April 2020, we entered into the Purchase Agreement with Lincoln Park. The purchase price for the shares we may sell under our Purchase Agreement will vary based the market price of our common stock at the time we initiate a sale. Although we have the right to control whether we sell any shares, if at all, under these agreements, and we generally have the right to control the timing and amount of any such sales, we are subject to certain restrictions, including those that limit the number of shares we may sell. For example, based on our current public float, during any 12-month period, we may not sell securities under our shelf registration statement pursuant to General Instruction I.B.6 to Form S-3 having an aggregate market value of more than one-third of our public float, which limits the amount of shares we can sell under the ATM sales agreement. In addition, with respect to the Purchase Agreement, we may not sell shares to Lincoln Park in excess of the Exchange Cap (unless we obtain stockholder approval or the average price per share of all sales to Lincoln Park equals or exceeds $1.0117) or if selling such shares would result in Lincoln Park beneficially owning more than 9.99% of our then outstanding shares of common stock. Accordingly, we may not be able to utilize the ATM sales agreement or the Purchase Agreement to raise additional capital when, or in the amounts, we desire. However, to the extent we do sell shares of our common stock under these agreements, such sales may result in substantial dilution to our existing stockholders, and such sales, or the anticipation of such sales, may cause the trading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0"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6"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02" w:right="1440"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9"/>
        </w:trPr>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20"/>
                <w:szCs w:val="20"/>
                <w:color w:val="auto"/>
              </w:rPr>
            </w:pPr>
          </w:p>
        </w:tc>
        <w:tc>
          <w:tcPr>
            <w:tcW w:w="4080" w:type="dxa"/>
            <w:vAlign w:val="bottom"/>
            <w:gridSpan w:val="13"/>
          </w:tcPr>
          <w:p>
            <w:pPr>
              <w:ind w:left="104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23"/>
        </w:trPr>
        <w:tc>
          <w:tcPr>
            <w:tcW w:w="108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80" w:type="dxa"/>
            <w:vAlign w:val="bottom"/>
            <w:gridSpan w:val="13"/>
          </w:tcPr>
          <w:p>
            <w:pPr>
              <w:spacing w:after="0"/>
              <w:rPr>
                <w:rFonts w:ascii="Arial" w:cs="Arial" w:eastAsia="Arial" w:hAnsi="Arial"/>
                <w:sz w:val="18"/>
                <w:szCs w:val="18"/>
                <w:color w:val="0000FF"/>
              </w:rPr>
            </w:pPr>
            <w:hyperlink r:id="rId58">
              <w:r>
                <w:rPr>
                  <w:rFonts w:ascii="Arial" w:cs="Arial" w:eastAsia="Arial" w:hAnsi="Arial"/>
                  <w:sz w:val="18"/>
                  <w:szCs w:val="18"/>
                  <w:color w:val="0000FF"/>
                </w:rPr>
                <w:t>Second Amended and Restated By-Laws (as</w:t>
              </w:r>
            </w:hyperlink>
          </w:p>
        </w:tc>
      </w:tr>
      <w:tr>
        <w:trPr>
          <w:trHeight w:val="155"/>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amended through June 1, 2020)</w:t>
              </w:r>
            </w:hyperlink>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08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80" w:type="dxa"/>
            <w:vAlign w:val="bottom"/>
            <w:gridSpan w:val="13"/>
          </w:tcPr>
          <w:p>
            <w:pPr>
              <w:spacing w:after="0"/>
              <w:rPr>
                <w:rFonts w:ascii="Arial" w:cs="Arial" w:eastAsia="Arial" w:hAnsi="Arial"/>
                <w:sz w:val="18"/>
                <w:szCs w:val="18"/>
                <w:color w:val="0000FF"/>
              </w:rPr>
            </w:pPr>
            <w:hyperlink r:id="rId59">
              <w:r>
                <w:rPr>
                  <w:rFonts w:ascii="Arial" w:cs="Arial" w:eastAsia="Arial" w:hAnsi="Arial"/>
                  <w:sz w:val="18"/>
                  <w:szCs w:val="18"/>
                  <w:color w:val="0000FF"/>
                </w:rPr>
                <w:t>Purchase Agreement, dated April 22, 2020, by and</w:t>
              </w:r>
            </w:hyperlink>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between Daré Bioscience, Inc. and Lincoln Park</w:t>
              </w:r>
            </w:hyperlink>
          </w:p>
        </w:tc>
        <w:tc>
          <w:tcPr>
            <w:tcW w:w="40" w:type="dxa"/>
            <w:vAlign w:val="bottom"/>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r:id="rId59">
              <w:r>
                <w:rPr>
                  <w:rFonts w:ascii="Arial" w:cs="Arial" w:eastAsia="Arial" w:hAnsi="Arial"/>
                  <w:sz w:val="18"/>
                  <w:szCs w:val="18"/>
                  <w:color w:val="0000FF"/>
                  <w:w w:val="99"/>
                </w:rPr>
                <w:t>Capital Fund, LLC</w:t>
              </w:r>
            </w:hyperlink>
          </w:p>
        </w:tc>
        <w:tc>
          <w:tcPr>
            <w:tcW w:w="236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63"/>
        </w:trPr>
        <w:tc>
          <w:tcPr>
            <w:tcW w:w="108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20" w:type="dxa"/>
            <w:vAlign w:val="bottom"/>
            <w:tcBorders>
              <w:bottom w:val="single" w:sz="8" w:color="0000FF"/>
            </w:tcBorders>
            <w:gridSpan w:val="7"/>
          </w:tcPr>
          <w:p>
            <w:pPr>
              <w:spacing w:after="0"/>
              <w:rPr>
                <w:rFonts w:ascii="Arial" w:cs="Arial" w:eastAsia="Arial" w:hAnsi="Arial"/>
                <w:sz w:val="18"/>
                <w:szCs w:val="18"/>
                <w:color w:val="0000FF"/>
                <w:w w:val="99"/>
              </w:rPr>
            </w:pPr>
            <w:hyperlink r:id="rId60">
              <w:r>
                <w:rPr>
                  <w:rFonts w:ascii="Arial" w:cs="Arial" w:eastAsia="Arial" w:hAnsi="Arial"/>
                  <w:sz w:val="18"/>
                  <w:szCs w:val="18"/>
                  <w:color w:val="0000FF"/>
                  <w:w w:val="99"/>
                </w:rPr>
                <w:t>Registration Rights Agreement, dated April 22,</w:t>
              </w:r>
            </w:hyperlink>
          </w:p>
        </w:tc>
        <w:tc>
          <w:tcPr>
            <w:tcW w:w="360" w:type="dxa"/>
            <w:vAlign w:val="bottom"/>
            <w:gridSpan w:val="6"/>
          </w:tcPr>
          <w:p>
            <w:pPr>
              <w:spacing w:after="0"/>
              <w:rPr>
                <w:sz w:val="22"/>
                <w:szCs w:val="22"/>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80" w:type="dxa"/>
            <w:vAlign w:val="bottom"/>
            <w:gridSpan w:val="13"/>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2020, by and between Daré Bioscience, Inc. and</w:t>
              </w:r>
            </w:hyperlink>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Lincoln Park Capital Fund, LLC</w:t>
              </w:r>
            </w:hyperlink>
          </w:p>
        </w:tc>
        <w:tc>
          <w:tcPr>
            <w:tcW w:w="1320" w:type="dxa"/>
            <w:vAlign w:val="bottom"/>
            <w:tcBorders>
              <w:top w:val="single" w:sz="8" w:color="0000FF"/>
            </w:tcBorders>
            <w:gridSpan w:val="8"/>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77"/>
        </w:trPr>
        <w:tc>
          <w:tcPr>
            <w:tcW w:w="108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gridSpan w:val="1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of principal executive officer pursuant</w:t>
              </w:r>
            </w:hyperlink>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9"/>
              </w:rPr>
            </w:pPr>
            <w:hyperlink w:anchor="page45">
              <w:r>
                <w:rPr>
                  <w:rFonts w:ascii="Arial" w:cs="Arial" w:eastAsia="Arial" w:hAnsi="Arial"/>
                  <w:sz w:val="18"/>
                  <w:szCs w:val="18"/>
                  <w:color w:val="0000FF"/>
                  <w:w w:val="99"/>
                </w:rPr>
                <w:t>to Rule 13a-14(a)/15d-14(a) of the Securities</w:t>
              </w:r>
            </w:hyperlink>
          </w:p>
        </w:tc>
        <w:tc>
          <w:tcPr>
            <w:tcW w:w="380" w:type="dxa"/>
            <w:vAlign w:val="bottom"/>
            <w:tcBorders>
              <w:top w:val="single" w:sz="8" w:color="0000FF"/>
            </w:tcBorders>
            <w:gridSpan w:val="6"/>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bottom w:val="single" w:sz="8" w:color="0000FF"/>
            </w:tcBorders>
            <w:gridSpan w:val="3"/>
          </w:tcPr>
          <w:p>
            <w:pPr>
              <w:spacing w:after="0" w:line="196" w:lineRule="exact"/>
              <w:rPr>
                <w:rFonts w:ascii="Arial" w:cs="Arial" w:eastAsia="Arial" w:hAnsi="Arial"/>
                <w:sz w:val="18"/>
                <w:szCs w:val="18"/>
                <w:color w:val="0000FF"/>
                <w:w w:val="99"/>
              </w:rPr>
            </w:pPr>
            <w:hyperlink w:anchor="page45">
              <w:r>
                <w:rPr>
                  <w:rFonts w:ascii="Arial" w:cs="Arial" w:eastAsia="Arial" w:hAnsi="Arial"/>
                  <w:sz w:val="18"/>
                  <w:szCs w:val="18"/>
                  <w:color w:val="0000FF"/>
                  <w:w w:val="99"/>
                </w:rPr>
                <w:t>Exchange Act of 1934, as amended</w:t>
              </w:r>
            </w:hyperlink>
          </w:p>
        </w:tc>
        <w:tc>
          <w:tcPr>
            <w:tcW w:w="1220" w:type="dxa"/>
            <w:vAlign w:val="bottom"/>
            <w:gridSpan w:val="10"/>
          </w:tcPr>
          <w:p>
            <w:pPr>
              <w:spacing w:after="0"/>
              <w:rPr>
                <w:sz w:val="17"/>
                <w:szCs w:val="17"/>
                <w:color w:val="auto"/>
              </w:rPr>
            </w:pPr>
          </w:p>
        </w:tc>
      </w:tr>
      <w:tr>
        <w:trPr>
          <w:trHeight w:val="304"/>
        </w:trPr>
        <w:tc>
          <w:tcPr>
            <w:tcW w:w="108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gridSpan w:val="1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Certification of principal financial officer pursuant</w:t>
              </w:r>
            </w:hyperlink>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9"/>
              </w:rPr>
            </w:pPr>
            <w:hyperlink w:anchor="page46">
              <w:r>
                <w:rPr>
                  <w:rFonts w:ascii="Arial" w:cs="Arial" w:eastAsia="Arial" w:hAnsi="Arial"/>
                  <w:sz w:val="18"/>
                  <w:szCs w:val="18"/>
                  <w:color w:val="0000FF"/>
                  <w:w w:val="99"/>
                </w:rPr>
                <w:t>to Rule 13a-14(a)/15d-14(a) of the Securities</w:t>
              </w:r>
            </w:hyperlink>
          </w:p>
        </w:tc>
        <w:tc>
          <w:tcPr>
            <w:tcW w:w="280" w:type="dxa"/>
            <w:vAlign w:val="bottom"/>
            <w:tcBorders>
              <w:top w:val="single" w:sz="8" w:color="0000FF"/>
            </w:tcBorders>
            <w:gridSpan w:val="4"/>
          </w:tcPr>
          <w:p>
            <w:pPr>
              <w:spacing w:after="0"/>
              <w:rPr>
                <w:sz w:val="17"/>
                <w:szCs w:val="17"/>
                <w:color w:val="auto"/>
              </w:rPr>
            </w:pPr>
          </w:p>
        </w:tc>
        <w:tc>
          <w:tcPr>
            <w:tcW w:w="22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bottom w:val="single" w:sz="8" w:color="0000FF"/>
            </w:tcBorders>
            <w:gridSpan w:val="3"/>
          </w:tcPr>
          <w:p>
            <w:pPr>
              <w:spacing w:after="0" w:line="196" w:lineRule="exact"/>
              <w:rPr>
                <w:rFonts w:ascii="Arial" w:cs="Arial" w:eastAsia="Arial" w:hAnsi="Arial"/>
                <w:sz w:val="18"/>
                <w:szCs w:val="18"/>
                <w:color w:val="0000FF"/>
                <w:w w:val="99"/>
              </w:rPr>
            </w:pPr>
            <w:hyperlink w:anchor="page46">
              <w:r>
                <w:rPr>
                  <w:rFonts w:ascii="Arial" w:cs="Arial" w:eastAsia="Arial" w:hAnsi="Arial"/>
                  <w:sz w:val="18"/>
                  <w:szCs w:val="18"/>
                  <w:color w:val="0000FF"/>
                  <w:w w:val="99"/>
                </w:rPr>
                <w:t>Exchange Act of 1934, as amended</w:t>
              </w:r>
            </w:hyperlink>
          </w:p>
        </w:tc>
        <w:tc>
          <w:tcPr>
            <w:tcW w:w="1220" w:type="dxa"/>
            <w:vAlign w:val="bottom"/>
            <w:gridSpan w:val="10"/>
          </w:tcPr>
          <w:p>
            <w:pPr>
              <w:spacing w:after="0"/>
              <w:rPr>
                <w:sz w:val="17"/>
                <w:szCs w:val="17"/>
                <w:color w:val="auto"/>
              </w:rPr>
            </w:pPr>
          </w:p>
        </w:tc>
      </w:tr>
      <w:tr>
        <w:trPr>
          <w:trHeight w:val="304"/>
        </w:trPr>
        <w:tc>
          <w:tcPr>
            <w:tcW w:w="108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gridSpan w:val="13"/>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 of principal executive officer pursuant</w:t>
              </w:r>
            </w:hyperlink>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9"/>
              </w:rPr>
            </w:pPr>
            <w:hyperlink w:anchor="page47">
              <w:r>
                <w:rPr>
                  <w:rFonts w:ascii="Arial" w:cs="Arial" w:eastAsia="Arial" w:hAnsi="Arial"/>
                  <w:sz w:val="18"/>
                  <w:szCs w:val="18"/>
                  <w:color w:val="0000FF"/>
                  <w:w w:val="99"/>
                </w:rPr>
                <w:t>to 18 U.S.C. §1350, as adopted pursuant to</w:t>
              </w:r>
            </w:hyperlink>
          </w:p>
        </w:tc>
        <w:tc>
          <w:tcPr>
            <w:tcW w:w="480" w:type="dxa"/>
            <w:vAlign w:val="bottom"/>
            <w:tcBorders>
              <w:top w:val="single" w:sz="8" w:color="0000FF"/>
            </w:tcBorders>
            <w:gridSpan w:val="7"/>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237"/>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13"/>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Section 906 of the Sarbanes-Oxley Act of 2002</w:t>
              </w:r>
            </w:hyperlink>
          </w:p>
        </w:tc>
      </w:tr>
      <w:tr>
        <w:trPr>
          <w:trHeight w:val="283"/>
        </w:trPr>
        <w:tc>
          <w:tcPr>
            <w:tcW w:w="108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gridSpan w:val="13"/>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Certification of principal financial officer pursuant</w:t>
              </w:r>
            </w:hyperlink>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9"/>
              </w:rPr>
            </w:pPr>
            <w:hyperlink w:anchor="page48">
              <w:r>
                <w:rPr>
                  <w:rFonts w:ascii="Arial" w:cs="Arial" w:eastAsia="Arial" w:hAnsi="Arial"/>
                  <w:sz w:val="18"/>
                  <w:szCs w:val="18"/>
                  <w:color w:val="0000FF"/>
                  <w:w w:val="99"/>
                </w:rPr>
                <w:t>to 18 U.S.C. §1350, as adopted pursuant to</w:t>
              </w:r>
            </w:hyperlink>
          </w:p>
        </w:tc>
        <w:tc>
          <w:tcPr>
            <w:tcW w:w="380" w:type="dxa"/>
            <w:vAlign w:val="bottom"/>
            <w:tcBorders>
              <w:top w:val="single" w:sz="8" w:color="0000FF"/>
            </w:tcBorders>
            <w:gridSpan w:val="5"/>
          </w:tcPr>
          <w:p>
            <w:pPr>
              <w:spacing w:after="0"/>
              <w:rPr>
                <w:sz w:val="17"/>
                <w:szCs w:val="17"/>
                <w:color w:val="auto"/>
              </w:rPr>
            </w:pPr>
          </w:p>
        </w:tc>
        <w:tc>
          <w:tcPr>
            <w:tcW w:w="220" w:type="dxa"/>
            <w:vAlign w:val="bottom"/>
            <w:gridSpan w:val="4"/>
          </w:tcPr>
          <w:p>
            <w:pPr>
              <w:spacing w:after="0"/>
              <w:rPr>
                <w:sz w:val="17"/>
                <w:szCs w:val="17"/>
                <w:color w:val="auto"/>
              </w:rPr>
            </w:pPr>
          </w:p>
        </w:tc>
      </w:tr>
      <w:tr>
        <w:trPr>
          <w:trHeight w:val="237"/>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13"/>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Section 906 of the Sarbanes-Oxley Act of 2002</w:t>
              </w:r>
            </w:hyperlink>
          </w:p>
        </w:tc>
      </w:tr>
      <w:tr>
        <w:trPr>
          <w:trHeight w:val="324"/>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408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408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3"/>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408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7"/>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323"/>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408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17"/>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323"/>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408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w:t>
            </w:r>
          </w:p>
        </w:tc>
      </w:tr>
      <w:tr>
        <w:trPr>
          <w:trHeight w:val="217"/>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323"/>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408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217"/>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gridSpan w:val="13"/>
          </w:tcPr>
          <w:p>
            <w:pPr>
              <w:spacing w:after="0"/>
              <w:rPr>
                <w:sz w:val="20"/>
                <w:szCs w:val="20"/>
                <w:color w:val="auto"/>
              </w:rPr>
            </w:pPr>
            <w:r>
              <w:rPr>
                <w:rFonts w:ascii="Arial" w:cs="Arial" w:eastAsia="Arial" w:hAnsi="Arial"/>
                <w:sz w:val="18"/>
                <w:szCs w:val="18"/>
                <w:color w:val="auto"/>
              </w:rPr>
              <w:t>Document</w:t>
            </w:r>
          </w:p>
        </w:tc>
      </w:tr>
    </w:tbl>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540" w:type="dxa"/>
            <w:vAlign w:val="bottom"/>
            <w:gridSpan w:val="6"/>
          </w:tcPr>
          <w:p>
            <w:pPr>
              <w:ind w:left="580"/>
              <w:spacing w:after="0"/>
              <w:rPr>
                <w:sz w:val="20"/>
                <w:szCs w:val="20"/>
                <w:color w:val="auto"/>
              </w:rPr>
            </w:pPr>
            <w:r>
              <w:rPr>
                <w:rFonts w:ascii="Arial" w:cs="Arial" w:eastAsia="Arial" w:hAnsi="Arial"/>
                <w:sz w:val="18"/>
                <w:szCs w:val="18"/>
                <w:b w:val="1"/>
                <w:bCs w:val="1"/>
                <w:color w:val="auto"/>
              </w:rPr>
              <w:t>Incorporated by Reference</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Exhibit</w:t>
            </w: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Form</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File No.</w:t>
            </w: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Filing Date</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No.</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6/3/2020</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4/22/2020</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4/22/2020</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X</w:t>
      </w:r>
    </w:p>
    <w:p>
      <w:pPr>
        <w:spacing w:after="0" w:line="425" w:lineRule="exact"/>
        <w:rPr>
          <w:sz w:val="20"/>
          <w:szCs w:val="20"/>
          <w:color w:val="auto"/>
        </w:rPr>
      </w:pPr>
    </w:p>
    <w:p>
      <w:pPr>
        <w:sectPr>
          <w:pgSz w:w="11900" w:h="16838" w:orient="portrait"/>
          <w:cols w:equalWidth="0" w:num="2">
            <w:col w:w="5400" w:space="100"/>
            <w:col w:w="5700"/>
          </w:cols>
          <w:pgMar w:left="320" w:top="1102" w:right="379" w:bottom="1440" w:gutter="0" w:footer="0" w:header="0"/>
        </w:sectPr>
      </w:pPr>
    </w:p>
    <w:p>
      <w:pPr>
        <w:spacing w:after="0" w:line="339" w:lineRule="exact"/>
        <w:rPr>
          <w:sz w:val="20"/>
          <w:szCs w:val="20"/>
          <w:color w:val="auto"/>
        </w:rPr>
      </w:pPr>
    </w:p>
    <w:p>
      <w:pPr>
        <w:ind w:left="1300" w:hanging="794"/>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22"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02" w:right="379" w:bottom="1440" w:gutter="0" w:footer="0" w:header="0"/>
          <w:type w:val="continuous"/>
        </w:sectPr>
      </w:pPr>
    </w:p>
    <w:bookmarkStart w:id="42" w:name="page43"/>
    <w:bookmarkEnd w:id="42"/>
    <w:p>
      <w:pPr>
        <w:ind w:left="820" w:right="140" w:hanging="811"/>
        <w:spacing w:after="0" w:line="246"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Portions of this exhibit have been redacted in compliance with Regulation S-K Item 601(b)(10). The omitted information is not material and would likely cause competitive harm to the Company if publicly disclosed.</w:t>
      </w:r>
    </w:p>
    <w:p>
      <w:pPr>
        <w:spacing w:after="0" w:line="35" w:lineRule="exact"/>
        <w:rPr>
          <w:sz w:val="20"/>
          <w:szCs w:val="20"/>
          <w:color w:val="auto"/>
        </w:rPr>
      </w:pPr>
    </w:p>
    <w:p>
      <w:pPr>
        <w:ind w:left="820" w:hanging="809"/>
        <w:spacing w:after="0" w:line="238"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800" w:top="1097" w:right="49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Daré Bioscience, Inc.</w:t>
            </w:r>
          </w:p>
        </w:tc>
      </w:tr>
      <w:tr>
        <w:trPr>
          <w:trHeight w:val="533"/>
        </w:trPr>
        <w:tc>
          <w:tcPr>
            <w:tcW w:w="3540" w:type="dxa"/>
            <w:vAlign w:val="bottom"/>
          </w:tcPr>
          <w:p>
            <w:pPr>
              <w:spacing w:after="0"/>
              <w:rPr>
                <w:sz w:val="20"/>
                <w:szCs w:val="20"/>
                <w:color w:val="auto"/>
              </w:rPr>
            </w:pPr>
            <w:r>
              <w:rPr>
                <w:rFonts w:ascii="Arial" w:cs="Arial" w:eastAsia="Arial" w:hAnsi="Arial"/>
                <w:sz w:val="18"/>
                <w:szCs w:val="18"/>
                <w:color w:val="auto"/>
              </w:rPr>
              <w:t>Date: August 12, 2020</w:t>
            </w:r>
          </w:p>
        </w:tc>
        <w:tc>
          <w:tcPr>
            <w:tcW w:w="2180" w:type="dxa"/>
            <w:vAlign w:val="bottom"/>
          </w:tcPr>
          <w:p>
            <w:pPr>
              <w:ind w:left="174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Sabrina Martucci Johnson</w:t>
            </w:r>
          </w:p>
        </w:tc>
      </w:tr>
      <w:tr>
        <w:trPr>
          <w:trHeight w:val="243"/>
        </w:trPr>
        <w:tc>
          <w:tcPr>
            <w:tcW w:w="35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Sabrina Martucci Johnson</w:t>
            </w:r>
          </w:p>
        </w:tc>
      </w:tr>
      <w:tr>
        <w:trPr>
          <w:trHeight w:val="257"/>
        </w:trPr>
        <w:tc>
          <w:tcPr>
            <w:tcW w:w="35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57"/>
        </w:trPr>
        <w:tc>
          <w:tcPr>
            <w:tcW w:w="35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33"/>
        </w:trPr>
        <w:tc>
          <w:tcPr>
            <w:tcW w:w="3540" w:type="dxa"/>
            <w:vAlign w:val="bottom"/>
          </w:tcPr>
          <w:p>
            <w:pPr>
              <w:spacing w:after="0"/>
              <w:rPr>
                <w:sz w:val="20"/>
                <w:szCs w:val="20"/>
                <w:color w:val="auto"/>
              </w:rPr>
            </w:pPr>
            <w:r>
              <w:rPr>
                <w:rFonts w:ascii="Arial" w:cs="Arial" w:eastAsia="Arial" w:hAnsi="Arial"/>
                <w:sz w:val="18"/>
                <w:szCs w:val="18"/>
                <w:color w:val="auto"/>
              </w:rPr>
              <w:t>Date: August 12, 2020</w:t>
            </w:r>
          </w:p>
        </w:tc>
        <w:tc>
          <w:tcPr>
            <w:tcW w:w="2180" w:type="dxa"/>
            <w:vAlign w:val="bottom"/>
          </w:tcPr>
          <w:p>
            <w:pPr>
              <w:ind w:left="174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Lisa Walters-Hoffert</w:t>
            </w:r>
          </w:p>
        </w:tc>
      </w:tr>
      <w:tr>
        <w:trPr>
          <w:trHeight w:val="243"/>
        </w:trPr>
        <w:tc>
          <w:tcPr>
            <w:tcW w:w="35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Lisa Walters-Hoffert</w:t>
            </w:r>
          </w:p>
        </w:tc>
      </w:tr>
      <w:tr>
        <w:trPr>
          <w:trHeight w:val="256"/>
        </w:trPr>
        <w:tc>
          <w:tcPr>
            <w:tcW w:w="35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57"/>
        </w:trPr>
        <w:tc>
          <w:tcPr>
            <w:tcW w:w="35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918"/>
        </w:trPr>
        <w:tc>
          <w:tcPr>
            <w:tcW w:w="35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39</w:t>
            </w:r>
          </w:p>
        </w:tc>
        <w:tc>
          <w:tcPr>
            <w:tcW w:w="5480" w:type="dxa"/>
            <w:vAlign w:val="bottom"/>
          </w:tcPr>
          <w:p>
            <w:pPr>
              <w:spacing w:after="0"/>
              <w:rPr>
                <w:sz w:val="24"/>
                <w:szCs w:val="24"/>
                <w:color w:val="auto"/>
              </w:rPr>
            </w:pPr>
          </w:p>
        </w:tc>
      </w:tr>
    </w:tbl>
    <w:p>
      <w:pPr>
        <w:sectPr>
          <w:pgSz w:w="11900" w:h="16838" w:orient="portrait"/>
          <w:cols w:equalWidth="0" w:num="1">
            <w:col w:w="11240"/>
          </w:cols>
          <w:pgMar w:left="320" w:top="110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Sabrina Martucci Johnson, certify that:</w:t>
      </w:r>
    </w:p>
    <w:p>
      <w:pPr>
        <w:spacing w:after="0" w:line="279" w:lineRule="exact"/>
        <w:rPr>
          <w:sz w:val="20"/>
          <w:szCs w:val="20"/>
          <w:color w:val="auto"/>
        </w:rPr>
      </w:pPr>
    </w:p>
    <w:p>
      <w:pPr>
        <w:ind w:left="920" w:hanging="435"/>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57" w:lineRule="exact"/>
        <w:rPr>
          <w:rFonts w:ascii="Arial" w:cs="Arial" w:eastAsia="Arial" w:hAnsi="Arial"/>
          <w:sz w:val="18"/>
          <w:szCs w:val="18"/>
          <w:color w:val="auto"/>
        </w:rPr>
      </w:pPr>
    </w:p>
    <w:p>
      <w:pPr>
        <w:jc w:val="both"/>
        <w:ind w:left="920" w:right="220" w:hanging="435"/>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jc w:val="both"/>
        <w:ind w:left="920" w:right="220" w:hanging="435"/>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jc w:val="both"/>
        <w:ind w:left="920" w:right="220" w:hanging="435"/>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8"/>
          <w:szCs w:val="18"/>
          <w:color w:val="auto"/>
        </w:rPr>
      </w:pPr>
    </w:p>
    <w:p>
      <w:pPr>
        <w:jc w:val="both"/>
        <w:ind w:left="1440" w:right="260" w:hanging="537"/>
        <w:spacing w:after="0" w:line="238" w:lineRule="auto"/>
        <w:tabs>
          <w:tab w:leader="none" w:pos="1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8"/>
          <w:szCs w:val="18"/>
          <w:color w:val="auto"/>
        </w:rPr>
      </w:pPr>
    </w:p>
    <w:p>
      <w:pPr>
        <w:jc w:val="both"/>
        <w:ind w:left="1440" w:right="280" w:hanging="537"/>
        <w:spacing w:after="0"/>
        <w:tabs>
          <w:tab w:leader="none" w:pos="1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440" w:right="260" w:hanging="537"/>
        <w:spacing w:after="0"/>
        <w:tabs>
          <w:tab w:leader="none" w:pos="1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8"/>
          <w:szCs w:val="18"/>
          <w:color w:val="auto"/>
        </w:rPr>
      </w:pPr>
    </w:p>
    <w:p>
      <w:pPr>
        <w:jc w:val="both"/>
        <w:ind w:left="1440" w:right="260" w:hanging="537"/>
        <w:spacing w:after="0" w:line="238" w:lineRule="auto"/>
        <w:tabs>
          <w:tab w:leader="none" w:pos="1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8"/>
          <w:szCs w:val="18"/>
          <w:color w:val="auto"/>
        </w:rPr>
      </w:pPr>
    </w:p>
    <w:p>
      <w:pPr>
        <w:jc w:val="both"/>
        <w:ind w:left="920" w:right="220" w:hanging="435"/>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1440" w:right="260" w:hanging="537"/>
        <w:spacing w:after="0"/>
        <w:tabs>
          <w:tab w:leader="none" w:pos="1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8"/>
          <w:szCs w:val="18"/>
          <w:color w:val="auto"/>
        </w:rPr>
      </w:pPr>
    </w:p>
    <w:p>
      <w:pPr>
        <w:ind w:left="1440" w:right="280" w:hanging="537"/>
        <w:spacing w:after="0" w:line="246" w:lineRule="auto"/>
        <w:tabs>
          <w:tab w:leader="none" w:pos="1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2020</w:t>
      </w:r>
    </w:p>
    <w:p>
      <w:pPr>
        <w:spacing w:after="0" w:line="15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14605</wp:posOffset>
            </wp:positionV>
            <wp:extent cx="27857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4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Sabrina Martucci Johnson</w:t>
      </w:r>
    </w:p>
    <w:p>
      <w:pPr>
        <w:spacing w:after="0" w:line="5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89"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Lisa Walters-Hoffert, certify that:</w:t>
      </w:r>
    </w:p>
    <w:p>
      <w:pPr>
        <w:spacing w:after="0" w:line="158" w:lineRule="exact"/>
        <w:rPr>
          <w:sz w:val="20"/>
          <w:szCs w:val="20"/>
          <w:color w:val="auto"/>
        </w:rPr>
      </w:pPr>
    </w:p>
    <w:p>
      <w:pPr>
        <w:ind w:left="920" w:hanging="435"/>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57" w:lineRule="exact"/>
        <w:rPr>
          <w:rFonts w:ascii="Arial" w:cs="Arial" w:eastAsia="Arial" w:hAnsi="Arial"/>
          <w:sz w:val="18"/>
          <w:szCs w:val="18"/>
          <w:color w:val="auto"/>
        </w:rPr>
      </w:pPr>
    </w:p>
    <w:p>
      <w:pPr>
        <w:jc w:val="both"/>
        <w:ind w:left="920" w:right="220" w:hanging="435"/>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jc w:val="both"/>
        <w:ind w:left="920" w:right="220" w:hanging="435"/>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jc w:val="both"/>
        <w:ind w:left="920" w:right="220" w:hanging="435"/>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8"/>
          <w:szCs w:val="18"/>
          <w:color w:val="auto"/>
        </w:rPr>
      </w:pPr>
    </w:p>
    <w:p>
      <w:pPr>
        <w:jc w:val="both"/>
        <w:ind w:left="1440" w:right="260" w:hanging="537"/>
        <w:spacing w:after="0" w:line="238" w:lineRule="auto"/>
        <w:tabs>
          <w:tab w:leader="none" w:pos="14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8"/>
          <w:szCs w:val="18"/>
          <w:color w:val="auto"/>
        </w:rPr>
      </w:pPr>
    </w:p>
    <w:p>
      <w:pPr>
        <w:jc w:val="both"/>
        <w:ind w:left="1440" w:right="280" w:hanging="537"/>
        <w:spacing w:after="0"/>
        <w:tabs>
          <w:tab w:leader="none" w:pos="14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440" w:right="260" w:hanging="537"/>
        <w:spacing w:after="0"/>
        <w:tabs>
          <w:tab w:leader="none" w:pos="14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8"/>
          <w:szCs w:val="18"/>
          <w:color w:val="auto"/>
        </w:rPr>
      </w:pPr>
    </w:p>
    <w:p>
      <w:pPr>
        <w:jc w:val="both"/>
        <w:ind w:left="1440" w:right="260" w:hanging="537"/>
        <w:spacing w:after="0" w:line="238" w:lineRule="auto"/>
        <w:tabs>
          <w:tab w:leader="none" w:pos="14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8"/>
          <w:szCs w:val="18"/>
          <w:color w:val="auto"/>
        </w:rPr>
      </w:pPr>
    </w:p>
    <w:p>
      <w:pPr>
        <w:jc w:val="both"/>
        <w:ind w:left="920" w:right="220" w:hanging="435"/>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1440" w:right="260" w:hanging="537"/>
        <w:spacing w:after="0"/>
        <w:tabs>
          <w:tab w:leader="none" w:pos="14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8"/>
          <w:szCs w:val="18"/>
          <w:color w:val="auto"/>
        </w:rPr>
      </w:pPr>
    </w:p>
    <w:p>
      <w:pPr>
        <w:ind w:left="1440" w:right="280" w:hanging="537"/>
        <w:spacing w:after="0" w:line="246" w:lineRule="auto"/>
        <w:tabs>
          <w:tab w:leader="none" w:pos="14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2020</w:t>
      </w:r>
    </w:p>
    <w:p>
      <w:pPr>
        <w:spacing w:after="0" w:line="15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14605</wp:posOffset>
            </wp:positionV>
            <wp:extent cx="2785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4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Lisa Walters-Hoffert</w:t>
      </w:r>
    </w:p>
    <w:p>
      <w:pPr>
        <w:spacing w:after="0" w:line="5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89"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June 30, 2020,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spacing w:after="0" w:line="204"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61" w:lineRule="auto"/>
        <w:tabs>
          <w:tab w:leader="none" w:pos="2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Sabrina Martucci Johnson</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13"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June 30, 2020, as filed with the Securities and Exchange Commission on the date hereof (the “Report”), the undersigned, Lisa Walters-Hoffert, Chief Financial Officer of the Company, hereby certifies, pursuant to 18 U.S.C. Section 1350, that, to her knowledge on the date hereof:</w:t>
      </w:r>
    </w:p>
    <w:p>
      <w:pPr>
        <w:spacing w:after="0" w:line="202"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61" w:lineRule="auto"/>
        <w:tabs>
          <w:tab w:leader="none" w:pos="2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Lisa Walters-Hoffert</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3"/>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amp;"/>
      <w:numFmt w:val="bullet"/>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58" Type="http://schemas.openxmlformats.org/officeDocument/2006/relationships/hyperlink" Target="http://www.sec.gov/Archives/edgar/data/1401914/000140191420000077/ex31.htm" TargetMode="External"/><Relationship Id="rId59" Type="http://schemas.openxmlformats.org/officeDocument/2006/relationships/hyperlink" Target="http://www.sec.gov/Archives/edgar/data/1401914/000140191420000052/ex101.htm" TargetMode="External"/><Relationship Id="rId60" Type="http://schemas.openxmlformats.org/officeDocument/2006/relationships/hyperlink" Target="http://www.sec.gov/Archives/edgar/data/1401914/000140191420000052/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2020-08-12T15:07:49Z</dcterms:created>
  <dcterms:modified xsi:type="dcterms:W3CDTF">2020-08-12T15:07:49Z</dcterms:modified>
</cp:coreProperties>
</file>