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w:t>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FORM 10-K</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w:t>
      </w:r>
    </w:p>
    <w:tbl>
      <w:tblPr>
        <w:tblW w:w="9372" w:type="dxa"/>
        <w:jc w:val="left"/>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For the fiscal year ended December 31, 2023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 FOR THE TRANSITION PERIOD FROM _____ TO_____</w:t>
            </w:r>
          </w:p>
        </w:tc>
      </w:tr>
    </w:tbl>
    <w:p>
      <w:pPr>
        <w:pStyle w:val="TextBody"/>
        <w:bidi w:val="0"/>
        <w:spacing w:lineRule="auto" w:line="288" w:before="200" w:after="283"/>
        <w:jc w:val="center"/>
        <w:rPr>
          <w:rFonts w:ascii="Arial;sans-serif" w:hAnsi="Arial;sans-serif"/>
          <w:b/>
          <w:color w:val="000000"/>
          <w:sz w:val="18"/>
        </w:rPr>
      </w:pPr>
      <w:r>
        <w:rPr>
          <w:rFonts w:ascii="Arial;sans-serif" w:hAnsi="Arial;sans-serif"/>
          <w:b/>
          <w:color w:val="000000"/>
          <w:sz w:val="18"/>
        </w:rPr>
        <w:t>Commission File No. 001-36395</w:t>
      </w:r>
    </w:p>
    <w:p>
      <w:pPr>
        <w:pStyle w:val="TextBody"/>
        <w:bidi w:val="0"/>
        <w:spacing w:before="200" w:after="283"/>
        <w:jc w:val="center"/>
        <w:rPr/>
      </w:pPr>
      <w:r>
        <w:rPr/>
        <w:drawing>
          <wp:inline distT="0" distB="0" distL="0" distR="0">
            <wp:extent cx="2562225"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10287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DARÉ BIOSCIENCE,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5729" w:type="dxa"/>
        <w:jc w:val="center"/>
        <w:tblInd w:w="0" w:type="dxa"/>
        <w:tblLayout w:type="fixed"/>
        <w:tblCellMar>
          <w:top w:w="28" w:type="dxa"/>
          <w:left w:w="28" w:type="dxa"/>
          <w:bottom w:w="28" w:type="dxa"/>
          <w:right w:w="28" w:type="dxa"/>
        </w:tblCellMar>
      </w:tblPr>
      <w:tblGrid>
        <w:gridCol w:w="1159"/>
        <w:gridCol w:w="1021"/>
        <w:gridCol w:w="1030"/>
        <w:gridCol w:w="733"/>
        <w:gridCol w:w="733"/>
        <w:gridCol w:w="105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20-4139823</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3655 Nobel Drive, Suite 260</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San Diego, CA</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92122</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pPr>
      <w:r>
        <w:rPr>
          <w:rFonts w:ascii="Arial;sans-serif" w:hAnsi="Arial;sans-serif"/>
          <w:b w:val="false"/>
          <w:color w:val="000000"/>
          <w:sz w:val="16"/>
        </w:rPr>
        <w:t>Registrant’s telephone number, including area code:</w:t>
      </w:r>
      <w:r>
        <w:rPr>
          <w:color w:val="000000"/>
        </w:rPr>
        <w:t xml:space="preserve"> </w:t>
      </w:r>
      <w:r>
        <w:rPr>
          <w:rFonts w:ascii="Arial;sans-serif" w:hAnsi="Arial;sans-serif"/>
          <w:b/>
          <w:color w:val="000000"/>
          <w:sz w:val="16"/>
        </w:rPr>
        <w:t>(858) 926-7655</w:t>
      </w:r>
    </w:p>
    <w:tbl>
      <w:tblPr>
        <w:tblW w:w="8715" w:type="dxa"/>
        <w:jc w:val="center"/>
        <w:tblInd w:w="0" w:type="dxa"/>
        <w:tblLayout w:type="fixed"/>
        <w:tblCellMar>
          <w:top w:w="28" w:type="dxa"/>
          <w:left w:w="28" w:type="dxa"/>
          <w:bottom w:w="28" w:type="dxa"/>
          <w:right w:w="28" w:type="dxa"/>
        </w:tblCellMar>
      </w:tblPr>
      <w:tblGrid>
        <w:gridCol w:w="1306"/>
        <w:gridCol w:w="1147"/>
        <w:gridCol w:w="1147"/>
        <w:gridCol w:w="485"/>
        <w:gridCol w:w="485"/>
        <w:gridCol w:w="485"/>
        <w:gridCol w:w="1072"/>
        <w:gridCol w:w="1072"/>
        <w:gridCol w:w="1516"/>
      </w:tblGrid>
      <w:tr>
        <w:trPr/>
        <w:tc>
          <w:tcPr>
            <w:tcW w:w="13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registered under Section 12(b) of the Act:</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$0.0001 Per Share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DARE</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Capital Market</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6"/>
        </w:rPr>
        <w:t xml:space="preserve">Securities registered under Section 12(g) of the Act: </w:t>
      </w:r>
      <w:r>
        <w:rPr>
          <w:rFonts w:ascii="Arial;sans-serif" w:hAnsi="Arial;sans-serif"/>
          <w:b/>
          <w:color w:val="000000"/>
          <w:sz w:val="16"/>
        </w:rPr>
        <w:t>None</w:t>
      </w:r>
    </w:p>
    <w:p>
      <w:pPr>
        <w:pStyle w:val="TextBody"/>
        <w:bidi w:val="0"/>
        <w:spacing w:lineRule="auto" w:line="288" w:before="60" w:after="283"/>
        <w:ind w:left="0" w:right="0" w:firstLine="720"/>
        <w:jc w:val="left"/>
        <w:rPr/>
      </w:pPr>
      <w:r>
        <w:rPr>
          <w:rFonts w:ascii="Arial;sans-serif" w:hAnsi="Arial;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64" w:before="60" w:after="283"/>
        <w:ind w:left="0" w:right="0" w:firstLine="720"/>
        <w:jc w:val="left"/>
        <w:rPr/>
      </w:pPr>
      <w:r>
        <w:rPr>
          <w:rFonts w:ascii="Arial;sans-serif" w:hAnsi="Arial;sans-serif"/>
          <w:b w:val="false"/>
          <w:color w:val="000000"/>
          <w:sz w:val="16"/>
        </w:rPr>
        <w:t xml:space="preserve">Indicate by check mark if the registrant is not required to file reports pursuant to Section 13 or Section 15(d) of the Exchange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64" w:before="60" w:after="283"/>
        <w:ind w:left="0" w:right="0" w:firstLine="72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64" w:before="60" w:after="283"/>
        <w:ind w:left="0" w:right="0" w:firstLine="72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64" w:before="60" w:after="283"/>
        <w:ind w:left="0" w:right="0" w:firstLine="72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13" w:type="dxa"/>
        <w:jc w:val="center"/>
        <w:tblInd w:w="0" w:type="dxa"/>
        <w:tblLayout w:type="fixed"/>
        <w:tblCellMar>
          <w:top w:w="28" w:type="dxa"/>
          <w:left w:w="28" w:type="dxa"/>
          <w:bottom w:w="28" w:type="dxa"/>
          <w:right w:w="28" w:type="dxa"/>
        </w:tblCellMar>
      </w:tblPr>
      <w:tblGrid>
        <w:gridCol w:w="674"/>
        <w:gridCol w:w="593"/>
        <w:gridCol w:w="594"/>
        <w:gridCol w:w="109"/>
        <w:gridCol w:w="109"/>
        <w:gridCol w:w="109"/>
        <w:gridCol w:w="109"/>
        <w:gridCol w:w="109"/>
        <w:gridCol w:w="109"/>
        <w:gridCol w:w="698"/>
        <w:gridCol w:w="698"/>
        <w:gridCol w:w="703"/>
        <w:gridCol w:w="109"/>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4" w:before="60" w:after="283"/>
        <w:ind w:left="0" w:right="0" w:firstLine="720"/>
        <w:jc w:val="left"/>
        <w:rPr>
          <w:rFonts w:ascii="Arial;sans-serif" w:hAnsi="Arial;sans-serif"/>
          <w:b w:val="false"/>
          <w:color w:val="000000"/>
          <w:sz w:val="16"/>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64" w:before="60" w:after="283"/>
        <w:ind w:left="0" w:right="0" w:firstLine="720"/>
        <w:jc w:val="left"/>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r>
        <w:rPr>
          <w:rFonts w:ascii="Wingdings;sans-serif" w:hAnsi="Wingdings;sans-serif"/>
          <w:b w:val="false"/>
          <w:color w:val="000000"/>
          <w:sz w:val="16"/>
        </w:rPr>
        <w:t>o</w:t>
      </w:r>
    </w:p>
    <w:p>
      <w:pPr>
        <w:pStyle w:val="TextBody"/>
        <w:bidi w:val="0"/>
        <w:spacing w:lineRule="auto" w:line="264" w:before="0" w:after="0"/>
        <w:ind w:left="0" w:right="0" w:firstLine="720"/>
        <w:jc w:val="left"/>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r>
        <w:rPr>
          <w:rFonts w:ascii="Wingdings;sans-serif" w:hAnsi="Wingdings;sans-serif"/>
          <w:b w:val="false"/>
          <w:color w:val="000000"/>
          <w:sz w:val="16"/>
        </w:rPr>
        <w:t>o</w:t>
      </w:r>
    </w:p>
    <w:p>
      <w:pPr>
        <w:pStyle w:val="TextBody"/>
        <w:bidi w:val="0"/>
        <w:spacing w:lineRule="auto" w:line="264" w:before="60" w:after="283"/>
        <w:ind w:left="0" w:right="0" w:firstLine="720"/>
        <w:jc w:val="left"/>
        <w:rPr/>
      </w:pPr>
      <w:r>
        <w:rPr>
          <w:rFonts w:ascii="Arial;sans-serif" w:hAnsi="Arial;sans-serif"/>
          <w:b w:val="false"/>
          <w:color w:val="000000"/>
          <w:sz w:val="16"/>
        </w:rPr>
        <w:t xml:space="preserve">Indicate by check mark whether the registrant is a shell company (as defined in Rule 12b-2 of the Act). Yes </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ind w:left="0" w:right="0" w:firstLine="720"/>
        <w:jc w:val="left"/>
        <w:rPr>
          <w:rFonts w:ascii="Arial;sans-serif" w:hAnsi="Arial;sans-serif"/>
          <w:b w:val="false"/>
          <w:color w:val="000000"/>
          <w:sz w:val="16"/>
        </w:rPr>
      </w:pPr>
      <w:r>
        <w:rPr>
          <w:rFonts w:ascii="Arial;sans-serif" w:hAnsi="Arial;sans-serif"/>
          <w:b w:val="false"/>
          <w:color w:val="000000"/>
          <w:sz w:val="16"/>
        </w:rPr>
        <w:t>The aggregate market value of the registrant’s common stock held by non-affiliates of the registrant on the last business day of the registrant’s most recently completed second fiscal quarter (June 30, 2023), was approximately $77,323,000 based on the closing price of the registrant's common stock as reported on the Nasdaq Capital Market on such date. This excludes shares of common stock held by affiliates on such date.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pStyle w:val="TextBody"/>
        <w:bidi w:val="0"/>
        <w:spacing w:before="60" w:after="283"/>
        <w:ind w:left="0" w:right="0" w:firstLine="720"/>
        <w:jc w:val="left"/>
        <w:rPr/>
      </w:pPr>
      <w:r>
        <w:rPr/>
      </w:r>
    </w:p>
    <w:p>
      <w:pPr>
        <w:pStyle w:val="TextBody"/>
        <w:bidi w:val="0"/>
        <w:spacing w:lineRule="auto" w:line="288" w:before="60" w:after="283"/>
        <w:ind w:left="0" w:right="0" w:firstLine="720"/>
        <w:jc w:val="left"/>
        <w:rPr>
          <w:rFonts w:ascii="Arial;sans-serif" w:hAnsi="Arial;sans-serif"/>
          <w:b w:val="false"/>
          <w:color w:val="000000"/>
          <w:sz w:val="16"/>
        </w:rPr>
      </w:pPr>
      <w:r>
        <w:rPr>
          <w:rFonts w:ascii="Arial;sans-serif" w:hAnsi="Arial;sans-serif"/>
          <w:b w:val="false"/>
          <w:color w:val="000000"/>
          <w:sz w:val="16"/>
        </w:rPr>
        <w:t>As of March 27, 2024, there were 100,581,900 shares of the registrant’s common stock, par value $0.0001 per share, outstanding.</w:t>
      </w:r>
    </w:p>
    <w:p>
      <w:pPr>
        <w:pStyle w:val="TextBody"/>
        <w:bidi w:val="0"/>
        <w:spacing w:lineRule="auto" w:line="288" w:before="200" w:after="283"/>
        <w:ind w:left="0" w:right="0" w:firstLine="720"/>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180" w:after="283"/>
        <w:ind w:left="0" w:right="0" w:firstLine="720"/>
        <w:jc w:val="left"/>
        <w:rPr>
          <w:rFonts w:ascii="Arial;sans-serif" w:hAnsi="Arial;sans-serif"/>
          <w:b w:val="false"/>
          <w:color w:val="000000"/>
          <w:sz w:val="16"/>
        </w:rPr>
      </w:pPr>
      <w:r>
        <w:rPr>
          <w:rFonts w:ascii="Arial;sans-serif" w:hAnsi="Arial;sans-serif"/>
          <w:b w:val="false"/>
          <w:color w:val="000000"/>
          <w:sz w:val="16"/>
        </w:rPr>
        <w:t>Portions of the registrant’s definitive proxy statement relating to its 2024 annual meeting of shareholders (the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Form 10-K – ANNUAL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Fiscal Year Ended December 31, 2023</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9"/>
        <w:gridCol w:w="280"/>
        <w:gridCol w:w="283"/>
        <w:gridCol w:w="109"/>
        <w:gridCol w:w="109"/>
        <w:gridCol w:w="109"/>
        <w:gridCol w:w="2733"/>
        <w:gridCol w:w="2656"/>
        <w:gridCol w:w="2676"/>
        <w:gridCol w:w="109"/>
        <w:gridCol w:w="109"/>
        <w:gridCol w:w="109"/>
        <w:gridCol w:w="176"/>
        <w:gridCol w:w="176"/>
        <w:gridCol w:w="252"/>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4c4ce5c2bd341b08c6cad3a94221276_10">
              <w:r>
                <w:rPr>
                  <w:rStyle w:val="InternetLink"/>
                  <w:rFonts w:ascii="Arial;sans-serif" w:hAnsi="Arial;sans-serif"/>
                  <w:b/>
                  <w:color w:val="0000FF"/>
                  <w:sz w:val="20"/>
                  <w:u w:val="single"/>
                </w:rPr>
                <w:t>PART 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0">
              <w:r>
                <w:rPr>
                  <w:rStyle w:val="InternetLink"/>
                  <w:rFonts w:ascii="Arial;sans-serif" w:hAnsi="Arial;sans-serif"/>
                  <w:b w:val="false"/>
                  <w:color w:val="0000FF"/>
                  <w:sz w:val="20"/>
                  <w:u w:val="single"/>
                </w:rPr>
                <w:t>1</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9">
              <w:r>
                <w:rPr>
                  <w:rStyle w:val="InternetLink"/>
                  <w:rFonts w:ascii="Arial;sans-serif" w:hAnsi="Arial;sans-serif"/>
                  <w:b w:val="false"/>
                  <w:color w:val="0000FF"/>
                  <w:sz w:val="20"/>
                  <w:u w:val="single"/>
                </w:rPr>
                <w:t>Business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9">
              <w:r>
                <w:rPr>
                  <w:rStyle w:val="InternetLink"/>
                  <w:rFonts w:ascii="Arial;sans-serif" w:hAnsi="Arial;sans-serif"/>
                  <w:b w:val="false"/>
                  <w:color w:val="0000FF"/>
                  <w:sz w:val="20"/>
                  <w:u w:val="single"/>
                </w:rPr>
                <w:t>6</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58">
              <w:r>
                <w:rPr>
                  <w:rStyle w:val="InternetLink"/>
                  <w:rFonts w:ascii="Arial;sans-serif" w:hAnsi="Arial;sans-serif"/>
                  <w:b w:val="false"/>
                  <w:color w:val="0000FF"/>
                  <w:sz w:val="20"/>
                  <w:u w:val="singl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58">
              <w:r>
                <w:rPr>
                  <w:rStyle w:val="InternetLink"/>
                  <w:rFonts w:ascii="Arial;sans-serif" w:hAnsi="Arial;sans-serif"/>
                  <w:b w:val="false"/>
                  <w:color w:val="0000FF"/>
                  <w:sz w:val="20"/>
                  <w:u w:val="single"/>
                </w:rPr>
                <w:t>53</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85">
              <w:r>
                <w:rPr>
                  <w:rStyle w:val="InternetLink"/>
                  <w:rFonts w:ascii="Arial;sans-serif" w:hAnsi="Arial;sans-serif"/>
                  <w:b w:val="false"/>
                  <w:color w:val="0000FF"/>
                  <w:sz w:val="20"/>
                  <w:u w:val="single"/>
                </w:rPr>
                <w:t>Unresolved Staff Comments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85">
              <w:r>
                <w:rPr>
                  <w:rStyle w:val="InternetLink"/>
                  <w:rFonts w:ascii="Arial;sans-serif" w:hAnsi="Arial;sans-serif"/>
                  <w:b w:val="false"/>
                  <w:color w:val="0000FF"/>
                  <w:sz w:val="20"/>
                  <w:u w:val="single"/>
                </w:rPr>
                <w:t>105</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897">
              <w:r>
                <w:rPr>
                  <w:rStyle w:val="InternetLink"/>
                  <w:rFonts w:ascii="Arial;sans-serif" w:hAnsi="Arial;sans-serif"/>
                  <w:b w:val="false"/>
                  <w:color w:val="0000FF"/>
                  <w:sz w:val="20"/>
                  <w:u w:val="single"/>
                </w:rPr>
                <w:t>Cybersecurity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897">
              <w:r>
                <w:rPr>
                  <w:rStyle w:val="InternetLink"/>
                  <w:rFonts w:ascii="Arial;sans-serif" w:hAnsi="Arial;sans-serif"/>
                  <w:b w:val="false"/>
                  <w:color w:val="0000FF"/>
                  <w:sz w:val="20"/>
                  <w:u w:val="single"/>
                </w:rPr>
                <w:t>105</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88">
              <w:r>
                <w:rPr>
                  <w:rStyle w:val="InternetLink"/>
                  <w:rFonts w:ascii="Arial;sans-serif" w:hAnsi="Arial;sans-serif"/>
                  <w:b w:val="false"/>
                  <w:color w:val="0000FF"/>
                  <w:sz w:val="20"/>
                  <w:u w:val="single"/>
                </w:rPr>
                <w:t>Properties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88">
              <w:r>
                <w:rPr>
                  <w:rStyle w:val="InternetLink"/>
                  <w:rFonts w:ascii="Arial;sans-serif" w:hAnsi="Arial;sans-serif"/>
                  <w:b w:val="false"/>
                  <w:color w:val="0000FF"/>
                  <w:sz w:val="20"/>
                  <w:u w:val="single"/>
                </w:rPr>
                <w:t>106</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91">
              <w:r>
                <w:rPr>
                  <w:rStyle w:val="InternetLink"/>
                  <w:rFonts w:ascii="Arial;sans-serif" w:hAnsi="Arial;sans-serif"/>
                  <w:b w:val="false"/>
                  <w:color w:val="0000FF"/>
                  <w:sz w:val="20"/>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91">
              <w:r>
                <w:rPr>
                  <w:rStyle w:val="InternetLink"/>
                  <w:rFonts w:ascii="Arial;sans-serif" w:hAnsi="Arial;sans-serif"/>
                  <w:b w:val="false"/>
                  <w:color w:val="0000FF"/>
                  <w:sz w:val="20"/>
                  <w:u w:val="single"/>
                </w:rPr>
                <w:t>106</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94">
              <w:r>
                <w:rPr>
                  <w:rStyle w:val="InternetLink"/>
                  <w:rFonts w:ascii="Arial;sans-serif" w:hAnsi="Arial;sans-serif"/>
                  <w:b w:val="false"/>
                  <w:color w:val="0000FF"/>
                  <w:sz w:val="20"/>
                  <w:u w:val="singl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94">
              <w:r>
                <w:rPr>
                  <w:rStyle w:val="InternetLink"/>
                  <w:rFonts w:ascii="Arial;sans-serif" w:hAnsi="Arial;sans-serif"/>
                  <w:b w:val="false"/>
                  <w:color w:val="0000FF"/>
                  <w:sz w:val="20"/>
                  <w:u w:val="single"/>
                </w:rPr>
                <w:t>106</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4c4ce5c2bd341b08c6cad3a94221276_97">
              <w:r>
                <w:rPr>
                  <w:rStyle w:val="InternetLink"/>
                  <w:rFonts w:ascii="Arial;sans-serif" w:hAnsi="Arial;sans-serif"/>
                  <w:b/>
                  <w:color w:val="0000FF"/>
                  <w:sz w:val="20"/>
                  <w:u w:val="single"/>
                </w:rPr>
                <w:t>PART II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97">
              <w:r>
                <w:rPr>
                  <w:rStyle w:val="InternetLink"/>
                  <w:rFonts w:ascii="Arial;sans-serif" w:hAnsi="Arial;sans-serif"/>
                  <w:b w:val="false"/>
                  <w:color w:val="0000FF"/>
                  <w:sz w:val="20"/>
                  <w:u w:val="single"/>
                </w:rPr>
                <w:t>107</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0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00">
              <w:r>
                <w:rPr>
                  <w:rStyle w:val="InternetLink"/>
                  <w:rFonts w:ascii="Arial;sans-serif" w:hAnsi="Arial;sans-serif"/>
                  <w:b w:val="false"/>
                  <w:color w:val="0000FF"/>
                  <w:sz w:val="20"/>
                  <w:u w:val="single"/>
                </w:rPr>
                <w:t>107</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03">
              <w:r>
                <w:rPr>
                  <w:rStyle w:val="InternetLink"/>
                  <w:rFonts w:ascii="Arial;sans-serif" w:hAnsi="Arial;sans-serif"/>
                  <w:b w:val="false"/>
                  <w:color w:val="0000FF"/>
                  <w:sz w:val="20"/>
                  <w:u w:val="single"/>
                </w:rPr>
                <w:t>Reserved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03">
              <w:r>
                <w:rPr>
                  <w:rStyle w:val="InternetLink"/>
                  <w:rFonts w:ascii="Arial;sans-serif" w:hAnsi="Arial;sans-serif"/>
                  <w:b w:val="false"/>
                  <w:color w:val="0000FF"/>
                  <w:sz w:val="20"/>
                  <w:u w:val="single"/>
                </w:rPr>
                <w:t>107</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06">
              <w:r>
                <w:rPr>
                  <w:rStyle w:val="InternetLink"/>
                  <w:rFonts w:ascii="Arial;sans-serif" w:hAnsi="Arial;sans-serif"/>
                  <w:b w:val="false"/>
                  <w:color w:val="0000FF"/>
                  <w:sz w:val="20"/>
                  <w:u w:val="singl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06">
              <w:r>
                <w:rPr>
                  <w:rStyle w:val="InternetLink"/>
                  <w:rFonts w:ascii="Arial;sans-serif" w:hAnsi="Arial;sans-serif"/>
                  <w:b w:val="false"/>
                  <w:color w:val="0000FF"/>
                  <w:sz w:val="20"/>
                  <w:u w:val="single"/>
                </w:rPr>
                <w:t>107</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30">
              <w:r>
                <w:rPr>
                  <w:rStyle w:val="InternetLink"/>
                  <w:rFonts w:ascii="Arial;sans-serif" w:hAnsi="Arial;sans-serif"/>
                  <w:b w:val="false"/>
                  <w:color w:val="0000FF"/>
                  <w:sz w:val="20"/>
                  <w:u w:val="single"/>
                </w:rPr>
                <w:t>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30">
              <w:r>
                <w:rPr>
                  <w:rStyle w:val="InternetLink"/>
                  <w:rFonts w:ascii="Arial;sans-serif" w:hAnsi="Arial;sans-serif"/>
                  <w:b w:val="false"/>
                  <w:color w:val="0000FF"/>
                  <w:sz w:val="20"/>
                  <w:u w:val="single"/>
                </w:rPr>
                <w:t>118</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33">
              <w:r>
                <w:rPr>
                  <w:rStyle w:val="InternetLink"/>
                  <w:rFonts w:ascii="Arial;sans-serif" w:hAnsi="Arial;sans-serif"/>
                  <w:b w:val="false"/>
                  <w:color w:val="0000FF"/>
                  <w:sz w:val="20"/>
                  <w:u w:val="single"/>
                </w:rPr>
                <w:t>Financial Statements and Supplementary Data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33">
              <w:r>
                <w:rPr>
                  <w:rStyle w:val="InternetLink"/>
                  <w:rFonts w:ascii="Arial;sans-serif" w:hAnsi="Arial;sans-serif"/>
                  <w:b w:val="false"/>
                  <w:color w:val="0000FF"/>
                  <w:sz w:val="20"/>
                  <w:u w:val="single"/>
                </w:rPr>
                <w:t>118</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36">
              <w:r>
                <w:rPr>
                  <w:rStyle w:val="InternetLink"/>
                  <w:rFonts w:ascii="Arial;sans-serif" w:hAnsi="Arial;sans-serif"/>
                  <w:b w:val="false"/>
                  <w:color w:val="0000FF"/>
                  <w:sz w:val="20"/>
                  <w:u w:val="single"/>
                </w:rPr>
                <w:t>Changes in and Disagreement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36">
              <w:r>
                <w:rPr>
                  <w:rStyle w:val="InternetLink"/>
                  <w:rFonts w:ascii="Arial;sans-serif" w:hAnsi="Arial;sans-serif"/>
                  <w:b w:val="false"/>
                  <w:color w:val="0000FF"/>
                  <w:sz w:val="20"/>
                  <w:u w:val="single"/>
                </w:rPr>
                <w:t>118</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39">
              <w:r>
                <w:rPr>
                  <w:rStyle w:val="InternetLink"/>
                  <w:rFonts w:ascii="Arial;sans-serif" w:hAnsi="Arial;sans-serif"/>
                  <w:b w:val="false"/>
                  <w:color w:val="0000FF"/>
                  <w:sz w:val="20"/>
                  <w:u w:val="singl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39">
              <w:r>
                <w:rPr>
                  <w:rStyle w:val="InternetLink"/>
                  <w:rFonts w:ascii="Arial;sans-serif" w:hAnsi="Arial;sans-serif"/>
                  <w:b w:val="false"/>
                  <w:color w:val="0000FF"/>
                  <w:sz w:val="20"/>
                  <w:u w:val="single"/>
                </w:rPr>
                <w:t>118</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42">
              <w:r>
                <w:rPr>
                  <w:rStyle w:val="InternetLink"/>
                  <w:rFonts w:ascii="Arial;sans-serif" w:hAnsi="Arial;sans-serif"/>
                  <w:b w:val="false"/>
                  <w:color w:val="0000FF"/>
                  <w:sz w:val="20"/>
                  <w:u w:val="singl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42">
              <w:r>
                <w:rPr>
                  <w:rStyle w:val="InternetLink"/>
                  <w:rFonts w:ascii="Arial;sans-serif" w:hAnsi="Arial;sans-serif"/>
                  <w:b w:val="false"/>
                  <w:color w:val="0000FF"/>
                  <w:sz w:val="20"/>
                  <w:u w:val="single"/>
                </w:rPr>
                <w:t>119</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45">
              <w:r>
                <w:rPr>
                  <w:rStyle w:val="InternetLink"/>
                  <w:rFonts w:ascii="Arial;sans-serif" w:hAnsi="Arial;sans-serif"/>
                  <w:b w:val="false"/>
                  <w:color w:val="0000FF"/>
                  <w:sz w:val="20"/>
                  <w:u w:val="single"/>
                </w:rPr>
                <w:t>Disclosure Regarding Foreign Jurisdictions That Prevent Inspections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45">
              <w:r>
                <w:rPr>
                  <w:rStyle w:val="InternetLink"/>
                  <w:rFonts w:ascii="Arial;sans-serif" w:hAnsi="Arial;sans-serif"/>
                  <w:b w:val="false"/>
                  <w:color w:val="0000FF"/>
                  <w:sz w:val="20"/>
                  <w:u w:val="single"/>
                </w:rPr>
                <w:t>119</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4c4ce5c2bd341b08c6cad3a94221276_148">
              <w:r>
                <w:rPr>
                  <w:rStyle w:val="InternetLink"/>
                  <w:rFonts w:ascii="Arial;sans-serif" w:hAnsi="Arial;sans-serif"/>
                  <w:b/>
                  <w:color w:val="0000FF"/>
                  <w:sz w:val="20"/>
                  <w:u w:val="single"/>
                </w:rPr>
                <w:t>PART III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48">
              <w:r>
                <w:rPr>
                  <w:rStyle w:val="InternetLink"/>
                  <w:rFonts w:ascii="Arial;sans-serif" w:hAnsi="Arial;sans-serif"/>
                  <w:b w:val="false"/>
                  <w:color w:val="0000FF"/>
                  <w:sz w:val="20"/>
                  <w:u w:val="single"/>
                </w:rPr>
                <w:t>120</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51">
              <w:r>
                <w:rPr>
                  <w:rStyle w:val="InternetLink"/>
                  <w:rFonts w:ascii="Arial;sans-serif" w:hAnsi="Arial;sans-serif"/>
                  <w:b w:val="false"/>
                  <w:color w:val="0000FF"/>
                  <w:sz w:val="20"/>
                  <w:u w:val="single"/>
                </w:rPr>
                <w:t>Directors, Executive Officers and Corporate Governance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51">
              <w:r>
                <w:rPr>
                  <w:rStyle w:val="InternetLink"/>
                  <w:rFonts w:ascii="Arial;sans-serif" w:hAnsi="Arial;sans-serif"/>
                  <w:b w:val="false"/>
                  <w:color w:val="0000FF"/>
                  <w:sz w:val="20"/>
                  <w:u w:val="single"/>
                </w:rPr>
                <w:t>120</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54">
              <w:r>
                <w:rPr>
                  <w:rStyle w:val="InternetLink"/>
                  <w:rFonts w:ascii="Arial;sans-serif" w:hAnsi="Arial;sans-serif"/>
                  <w:b w:val="false"/>
                  <w:color w:val="0000FF"/>
                  <w:sz w:val="20"/>
                  <w:u w:val="single"/>
                </w:rPr>
                <w:t>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54">
              <w:r>
                <w:rPr>
                  <w:rStyle w:val="InternetLink"/>
                  <w:rFonts w:ascii="Arial;sans-serif" w:hAnsi="Arial;sans-serif"/>
                  <w:b w:val="false"/>
                  <w:color w:val="0000FF"/>
                  <w:sz w:val="20"/>
                  <w:u w:val="single"/>
                </w:rPr>
                <w:t>120</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57">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57">
              <w:r>
                <w:rPr>
                  <w:rStyle w:val="InternetLink"/>
                  <w:rFonts w:ascii="Arial;sans-serif" w:hAnsi="Arial;sans-serif"/>
                  <w:b w:val="false"/>
                  <w:color w:val="0000FF"/>
                  <w:sz w:val="20"/>
                  <w:u w:val="single"/>
                </w:rPr>
                <w:t>120</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60">
              <w:r>
                <w:rPr>
                  <w:rStyle w:val="InternetLink"/>
                  <w:rFonts w:ascii="Arial;sans-serif" w:hAnsi="Arial;sans-serif"/>
                  <w:b w:val="false"/>
                  <w:color w:val="0000FF"/>
                  <w:sz w:val="20"/>
                  <w:u w:val="single"/>
                </w:rPr>
                <w:t>Certain Relationships and Related Transactions, and Director Independence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60">
              <w:r>
                <w:rPr>
                  <w:rStyle w:val="InternetLink"/>
                  <w:rFonts w:ascii="Arial;sans-serif" w:hAnsi="Arial;sans-serif"/>
                  <w:b w:val="false"/>
                  <w:color w:val="0000FF"/>
                  <w:sz w:val="20"/>
                  <w:u w:val="single"/>
                </w:rPr>
                <w:t>120</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63">
              <w:r>
                <w:rPr>
                  <w:rStyle w:val="InternetLink"/>
                  <w:rFonts w:ascii="Arial;sans-serif" w:hAnsi="Arial;sans-serif"/>
                  <w:b w:val="false"/>
                  <w:color w:val="0000FF"/>
                  <w:sz w:val="20"/>
                  <w:u w:val="single"/>
                </w:rPr>
                <w:t>Principal Accountant Fees and Services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63">
              <w:r>
                <w:rPr>
                  <w:rStyle w:val="InternetLink"/>
                  <w:rFonts w:ascii="Arial;sans-serif" w:hAnsi="Arial;sans-serif"/>
                  <w:b w:val="false"/>
                  <w:color w:val="0000FF"/>
                  <w:sz w:val="20"/>
                  <w:u w:val="single"/>
                </w:rPr>
                <w:t>120</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4c4ce5c2bd341b08c6cad3a94221276_166">
              <w:r>
                <w:rPr>
                  <w:rStyle w:val="InternetLink"/>
                  <w:rFonts w:ascii="Arial;sans-serif" w:hAnsi="Arial;sans-serif"/>
                  <w:b/>
                  <w:color w:val="0000FF"/>
                  <w:sz w:val="20"/>
                  <w:u w:val="single"/>
                </w:rPr>
                <w:t>PART IV</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66">
              <w:r>
                <w:rPr>
                  <w:rStyle w:val="InternetLink"/>
                  <w:rFonts w:ascii="Arial;sans-serif" w:hAnsi="Arial;sans-serif"/>
                  <w:b w:val="false"/>
                  <w:color w:val="0000FF"/>
                  <w:sz w:val="20"/>
                  <w:u w:val="single"/>
                </w:rPr>
                <w:t>121</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69">
              <w:r>
                <w:rPr>
                  <w:rStyle w:val="InternetLink"/>
                  <w:rFonts w:ascii="Arial;sans-serif" w:hAnsi="Arial;sans-serif"/>
                  <w:b w:val="false"/>
                  <w:color w:val="0000FF"/>
                  <w:sz w:val="20"/>
                  <w:u w:val="single"/>
                </w:rPr>
                <w:t>Exhibits and Financial Statement Schedules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69">
              <w:r>
                <w:rPr>
                  <w:rStyle w:val="InternetLink"/>
                  <w:rFonts w:ascii="Arial;sans-serif" w:hAnsi="Arial;sans-serif"/>
                  <w:b w:val="false"/>
                  <w:color w:val="0000FF"/>
                  <w:sz w:val="20"/>
                  <w:u w:val="single"/>
                </w:rPr>
                <w:t>121</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72">
              <w:r>
                <w:rPr>
                  <w:rStyle w:val="InternetLink"/>
                  <w:rFonts w:ascii="Arial;sans-serif" w:hAnsi="Arial;sans-serif"/>
                  <w:b w:val="false"/>
                  <w:color w:val="0000FF"/>
                  <w:sz w:val="20"/>
                  <w:u w:val="single"/>
                </w:rPr>
                <w:t>Form 10-K Summary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72">
              <w:r>
                <w:rPr>
                  <w:rStyle w:val="InternetLink"/>
                  <w:rFonts w:ascii="Arial;sans-serif" w:hAnsi="Arial;sans-serif"/>
                  <w:b w:val="false"/>
                  <w:color w:val="0000FF"/>
                  <w:sz w:val="20"/>
                  <w:u w:val="single"/>
                </w:rPr>
                <w:t>126</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75">
              <w:r>
                <w:rPr>
                  <w:rStyle w:val="InternetLink"/>
                  <w:rFonts w:ascii="Arial;sans-serif" w:hAnsi="Arial;sans-serif"/>
                  <w:b w:val="false"/>
                  <w:color w:val="0000FF"/>
                  <w:sz w:val="20"/>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c4ce5c2bd341b08c6cad3a94221276_175">
              <w:r>
                <w:rPr>
                  <w:rStyle w:val="InternetLink"/>
                  <w:rFonts w:ascii="Arial;sans-serif" w:hAnsi="Arial;sans-serif"/>
                  <w:b w:val="false"/>
                  <w:color w:val="0000FF"/>
                  <w:sz w:val="20"/>
                  <w:u w:val="single"/>
                </w:rPr>
                <w:t>127</w:t>
              </w:r>
            </w:hyperlink>
          </w:p>
        </w:tc>
      </w:tr>
      <w:tr>
        <w:trPr/>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78">
              <w:r>
                <w:rPr>
                  <w:rStyle w:val="InternetLink"/>
                  <w:rFonts w:ascii="Arial;sans-serif" w:hAnsi="Arial;sans-serif"/>
                  <w:b w:val="false"/>
                  <w:color w:val="0000FF"/>
                  <w:sz w:val="20"/>
                  <w:u w:val="single"/>
                </w:rPr>
                <w:t>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FF"/>
                <w:sz w:val="20"/>
                <w:u w:val="single"/>
              </w:rPr>
              <w:t>F-</w:t>
            </w:r>
            <w:hyperlink w:anchor="i14c4ce5c2bd341b08c6cad3a94221276_178">
              <w:r>
                <w:rPr>
                  <w:rStyle w:val="InternetLink"/>
                  <w:rFonts w:ascii="Arial;sans-serif" w:hAnsi="Arial;sans-serif"/>
                  <w:b w:val="false"/>
                  <w:color w:val="000080"/>
                  <w:sz w:val="20"/>
                  <w:u w:val="single"/>
                </w:rPr>
                <w:t>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Annual Report on Form 10-K, in particular ITEM 1. "BUSINESS,"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pStyle w:val="TextBody"/>
        <w:bidi w:val="0"/>
        <w:spacing w:lineRule="auto" w:line="288" w:before="200" w:after="120"/>
        <w:ind w:left="0" w:right="0" w:firstLine="720"/>
        <w:jc w:val="both"/>
        <w:rPr>
          <w:rFonts w:ascii="Arial;sans-serif" w:hAnsi="Arial;sans-serif"/>
          <w:b w:val="false"/>
          <w:i/>
          <w:color w:val="000000"/>
          <w:sz w:val="20"/>
        </w:rPr>
      </w:pPr>
      <w:r>
        <w:rPr>
          <w:rFonts w:ascii="Arial;sans-serif" w:hAnsi="Arial;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1A, "RISK FACTORS,” in this report, and elsewhere in this report. Given these uncertainties, you should not place undue reliance on any forward-looking statement. The following factors are among those that may cause such differences: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Inability to raise additional capital, under favorable terms or at all, to fund our operating needs and continue as a going concern;</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number and scope of product development programs we pursue;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Clinical trial outcomes and results of preclinical development;</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Our failure, or a failure of a strategic collaborator, to successfully commercialize our product candidates, if approved, or our failure to otherwise monetize our portfolio programs and assets;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timing and amount of future royalty and milestone payments to us, if any, under our out-license agreements for commercialization of XACIATO™ (clindamycin phosphate) vaginal gel 2%, or XACIATO, and Ovaprene®;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Termination by a collaborator of our respective out-license agreements for commercialization of XACIATO and Ovaprene, or, in the case of Ovaprene, a decision by the collaborator not to make the license grant fully effective following its review of the results of the ongoing pivotal clinical trial of Ovaprene;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Difficulties with maintaining existing collaborations relating to the development and/or commercialization of our product candidates, or establishing new ones on a timely basis or on acceptable terms, or at all;</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Federal Food, Drug, and Cosmetic Act, or the FDA's 505(b)(2) pathway;</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and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Our payment and other obligations under our in-license and acquisition agreements for XACIATO and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we develop, less competitive or obsolete;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Unfavorable or unanticipated macroeconomic factors, geopolitical events or conflicts, public health emergencies, or natural disasters;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them to competition from other formulations using the same active ingredients;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Dependence on grant funding to advance the development of several of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Price and volume fluctuations in the stock market, and in our stock in particular, which could cause investors to experience losses and subject us to securities class-action litigation;</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wholly-owned subsidiaries operate in one business segment.</w:t>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first FDA-approved product to emerge from our portfolio of women's health product candidates is XACIATO (clindamycin phosphate) vaginal gel 2%, or XACIATO (pronounced zah-she-AH-toe). XACIATO was approved by the FDA in December 2021 as a single-dose prescription medication for the treatment of bacterial vaginosis in females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Accordingly, our potential future revenue from the commercialization of XACIATO will consist of royalties based on net sales and milestone payments from Organon. Organon commenced U.S. marketing of XACIATO in the fourth quarter of 2023.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began assembling our diverse portfolio of clinical-stage product candidates and pre-clinical programs in 2017 through acquisitions, exclusive in-licenses and other collaborations. Our programs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also explore opportunities to expand our portfolio by leveraging assets to which we hold rights or obtaining rights to new assets, with continued focus solely on women's health. We believe the product candidates in our portfolio offer innovative approaches that may provide meaningful benefits over current therapeutic or contraceptive options. We evaluate potential new product candidates based on similar selection criteria as we applied in assembling our existing portfolio. Our product candidates, if approved for commercial sale, would be physician prescribed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graphic summarizes the product and product candidates in our portfolio in advanced clinical development (Phase 2-ready to Phase 3), including targeted indications, development status and milestones:</w:t>
      </w:r>
    </w:p>
    <w:p>
      <w:pPr>
        <w:pStyle w:val="TextBody"/>
        <w:bidi w:val="0"/>
        <w:spacing w:before="0" w:after="0"/>
        <w:jc w:val="center"/>
        <w:rPr/>
      </w:pPr>
      <w:r>
        <w:rPr/>
        <w:drawing>
          <wp:inline distT="0" distB="0" distL="0" distR="0">
            <wp:extent cx="9505950" cy="39528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505950" cy="3952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graphic summarizes the product candidates in our portfolio in earlier stages of development, including targeted indications, development status and milestones:</w:t>
      </w:r>
    </w:p>
    <w:p>
      <w:pPr>
        <w:pStyle w:val="TextBody"/>
        <w:bidi w:val="0"/>
        <w:spacing w:before="0" w:after="0"/>
        <w:jc w:val="center"/>
        <w:rPr/>
      </w:pPr>
      <w:r>
        <w:rPr/>
        <w:drawing>
          <wp:inline distT="0" distB="0" distL="0" distR="0">
            <wp:extent cx="8915400" cy="62103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15400" cy="6210300"/>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200" w:after="200"/>
        <w:ind w:left="0" w:right="0" w:firstLine="720"/>
        <w:jc w:val="both"/>
        <w:rPr/>
      </w:pPr>
      <w:r>
        <w:rPr/>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Our Strategy</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goal is to bring to market innovative products that address persistent unmet needs in women’s health, primarily in the areas of contraception, vaginal health, reproductive health, menopause, sexual health and fertility - areas in women's health that we believe represent compelling and meaningful market opportunities for products that enhance outcomes and convenience. We plan to achieve this goal by advancing the product candidates in our portfolio through mid- to late-stage clinical development, and potentially regulatory approval, as well as by establishing and leveraging strategic partnerships and other collaborations to complete product development and commercialize our products, if approved. We are primarily focused on progressing the development of our existing portfolio of product candidates. However, we also explore opportunities to expand our portfolio through both business development activities that may result in acquiring, or acquiring access to, new product candidates through in-licensing or other collaborative arrangements, and leveraging platform technology assets we previously acquired or in-licensed from third parties that can be modified with different active pharmaceutical ingredients to address multiple indications. As with our current portfolio, we seek innovations in women’s health that have (a) attractive market opportunities with the potential to address an unmet medical need, including through new formulations, manners of application or delivery methods of well-known drug substances that result in novel, product candidates customized for women, (b) human proof-of-concept clinical data previously generated by third parties and/or potential to utilize the FDA's 505(b)(2) pathway, and (c) potential to become a first-in-category or first-line product.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Key elements of our business strategy are as follows: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Advance clinical development of the product candidates in our portfolio through mid- to late-stage clinical development or regulatory approval</w:t>
      </w:r>
      <w:r>
        <w:rPr>
          <w:rFonts w:ascii="Arial;sans-serif" w:hAnsi="Arial;sans-serif"/>
          <w:b w:val="false"/>
          <w:color w:val="000000"/>
          <w:sz w:val="20"/>
        </w:rPr>
        <w:t>. In 2023, we continued to make important progress in the clinical development of our product candidates, including with the completion of, and positive topline results from the exploratory Phase 2b RESPOND study of Sildenafil Cream, 3.6%, the Phase 1/2 study of DARE-HRT1 and the Phase 1 study of DARE-PDM1, as well as FDA clearance of our investigational new drug, or IND, application for DARE-VVA1 and the commencement of the pivotal Phase 3 study of Ovaprene.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Explore opportunities to expand our portfolio, with women’s health as our sole focus</w:t>
      </w:r>
      <w:r>
        <w:rPr>
          <w:rFonts w:ascii="Arial;sans-serif" w:hAnsi="Arial;sans-serif"/>
          <w:b w:val="false"/>
          <w:color w:val="000000"/>
          <w:sz w:val="20"/>
        </w:rPr>
        <w:t>. While simultaneously advancing our current portfolio, we intend to continue to identify other important areas of unmet need in women’s health and to explore opportunities to build our product pipeline by acquiring or in-licensing new programs or leveraging assets we previously acquired or in-licensed to create new programs that meet our selection criteria. For example, in 2023, we entered into a license agreement under which we acquired exclusive rights to develop and commercialize in the U.S. an investigational anti-viral vaginal insert, which we refer to as DARE-CIN, for the treatment of cervical intraepithelial neoplasia and other human papillomavirus (HPV)-related pathologies.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Pursue strategic collaborations to fund our business and/or enhance our development and commercialization capabilities</w:t>
      </w:r>
      <w:r>
        <w:rPr>
          <w:rFonts w:ascii="Arial;sans-serif" w:hAnsi="Arial;sans-serif"/>
          <w:b w:val="false"/>
          <w:color w:val="000000"/>
          <w:sz w:val="20"/>
        </w:rPr>
        <w:t>. We intend to develop and maintain strategic relationships with commercial-stage companies that are leaders or emerging leaders in women’s health, as well as with other entities, where we believe such collaborations will help fund our business or accelerate or otherwise improve upon our clinical development and regulatory strengths and/or product manufacturing and commercialization capabilities. Examples of our efforts to date include our license agreement with Organon to commercialize XACIATO, our license agreement with Bayer to commercialize Ovaprene, if approved and the license becomes effective, and our Cooperative Research and Development Agreement, or CRADA, with the Eunice Kennedy Shriver National Institute of Child Health and Human Development, or NICHD, for the conduct of the Phase 3 clinical study of Ovaprene.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Seek non-dilutive sources of funding to support product development.</w:t>
      </w:r>
      <w:r>
        <w:rPr>
          <w:color w:val="000000"/>
        </w:rPr>
        <w:t xml:space="preserve"> </w:t>
      </w:r>
      <w:r>
        <w:rPr>
          <w:rFonts w:ascii="Arial;sans-serif" w:hAnsi="Arial;sans-serif"/>
          <w:b w:val="false"/>
          <w:color w:val="000000"/>
          <w:sz w:val="20"/>
        </w:rPr>
        <w:t>We intend to advance development of our programs through a variety of means, including through non-dilutive funding. To date, we have received non-dilutive funding to support various aspects of development of seven of our product candidates. We intend to continue to explore grants and other forms of non-dilutive funding to support development of our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XACIATO™</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XACIATO (clindamycin phosphate) vaginal gel, a lincosamide antibacterial, received FDA approval in December 2021 for the treatment of bacterial vaginosis in female patients 12 years of age and 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XACIATO is our first and, to date, only approved product. We achieved FDA approval of XACIATO three years after acquiring rights to the program. We commenced and completed a successful pivotal clinical study, prepared and filed a new drug application, or NDA, with the FDA and received notification from the FDA of U.S. marketing approval, all during the COVID-19 pandemic.</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In March 2022, we entered into an agreement with Organon which became fully effective in June 2022, whereby Organon licensed exclusive worldwide rights to develop, manufacture and commercialize XACIATO. Accordingly, our potential future revenue from the commercialization of XACIATO will consist of royalties based on net sales and milestone payments from Organon. See "Strategic Agreements for Product Commercialization" below for further discussion of the terms of our agreement with Organon. We remained the NDA holder of XACIATO until December 2023, at which time the NDA was transferred by the FDA to Organon, and Organon assumed all manufacturing responsibilities, regulatory and compliance matters. Organon is also responsible for commercializing, promoting, determining pricing, and negotiating reimbursement matters related to XACIATO. See "Sales and Marketing" below for further discussion of manufacturing for XACIATO and "Government Regulation—U.S. Government Regulation" below for discussion of applicable laws and compliance requirements. Organon commenced U.S. marketing of XACIATO in the fourth quarter of 2023.</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In December 2023, we entered into a royalty interest financing agreement pursuant to which we sold an interest in the royalty and milestone payments we receive from Organon in respect of the net sales of XACIATO by Organon. See "Royalty Interest Financing Agreement" below for a discussion of this agreement.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XACIATO previously received both Qualified Infectious Disease Product (QIDP) and Fast Track designations from the FDA for the treatment of bacterial vaginosis in women. As a result of the QIDP designation, XACIATO was eligible to receive a five-year extension of the three years of data exclusivity in the U.S. available to the product based on the submission of new clinical data that were essential to its approval. The FDA granted XACIATO for the treatment of bacterial vaginosis in female patients 12 years of age and older three years of data exclusivity, which was extended by five years, such that the data exclusivity period will expire on December 7, 2029. XACIATO has also been designated as a reference listed drug by the FDA for purposes of future generic drug development. The data exclusivity period should block the FDA from approving either a subsequent abbreviated NDA or 505(b)(2) NDA that relies in whole or in part on our protected clinical data. See also "Government Regulation - U.S. Government Regulation- New Drug Marketing Exclusivity under the Hatch-Waxman Act Amendments &amp; GAIN Exclusivity Extension" below. Additionally, see the discussion of patents and patent applications related to XACIATO under "Intellectual Property—Patents"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Our Pipeline: Clinical-Stage Programs</w:t>
      </w:r>
    </w:p>
    <w:p>
      <w:pPr>
        <w:pStyle w:val="TextBody"/>
        <w:bidi w:val="0"/>
        <w:spacing w:lineRule="auto" w:line="288" w:before="24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Ovaprene®</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Ovaprene is a novel, investigational hormone-free monthly intravaginal contraceptive designed to be worn conveniently over multiple weeks (one menstrual cycle) and with the potential to achieve “typical use” contraceptive efficacy approaching that of current FDA-approved non-implanted hormonal contraceptive methods (pills, patches and vaginal rings), which is approximately 91% typical use efficacy. Typical use contraceptive efficacy refers to the expected rate of pregnancy prevention during the first year of actual use of a method, including sometimes using the method in a way that is not correct or not consistent. Ovaprene features a proprietary knitted polymer barrier to physically block sperm from entering the cervical canal within a silicone-reinforced ring that releases non-hormonal agent ferrous gluconate to impede sperm motility. Unlike current FDA-approved monthly intravaginal contraceptives, Ovaprene does not contain hormones, but, consistent with those monthly intravaginal contraceptives, including Merck’s NuvaRing®, Ovaprene is designed to be a “one size fits most” monthly, self-administered product. If approved, Ovaprene could be the first hormone-free, monthly contraceptive option for women.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Arial;sans-serif" w:hAnsi="Arial;sans-serif"/>
          <w:b w:val="false"/>
          <w:color w:val="000000"/>
          <w:sz w:val="20"/>
        </w:rPr>
        <w:t>Ovaprene is composed of both device and drug components and is considered a combination product by the FDA. There is no predicate device for Ovaprene (i.e., there is no existing FDA-approved product that the FDA can use to compare with Ovaprene).</w:t>
      </w:r>
      <w:r>
        <w:rPr>
          <w:color w:val="000000"/>
        </w:rPr>
        <w:t xml:space="preserve"> </w:t>
      </w:r>
      <w:r>
        <w:rPr>
          <w:rFonts w:ascii="Arial;sans-serif" w:hAnsi="Arial;sans-serif"/>
          <w:b w:val="false"/>
          <w:color w:val="000000"/>
          <w:sz w:val="20"/>
        </w:rPr>
        <w:t>As such, Ovaprene will be reviewed via a premarket approval, or PMA, process and not a 510(k) premarket submission. While the regulatory process for such a novel product can require more interactions and research to support FDA approval, the benefit is a clearly differentiated product. Ovaprene previously underwent a request for designation process with the FDA that determined that the Center for Devices and Radiological Health, or CDRH, would lead the review of a PMA application for potential marketing approval in the U.S.</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Clinical Data</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In a postcoital test, or PCT, pilot clinical study conducted by the previous sponsor in 20 women and published in </w:t>
      </w:r>
      <w:r>
        <w:rPr>
          <w:rFonts w:ascii="Arial;sans-serif" w:hAnsi="Arial;sans-serif"/>
          <w:b w:val="false"/>
          <w:i/>
          <w:color w:val="000000"/>
          <w:sz w:val="20"/>
        </w:rPr>
        <w:t>The Journal of Reproductive Medicine®</w:t>
      </w:r>
      <w:r>
        <w:rPr>
          <w:color w:val="000000"/>
        </w:rPr>
        <w:t xml:space="preserve"> </w:t>
      </w:r>
      <w:r>
        <w:rPr>
          <w:rFonts w:ascii="Arial;sans-serif" w:hAnsi="Arial;sans-serif"/>
          <w:b w:val="false"/>
          <w:color w:val="000000"/>
          <w:sz w:val="20"/>
        </w:rPr>
        <w:t>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November 2019, we announced positive topline results of our PCT clinical trial of Ovaprene (ClinicalTrials.gov ID: NCT03598088).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PCT clinical trials have been used as a surrogate marker for contraceptive effectiveness. Infertility research suggests that higher rates of pregnancy are associated with PMS per HPF of from greater than one to greater than 20 PMS, and less than five PMS per HPF is considered indicative of contraceptive effectiveness.</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Pivotal Phase 3 Clinical Study</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announced commencement of the multi-center, single arm, non-comparative, pivotal Phase 3 clinical study of Ovaprene to evaluate its effectiveness as a contraceptive along with its safety and acceptability (ClinicalTrials.gov ID: NCT06127199). The study aims to enroll sufficient participants across approximately 20 study sites in the U.S. to have approximately 250 participants complete approximately 12 months (13 menstrual cycles) of use. Based on typical dropout rates for contraceptive efficacy studies, we will seek to enroll more than double the number of subjects we target to complete 13 menstrual cycles of use. Before commencing the study, we worked with our collaborators at the National Institutes of Health, or NIH, and at Bayer to review and implement study design considerations provided by the FDA with its Investigational Device Exemption, or IDE, approval letter, which we believe will further position the Phase 3 study to collect safety and effectiveness data to enable the preparation of, and to support the submission of, a PMA application for Ovaprene. 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 If successful, we expect the study to support a PMA application to the FDA, as well as regulatory filings in Europe and other countries worldwide, to allow for marketing approvals of Ovaprene.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The Phase 3 study is being conducted under our Cooperative Research and Development Agreement, or CRADA, with the U.S. Department of Health and Human Services, as represented by the Eunice Kennedy Shriver National Institute of Child Health and Human Development, or NICHD, part of the NIH,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NICHD is responsible for the other costs related to the conduct of the Phase 3 study and for managing the payment of expenses to the contract research organization for the study, the clinical sites, and other parties involved with the study. We expect to make the remaining $0.5 million payment to NICHD in the third quarter of 2024. In the future, depending on the duration of the enrollment period and number of subjects enrolled in the Phase 3 study, there may be costs associated with the study that are not reflected in the current budget under the CRADA, in which case, we and NICHD would discuss the mechanism to potentially provide for additional future payments by us in support of the Phase 3 study. We do not expect any such potential additional amounts to be payable in 2024.</w:t>
      </w:r>
    </w:p>
    <w:p>
      <w:pPr>
        <w:pStyle w:val="TextBody"/>
        <w:bidi w:val="0"/>
        <w:spacing w:lineRule="auto" w:line="288" w:before="160" w:after="200"/>
        <w:ind w:left="0" w:right="0" w:firstLine="720"/>
        <w:jc w:val="both"/>
        <w:rPr/>
      </w:pPr>
      <w:r>
        <w:rPr>
          <w:rFonts w:ascii="Arial;sans-serif" w:hAnsi="Arial;sans-serif"/>
          <w:b w:val="false"/>
          <w:color w:val="000000"/>
          <w:sz w:val="20"/>
        </w:rPr>
        <w:t>In addition to the CRADA, we are collaborating with ADVA-Tec, Inc., or ADVA-Tec, and Bayer HealthCare LLC, or Bayer, for the development and commercialization of Ovaprene as part of two strategic collaborations announced in March 2017 and January 2020, respectively. See "Strategic Agreements for Pipeline Development" and "Strategic Agreements for Product Commercialization" below for discussion of the terms of e</w:t>
      </w:r>
      <w:r>
        <w:rPr>
          <w:rFonts w:ascii="Arial;sans-serif" w:hAnsi="Arial;sans-serif"/>
          <w:b w:val="false"/>
          <w:color w:val="191C1F"/>
          <w:sz w:val="20"/>
        </w:rPr>
        <w:t xml:space="preserve">ach collaboration. </w:t>
      </w:r>
    </w:p>
    <w:p>
      <w:pPr>
        <w:pStyle w:val="TextBody"/>
        <w:bidi w:val="0"/>
        <w:spacing w:lineRule="auto" w:line="288" w:before="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Sildenafil Cream, 3.6%</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numerous pharmaceutical products have been developed and approved to treat erectile dysfunction in men, women continue to lack effective options for female sexual arousal disorder, or FSAD, the most analogous condition of the various types of female sexual dysfunction disorders. We are developing Sildenafil Cream, 3.6%, or Sildenafil Cream, an investigational proprietary cream formulation of sildenafil, a phosphodiesterase-5 inhibitor and the active ingredient in the male erectile dysfunction drug Viagra®, for topical administration to the female genitalia for treatment of FSAD. Today, there are no treatments approved by the FDA for FSAD and thus, there are no efficacy endpoints that have been previously validated in a Phase 3 pivotal study for potential treatments for FSAD. Our Phase 2b RESPOND clinical study of Sildenafil Cream, which is discussed further below, was a first of its kind Phase 2b clinical study that included patient reported outcome (PRO) instruments to screen eligible women and a number of primary, secondary, and exploratory PRO assessments to measure improvement in localized genital sensations of arousal and reduction in the distress that women experience with FSAD. We are developing the study design for Phase 3 clinical studies of Sildenafil Cream with ongoing feedback from the FDA coming out of our end-of-Phase 2 meeting with the FDA held in late 2023. We expect the FDA to complete its review of the Phase 2b RESPOND clinical study data and provide comments within the second quarter of 2024 on the proposed primary and secondary PRO endpoints for the planned Phase 3 pivotal trials of Sildenafil Cream to support potential product registration and labeling. We plan to leverage the existing data and established safety profile of sildenafil and the Viagra® brand to utilize the FDA’s 505(b)(2) pathway to obtain marketing approval of Sildenafil Cream in the U.S. for the treatment of women suffering from FSAD. If approved, Sildenafil Cream could be the first FDA-approved FSAD treatment option for women. </w:t>
      </w:r>
    </w:p>
    <w:p>
      <w:pPr>
        <w:pStyle w:val="TextBody"/>
        <w:bidi w:val="0"/>
        <w:spacing w:lineRule="auto" w:line="288" w:before="0" w:after="200"/>
        <w:ind w:left="0" w:right="0" w:firstLine="720"/>
        <w:jc w:val="both"/>
        <w:rPr/>
      </w:pPr>
      <w:r>
        <w:rPr>
          <w:rFonts w:ascii="Arial;sans-serif" w:hAnsi="Arial;sans-serif"/>
          <w:b w:val="false"/>
          <w:color w:val="000000"/>
          <w:sz w:val="20"/>
        </w:rPr>
        <w:t>FSAD, as described in the Diagnostic and Statistical Manual of Mental Disorders 4th Edition Text Revision ("DSM IV TR"),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 (also described in DSM IV TR), which is characterized primarily by lack or absence of sexual fantasies and desire for sexual activity (also commonly referred to as low libido).</w:t>
      </w:r>
      <w:r>
        <w:rPr>
          <w:color w:val="000000"/>
        </w:rPr>
        <w:t xml:space="preserve"> </w:t>
      </w:r>
      <w:r>
        <w:rPr>
          <w:rFonts w:ascii="Arial;sans-serif" w:hAnsi="Arial;sans-serif"/>
          <w:b w:val="false"/>
          <w:color w:val="000000"/>
          <w:sz w:val="20"/>
        </w:rPr>
        <w:t>As with erectile dysfunction in men, FSAD in women is associated with insufficient blood flow to the genitalia. Sildenafil Cream is designed to facilitate vasodilation and increase genital blood flow, and, as a result, to provide improvements in the female genital arousal response, while avoiding systemic side effects observed with oral formulations of sildenafil.</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Clinical Data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 Phase 1 clinical study of three escalating doses of topical sildenafil cream (1 g cream with 35 mg sildenafil; 2 g cream with 71 mg sildenafil; and 4 g cream with 142 mg sildenafil) in 20 healthy postmenopausal women using a crossover study design, topical sildenafil cream demonstrated significantly lower systemic exposure to sildenafil compared to a 50 mg oral sildenafil dose, and topical sildenafil cream was safe and well tolerated at clinically relevant doses (1-2 g cream). Study subjects reported favorable product characteristics: easy to use and readily absorbed.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Arial;sans-serif" w:hAnsi="Arial;sans-serif"/>
          <w:b w:val="false"/>
          <w:color w:val="000000"/>
          <w:sz w:val="20"/>
        </w:rPr>
        <w:t>In a Phase 2a, single center, single-dose, double-blind, placebo-controlled, 2-way crossover study, women with FSAD, ages 21 to 60, received a single 2 g dose of Sildenafil Cream.</w:t>
      </w:r>
      <w:r>
        <w:rPr>
          <w:color w:val="000000"/>
        </w:rPr>
        <w:t xml:space="preserve"> </w:t>
      </w:r>
      <w:r>
        <w:rPr>
          <w:rFonts w:ascii="Arial;sans-serif" w:hAnsi="Arial;sans-serif"/>
          <w:b w:val="false"/>
          <w:color w:val="000000"/>
          <w:sz w:val="20"/>
        </w:rPr>
        <w:t>Of the 35 women enrolled, 31 (15 premenopausal and 16 postmenopausal) completed the study. The primary objective was to evaluate the efficacy of Sildenafil Cream compared to placebo cream assessed by participant-reported levels of subjective cognitive sexual arousal and by physiological genital arousal response. Sildenafil Cream demonstrated increases in measurable blood flow to the genital tissue compared to placebo (mean change in vaginal pulse amplitude analysis) using a vaginal photoplethysmograph approximately 30 minutes post-dosing.</w:t>
      </w:r>
    </w:p>
    <w:p>
      <w:pPr>
        <w:pStyle w:val="TextBody"/>
        <w:bidi w:val="0"/>
        <w:spacing w:lineRule="auto" w:line="288" w:before="0" w:after="200"/>
        <w:ind w:left="0" w:right="0" w:firstLine="720"/>
        <w:jc w:val="both"/>
        <w:rPr/>
      </w:pPr>
      <w:r>
        <w:rPr>
          <w:rFonts w:ascii="Arial;sans-serif" w:hAnsi="Arial;sans-serif"/>
          <w:b w:val="false"/>
          <w:color w:val="000000"/>
          <w:sz w:val="20"/>
        </w:rPr>
        <w:t>A Phase 1, single-dose, double-blind, placebo-controlled, two-way crossover study to evaluate the feasibility of using thermography to assess the pharmacodynamics (PD) of Sildenafil Cream in normal healthy women was conducted at a single center. During the thermography study, genital temperature, a surrogate for genital blood flow, was captured and recorded utilizing an infrared camera capable of detecting heat patterns from blood flow in body tissues.</w:t>
      </w:r>
      <w:r>
        <w:rPr>
          <w:color w:val="000000"/>
        </w:rPr>
        <w:t xml:space="preserve"> </w:t>
      </w:r>
      <w:r>
        <w:rPr>
          <w:rFonts w:ascii="Arial;sans-serif" w:hAnsi="Arial;sans-serif"/>
          <w:b w:val="false"/>
          <w:color w:val="000000"/>
          <w:sz w:val="20"/>
        </w:rPr>
        <w:t>The study, which was designed to evaluate up to 10 subjects, achieved the study objectives based on a planned interim analysis of the first six completed subjects, and thus additional subjects were not enrolled. In this study, Sildenafil Cream demonstrated significantly greater increases in genital temperature compared to placebo cream, indicating a positive impact on genital blood flow during the 30-minute post-dosing testing session, with statistical separation from placebo cream within the first 15 minutes after dosing. Additionally, significantly greater self-reported arousal responses were reported during Sildenafil Cream visits compared to placebo cream visits.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2019, as part of our exploratory Phase 2b clinical program for Sildenafil Cream, we completed a non-interventional study, or the content validity study, designed to identify and document the genital arousal symptoms that are most important and relevant to women with FSAD. Participants who met the eligibility criteria participated in one-on-one, in-depth interviews conducted by subject matter experts in the field of clinical outcome assessments and female sexual medicine. The findings of that study helped facilitate alignment with the FDA on acceptable efficacy endpoints in our exploratory Phase 2b clinical study and future Phase 3 program, including with respect to the patient reported outcome, or PRO, instruments to be used to screen eligible patients with FSAD and to measure achievement of the primary efficacy endpoint in the Phase 2b study.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2023, we initiated subject enrollment in a Phase 1, single-dose, double-blind, placebo-controlled, 3-way crossover clinical study of Sildenafil Cream using thermography to assess the PD and pharmacokinetic (PK) characterization of Sildenafil Cream. The study was closed in March 2024. Sildenafil Cream was safe and well tolerated in the study. Data from the study will expand our existing clinical and nonclinical data for Sildenafil Cream and are expected to support the ongoing development of Sildenafil Cream as a potential treatment for FSAD.</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June 2023, we announced topline results from our exploratory Phase 2b RESPOND clinical study of Sildenafil Cream in premenopausal women with FSAD, and in July and November 2023, we announced additional findings based on further analyses of data from the study. In February 2024, we presented additional findings from the study at the Annual Meeting of the International Society for the Study of Women's Sexual Health. During the multi-center, double-blind, randomized, placebo-controlled study, subjects used Sildenafil Cream and placebo cream in their home setting over 12 weeks following a 4-week non-drug run-in period and a 4-week, single-blind placebo run-in period. A total of 252 subjects were enrolled in the 4-week single-blind placebo run-in period and a total of 200 subjects were randomized to the 12-week double-blind dosing period. A total of seven subjects were randomized but not treated in the double-blind dosing period. In the intent to treat (ITT) population, 99 subjects were randomized to the Sildenafil Cream group and 94 subjects were randomized to the placebo cream group. The study did not meet its co-primary or secondary endpoints, which were measured based on the ITT population. However, subjects in the Sildenafil Cream group showed improvements in multiple pre-specified exploratory endpoints that evaluated various aspects of the sexual experience, and we view the study results as positive and enabling of advancement of Sildenafil Cream into Phase 3 clinical development, which was confirmed by successful completion of our end-of-Phase 2 meeting with the FDA. The RESPOND study was a first of its kind Phase 2b clinical study that enabled us to identify a subgroup of patients who are most likely to benefit from Sildenafil Cream therapy and achieve meaningful improvement in their FSAD symptoms. Based on post hoc analyses, in a subgroup of study subjects consisting of healthy premenopausal women with FSAD, including those who suffered from a lack of sexual desire due to their decreased arousal, Sildenafil Cream demonstrated improved arousal sensation, desire, orgasm, as well as reduced stress, guilt, and embarrassment about the sexual dysfunction.</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End-of-Phase 2 Meeting and Phase 3 Program</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2024, we announced the successful completion of an end-of-Phase 2 meeting with the FDA. We and the FDA aligned on key elements of the Phase 3 program to support an NDA filing, including confirming that FSAD is acceptable as an indication, the clinical trials can be conducted in a premenopausal FSAD-only population,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and 12-weeks of blinded treatment to assess efficacy may be acceptable, provided that the trials are adequately powered for efficacy assessment. This is a shorter period of blinded treatment than the 24 weeks recommended in the FDA's 2016 draft guidance for industry on developing drugs for the treatment of low sexual interest, desire and/or arousal in women. Within the second quarter of 2024, we expect additional feedback from the FDA on our proposed primary and secondary patient reported outcome endpoints for the Phase 3 pivotal trials of Sildenafil Cream, as well as additional information on data that may be needed in an NDA submission to appropriately qualify any ingredient (other than sildenafil) for the vaginal route of administration. We have also requested clarification on the safety database (size and duration exposure) that the FDA will require for an NDA submission.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believe FSAD is an area of significant unmet need and that the improvements demonstrated in the Phase 2b RESPOND study in the patient population we plan to study in the Phase 3 program provided an important step towards advancing development of Sildenafil Cream for this challenging condition. We continue to work toward finalizing the plan for Phase 3 clinical development of Sildenafil Cream.</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Sildenafil Cream with Strategic Science &amp; Technologies-D LLC and Strategic Science &amp; Technologies, LLC (which we refer to collectively as SST) under our license and collaboration agreement announced in February 2018. See “Strategic Agreements for Pipeline Development” below for discussion of the terms of this collaboration.</w:t>
      </w:r>
    </w:p>
    <w:p>
      <w:pPr>
        <w:pStyle w:val="TextBody"/>
        <w:bidi w:val="0"/>
        <w:spacing w:lineRule="auto" w:line="288" w:before="12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DARE-HRT1</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DARE-HRT1 is a unique intravaginal ring, or IVR, designed to deliver bio-identical 17β-estradiol and bio-identical progesterone continuously over a 28-day period as part of a menopausal hormone therapy regimen.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 Hormone therapy is considered the most effective treatment for vasomotor symptoms, or VMS, commonly referred to as hot flashes, and the genitourinary syndrome of menopause, and it has been shown to prevent bone loss and fracture.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Following clinical development, we intend to leverage the large body of existing safety and efficacy data on estradiol and progesterone, the active ingredients in DARE-HRT1, to utilize the FDA's 505(b)(2) pathway to obtain marketing approval in the U.S. of DARE-HRT1 for the treatment of moderate-to-severe VMS due to menopause in women with intact uteri. Based on pre-IND communications with the FDA and the topline PK data from our Phase 1/2 clinical trial of DARE-HRT1, which is discussed below, we believe FDA approval of DARE-HRT1 for that indication is achievable via the FDA's 505(b)(2) pathway supported by a single, placebo-controlled Phase 3 clinical trial of DARE-HRT1, with safety evaluations out to 12 months, and a scientifically justified PK “bridge” (via a relative bioavailability trial) between DARE-HRT1 and the selected listed estradiol and progesterone drugs. We are conducting activities necessary to enable submission of an IND application to the FDA for a pivotal Phase 3 clinical study of DARE-HRT1. We do not plan to conduct the Phase 3 study until after we secure additional capital.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There are currently no FDA-approved IVRs that deliver bio-identical progesterone in combination with bio-identical estradiol. As such, DARE-HRT1 has the potential to be a first-in-category product that offers monthly convenience for women, and non-oral concurrent dosing of bio-identical progesterone in combination with bio-identical estradiol.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Clinical Data</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In January 2023, data from our Phase 1 clinical trial of DARE-HRT1 were published in </w:t>
      </w:r>
      <w:r>
        <w:rPr>
          <w:rFonts w:ascii="Arial;sans-serif" w:hAnsi="Arial;sans-serif"/>
          <w:b w:val="false"/>
          <w:i/>
          <w:color w:val="000000"/>
          <w:sz w:val="20"/>
        </w:rPr>
        <w:t>Menopause: The Journal of The North American Menopause Society,</w:t>
      </w:r>
      <w:r>
        <w:rPr>
          <w:color w:val="000000"/>
        </w:rPr>
        <w:t xml:space="preserve"> </w:t>
      </w:r>
      <w:r>
        <w:rPr>
          <w:rFonts w:ascii="Arial;sans-serif" w:hAnsi="Arial;sans-serif"/>
          <w:b w:val="false"/>
          <w:color w:val="000000"/>
          <w:sz w:val="20"/>
        </w:rPr>
        <w:t xml:space="preserve">or the </w:t>
      </w:r>
      <w:r>
        <w:rPr>
          <w:rFonts w:ascii="Arial;sans-serif" w:hAnsi="Arial;sans-serif"/>
          <w:b w:val="false"/>
          <w:i/>
          <w:color w:val="000000"/>
          <w:sz w:val="20"/>
        </w:rPr>
        <w:t>Menopause</w:t>
      </w:r>
      <w:r>
        <w:rPr>
          <w:color w:val="000000"/>
        </w:rPr>
        <w:t xml:space="preserve"> </w:t>
      </w:r>
      <w:r>
        <w:rPr>
          <w:rFonts w:ascii="Arial;sans-serif" w:hAnsi="Arial;sans-serif"/>
          <w:b w:val="false"/>
          <w:color w:val="000000"/>
          <w:sz w:val="20"/>
        </w:rPr>
        <w:t>journal,</w:t>
      </w:r>
      <w:r>
        <w:rPr>
          <w:color w:val="000000"/>
        </w:rPr>
        <w:t xml:space="preserve"> </w:t>
      </w:r>
      <w:r>
        <w:rPr>
          <w:rFonts w:ascii="Arial;sans-serif" w:hAnsi="Arial;sans-serif"/>
          <w:b w:val="false"/>
          <w:color w:val="000000"/>
          <w:sz w:val="20"/>
        </w:rPr>
        <w:t xml:space="preserve">in an article entitled, “Evaluation of 28-day estradiol and progesterone vaginal rings in a phase 1 clinical pharmacokinetic study.” We previously announced positive topline results from the study in June 2021. The randomized, open-label, three-arm, parallel group trial evaluated the PK and safety of DARE-HRT1 in approximately 30 healthy, postmenopausal women with intact uteri, and was conducted by our wholly-owned Australian subsidiary at two specialty women's health sites in Australia. Women in the first arm received one IVR designed to release 17β-estradiol (E2) at a rate of 80 μg/d and progesterone (P4) at 4 mg/d, or the 80/4 IVR. Women in the second arm received one IVR designed to release E2 at a rate of 160 μg/d and P4 at 8 mg/d, or the 160/8 IVR. Women in the third arm received oral Estrofem® (1 mg E2) and oral Prometrium® (100 mg P4) both daily for 29 days. The primary objective of the study was to describe the PK parameters of the 80/4 IVR and the 160/8 IVR. Secondary endpoints of the study were to assess the safety and tolerability of the IVRs and compare the systemic exposure of E2, estrone, and P4 in the IVR groups with the oral group. Blood samples were taken predose then intensively over the first day (Day 1) and periodically thereafter over the remaining 27 days. After removal of the IVRs on the morning of Day 29, intensive samples were collected. Similar procedures were conducted with women enrolled in the oral group.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journal article concluded that the 80/4 IVR and the 160/8 IVR gave similar steady-state concentrations of E2 as seen with drug products approved by the FDA for treatment of VMS and genitourinary symptoms of menopause, and that the E2 concentrations of the study support the potential of DARE-HRT1 as a new option for hormone therapy for treatment of VMS and vaginal symptoms associated with menopause. The IVRs were well tolerated, and no serious adverse events were reported.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DARE-HRT1 has also been evaluated in a Phase 1/2 clinical trial conducted by our wholly owned subsidiary in Australia. The randomized, open-label, two-arm, parallel group Phase 1/2 study of DARE-HRT1 was designed to evaluate the PK of the same two versions of DARE-HRT1 as were evaluated in our earlier Phase 1 clinical study, the 80/4 IVR and the 160/8 IVR, in approximately 20 healthy, postmenopausal women with intact uteri. In the study, women were randomized (1:1) to either the 80/4 IVR or the 160/8 IVR and used DARE-HRT1 for three 28-day cycles, inserting a new IVR monthly. The study also collected safety, usability, acceptability and symptom-relief data, including VMS as well as the vaginal symptoms of menopause. Preliminary genitourinary syndrome of menopause (GSM) treatment efficacy was estimated by measuring changes from baseline in vaginal pH, vaginal maturation index (VMI), and changes in the severity of GSM symptoms. Preliminary systemic VMS efficacy was measured by changes in responses to the Menopause-Specific Quality of Life (MENQOL) questionnaire. Acceptability was assessed by product experience surveys.</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In 2023, data from the Phase 1/2 study of DARE-HRT1 were published in the </w:t>
      </w:r>
      <w:r>
        <w:rPr>
          <w:rFonts w:ascii="Arial;sans-serif" w:hAnsi="Arial;sans-serif"/>
          <w:b w:val="false"/>
          <w:i/>
          <w:color w:val="000000"/>
          <w:sz w:val="20"/>
        </w:rPr>
        <w:t>Menopause</w:t>
      </w:r>
      <w:r>
        <w:rPr>
          <w:color w:val="000000"/>
        </w:rPr>
        <w:t xml:space="preserve"> </w:t>
      </w:r>
      <w:r>
        <w:rPr>
          <w:rFonts w:ascii="Arial;sans-serif" w:hAnsi="Arial;sans-serif"/>
          <w:b w:val="false"/>
          <w:color w:val="000000"/>
          <w:sz w:val="20"/>
        </w:rPr>
        <w:t>journal in articles entitled, “A phase 1/2, open-label, parallel group study to evaluate the safety and pharmacokinetics of DARE-HRT1 (80 μg estradiol/4 mg progesterone and 160 μg estradiol/8 mg progesterone intravaginal rings) over 12 weeks in healthy postmenopausal women” (</w:t>
      </w:r>
      <w:r>
        <w:rPr>
          <w:rFonts w:ascii="Arial;sans-serif" w:hAnsi="Arial;sans-serif"/>
          <w:b w:val="false"/>
          <w:i/>
          <w:color w:val="000000"/>
          <w:sz w:val="20"/>
        </w:rPr>
        <w:t>Menopause</w:t>
      </w:r>
      <w:r>
        <w:rPr>
          <w:color w:val="000000"/>
        </w:rPr>
        <w:t xml:space="preserve"> </w:t>
      </w:r>
      <w:r>
        <w:rPr>
          <w:rFonts w:ascii="Arial;sans-serif" w:hAnsi="Arial;sans-serif"/>
          <w:b w:val="false"/>
          <w:color w:val="000000"/>
          <w:sz w:val="20"/>
        </w:rPr>
        <w:t>30(8):p 817-823, August 2023) and “A phase 1/2, open-label, parallel group study to evaluate the preliminary efficacy and usability of DARE-HRT1 (80 μg estradiol/4 mg progesterone and 160 μg estradiol/8 mg progesterone intravaginal rings) over 12 weeks in healthy postmenopausal women” (</w:t>
      </w:r>
      <w:r>
        <w:rPr>
          <w:rFonts w:ascii="Arial;sans-serif" w:hAnsi="Arial;sans-serif"/>
          <w:b w:val="false"/>
          <w:i/>
          <w:color w:val="000000"/>
          <w:sz w:val="20"/>
        </w:rPr>
        <w:t>Menopause</w:t>
      </w:r>
      <w:r>
        <w:rPr>
          <w:color w:val="000000"/>
        </w:rPr>
        <w:t xml:space="preserve"> </w:t>
      </w:r>
      <w:r>
        <w:rPr>
          <w:rFonts w:ascii="Arial;sans-serif" w:hAnsi="Arial;sans-serif"/>
          <w:b w:val="false"/>
          <w:color w:val="000000"/>
          <w:sz w:val="20"/>
        </w:rPr>
        <w:t>30(9):p 940-946, September 2023).The first article (</w:t>
      </w:r>
      <w:r>
        <w:rPr>
          <w:rFonts w:ascii="Arial;sans-serif" w:hAnsi="Arial;sans-serif"/>
          <w:b w:val="false"/>
          <w:i/>
          <w:color w:val="000000"/>
          <w:sz w:val="20"/>
        </w:rPr>
        <w:t>Menopause</w:t>
      </w:r>
      <w:r>
        <w:rPr>
          <w:color w:val="000000"/>
        </w:rPr>
        <w:t xml:space="preserve"> </w:t>
      </w:r>
      <w:r>
        <w:rPr>
          <w:rFonts w:ascii="Arial;sans-serif" w:hAnsi="Arial;sans-serif"/>
          <w:b w:val="false"/>
          <w:color w:val="000000"/>
          <w:sz w:val="20"/>
        </w:rPr>
        <w:t>30(8):p 817-823, August 2023) found that both versions of DARE-HRT1 evaluated in the Phase 1/2 study were safe and released E2 in systemic concentrations, which were in the low, normal premenopausal range and that systemic P4 concentrations predict endometrial protection. All treatment emergent adverse events were mild or moderate and were distributed similarly among the 80/4 IVR and the 160/8 IVR users. The second article (</w:t>
      </w:r>
      <w:r>
        <w:rPr>
          <w:rFonts w:ascii="Arial;sans-serif" w:hAnsi="Arial;sans-serif"/>
          <w:b w:val="false"/>
          <w:i/>
          <w:color w:val="000000"/>
          <w:sz w:val="20"/>
        </w:rPr>
        <w:t>Menopause</w:t>
      </w:r>
      <w:r>
        <w:rPr>
          <w:color w:val="000000"/>
        </w:rPr>
        <w:t xml:space="preserve"> </w:t>
      </w:r>
      <w:r>
        <w:rPr>
          <w:rFonts w:ascii="Arial;sans-serif" w:hAnsi="Arial;sans-serif"/>
          <w:b w:val="false"/>
          <w:color w:val="000000"/>
          <w:sz w:val="20"/>
        </w:rPr>
        <w:t>30(9):p 940-946, September 2023) found that (a) preliminary local GSM treatment efficacy was supported by significant decreases in vaginal pH and percentage (%) parabasal cells, and significant increases in the overall VMI and % superficial cells for both DARE-HRT1 groups (all P values &lt;0.01) and (b) preliminary VMS efficacy was supported by significant decreases in all domains of the MENQOL questionnaire from baseline for both dosing groups (all P values &lt;0.01). Both articles concluded that data from the Phase 1/2 study support further development of DARE-HRT1 for the treatment of menopausal symptoms.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DARE-HRT1 under our license agreement with Catalent JNP, Inc. See “Strategic Agreements for Pipeline Development” below for discussion of the terms of that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DARE-VVA1</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DARE-VVA1 is a proprietary investigational formulation of tamoxifen for intravaginal administration. We are developing DARE-VVA1 as a hormone-free alternative to estrogen-based therapies for the treatment of moderate-to-severe dyspareunia, or pain during sexual intercourse, a symptom of vulvar and vaginal atrophy, or VVA, associated with menopause. Tamoxifen is a well-known and well-characterized selective estrogen receptor modulator, or SERM. Tamoxifen has unique properties that produce different effects (estrogen agonist or estrogen antagonist) in different types of tissues. In breast tissue, tamoxifen acts as an estrogen antagonist, meaning that it can inhibit estrogen's effect and hence why it may be effective in treating hormone-receptor positive (HR+) breast cancer. However, in other tissue, including vaginal tissue, tamoxifen has been reported to elicit an estrogen-like response. This has the potential to have a favorable effect on vaginal cytology. VVA is an inflammation and thinning of the vaginal epithelium due to chronic hypo-estrogenism, which is the reduction in levels of circulating estrogen. Typical symptoms include vaginal dryness, itching and burning, and dyspareunia. VVA is a common condition in postmenopausal women and women with, or with a history of, HR+ breast cancer who received anti-cancer therapy. The prevalence of VVA in postmenopausal women is over 50% and survey data indicate only 56% of women experiencing menopausal vaginal changes discuss these symptoms with healthcare professionals, indicating that the syndrome is often underdiagnosed. Commonly used therapies for VVA are estrogen-based and are often contraindicated in HR+ breast cancer patients, or patients with a genetic predisposition or history of familial disease, because of the concern that estrogen use will promote recurrence or occurrence of disease. We believe there is a clear unmet medical need for an effective non-hormonal treatment for VVA.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announced FDA clearance of our IND application for DARE-VVA1, which was supported by results from our Phase 1/2 clinical study of DARE-VVA1 (discussed below), and we are planning for a Phase 2 randomized, double-blinded, placebo-controlled, dose-finding clinical study of DARE-VVA1. We do not plan to conduct the Phase 2 study until after we secure additional capital. At the conclusion of our development program, if successful, we intend to leverage the existing safety and efficacy data for tamoxifen to utilize the FDA’s 505(b)(2) pathway to obtain marketing approval of DARE-VVA1 in the U.S. </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Clinical Data</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An exploratory study of vaginal administration of tamoxifen in four healthy postmenopausal women diagnosed with VVA published in </w:t>
      </w:r>
      <w:r>
        <w:rPr>
          <w:rFonts w:ascii="Arial;sans-serif" w:hAnsi="Arial;sans-serif"/>
          <w:b w:val="false"/>
          <w:i/>
          <w:color w:val="000000"/>
          <w:sz w:val="20"/>
        </w:rPr>
        <w:t>Clinical and Experimental Obstetrics &amp; Gynecology</w:t>
      </w:r>
      <w:r>
        <w:rPr>
          <w:color w:val="000000"/>
        </w:rPr>
        <w:t xml:space="preserve"> </w:t>
      </w:r>
      <w:r>
        <w:rPr>
          <w:rFonts w:ascii="Arial;sans-serif" w:hAnsi="Arial;sans-serif"/>
          <w:b w:val="false"/>
          <w:color w:val="000000"/>
          <w:sz w:val="20"/>
        </w:rPr>
        <w:t>demonstrated that tamoxifen self-administered intravaginally for three months clinically benefited women with symptoms of VVA without significant systemic absorption of the study drug. In the open-label prospective cohort study with no placebo arm, participants were instructed to self-administer a vaginal suppository containing tamoxifen (20 mg) daily for one week and twice weekly for three months. The study treatment was effective in reducing vaginal pH and vaginal dryness. When measured after eight weeks on the study treatment, serum tamoxifen levels were negligible, 5.8 ng/ml (median), with a range of 1.0 to 10.0 ng/ml. In comparison, after three months of once daily administration of oral dose of 20-mg tamoxifen, Nolvadex® (tamoxifen citrate) tablets, the average steady state plasma concentration of tamoxifen is 122 ng/ml (range of 71 to 183 ng/ml).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DARE-VVA1 has also been evaluated in a Phase 1/2 clinical study conducted by our wholly-owned subsidiary in Australia. In November 2022, we announced topline results from of our Phase 1/2 clinical study of DARE-VVA1 conducted by our wholly-owned subsidiary in Australia. The randomized, multi-center, double-blind, parallel-arm, placebo-controlled, dose-ranging study enrolled 17 postmenopausal women with moderate-to-severe VVA and evaluated the safety, tolerability, plasma PK and pharmacodynamics (PD) of DARE-VVA1. The age of the 17 study participants ranged from 49 to 68 years, with an average age of 60.9 years. Participants were randomly allocated to one of five treatment groups (approximately four participants per group) that evaluated four dose levels of DARE-VVA1 (1 mg, 5 mg, 10 mg, and 20 mg tamoxifen) and a placebo. Following a screening visit, DARE-VVA1 was self-administered by study participants intravaginally once a day for the first two weeks, and then twice a week for the following six weeks for a total treatment period of 56 days. In each treatment group, participants had serial blood sampling for PK analysis and underwent safety evaluations and preliminary assessments of effectiveness. Following the completion of the treatment period, participants attended a safety follow-up visit. Fourteen participants completed the study. The primary endpoints of the study evaluated the safety and tolerability of DARE-VVA1 by vaginal administration and determined the plasma PK of DARE-VVA1 after intravaginal application. Secondary endpoints evaluated preliminary efficacy and PD of DARE-VVA1 in terms of the most bothersome vaginal symptom and changes in vaginal cytology and pH.</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2023, data from our Phase 1/2 study of DARE-VVA1 were published in Climacteric, the official journal of the International Menopause Society, in an article entitled, “Pharmacokinetics, safety and preliminary pharmacodynamic evaluation of DARE-VVA1: a soft gelatin capsule containing tamoxifen for the treatment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vulvovaginal atrophy.” The article concluded that DARE-VVA1 was safe and resulted in minimal systemic exposure to tamoxifen. Adverse events were mild to moderate in severity and distributed similarly among the DARE-VVA1 and placebo groups. Plasma tamoxifen concentrations were highest among women using DARE-VVA1 20 mg, but the maximum mean (standard deviation) plasma tamoxifen concentrations on day 1 and day 56 of the treatment period were less than 14% of those measured after one oral tamoxifen dose. The article also concluded that preliminary efficacy data support further development of DARE-VVA1. The article found that DARE-VVA1 users had significant decreases from pre-treatment baseline in vaginal pH and proportion of vaginal parabasal cells (p = 0.04 for both endpoints). Women randomized to use DARE-VVA1 10 mg or DARE-VVA1 20 mg experienced the largest treatment impact. The severity of vaginal dryness and dyspareunia decreased significantly from baseline with DARE-VVA1 use (p = 0.02 for both endpoints).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acquired the DARE-VVA1 program through our acquisition of Pear Tree Pharmaceuticals in 2018. See "Strategic Agreements for Pipeline Development" below for discussion of that merger agreement.</w:t>
      </w:r>
    </w:p>
    <w:p>
      <w:pPr>
        <w:pStyle w:val="TextBody"/>
        <w:bidi w:val="0"/>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DARE-CIN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DARE-CIN (formerly referred to as R-131-2) is an investigational, proprietary fixed-dose formulation of lopinavir and ritonavir in a soft gel vaginal insert, which we plan to develop for the treatment of cervical intraepithelial neoplasia, or CIN (also known as cervical dysplasia), and other HPV-related pathologies. CIN is a precancerous condition in women strongly linked to HPV infection, the most common sexually transmitted infection in the U.S. Disease severity is classified on a scale from one to three based on how much epithelial tissue in the cervix has abnormal cells. There is no FDA-approved non-surgical pharmaceutical intervention to treat CIN2 or CIN3 (collectively referred to as CIN2+). Current surgical procedures to treat cervical dysplasia are invasive and can adversely impact future pregnancies. We believe a non-surgical pharmaceutical approach could provide women with an important alternative to surgical procedures to treat cervical dysplasia. </w:t>
      </w:r>
    </w:p>
    <w:p>
      <w:pPr>
        <w:pStyle w:val="TextBody"/>
        <w:bidi w:val="0"/>
        <w:spacing w:lineRule="auto" w:line="276"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conducting limited activities to support an IND submission to the FDA to enable Phase 2 clinical development of DARE-CIN in the United States. We do not plan to conduct the Phase 2 study until after we secure additional capital.</w:t>
      </w:r>
    </w:p>
    <w:p>
      <w:pPr>
        <w:pStyle w:val="TextBody"/>
        <w:bidi w:val="0"/>
        <w:spacing w:lineRule="auto" w:line="276" w:before="0" w:after="200"/>
        <w:ind w:left="0" w:right="0" w:firstLine="720"/>
        <w:jc w:val="both"/>
        <w:rPr>
          <w:rFonts w:ascii="Arial;sans-serif" w:hAnsi="Arial;sans-serif"/>
          <w:b/>
          <w:i/>
          <w:color w:val="000000"/>
          <w:sz w:val="20"/>
        </w:rPr>
      </w:pPr>
      <w:r>
        <w:rPr>
          <w:rFonts w:ascii="Arial;sans-serif" w:hAnsi="Arial;sans-serif"/>
          <w:b/>
          <w:i/>
          <w:color w:val="000000"/>
          <w:sz w:val="20"/>
        </w:rPr>
        <w:t>Clinical Data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DARE-CIN was previously evaluated in a proof-of-concept clinical study and the results demonstrated its potential as a self-applied therapy for HPV infection and related cervical lesions. DARE-CIN was also previously evaluated in a Phase 1 clinical study to assess PK.</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DARE-CIN under our license agreement with Douglas Pharmaceuticals, Limited. See "Strategic Agreements for Pipeline Development" below for discussion of the terms of that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12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DARE-PDM1</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DARE-PDM1 is an investigational proprietary hydrogel formulation of diclofenac for vaginal administration designed to treat primary dysmenorrhea. DARE-PDM1 utilizes our proprietary hydrogel technology to vaginally deliver the active pharmaceutical ingredient, diclofenac, a nonsteroidal anti-inflammatory drug (NSAID), in a novel way for the treatment of primary dysmenorrhea. Primary dysmenorrhea is defined as painful menstruation in girls and women with normal pelvic anatomy, typically described as cramping pain in the low back or lower abdomen before or during the menstrual period. Oral NSAIDs, such as diclofenac, are often recommended for temporary relief from the painful symptoms of primary dysmenorrhea. Because there are currently no FDA-approved vaginal diclofenac treatment options for primary dysmenorrhea, DARE-PDM1 has the potential to be a first-in-category product, delivering diclofenac in a convenient vaginal format that may extend the duration of pain relief and reduce the risks associated with the oral delivery of NSAIDs. According to the American College of Obstetricians and Gynecologists’ Committee on Adolescent Health Care, dysmenorrhea is the most common menstrual symptom among adolescent girls and young women, and most adolescents experiencing dysmenorrhea have primary dysmenorrhea. Prevalence rates of dysmenorrhea vary but range from 50% to 90%.</w:t>
      </w:r>
    </w:p>
    <w:p>
      <w:pPr>
        <w:pStyle w:val="TextBody"/>
        <w:bidi w:val="0"/>
        <w:spacing w:lineRule="auto" w:line="276" w:before="160" w:after="120"/>
        <w:ind w:left="0" w:right="0" w:firstLine="720"/>
        <w:jc w:val="both"/>
        <w:rPr>
          <w:rFonts w:ascii="Arial;sans-serif" w:hAnsi="Arial;sans-serif"/>
          <w:b/>
          <w:i/>
          <w:color w:val="000000"/>
          <w:sz w:val="20"/>
        </w:rPr>
      </w:pPr>
      <w:r>
        <w:rPr>
          <w:rFonts w:ascii="Arial;sans-serif" w:hAnsi="Arial;sans-serif"/>
          <w:b/>
          <w:i/>
          <w:color w:val="000000"/>
          <w:sz w:val="20"/>
        </w:rPr>
        <w:t>Clinical Data</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DARE-PDM1 has been evaluated in a Phase 1 clinical study, DARE-PDM1-001, conducted by our wholly-owned subsidiary in Australia. DARE-PDM1-001 was a multi-center, randomized, placebo-controlled, double-blind, three-arm parallel group study that enrolled approximately 42 healthy, premenopausal women with symptomatic primary dysmenorrhea. This study was designed to assess the systemic (plasma) and local mucosal (vaginal fluid) diclofenac PK and safety after a single dose and during three daily doses of vaginally administered DARE-PDM1, given in two different strengths (1% or 3% diclofenac in 2.5 mL of hydrogel) versus placebo (vaginal hydrogel, no active ingredient). The study also assessed, as an exploratory endpoint, the preliminary dysmenorrhea treatment efficacy of DARE-PDM1, when dosed in three daily doses at the onset of dysmenorrhea symptoms, compared to a no-treatment, baseline, control cycle. The study observation period encompassed approximately three menstrual cycles.</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In December 2023, we announced topline data from the DARE-PDM1-001 study. The topline data indicate that the study treatment was well-tolerated, and treatment emergent adverse events profiles were comparable between the DARE-PDM1 treatment groups and the placebo group. All adverse events were mild or moderate; most adverse events (85%) were mild. There were no early discontinuations due to an adverse event, and no serious adverse events were reported.</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The vaginal fluid PK results exhibited dose proportionality for the 1% and 3% diclofenac strengths of the DARE-PDM1 study treatment. Additionally, the vaginal fluid PK results demonstrated that for approximately 75% (21/28) of the women in the DARE-PDM1 treatment groups the product was retained in the vaginal canal through 24 hours. The plasma PK results similarly exhibited dose proportionality for the 1% and 3% diclofenac strengths of the DARE-PDM1 study treatment. Plasma levels of diclofenac were at peak plasma concentrations within 3-4 hours for both diclofenac strengths of the DARE-PDM1 study treatment, and diclofenac was no longer detectable in the plasma by 48 hours post study treatment for the majority of subjects in the study. The plasma PK results for both DARE-PDM1 treatment groups indicate that vaginal dosing could result in systemic exposure which is approximately 1,000 times less than that seen from oral use of diclofenac.</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The exploratory endpoint that evaluated the preliminary efficacy of DARE-PDM1 versus placebo in reducing dysmenorrhea-associated pain showed a promising signal, with a statistically significant decrease in pelvic/vaginal and lower back pain scores in the 1% diclofenac DARE-PDM1 treatment group compared to the placebo group, as well as a decrease in pain scores in the 3% diclofenac DARE-PDM1 treatment group. Additionally, while most participants used at least one non-pharmacologic pain relief method (e.g., heating pad) for dysmenorrhea-associated pain during the no-treatment, baseline, control cycle, the proportion of participants who used at least one non-pharmacologic pain relief method for dysmenorrhea-associated pain decreased significantly in the DARE-PDM1 treatment groups during the dosing period, but not in the placebo group. There was no difference in the exploratory assessment of frequency of use of rescue medications in the treatment phase between the three groups.</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We believe the topline results of the Phase 1 study support continued clinical development of DARE-PDM1 as a treatment for primary dysmenorrhea. At the conclusion of the development program, if successful, we intend to leverage the existing safety and efficacy data for diclofenac to utilize the FDA's 505(b)(2) pathway to obtain marketing approval of DARE-PDM1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DARE-PDM1 under our agreements with TriLogic Pharma, LLC, MilanaPharm LLC and Hammock Pharmaceuticals, Inc. See "Strategic Agreements for Pipeline Development" below for discussion of those agreements.</w:t>
      </w:r>
    </w:p>
    <w:p>
      <w:pPr>
        <w:pStyle w:val="TextBody"/>
        <w:bidi w:val="0"/>
        <w:spacing w:lineRule="auto" w:line="276" w:before="160" w:after="120"/>
        <w:ind w:left="0" w:right="0" w:firstLine="720"/>
        <w:jc w:val="both"/>
        <w:rPr>
          <w:rFonts w:ascii="Arial;sans-serif" w:hAnsi="Arial;sans-serif"/>
          <w:b/>
          <w:i/>
          <w:color w:val="000000"/>
          <w:sz w:val="20"/>
          <w:u w:val="single"/>
        </w:rPr>
      </w:pPr>
      <w:r>
        <w:rPr>
          <w:rFonts w:ascii="Arial;sans-serif" w:hAnsi="Arial;sans-serif"/>
          <w:b/>
          <w:i/>
          <w:color w:val="000000"/>
          <w:sz w:val="20"/>
          <w:u w:val="single"/>
        </w:rPr>
        <w:t xml:space="preserve">DARE-204 and DARE-214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DARE-204 and DARE-214 are formulations of etonogestrel designed to provide contraception over 6-month and 12-month periods, respectively. These product candidates are being developed as a sub-cutaneous injectable, longer-acting, reversible method of contraception with a more predictable return to fertility. We plan to conduct Phase 1 clinical studies of DARE-204 and DARE-214 in Australia through our wholly-owned subsidiary in Australia. Additional manufacturing activities are necessary to commence the Phase 1 studies and these activities have not commenced. If we exercise our option and enter into an exclusive worldwide license agreement for DARE-204 and/or DARE-214, at the conclusion of these development programs, if successful, we intend to leverage the existing safety and efficacy data for etonogestrel to utilize the FDA's 505(b)(2) pathway to obtain marketing approval in the U.S. </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DARE-204 and DARE-214 under our development and option agreement with Adare Pharmaceuticals USA, Inc. See "Strategic Agreements for Pipeline Development" below for discussion of the terms of that agreement.</w:t>
      </w:r>
    </w:p>
    <w:p>
      <w:pPr>
        <w:pStyle w:val="TextBody"/>
        <w:bidi w:val="0"/>
        <w:spacing w:lineRule="auto" w:line="276" w:before="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DARE-FRT1 and DARE-PTB1</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DARE-FRT1 and DARE-PTB1 are IVRs designed to release bio-identical progesterone continuously for up to 14 days. DARE-FRT1 is being developed for luteal phase support as part of an in vitro fertilization, or IVF, treatment plan. DARE-PTB1 is being developed for the prevention of preterm birth. DARE-FRT1 and DARE-PTB1 use the same IVR technology platform as DARE-HRT1. We are conducting development activities to support IND submissions and Phase 1 clinical studies of these product candidates. We do not plan to conduct the Phase 1 studies until after we secure additional capital. At the conclusion of these development programs, if successful, we intend to leverage the existing safety and efficacy data for progesterone to utilize the FDA’s 505(b)(2) pathway to obtain marketing approval of DARE-FRT1 and DARE-PTB1 in the U.S.</w:t>
      </w:r>
    </w:p>
    <w:p>
      <w:pPr>
        <w:pStyle w:val="TextBody"/>
        <w:bidi w:val="0"/>
        <w:spacing w:lineRule="auto" w:line="276"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DARE-FRT1 and DARE-PTB1 under our license agreement with Catalent JNP, Inc. See "Strategic Agreements for Pipeline Development" below for discussion of the terms of that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Our Pipeline: Pre-Clinical Stage Programs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pre-clinical stage programs are: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DARE-LARC1</w:t>
      </w:r>
      <w:r>
        <w:rPr>
          <w:rFonts w:ascii="Arial;sans-serif" w:hAnsi="Arial;sans-serif"/>
          <w:b w:val="false"/>
          <w:color w:val="000000"/>
          <w:sz w:val="20"/>
        </w:rPr>
        <w:t xml:space="preserve">, a contraceptive implant delivering levonorgestrel with a woman-centered design that has the potential to be a long-acting, yet convenient and user-controlled contraceptive option;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DARE-LBT</w:t>
      </w:r>
      <w:r>
        <w:rPr>
          <w:rFonts w:ascii="Arial;sans-serif" w:hAnsi="Arial;sans-serif"/>
          <w:b w:val="false"/>
          <w:color w:val="000000"/>
          <w:sz w:val="20"/>
        </w:rPr>
        <w:t>, a novel hydrogel formulation for delivery of live biotherapeutics to support vaginal health;</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DARE-GML</w:t>
      </w:r>
      <w:r>
        <w:rPr>
          <w:rFonts w:ascii="Arial;sans-serif" w:hAnsi="Arial;sans-serif"/>
          <w:b w:val="false"/>
          <w:color w:val="000000"/>
          <w:sz w:val="20"/>
        </w:rPr>
        <w:t>, an intravaginally-delivered potential multi-target antimicrobial agent formulated with glycerol monolaurate (GML), which has shown broad antimicrobial activity, killing bacteria and viruses;</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non-hormonal contraception for both men and women by targeting the CatSper ion channel; and</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DARE-PTB2</w:t>
      </w:r>
      <w:r>
        <w:rPr>
          <w:rFonts w:ascii="Arial;sans-serif" w:hAnsi="Arial;sans-serif"/>
          <w:b w:val="false"/>
          <w:color w:val="000000"/>
          <w:sz w:val="20"/>
        </w:rPr>
        <w:t>, a novel approach for the prevention and treatment of idiopathic preterm birth through inhibition of a stress response protein.</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DARE-LARC1, our potential user-controlled, long-acting reversible contraceptive, is designed to store and precisely deliver hundreds of therapeutic doses of the contraceptive levonorgestrel over a period of years and to be controlled by the user, without further intervention by a healthcare provider. DARE-LARC1’s woman-centered design seeks to offer the benefits of traditional long-acting reversible contraceptives with the added flexibility and convenience for the user to pause and resume release of levonorgestrel, depending on her desire for fertility or contraceptive protection. Under a grant agreement we entered into in June 2021, as amended, we may receive up to approximately $49.0 million, payable over approximately five years, to advance development of the technology through nonclinical proof of principle studies to enable an IND submission. As of the date of this report, we have received payments totaling approximately $28.4 million under the grant agreement. Additional payments are contingent upon the DARE-LARC1 program's achievement of development and reporting milestones specified in the grant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DARE-LBT program has been supported by a private foundation grant of approximately $585,000 under a grant agreement that we entered into in November 2022. The grant funds supported activities related to development of a vaginal thermosetting gel formulation for the delivery of live biotherapeutics that can be reconstituted at the point of care. We believe DARE-LBT merits further development as a delivery vehicle with potential to enhance the availability of novel therapeutics for vaginal health in the United States and worldwide, including in countries with varying climatic conditions and/or where extended storage may be required.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Sales and Marketing</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Our approach is to develop an appropriate commercialization strategy for each of our product candidates based on the size of the market opportunity, the level of competition and the anticipated complexity of the launch. As we move our product candidates through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Organon has global commercial rights to XACIATO under our exclusive license agreement, and we have an exclusive license agreement with Bayer to out-license U.S. commercialization of Ovaprene. Each of these collaborators has established marketing, sales and distribution capabilities in women's health. We expect to continue to evaluate each product opportunity and pursue the commercialization strategy that we believe will maximize the return on our assets in and outside of the U.S. for our stockholders. We have engaged third parties to assist in commercial planning and other commercial readiness activities for our product candidates and intend to continue to do so, as needed.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See “Strategic Agreements for Product Commercialization” below for a discussion of the terms of our out-license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Manufacturing and Supply</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do not own or operate, nor do we expect to own or operate, facilities for manufacturing, storage and distribution, or testing of our product candidates. We rely on third parties to supply and manufacture our product candidates and other materials necessary to conduct pre-clinical testing, clinical trials and other activities required for regulatory approval of our product candidates, and expect to continue to do so in the future. In addition, to the extent our commercialization strategy for any future approved product requires that we undertake commercial supply obligations, we intend to rely on contract manufacturers and suppliers for manufacture, storage, distribution and testing of our finished commercial products and their respective components, including the active pharmaceutical ingredients, or API. These arrangements require less upfront capital expenditure and allow us to maintain a smaller and more flexible infrastructure.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our license agreement with Organon, we were responsible for providing product supply of XACIATO on an interim basis until Organon assumed such responsibility. In March 2022, we entered into a long-term supply and manufacturing agreement with the contract manufacturing organization, or CMO, that provided clinical supplies of XACIATO for our pivotal Phase 3 DARE-BVFREE clinical study. Under the terms of our agreement, the CMO was responsible for obtaining supplies, at our expense, of all components necessary for the manufacture of XACIATO, including the API, clindamycin. In December 2023, Organon assumed our obligations under the agreement with the CMO and our product supply agreement with Organon was terminated.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our agreement with ADVA-Tec, ADVA-Tec is responsible for providing all clinical trial and commercial supplies of Ovaprene, either directly or through a CMO, and except under limited circumstances, we may not obtain supplies of Ovaprene from any source other than ADVA-Tec or its CMO and licensor, Poly-Med, Inc. Other than our agreement with ADVA-Tec, we have no long-term arrangements for the production or supply of our product candidates or the materials required to produce them.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our license agreement with SST, SST was responsible for providing clinical supplies of Sildenafil Cream for Phase 2 clinical studies in the U.S., and we are responsible for providing supplies of Sildenafil Cream for Phase 3 clinical development and, if approved, for marketing and sale. Currently, we plan to obtain clinical supplies of Sildenafil Cream from the same CMO that manufactured Sildenafil Cream for the Phase 2b RESPOND clinical study.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expect that our current arrangements will meet our foreseeable needs for clinical trial materials or, generally, that alternative supply sources will be readily available. However, we may experience manufacturing and supply delays and disruptions in the event we need to engage alternative supply sources, as well as in connection with our current CMOs scaling up production to meet our clinical supply requirements for later stage clinical studies. In addition, some key raw materials or components of our clinical-stage product candidates, including Ovaprene and Sildenafil Cream, have only a single source of supply and alternative supply sources may not be readily available. Global supply chain disruptions, including those related to recent and ongoing geopolitical events, may contribute to manufacturing and supply delays. See ITEM 1A. "RISK FACTORS – Risks Related to Product Research &amp; Development and Regulatory Approval – 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00" w:after="200"/>
        <w:jc w:val="both"/>
        <w:rPr>
          <w:rFonts w:ascii="Arial;sans-serif" w:hAnsi="Arial;sans-serif"/>
          <w:b/>
          <w:color w:val="000000"/>
          <w:sz w:val="20"/>
        </w:rPr>
      </w:pPr>
      <w:r>
        <w:rPr>
          <w:rFonts w:ascii="Arial;sans-serif" w:hAnsi="Arial;sans-serif"/>
          <w:b/>
          <w:color w:val="000000"/>
          <w:sz w:val="20"/>
        </w:rPr>
        <w:t xml:space="preserve">Strategic Agreements for Product Commercialization </w:t>
      </w:r>
    </w:p>
    <w:p>
      <w:pPr>
        <w:pStyle w:val="TextBody"/>
        <w:bidi w:val="0"/>
        <w:spacing w:lineRule="auto" w:line="417" w:before="200" w:after="283"/>
        <w:ind w:left="0" w:right="0" w:firstLine="720"/>
        <w:jc w:val="left"/>
        <w:rPr>
          <w:rFonts w:ascii="Arial;sans-serif" w:hAnsi="Arial;sans-serif"/>
          <w:b/>
          <w:i/>
          <w:color w:val="000000"/>
          <w:sz w:val="20"/>
        </w:rPr>
      </w:pPr>
      <w:r>
        <w:rPr>
          <w:rFonts w:ascii="Arial;sans-serif" w:hAnsi="Arial;sans-serif"/>
          <w:b/>
          <w:i/>
          <w:color w:val="000000"/>
          <w:sz w:val="20"/>
        </w:rPr>
        <w:t>Organon License Agreement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March 2022, we entered into an agreement with Organon, which became fully effective in June 2022, whereby Organon licensed exclusive worldwide rights to develop, manufacture and commercialize XACIATO and other future intravaginal or urological products for human use formulated with clindamycin that rely on intellectual property we control. In July 2022, we received a $10.0 million non-refundable and non-creditable payment from Organon, which was recorded as license fee revenue. In July 2023, received a $1.0 million payment from Organon in connection with the amendment to the license agreement we entered into which was also recorded as license fee revenue. In connection with the first commercial sale of a licensed product in the United States, we received the $1.8 million milestone payment from Organon in the fourth quarter of 2023.</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as amended, we are entitled to receive tiered double-digit royalties based on net sales and potential future milestone payments of up to $180.0 million in tiered commercial sales milestones and regulatory milestones. Royalty payments will be subject to customary reductions and offsets. 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agreement includes customary representations and warranties, covenants and indemnification obligations of each party. In addition, the terms of the agreement provide Organon exclusive worldwide rights of first negotiation for specified potential future products of ours.</w:t>
      </w:r>
    </w:p>
    <w:p>
      <w:pPr>
        <w:pStyle w:val="TextBody"/>
        <w:bidi w:val="0"/>
        <w:spacing w:lineRule="auto" w:line="288" w:before="200" w:after="283"/>
        <w:ind w:left="0" w:right="0" w:firstLine="720"/>
        <w:jc w:val="left"/>
        <w:rPr>
          <w:rFonts w:ascii="Arial;sans-serif" w:hAnsi="Arial;sans-serif"/>
          <w:b/>
          <w:i/>
          <w:color w:val="000000"/>
          <w:sz w:val="20"/>
        </w:rPr>
      </w:pPr>
      <w:r>
        <w:rPr>
          <w:rFonts w:ascii="Arial;sans-serif" w:hAnsi="Arial;sans-serif"/>
          <w:b/>
          <w:i/>
          <w:color w:val="000000"/>
          <w:sz w:val="20"/>
        </w:rPr>
        <w:t>Bayer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2020, we entered into a license agreement with Bayer regarding the further development and commercialization of Ovaprene in the U.S. We received a $1.0 million upfront non-refundable payment from Bayer and Bayer agreed to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w:t>
      </w:r>
    </w:p>
    <w:p>
      <w:pPr>
        <w:pStyle w:val="TextBody"/>
        <w:bidi w:val="0"/>
        <w:spacing w:lineRule="auto" w:line="288" w:before="200" w:after="283"/>
        <w:ind w:left="0" w:right="0" w:firstLine="720"/>
        <w:jc w:val="both"/>
        <w:rPr/>
      </w:pPr>
      <w:r>
        <w:rPr>
          <w:rFonts w:ascii="Arial;sans-serif" w:hAnsi="Arial;sans-serif"/>
          <w:b w:val="false"/>
          <w:i/>
          <w:color w:val="000000"/>
          <w:sz w:val="20"/>
        </w:rPr>
        <w:t xml:space="preserve">Milestone Payments Paid by Bayer. </w:t>
      </w:r>
      <w:r>
        <w:rPr>
          <w:rFonts w:ascii="Arial;sans-serif" w:hAnsi="Arial;sans-serif"/>
          <w:b w:val="false"/>
          <w:color w:val="000000"/>
          <w:sz w:val="20"/>
        </w:rPr>
        <w:t>We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pPr>
      <w:r>
        <w:rPr>
          <w:rFonts w:ascii="Arial;sans-serif" w:hAnsi="Arial;sans-serif"/>
          <w:b w:val="false"/>
          <w:i/>
          <w:color w:val="000000"/>
          <w:sz w:val="20"/>
        </w:rPr>
        <w:t>Efforts</w:t>
      </w:r>
      <w:r>
        <w:rPr>
          <w:rFonts w:ascii="Arial;sans-serif" w:hAnsi="Arial;sans-serif"/>
          <w:b w:val="false"/>
          <w:color w:val="000000"/>
          <w:sz w:val="20"/>
        </w:rPr>
        <w:t>. We will be responsible for the pivotal trial for Ovaprene and for its development and regulatory activities and we have product supply obligations. After payment of the Clinical Trial and Manufacturing Activities Fee, Bayer will be responsible for the commercialization of Ovaprene for human contraception in the U.S.</w:t>
      </w:r>
    </w:p>
    <w:p>
      <w:pPr>
        <w:pStyle w:val="TextBody"/>
        <w:bidi w:val="0"/>
        <w:spacing w:lineRule="auto" w:line="288" w:before="200" w:after="283"/>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The initial term of the agreement, which is subject to automatic renewal terms, continues until the later of (a) the expiration of 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we do not receive the Clinical Trial and Manufacturing Activities Fee if and when due.</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Strategic Agreements for Pipeline Development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certain rights and obligations under our strategic agreements and describes expenses incurred during 2023 and our future payment or potential future payment obligations thereunder.</w:t>
      </w:r>
    </w:p>
    <w:p>
      <w:pPr>
        <w:pStyle w:val="TextBody"/>
        <w:bidi w:val="0"/>
        <w:spacing w:lineRule="auto" w:line="417" w:before="240" w:after="200"/>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2023, we entered into a license agreement with Douglas Pharmaceuticals Limited, or Douglas, under which we acquired the exclusive rights to develop and commercialize a lopinavir and ritonavir combination soft gel vaginal insert for the treatment of CIN and other HPV-related pathologies, and an agreement with The University of Manchester, pursuant to which The University of Manchester consented to Douglas' sublicense to us of certain rights it previously granted to Douglas and agreed to grant us a direct license to such rights if its license agreement with Douglas is terminated. As a result of these agreements, we commenced our DARE-CIN program. Under our agreement with Douglas, we received an exclusive, royalty-bearing license to research, develop and commercialize the licensed intellectual property in the United States for the treatment or prevention of all indications for women in female reproductive health. We are entitled to sublicense the rights granted to us under the agreement.</w:t>
      </w:r>
    </w:p>
    <w:p>
      <w:pPr>
        <w:pStyle w:val="TextBody"/>
        <w:bidi w:val="0"/>
        <w:spacing w:lineRule="auto" w:line="288" w:before="240" w:after="200"/>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We agreed to make potential future milestone payments to Douglas of (1) up to $5.25 million in the aggregate upon achieving certain development and regulatory milestones, which may be paid in shares of our common stock, in our sole discretion subject to specified limitations, and (2) up to $64.0 million in the aggregate upon achieving certain commercial sales milestones for each product covered by the licenses granted under the agreement.</w:t>
      </w:r>
      <w:r>
        <w:rPr>
          <w:color w:val="000000"/>
        </w:rPr>
        <w:t xml:space="preserve"> </w:t>
      </w:r>
    </w:p>
    <w:p>
      <w:pPr>
        <w:pStyle w:val="TextBody"/>
        <w:bidi w:val="0"/>
        <w:spacing w:lineRule="auto" w:line="288" w:before="0" w:after="0"/>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Douglas is eligible to receive tiered royalties in low single-digit to low double-digit percentages based on annual net sales of products and processes covered by the licenses granted under the agreement.</w:t>
      </w:r>
    </w:p>
    <w:p>
      <w:pPr>
        <w:pStyle w:val="TextBody"/>
        <w:bidi w:val="0"/>
        <w:spacing w:lineRule="auto" w:line="288" w:before="0" w:after="200"/>
        <w:ind w:left="0" w:right="0" w:firstLine="720"/>
        <w:jc w:val="both"/>
        <w:rPr/>
      </w:pPr>
      <w:r>
        <w:rPr>
          <w:rFonts w:ascii="Arial;sans-serif" w:hAnsi="Arial;sans-serif"/>
          <w:b w:val="false"/>
          <w:i/>
          <w:color w:val="000000"/>
          <w:sz w:val="20"/>
        </w:rPr>
        <w:t>Efforts.</w:t>
      </w:r>
      <w:r>
        <w:rPr>
          <w:color w:val="000000"/>
        </w:rPr>
        <w:t xml:space="preserve"> </w:t>
      </w:r>
      <w:r>
        <w:rPr>
          <w:rFonts w:ascii="Arial;sans-serif" w:hAnsi="Arial;sans-serif"/>
          <w:b w:val="false"/>
          <w:color w:val="000000"/>
          <w:sz w:val="20"/>
        </w:rPr>
        <w:t xml:space="preserve">We must use commercially reasonable efforts to develop and introduce to market at least one product or process. </w:t>
      </w:r>
    </w:p>
    <w:p>
      <w:pPr>
        <w:pStyle w:val="TextBody"/>
        <w:bidi w:val="0"/>
        <w:spacing w:lineRule="auto" w:line="288" w:before="0" w:after="0"/>
        <w:ind w:left="0" w:right="0" w:firstLine="720"/>
        <w:jc w:val="both"/>
        <w:rPr/>
      </w:pPr>
      <w:r>
        <w:rPr>
          <w:rFonts w:ascii="Arial;sans-serif" w:hAnsi="Arial;sans-serif"/>
          <w:b w:val="false"/>
          <w:i/>
          <w:color w:val="000000"/>
          <w:sz w:val="20"/>
        </w:rPr>
        <w:t>Term</w:t>
      </w:r>
      <w:r>
        <w:rPr>
          <w:rFonts w:ascii="Arial;sans-serif" w:hAnsi="Arial;sans-serif"/>
          <w:b w:val="false"/>
          <w:color w:val="000000"/>
          <w:sz w:val="20"/>
        </w:rPr>
        <w:t>. Unless earlier terminated, the agreement expires upon the expiration of the last-to-expire royalty term. In addition to customary termination rights for both parties, we may elect to terminate the agreement at any time, with or without cause, upon advance written notice to Douglas, and Douglas may terminate the agreement if we materially fail to fulfill diligence requirements with respect to product development.</w:t>
      </w:r>
    </w:p>
    <w:p>
      <w:pPr>
        <w:pStyle w:val="TextBody"/>
        <w:bidi w:val="0"/>
        <w:spacing w:lineRule="auto" w:line="417" w:before="240" w:after="200"/>
        <w:ind w:left="0" w:right="0" w:firstLine="720"/>
        <w:jc w:val="both"/>
        <w:rPr>
          <w:rFonts w:ascii="Arial;sans-serif" w:hAnsi="Arial;sans-serif"/>
          <w:b/>
          <w:i/>
          <w:color w:val="000000"/>
          <w:sz w:val="20"/>
        </w:rPr>
      </w:pPr>
      <w:r>
        <w:rPr>
          <w:rFonts w:ascii="Arial;sans-serif" w:hAnsi="Arial;sans-serif"/>
          <w:b/>
          <w:i/>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we entered into a license agreement with Hennepin Life Sciences LLC, or Hennepin, under which we acquired the exclusive global rights to develop and commercialize treatments delivering the novel antimicrobial glycerol monolaurate (GML) intravaginally for a variety of health conditions including bacterial, fungal, and viral infections. As a result of this license agreement, we commenced our DARE-GML program. Under the agreement, we received an exclusive, worldwide, royalty-bearing license to research, develop and commercialize the licensed technology. We are entitled to sublicense the rights granted to us under the agreement.</w:t>
      </w:r>
    </w:p>
    <w:p>
      <w:pPr>
        <w:pStyle w:val="TextBody"/>
        <w:bidi w:val="0"/>
        <w:spacing w:lineRule="auto" w:line="288" w:before="20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We agreed to make potential future development and sales milestone payments of (1) up to $6.25 million in the aggregate upon achieving certain development and regulatory milestones, and (2) up to $45.0 million in the aggregate upon achieving certain commercial sales milestones for each product covered by the licenses granted under the agreement, which may be paid, in our sole discretion, in cash or shares of our common stock.</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Hennepin is eligible to receive tiered royalties in low single-digit to low double-digit percentages based on worldwide net sales of products and processes covered by the licenses granted under the agreement.</w:t>
      </w:r>
    </w:p>
    <w:p>
      <w:pPr>
        <w:pStyle w:val="TextBody"/>
        <w:bidi w:val="0"/>
        <w:spacing w:lineRule="auto" w:line="288" w:before="200" w:after="283"/>
        <w:ind w:left="0" w:right="0" w:firstLine="720"/>
        <w:jc w:val="both"/>
        <w:rPr/>
      </w:pPr>
      <w:r>
        <w:rPr>
          <w:rFonts w:ascii="Arial;sans-serif" w:hAnsi="Arial;sans-serif"/>
          <w:b w:val="false"/>
          <w:i/>
          <w:color w:val="000000"/>
          <w:sz w:val="20"/>
        </w:rPr>
        <w:t>Efforts.</w:t>
      </w:r>
      <w:r>
        <w:rPr>
          <w:color w:val="000000"/>
        </w:rPr>
        <w:t xml:space="preserve"> </w:t>
      </w:r>
      <w:r>
        <w:rPr>
          <w:rFonts w:ascii="Arial;sans-serif" w:hAnsi="Arial;sans-serif"/>
          <w:b w:val="false"/>
          <w:color w:val="000000"/>
          <w:sz w:val="20"/>
        </w:rPr>
        <w:t>We must use commercially reasonable efforts to develop and introduce to market at least one product.</w:t>
      </w:r>
    </w:p>
    <w:p>
      <w:pPr>
        <w:pStyle w:val="TextBody"/>
        <w:bidi w:val="0"/>
        <w:spacing w:lineRule="auto" w:line="288" w:before="200" w:after="283"/>
        <w:ind w:left="0" w:right="0" w:firstLine="720"/>
        <w:jc w:val="both"/>
        <w:rPr/>
      </w:pPr>
      <w:r>
        <w:rPr>
          <w:rFonts w:ascii="Arial;sans-serif" w:hAnsi="Arial;sans-serif"/>
          <w:b w:val="false"/>
          <w:i/>
          <w:color w:val="000000"/>
          <w:sz w:val="20"/>
        </w:rPr>
        <w:t>Term</w:t>
      </w:r>
      <w:r>
        <w:rPr>
          <w:rFonts w:ascii="Arial;sans-serif" w:hAnsi="Arial;sans-serif"/>
          <w:b w:val="false"/>
          <w:color w:val="000000"/>
          <w:sz w:val="20"/>
        </w:rPr>
        <w:t>. Unless earlier terminated, the agreement expires in its entirety upon the last to expire royalty term. In addition to customary termination rights for both parties, we may elect to terminate the agreement at any time, with or without cause, on a country-by-country basis, and Hennepin may terminate the agreement if we do not undertake any development work with respect to the licensed intellectual property for five consecutive years from the date of the agreement.</w:t>
      </w:r>
    </w:p>
    <w:p>
      <w:pPr>
        <w:pStyle w:val="TextBody"/>
        <w:bidi w:val="0"/>
        <w:spacing w:lineRule="auto" w:line="417" w:before="200" w:after="200"/>
        <w:ind w:left="0" w:right="0" w:firstLine="720"/>
        <w:jc w:val="both"/>
        <w:rPr>
          <w:rFonts w:ascii="Arial;sans-serif" w:hAnsi="Arial;sans-serif"/>
          <w:b/>
          <w:i/>
          <w:color w:val="000000"/>
          <w:sz w:val="20"/>
        </w:rPr>
      </w:pPr>
      <w:r>
        <w:rPr>
          <w:rFonts w:ascii="Arial;sans-serif" w:hAnsi="Arial;sans-serif"/>
          <w:b/>
          <w:i/>
          <w:color w:val="000000"/>
          <w:sz w:val="20"/>
        </w:rPr>
        <w:t>Cooperative Research and Development Agreement with NICHD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2021, we entered into a CRADA with the U.S. Department of Health and Human Services ("HHS"), as represented by NICHD, part of the NIH, for the conduct of a pivotal Phase 3 clinical study of Ovaprene. See also “Our Pipeline: Clinical Stage Programs – Ovaprene” above. Pursuant to the terms of the CRADA,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and we expect to make the remaining $0.5 million payment in the third quarter of 2024. NICHD will be responsible for the other costs related to the conduct of the Phase 3 study and will manage the payment of expenses to other parties involved with the study.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 The CRADA expires five years from its effective date.</w:t>
      </w:r>
    </w:p>
    <w:p>
      <w:pPr>
        <w:pStyle w:val="TextBody"/>
        <w:bidi w:val="0"/>
        <w:spacing w:lineRule="auto" w:line="417" w:before="200" w:after="200"/>
        <w:ind w:left="0" w:right="0" w:firstLine="720"/>
        <w:jc w:val="both"/>
        <w:rPr>
          <w:rFonts w:ascii="Arial;sans-serif" w:hAnsi="Arial;sans-serif"/>
          <w:b/>
          <w:i/>
          <w:color w:val="000000"/>
          <w:sz w:val="20"/>
        </w:rPr>
      </w:pPr>
      <w:r>
        <w:rPr>
          <w:rFonts w:ascii="Arial;sans-serif" w:hAnsi="Arial;sans-serif"/>
          <w:b/>
          <w:i/>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2019, we acquired Dare MB Inc. (formerly, Microchips Biotech, Inc.), or MBI, to secure the rights to develop a long-acting reversible contraception method that a woman can turn on or off herself, according to her own needs. This candidate is now known as DARE-LARC1.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the MBI acquisition, we issued an aggregate of approximately 3.0 million shares of our common stock to the holders of shares of MBI’s capital stock outstanding immediately prior to the effective time of the merger and agreed to pay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we acquired in the merger; (c) tiered royalty payments ranging from low single-digit to low double-digit percentages of annual net sales of such products sold by us (but not by sublicensees), subject to customary provisions permitting royalty reductions and offset; and (d) a percentage of sublicense revenue related to such products. We agreed to use commercially reasonable efforts to achieve specified development and regulatory objectives relating to DARE-LARC1. In June 2021, a total of $1.25 million of the contingent consideration became payable upon the achievement of certain of the funding and product development milestone events, $1.0 million of which was recorded as contingent consideration on our consolidated balance sheets upon the completion of the MBI acquisition and $250,000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was expensed in 2021. In July 2021, our board of directors elected to make these milestone payments in shares of our common stock, to the extent permissible under the terms of the merger agreement with MBI, and, in September 2021, we issued approximately 700,000 shares of our common stock to former stockholders of MBI and paid $75,000 in cash to the stockholders' representative in accordance with the terms of the merger agreement in satisfaction of the $1.25 million in milestone payments associated with milestones achieved in June 2021.</w:t>
      </w:r>
    </w:p>
    <w:p>
      <w:pPr>
        <w:pStyle w:val="TextBody"/>
        <w:bidi w:val="0"/>
        <w:spacing w:lineRule="auto" w:line="417" w:before="240" w:after="200"/>
        <w:ind w:left="0" w:right="0" w:firstLine="720"/>
        <w:jc w:val="both"/>
        <w:rPr>
          <w:rFonts w:ascii="Arial;sans-serif" w:hAnsi="Arial;sans-serif"/>
          <w:b/>
          <w:i/>
          <w:color w:val="000000"/>
          <w:sz w:val="20"/>
        </w:rPr>
      </w:pPr>
      <w:r>
        <w:rPr>
          <w:rFonts w:ascii="Arial;sans-serif" w:hAnsi="Arial;sans-serif"/>
          <w:b/>
          <w:i/>
          <w:color w:val="000000"/>
          <w:sz w:val="20"/>
        </w:rPr>
        <w:t>TriLogic 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we entered into amendments to each of the Assignment Agreement and License Amendment. In September 2021, we entered into a second amendment to the License Agreement. In March 2022, in connection with entering into our exclusive license agreement with Organon, we entered into a consent, waiver and stand-by license agreement with TriLogic, MilanaPharm and Organon, which further amended the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Amendment, as amended:</w:t>
      </w:r>
    </w:p>
    <w:p>
      <w:pPr>
        <w:pStyle w:val="TextBody"/>
        <w:bidi w:val="0"/>
        <w:spacing w:lineRule="auto" w:line="288" w:before="20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We paid MilanaPharm $500,000 in connection with the first commercial sale in the United States of XACIATO in the fourth quarter of 2023. We may pay up to $250,000 upon the first commercial sale in the United States of successive licensed products for each vaginal or urological use. In addition, upon achievement of $50.0 million in cumulative worldwide net sales of licensed products, we must pay $1.0 million to MilanaPharm.</w:t>
      </w:r>
    </w:p>
    <w:p>
      <w:pPr>
        <w:pStyle w:val="TextBody"/>
        <w:bidi w:val="0"/>
        <w:spacing w:lineRule="auto" w:line="288" w:before="200" w:after="283"/>
        <w:ind w:left="0" w:right="0" w:firstLine="720"/>
        <w:jc w:val="both"/>
        <w:rPr/>
      </w:pPr>
      <w:r>
        <w:rPr>
          <w:rFonts w:ascii="Arial;sans-serif" w:hAnsi="Arial;sans-serif"/>
          <w:b w:val="false"/>
          <w:i/>
          <w:color w:val="000000"/>
          <w:sz w:val="20"/>
        </w:rPr>
        <w:t>Foreign Sublicense Income</w:t>
      </w:r>
      <w:r>
        <w:rPr>
          <w:rFonts w:ascii="Arial;sans-serif" w:hAnsi="Arial;sans-serif"/>
          <w:b w:val="false"/>
          <w:color w:val="000000"/>
          <w:sz w:val="20"/>
        </w:rPr>
        <w:t>. MilanaPharm is eligible to receive a low double-digit percentage of all income received by us or our affiliates in connection with any sublicense granted to a third party for use outside of the United States, subject to certain exclusions.</w:t>
      </w:r>
    </w:p>
    <w:p>
      <w:pPr>
        <w:pStyle w:val="TextBody"/>
        <w:bidi w:val="0"/>
        <w:spacing w:lineRule="auto" w:line="288" w:before="200" w:after="283"/>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During the royalty term, MilanaPharm is eligible to receive high single-digit to low double-digit royalties based 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pStyle w:val="TextBody"/>
        <w:bidi w:val="0"/>
        <w:spacing w:lineRule="auto" w:line="288" w:before="200" w:after="283"/>
        <w:ind w:left="0" w:right="0" w:firstLine="720"/>
        <w:jc w:val="both"/>
        <w:rPr/>
      </w:pPr>
      <w:r>
        <w:rPr>
          <w:rFonts w:ascii="Arial;sans-serif" w:hAnsi="Arial;sans-serif"/>
          <w:b w:val="false"/>
          <w:i/>
          <w:color w:val="000000"/>
          <w:sz w:val="20"/>
        </w:rPr>
        <w:t>Efforts</w:t>
      </w:r>
      <w:r>
        <w:rPr>
          <w:rFonts w:ascii="Arial;sans-serif" w:hAnsi="Arial;sans-serif"/>
          <w:b w:val="false"/>
          <w:color w:val="000000"/>
          <w:sz w:val="20"/>
        </w:rPr>
        <w:t>. We must use commercially reasonable efforts and resources to (1) develop and commercialize at least one 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pStyle w:val="TextBody"/>
        <w:bidi w:val="0"/>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Unless earlier terminated, the license term continues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customary termination rights for all parties, MilanaPharm may terminate the license granted to us solely with respect to a licensed product or process in a country if, after having launched such product or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Assignment Agreement, as amended</w:t>
      </w:r>
    </w:p>
    <w:p>
      <w:pPr>
        <w:pStyle w:val="TextBody"/>
        <w:bidi w:val="0"/>
        <w:spacing w:lineRule="auto" w:line="288" w:before="120" w:after="283"/>
        <w:ind w:left="0" w:right="0" w:firstLine="720"/>
        <w:jc w:val="both"/>
        <w:rPr/>
      </w:pPr>
      <w:r>
        <w:rPr>
          <w:rFonts w:ascii="Arial;sans-serif" w:hAnsi="Arial;sans-serif"/>
          <w:b w:val="false"/>
          <w:i/>
          <w:color w:val="000000"/>
          <w:sz w:val="20"/>
        </w:rPr>
        <w:t>Assignment; Technology Transfer</w:t>
      </w:r>
      <w:r>
        <w:rPr>
          <w:rFonts w:ascii="Arial;sans-serif" w:hAnsi="Arial;sans-serif"/>
          <w:b w:val="false"/>
          <w:color w:val="000000"/>
          <w:sz w:val="20"/>
        </w:rPr>
        <w:t>. Hammock assigned and transferred to us all of its right, title and interest in and to the MilanaPharm License Agreement and agreed to 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pStyle w:val="TextBody"/>
        <w:bidi w:val="0"/>
        <w:spacing w:lineRule="auto" w:line="288" w:before="200" w:after="283"/>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Hammock is eligible to receive up to $250,000 in the aggregate upon achievement of a regulatory development milestone related to a non-bacterial vaginosis product.</w:t>
      </w:r>
    </w:p>
    <w:p>
      <w:pPr>
        <w:pStyle w:val="TextBody"/>
        <w:bidi w:val="0"/>
        <w:spacing w:lineRule="auto" w:line="288" w:before="200" w:after="200"/>
        <w:ind w:left="0" w:right="0" w:firstLine="720"/>
        <w:jc w:val="both"/>
        <w:rPr/>
      </w:pPr>
      <w:r>
        <w:rPr>
          <w:rFonts w:ascii="Arial;sans-serif" w:hAnsi="Arial;sans-serif"/>
          <w:b w:val="false"/>
          <w:i/>
          <w:color w:val="000000"/>
          <w:sz w:val="20"/>
        </w:rPr>
        <w:t>Term</w:t>
      </w:r>
      <w:r>
        <w:rPr>
          <w:rFonts w:ascii="Arial;sans-serif" w:hAnsi="Arial;sans-serif"/>
          <w:b w:val="false"/>
          <w:color w:val="000000"/>
          <w:sz w:val="20"/>
        </w:rPr>
        <w:t>. The Assignment Agreement will terminate upon the later of (1) completion of the parties’ technology transfer plan, and (2) payment to Hammock of the last of the milestone payments.</w:t>
      </w:r>
    </w:p>
    <w:p>
      <w:pPr>
        <w:pStyle w:val="TextBody"/>
        <w:bidi w:val="0"/>
        <w:spacing w:lineRule="auto" w:line="288" w:before="240" w:after="200"/>
        <w:ind w:left="0" w:right="0" w:firstLine="720"/>
        <w:jc w:val="both"/>
        <w:rPr>
          <w:rFonts w:ascii="Arial;sans-serif" w:hAnsi="Arial;sans-serif"/>
          <w:b/>
          <w:i/>
          <w:color w:val="000000"/>
          <w:sz w:val="20"/>
        </w:rPr>
      </w:pPr>
      <w:r>
        <w:rPr>
          <w:rFonts w:ascii="Arial;sans-serif" w:hAnsi="Arial;sans-serif"/>
          <w:b/>
          <w:i/>
          <w:color w:val="000000"/>
          <w:sz w:val="20"/>
        </w:rPr>
        <w:t xml:space="preserve">Pear Tree Acquisition and License Agreements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we completed our acquisition of Pear Tree Pharmaceuticals, Inc., or Pear Tree. We acquired Pear Tree to secure exclusive, sublicensable, worldwide rights under certain patents and know-how to develop and commercialize a proprietary formulation of tamoxifen for vaginal administration. This acquisition led to our DARE-VVA1 program. Under the merger agreement, former stockholders of Pear Tree are eligible to receive tiered royalties based on net sales of licensed products by us or our affiliates, subject to customary reductions and offsets and to offset by royalty and sublicense revenue share payments payable to Pear Tree’s licensors as further described below, and a percentage of sublicense revenue. Former stockholders of Pear Tree and Pear Tree’s licensors are also eligible to receive payments based on achievement of specified clinical development, regulatory and commercial milestones by licensed products as further described below. </w:t>
      </w:r>
    </w:p>
    <w:p>
      <w:pPr>
        <w:pStyle w:val="TextBody"/>
        <w:bidi w:val="0"/>
        <w:spacing w:lineRule="auto" w:line="288" w:before="0" w:after="200"/>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xml:space="preserve">. Former stockholders of Pear Tree are eligible to receive up to $15.5 million in the aggregate in payments based on the achievement of clinical development and regulatory milestones by licensed products and up to $47.0 million in the aggregate in payments based on the achievement of commercial milestones by licensed products. These payments shall only be due once upon the first occurrence any of the specified milestone events. In addition, licensors of Pear Tree are eligible to receive up to approximately $3.2 million in the aggregate in payments based on the achievement of clinical development, regulatory and commercial milestones by each licensed product. These milestone payments may be made, in our sole discretion, in cash or in shares of our common stock in accordance with the terms of the merger agreement and the license agreements. </w:t>
      </w:r>
    </w:p>
    <w:p>
      <w:pPr>
        <w:pStyle w:val="TextBody"/>
        <w:bidi w:val="0"/>
        <w:spacing w:lineRule="auto" w:line="288" w:before="0" w:after="200"/>
        <w:ind w:left="0" w:right="0" w:firstLine="720"/>
        <w:jc w:val="both"/>
        <w:rPr/>
      </w:pPr>
      <w:r>
        <w:rPr>
          <w:rFonts w:ascii="Arial;sans-serif" w:hAnsi="Arial;sans-serif"/>
          <w:b w:val="false"/>
          <w:i/>
          <w:color w:val="000000"/>
          <w:sz w:val="20"/>
        </w:rPr>
        <w:t>Royalty Payments; Sublicense Revenue Share</w:t>
      </w:r>
      <w:r>
        <w:rPr>
          <w:rFonts w:ascii="Arial;sans-serif" w:hAnsi="Arial;sans-serif"/>
          <w:b w:val="false"/>
          <w:color w:val="000000"/>
          <w:sz w:val="20"/>
        </w:rPr>
        <w:t>. Former stockholders of Pear Tree are eligible to receive tiered royalties based on single-digit to low double-digit percentages of annual net sales of licensed products by us or our affiliates, subject to customary reductions and offsets, and a portion of royalties we receive from sublicensees. These payments may be made, in our sole discretion, in cash or in shares of our common stock in accordance with the terms of the merger agreement. Pear Tree’s licensors are eligible to receive semi-annual royalties based on a single-digit percentage of net sales of licensed products by us or our affiliates, subject to customary reductions and offsets, or a portion of any royalties received by us or our affiliates from sublicensees, and a low double-digit percentage of all sublicensing fees or other lump sum payments or compensation we receive from sublicensees, subject to customary exclusions. Portions of certain milestone payments made to Pear Tree’s licensors may be creditable against royalty payments due to Pear Tree’s licensors.</w:t>
      </w:r>
    </w:p>
    <w:p>
      <w:pPr>
        <w:pStyle w:val="TextBody"/>
        <w:bidi w:val="0"/>
        <w:spacing w:lineRule="auto" w:line="288" w:before="0" w:after="200"/>
        <w:ind w:left="0" w:right="0" w:firstLine="720"/>
        <w:jc w:val="both"/>
        <w:rPr/>
      </w:pPr>
      <w:r>
        <w:rPr>
          <w:rFonts w:ascii="Arial;sans-serif" w:hAnsi="Arial;sans-serif"/>
          <w:b w:val="false"/>
          <w:i/>
          <w:color w:val="000000"/>
          <w:sz w:val="20"/>
        </w:rPr>
        <w:t>License Agreements Revenue Share Offset</w:t>
      </w:r>
      <w:r>
        <w:rPr>
          <w:rFonts w:ascii="Arial;sans-serif" w:hAnsi="Arial;sans-serif"/>
          <w:b w:val="false"/>
          <w:color w:val="000000"/>
          <w:sz w:val="20"/>
        </w:rPr>
        <w:t xml:space="preserve">. Under the merger agreement, in addition to customary royalty reductions and offsets, royalty payments and payments based on income received from sublicensees of licensed products made by us to Pear Tree’s licensors are creditable against all royalty and sublicense revenue share payments payable to former stockholders of Pear Tree.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200" w:after="283"/>
        <w:ind w:left="0" w:right="0" w:firstLine="720"/>
        <w:jc w:val="left"/>
        <w:rPr>
          <w:rFonts w:ascii="Arial;sans-serif" w:hAnsi="Arial;sans-serif"/>
          <w:b/>
          <w:i/>
          <w:color w:val="000000"/>
          <w:sz w:val="20"/>
        </w:rPr>
      </w:pPr>
      <w:r>
        <w:rPr>
          <w:rFonts w:ascii="Arial;sans-serif" w:hAnsi="Arial;sans-serif"/>
          <w:b/>
          <w:i/>
          <w:color w:val="000000"/>
          <w:sz w:val="20"/>
        </w:rPr>
        <w:t>Catalent JNP License Agreement</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we commenced our DARE-HRT1, DARE-FRT1 and DARE-PTB1 programs. We are entitled to sublicense the rights granted to us under this agreement. </w:t>
      </w:r>
    </w:p>
    <w:p>
      <w:pPr>
        <w:pStyle w:val="TextBody"/>
        <w:bidi w:val="0"/>
        <w:spacing w:lineRule="auto" w:line="288" w:before="0" w:after="200"/>
        <w:ind w:left="0" w:right="0" w:firstLine="720"/>
        <w:jc w:val="both"/>
        <w:rPr/>
      </w:pPr>
      <w:r>
        <w:rPr>
          <w:rFonts w:ascii="Arial;sans-serif" w:hAnsi="Arial;sans-serif"/>
          <w:b w:val="false"/>
          <w:i/>
          <w:color w:val="000000"/>
          <w:sz w:val="20"/>
        </w:rPr>
        <w:t>Annual Maintenance Fee.</w:t>
      </w:r>
      <w:r>
        <w:rPr>
          <w:color w:val="000000"/>
        </w:rPr>
        <w:t xml:space="preserve"> </w:t>
      </w:r>
      <w:r>
        <w:rPr>
          <w:rFonts w:ascii="Arial;sans-serif" w:hAnsi="Arial;sans-serif"/>
          <w:b w:val="false"/>
          <w:color w:val="000000"/>
          <w:sz w:val="20"/>
        </w:rPr>
        <w:t xml:space="preserve">We pay an annual license maintenance fee of $100,000 to Catalent on each anniversary of the date of the agreement, which will be creditable against royalties and other payments due to Catalent in the same calendar year (including milestone payments and sublicense income), but may not be carried forward to any other year. </w:t>
      </w:r>
    </w:p>
    <w:p>
      <w:pPr>
        <w:pStyle w:val="TextBody"/>
        <w:bidi w:val="0"/>
        <w:spacing w:lineRule="auto" w:line="288" w:before="0" w:after="200"/>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Catalent is eligible to receive (1) up to $12.5 million in the aggregate in payments based on the achievement of specified clinical and regulatory milestones, and (2) up to $30.3 million in the aggregate in payments based on the achievement of specified commercial sales milestones for each product or process covered by the licenses granted under the agreement.</w:t>
      </w:r>
    </w:p>
    <w:p>
      <w:pPr>
        <w:pStyle w:val="TextBody"/>
        <w:bidi w:val="0"/>
        <w:spacing w:lineRule="auto" w:line="288" w:before="0" w:after="200"/>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During the royalty term, Catalent is eligible to receive mid single-digit to low double-digit royalties based on worldwide net sales of products and 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pStyle w:val="TextBody"/>
        <w:bidi w:val="0"/>
        <w:spacing w:lineRule="auto" w:line="288" w:before="0" w:after="200"/>
        <w:ind w:left="0" w:right="0" w:firstLine="720"/>
        <w:jc w:val="both"/>
        <w:rPr/>
      </w:pPr>
      <w:r>
        <w:rPr>
          <w:rFonts w:ascii="Arial;sans-serif" w:hAnsi="Arial;sans-serif"/>
          <w:b w:val="false"/>
          <w:i/>
          <w:color w:val="000000"/>
          <w:sz w:val="20"/>
        </w:rPr>
        <w:t>Efforts.</w:t>
      </w:r>
      <w:r>
        <w:rPr>
          <w:color w:val="000000"/>
        </w:rPr>
        <w:t xml:space="preserve"> </w:t>
      </w:r>
      <w:r>
        <w:rPr>
          <w:rFonts w:ascii="Arial;sans-serif" w:hAnsi="Arial;sans-serif"/>
          <w:b w:val="false"/>
          <w:color w:val="000000"/>
          <w:sz w:val="20"/>
        </w:rPr>
        <w:t>We must use commercially reasonable efforts to develop and make at least one product or process available to the public, which efforts include achieving specific diligence requirements by specific dates specified in the agreement.</w:t>
      </w:r>
    </w:p>
    <w:p>
      <w:pPr>
        <w:pStyle w:val="TextBody"/>
        <w:bidi w:val="0"/>
        <w:spacing w:lineRule="auto" w:line="288" w:before="0" w:after="200"/>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Unless earlier terminated, the term of the agreement will continue on a country-by-country basis until the later of (1) the 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agreement. We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we terminate the agreement, Catalent will have full access including the right to use and reference all product data generated during the term of the agreement that is owned by us.</w:t>
      </w:r>
    </w:p>
    <w:p>
      <w:pPr>
        <w:pStyle w:val="TextBody"/>
        <w:bidi w:val="0"/>
        <w:spacing w:lineRule="auto" w:line="417" w:before="240" w:after="283"/>
        <w:ind w:left="0" w:right="0" w:firstLine="720"/>
        <w:jc w:val="left"/>
        <w:rPr>
          <w:rFonts w:ascii="Arial;sans-serif" w:hAnsi="Arial;sans-serif"/>
          <w:b/>
          <w:i/>
          <w:color w:val="000000"/>
          <w:sz w:val="20"/>
        </w:rPr>
      </w:pPr>
      <w:r>
        <w:rPr>
          <w:rFonts w:ascii="Arial;sans-serif" w:hAnsi="Arial;sans-serif"/>
          <w:b/>
          <w:i/>
          <w:color w:val="000000"/>
          <w:sz w:val="20"/>
        </w:rPr>
        <w:t>Adare Development and Option Agreement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March 2018, we entered into an exclusive development and option agreement with Adare Pharmaceuticals USA, Inc. (formerly known as Orbis Biosciences, Inc., and which we refer to as Adare), for the development and potential exclusive worldwide license of injectable formulations of etonogestrel for contraceptive protection over 6-month and 12-month periods (which we refer to as DARE-204 and DARE-214, respectively). The agreement, as amended, provides us with an option to negotiate an exclusive, worldwide, royalty-bearing license, with rights to sublicense, for the programs if we fund the conduct of specified development work. We have no obligation to exercise our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200" w:after="283"/>
        <w:ind w:left="0" w:right="0" w:firstLine="720"/>
        <w:jc w:val="left"/>
        <w:rPr>
          <w:rFonts w:ascii="Arial;sans-serif" w:hAnsi="Arial;sans-serif"/>
          <w:b/>
          <w:i/>
          <w:color w:val="000000"/>
          <w:sz w:val="20"/>
        </w:rPr>
      </w:pPr>
      <w:r>
        <w:rPr>
          <w:rFonts w:ascii="Arial;sans-serif" w:hAnsi="Arial;sans-serif"/>
          <w:b/>
          <w:i/>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we entered into a license and collaboration agreement with Strategic Science &amp; Technologies-D LLC and Strategic Science &amp; 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as it existed as of the effective date of this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pPr>
      <w:r>
        <w:rPr>
          <w:rFonts w:ascii="Arial;sans-serif" w:hAnsi="Arial;sans-serif"/>
          <w:b w:val="false"/>
          <w:i/>
          <w:color w:val="000000"/>
          <w:sz w:val="20"/>
        </w:rPr>
        <w:t>Invention Ownership.</w:t>
      </w:r>
      <w:r>
        <w:rPr>
          <w:color w:val="000000"/>
        </w:rPr>
        <w:t xml:space="preserve"> </w:t>
      </w:r>
      <w:r>
        <w:rPr>
          <w:rFonts w:ascii="Arial;sans-serif" w:hAnsi="Arial;sans-serif"/>
          <w:b w:val="false"/>
          <w:color w:val="000000"/>
          <w:sz w:val="20"/>
        </w:rPr>
        <w:t>We retain rights to inventions made by our employees, SST retains rights to inventions made by its employees, and each party owns a 50% undivided interest in all joint inventions.</w:t>
      </w:r>
    </w:p>
    <w:p>
      <w:pPr>
        <w:pStyle w:val="TextBody"/>
        <w:bidi w:val="0"/>
        <w:spacing w:lineRule="auto" w:line="288" w:before="200" w:after="283"/>
        <w:ind w:left="0" w:right="0" w:firstLine="720"/>
        <w:jc w:val="both"/>
        <w:rPr/>
      </w:pPr>
      <w:r>
        <w:rPr>
          <w:rFonts w:ascii="Arial;sans-serif" w:hAnsi="Arial;sans-serif"/>
          <w:b w:val="false"/>
          <w:i/>
          <w:color w:val="000000"/>
          <w:sz w:val="20"/>
        </w:rPr>
        <w:t>Joint Development Committee.</w:t>
      </w:r>
      <w:r>
        <w:rPr>
          <w:color w:val="000000"/>
        </w:rPr>
        <w:t xml:space="preserve"> </w:t>
      </w:r>
      <w:r>
        <w:rPr>
          <w:rFonts w:ascii="Arial;sans-serif" w:hAnsi="Arial;sans-serif"/>
          <w:b w:val="false"/>
          <w:color w:val="000000"/>
          <w:sz w:val="20"/>
        </w:rPr>
        <w:t>The parties will collaborate through a joint development committee that will determine the strategic objectives for, and generally oversee, the development efforts of both parties under the agreement.</w:t>
      </w:r>
    </w:p>
    <w:p>
      <w:pPr>
        <w:pStyle w:val="TextBody"/>
        <w:bidi w:val="0"/>
        <w:spacing w:lineRule="auto" w:line="288" w:before="200" w:after="283"/>
        <w:ind w:left="0" w:right="0" w:firstLine="720"/>
        <w:jc w:val="both"/>
        <w:rPr/>
      </w:pPr>
      <w:r>
        <w:rPr>
          <w:rFonts w:ascii="Arial;sans-serif" w:hAnsi="Arial;sans-serif"/>
          <w:b w:val="false"/>
          <w:i/>
          <w:color w:val="000000"/>
          <w:sz w:val="20"/>
        </w:rPr>
        <w:t>Development</w:t>
      </w:r>
      <w:r>
        <w:rPr>
          <w:rFonts w:ascii="Arial;sans-serif" w:hAnsi="Arial;sans-serif"/>
          <w:b w:val="false"/>
          <w:color w:val="000000"/>
          <w:sz w:val="20"/>
        </w:rPr>
        <w:t>. We must use commercially reasonable efforts to develop the Licensed Products in the Field of Use in accordance with a development plan in the agreement, and to commercialize the Licensed Products in the Field of Use. We are responsible for all reasonable internal and external costs and expenses incurred by SST in its performance of the development activities it must perform under the agreement.</w:t>
      </w:r>
    </w:p>
    <w:p>
      <w:pPr>
        <w:pStyle w:val="TextBody"/>
        <w:bidi w:val="0"/>
        <w:spacing w:lineRule="auto" w:line="288" w:before="20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SST will be eligible to receive tiered royalties based on percentages of annual net sales of Licensed Products in the single digits to the mid double digits, subject to customary royalty reductions and offsets, and a percentage of sublicense revenue.</w:t>
      </w:r>
    </w:p>
    <w:p>
      <w:pPr>
        <w:pStyle w:val="TextBody"/>
        <w:bidi w:val="0"/>
        <w:spacing w:lineRule="auto" w:line="288" w:before="200" w:after="283"/>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SST will be eligible to receive payments (1) ranging from $0.5 million to $18.0 million in the aggregate upon achieving certain clinical and regulatory milestones in the U.S. and worldwide, and (2) between $10.0 million to $100.0 million in the aggregate upon achieving certain commercial sales milestones. If we enter into strategic development or distribution partnerships related to the Licensed Products, additional milestone payments would be due to SST.</w:t>
      </w:r>
    </w:p>
    <w:p>
      <w:pPr>
        <w:pStyle w:val="TextBody"/>
        <w:bidi w:val="0"/>
        <w:spacing w:lineRule="auto" w:line="288" w:before="200" w:after="283"/>
        <w:ind w:left="0" w:right="0" w:firstLine="720"/>
        <w:jc w:val="both"/>
        <w:rPr/>
      </w:pPr>
      <w:r>
        <w:rPr>
          <w:rFonts w:ascii="Arial;sans-serif" w:hAnsi="Arial;sans-serif"/>
          <w:b w:val="false"/>
          <w:i/>
          <w:color w:val="000000"/>
          <w:sz w:val="20"/>
        </w:rPr>
        <w:t>License Term</w:t>
      </w:r>
      <w:r>
        <w:rPr>
          <w:rFonts w:ascii="Arial;sans-serif" w:hAnsi="Arial;sans-serif"/>
          <w:b w:val="false"/>
          <w:color w:val="000000"/>
          <w:sz w:val="20"/>
        </w:rPr>
        <w:t>. Our license continues on a country-by-country basis until the later of 10 years from the date of the first commercial sale of such Licensed Product or the 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pStyle w:val="TextBody"/>
        <w:bidi w:val="0"/>
        <w:spacing w:lineRule="auto" w:line="288" w:before="200" w:after="283"/>
        <w:ind w:left="0" w:right="0" w:firstLine="720"/>
        <w:jc w:val="both"/>
        <w:rPr/>
      </w:pPr>
      <w:r>
        <w:rPr>
          <w:rFonts w:ascii="Arial;sans-serif" w:hAnsi="Arial;sans-serif"/>
          <w:b w:val="false"/>
          <w:i/>
          <w:color w:val="000000"/>
          <w:sz w:val="20"/>
        </w:rPr>
        <w:t>Termination</w:t>
      </w:r>
      <w:r>
        <w:rPr>
          <w:rFonts w:ascii="Arial;sans-serif" w:hAnsi="Arial;sans-serif"/>
          <w:b w:val="false"/>
          <w:color w:val="000000"/>
          <w:sz w:val="20"/>
        </w:rPr>
        <w:t>. In addition to customary termination rights for both parties: (1) prior to receipt of approval by a regulatory authority necessary for commercialization of a 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 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pStyle w:val="TextBody"/>
        <w:bidi w:val="0"/>
        <w:spacing w:lineRule="auto" w:line="417" w:before="200" w:after="283"/>
        <w:ind w:left="0" w:right="0" w:firstLine="720"/>
        <w:jc w:val="both"/>
        <w:rPr>
          <w:rFonts w:ascii="Arial;sans-serif" w:hAnsi="Arial;sans-serif"/>
          <w:b/>
          <w:i/>
          <w:color w:val="000000"/>
          <w:sz w:val="20"/>
        </w:rPr>
      </w:pPr>
      <w:r>
        <w:rPr>
          <w:rFonts w:ascii="Arial;sans-serif" w:hAnsi="Arial;sans-serif"/>
          <w:b/>
          <w:i/>
          <w:color w:val="000000"/>
          <w:sz w:val="20"/>
        </w:rPr>
        <w:t>ADVA-Tec License Agreement</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March 2017, we entered into a license agreement with ADVA-Tec, Inc., under which we were granted an exclusive license to develop and commercialize Ovaprene for human contraceptive use worldwide. We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us to seek a PMA from the FDA. ADVA-Tec is responsible for providing us with clinical trial and commercial supplies of Ovaprene, either directly or through a CMO, on commercially reasonable terms, and, except under limited circumstances, we may not obtain supplies of Ovaprene from another source.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Under the license agreement, in addition to an exclusive, sublicensable license to ADVA-Tec’s and its affiliates’ intellectual property rights for all uses of Ovaprene as a human contraceptive device, we have a right of first refusal to license these patents and patent applications for additional indications.</w:t>
      </w:r>
    </w:p>
    <w:p>
      <w:pPr>
        <w:pStyle w:val="TextBody"/>
        <w:bidi w:val="0"/>
        <w:spacing w:lineRule="auto" w:line="288" w:before="200" w:after="200"/>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 xml:space="preserve">We may pay to ADVA-Tec: (1) up to $13.0 million in the aggregate based on the achievement of specified development and regulatory milestones and (2) up to $20 million in the aggregate based on the achievement of certain worldwide net sales milestones. The future development and regulatory milestones include: successful completion of a Phase 3/pivotal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 </w:t>
      </w:r>
    </w:p>
    <w:p>
      <w:pPr>
        <w:pStyle w:val="TextBody"/>
        <w:bidi w:val="0"/>
        <w:spacing w:lineRule="auto" w:line="288" w:before="0" w:after="200"/>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lineRule="auto" w:line="268" w:before="0" w:after="0"/>
        <w:ind w:left="0" w:right="0" w:firstLine="720"/>
        <w:jc w:val="both"/>
        <w:rPr/>
      </w:pPr>
      <w:r>
        <w:rPr>
          <w:rFonts w:ascii="Arial;sans-serif" w:hAnsi="Arial;sans-serif"/>
          <w:b w:val="false"/>
          <w:i/>
          <w:color w:val="000000"/>
          <w:sz w:val="20"/>
        </w:rPr>
        <w:t>Sublicense Revenue Payments</w:t>
      </w:r>
      <w:r>
        <w:rPr>
          <w:rFonts w:ascii="Arial;sans-serif" w:hAnsi="Arial;sans-serif"/>
          <w:b w:val="false"/>
          <w:color w:val="000000"/>
          <w:sz w:val="20"/>
        </w:rPr>
        <w:t xml:space="preserve">. If we sublicense our rights under the license agreement, in lieu of royalty payments to ADVA-Tec, ADVA-Tec is eligible to receive a double-digit percentage of sublicense revenue received by us during the royalty term; provided, however, that for sublicense revenue we receive prior to the first commercial sale of a licensed product that represents an upfront payment or license fee due on or around the effective date of the sublicense, ADVA-Tec is eligible to receive a single-digit percentage of that sublicense revenue. </w:t>
      </w:r>
    </w:p>
    <w:p>
      <w:pPr>
        <w:pStyle w:val="TextBody"/>
        <w:bidi w:val="0"/>
        <w:spacing w:lineRule="auto" w:line="288" w:before="200" w:after="200"/>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Unless earlier terminated, the license we received under the agreement continues on a country-by-country basis until the later of the life of the licensed patents or 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or (4) conduct clinical trials as set forth in the development plan to which we and ADVA-Tec agree, and as may be modified by a joint research committee, unless such failure is caused by events outside of our reasonable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Royalty Interest Financing Agreement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entered into a royalty interest financing agreement with United in Endeavour, LLC, or United, pursuant to which we sold to United an interest in the royalty and milestone payments we receive from Organon in respect of net sales of XACIATO. On the effective date of the agreement, we received a payment of $5.0 million, or the Initial Investment, from United. Until December 31, 2026, we may, at our sole discretion, elect to receive three additional payments of up to an aggregate of $7.0 million. We refer to each such payment as a Supplemental Discretionary Investment Amount, and collectively, as the Total Supplemental Discretionary Investment Amount.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will make payments to United under the agreement until such time when United has received aggregate payments equaling a 12% internal rate of return, or the IRR, on the Initial Investment and the Total Supplemental Discretionary Investment Amount, if any (referred to as the Hard Cap). Until such time as the IRR has been achieved, we agreed to make payments to United equal to (i) from the date of the agreement through December 31, 2025, 50% of the amount of royalty payments remaining after all amounts that are due and payable and actually paid by us to any licensor or sublicensee on the royalty payments generated and received by us on net sales of XACIATO by Organon have been deducted (such payments referred to as the Net Royalty Payments), (ii) from January 1, 2026 through December 31, 2029, 75% of the Net Royalty Payments, and (iii) from the date of the agreement through December 31, 2029, 10% of the amount of milestone payments remaining after all amounts that are due and payable and actually paid by us to any licensor or sublicensee on the milestone payments generated and received by us on net sales of XACIATO by Organon have been deducted. After December 31, 2029, we will be required to make certain additional payments to United to the extent United has not received payments equaling the Hard Cap by December 31, 2029, December 31, 2033, and December 31, 2034, respectively. In addition, if United has not received payments equaling the Hard Cap by December 31, 2035 and we have other sources of assets or income besides XACIATO sufficient to complete such payments, we have agreed to pay United quarterly payments evenly divided over a two-year term, such that United will have obtained the IRR, taking into account all other payments received by United from us under the agreement. United’s right to receive payments will terminate when United has received the Hard Cap.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the right, but not the obligation, at any time, to repurchase all of the interest from United at a repurchase price equal to the Hard Cap, calculated as of the date of we exercise such call option.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agreement contains representations and warranties, covenants, indemnification obligations, and other provisions customary for transactions of this nature and will terminate on the date that is the earlier of (i) the date upon which the payment of the purchased interest in respect of XACIATO is made in full to United, and (ii) the payment to United of an aggregate amount equal to the Hard Cap. </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In connection with the agreement, we issued to United a warrant to purchase up to 5.0 million shares of our common stock. In addition, for every $1.0 million of Supplemental </w:t>
      </w:r>
      <w:r>
        <w:rPr>
          <w:rFonts w:ascii="Arial;sans-serif" w:hAnsi="Arial;sans-serif"/>
          <w:b w:val="false"/>
          <w:color w:val="000000"/>
          <w:sz w:val="20"/>
          <w:shd w:fill="FFFFFF" w:val="clear"/>
        </w:rPr>
        <w:t>Discretionary</w:t>
      </w:r>
      <w:r>
        <w:rPr>
          <w:color w:val="000000"/>
        </w:rPr>
        <w:t xml:space="preserve"> </w:t>
      </w:r>
      <w:r>
        <w:rPr>
          <w:rFonts w:ascii="Arial;sans-serif" w:hAnsi="Arial;sans-serif"/>
          <w:b w:val="false"/>
          <w:color w:val="000000"/>
          <w:sz w:val="20"/>
        </w:rPr>
        <w:t>Investment Amount, we agreed to issue an additional warrant to purchase up to 1.0 million shares of our common stock, for an aggregate of additional warrants to purchase up to 7.0 million shares of our common stock.</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warrants are exercisable, in full or in part, at any time on or prior to the fifth anniversary of the date of issuance of the particular warrant at an exercise price of $0.3467 per share, subject to customary anti-dilution adjustments. The warrants may be exercised for cash, or if at the time of exercise there is no effective registration statement registering for resale the shares underlying the warrants, then in lieu of paying the exercise price in cash, the holder may elect to exercise the warrant on a cashless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actively seek to protect the proprietary technology that we consider important to our business in the United States and other jurisdictions internationally. We also rely upon trade secrets and contracts to protect our proprietary information. </w:t>
      </w:r>
    </w:p>
    <w:p>
      <w:pPr>
        <w:pStyle w:val="TextBody"/>
        <w:bidi w:val="0"/>
        <w:spacing w:lineRule="auto" w:line="288" w:before="200" w:after="283"/>
        <w:ind w:left="0" w:right="0" w:firstLine="720"/>
        <w:jc w:val="left"/>
        <w:rPr>
          <w:rFonts w:ascii="Arial;sans-serif" w:hAnsi="Arial;sans-serif"/>
          <w:b w:val="false"/>
          <w:i/>
          <w:color w:val="000000"/>
          <w:sz w:val="20"/>
        </w:rPr>
      </w:pPr>
      <w:r>
        <w:rPr>
          <w:rFonts w:ascii="Arial;sans-serif" w:hAnsi="Arial;sans-serif"/>
          <w:b w:val="false"/>
          <w:i/>
          <w:color w:val="000000"/>
          <w:sz w:val="20"/>
        </w:rPr>
        <w:t>Patents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Assignment Agreement with Hammock Pharmaceuticals, Inc. and the License Amendment with TriLogic Pharma, LLC and MilanaPharm, LLC, regarding the thermosetting hydrogel platform which includes XACIATO, we are the exclusive licensee of three issued U.S. patents, two of which are set to expire in December 2028 and one of which is set to expire in September 2036, subject to any extensions or disclaimers, and three foreign patents, including one European Patent Office, or EPO, patent validated in four countries, that expire in December 2028, subject to any extensions or disclaimers, as well as two foreign patents, including one EPO patent validated in 22 countries, that expire in July 2036, subject to any extensions or disclaimers. One of the three issued U.S. patents is listed in the FDA’s compendium of “Approved Drug Products with Therapeutic Equivalence Evaluation," known as the Orange Book, under the Patent Exclusivity Information for XACIATO. In addition, we have rights to three pending foreign patent applications and one pending U.S. patent application. If issued, the patent term for any patents issuing from these pending applications would be expected to expire in 2036, subject to any extensions or disclaimers. We own a pending PCT application and one foreign application regarding XACIATO, and a pending PCT application directed to the thermosetting hydrogel platform. The patent term for any patents issuing from these pending applications would be expected to expire in 2042, subject to any extensions or disclaimers. Organon has licensed XACIATO-specific patents and applications from us.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ADVA-Tec license agreement, regarding Ovaprene, we are the exclusive licensee of nine granted U.S. patents, one pending U.S. patent application, seven granted foreign patents, including four EPO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patents validated in a total of 55 countries, and four pending foreign patent applications. Two of the U.S. patents have terms until August 2028, which includes days added to the term by patent term adjustment, and a third patent has a term that expires in July 2027, including patent term adjustment, each of such terms being subject to any future extensions or disclaimers. The other U.S. and foreign patents are expected to expire in 2024, 2025, or 2026. The patent terms for any patents issuing from the pending applications would be expected to expire in 2035, subject to any extensions or disclaimers.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SST license agreement, regarding Sildenafil Cream, we are the exclusive licensee in the Field of Use of 23 issued patents worldwide (10 U.S. patents and 13 foreign patents, including two EPO patents validated in a total of 20 countries). Additionally, there is one patent application pending in the US, one in Europe, and two in other international markets. The issued U.S. patents have a patent term that expires in June 2029, including any patent term adjustment, and may be eligible for regulatory exclusivity under the Hatch-Waxman Act, while several foreign patents have a term that is set to expire in late 2031, each of such terms being subject to any future extensions or disclaimers.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Catalent license agreement, regarding our intravaginal ring platform which includes DARE-HRT1, we are the exclusive licensee of four issued U.S. patents with patent terms set to expire in April 2024, November 2024, February 2025, and September 2027, including patent term adjustment, four issued foreign patents with patent terms until April 2024, including one European patent validated in three countries, as well as one pending U.S. application and two pending foreign applications that if granted are expected to have patent terms that expire in May 2038, subject to any extensions or disclaimers. Additionally, relative to the DARE-HRT1 program, we are the sole owner of two pending U.S. provisional patent applications with an expected term, if granted, until 2044, subject to any extensions or disclaimers.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When we acquired Pear Tree Pharmaceuticals, Inc. in 2018, regarding DARE-VVA1, we obtained the rights to three U.S. patents and one Japanese patent. The patent terms for the U.S. patents are expected to expire in June 2027, June 2028, and May 2035 including any patent term adjustment, extensions or disclaimers. The Japanese patent has a term that is set to expire in June 2027. Additionally, relative to the DARE-VVA1 program, we are the sole owner of one pending U.S. provisional patent application with an expected term, if granted, until 2044, subject to any extensions or disclaimers.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When we acquired MBI in 2019, we obtained the rights to over 100 patents and applications. The key technology underlying the platform currently is supported by 14 U.S. patents and 49 foreign patents, including six EPO patents validated in various European countries, and 12 pending patent applications. We believe that the four most recently filed patent families are directly applicable to our DARE-LARC1 program. Those patent families have patent terms that are set to expire 2032, 2033, 2034, and 2040 respectively, subject to any extensions or disclaimers. Those patent families include patents granted in the U.S., E.U. and other key international markets.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Hennepin license agreement, we are the exclusive licensee of five issued U.S. patents and four foreign patents, as well as four pending U.S. applications and twelve pending foreign applications. The U.S. patents are set to expire in 2025, 2026, 2028, 2033 and 2034 including any patent term adjustment, extensions or disclaimers, and the foreign patents have patent terms until 2025 or 2033. The U.S. and foreign applications, if granted, are expected to have patent terms that expire in 2033, 2037, 2038, and 2042, subject to any extensions or disclaimers.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Douglas license agreement, we are the exclusive licensee of three granted U.S. patents and four pending U.S. patent applications. The granted patents are expected to expire in 2034 or 2039, including any patent term adjustment, extensions or disclaimers, and the U.S. applications, if granted, are expected to have patent terms that expire in 2039 and 2040.</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pStyle w:val="TextBody"/>
        <w:bidi w:val="0"/>
        <w:spacing w:lineRule="auto" w:line="288" w:before="200" w:after="283"/>
        <w:ind w:left="0" w:right="0" w:firstLine="720"/>
        <w:jc w:val="left"/>
        <w:rPr>
          <w:rFonts w:ascii="Arial;sans-serif" w:hAnsi="Arial;sans-serif"/>
          <w:b w:val="false"/>
          <w:i/>
          <w:color w:val="000000"/>
          <w:sz w:val="20"/>
        </w:rPr>
      </w:pPr>
      <w:r>
        <w:rPr>
          <w:rFonts w:ascii="Arial;sans-serif" w:hAnsi="Arial;sans-serif"/>
          <w:b w:val="false"/>
          <w:i/>
          <w:color w:val="000000"/>
          <w:sz w:val="20"/>
        </w:rPr>
        <w:t>Trademarks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hold a domestic registration for the trademark Daré Bioscience and our registration for the XACIATO trademark in the U.S. is pending. In accordance with the terms of the ADVA-Tec license agreement, we are the exclusive licensee of the Ovaprene registered trademark.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The industries in which we operate (biopharmaceutical, specialty pharmaceutical, biotechnology and medical device) are highly competitive and subject to rapid and significant change. Our success is highly dependent upon our ability to acquire or in-license, develop and obtain regulatory approval for innovative medical products on a cost-effective basis and to market them successfully, either on our own or together with strategic partners. We face and will continue to face intense competition from a variety of businesses, including large, fully integrated, well-established pharmaceutical companies that already possess a significant share of the women’s health market. Many of our potential competitors have greater clinical, regulatory, manufacturing, marketing, distribution, compliance and financial resources and experience than we do. See ITEM 1A. "RISK FACTORS—Risks Related to Commercialization of XACIATO and Our Product Candidates— Our product candidates, if approved, and XACIATO will face intense competition and our business and operating results will suffer if we, or our commercial collaborators, fail to compete effectively” and “— The women's health market includes many generic products and growth in generics is expected to continue, which could make the successful introduction of our branded products difficult and expensive” below.</w:t>
      </w:r>
    </w:p>
    <w:p>
      <w:pPr>
        <w:pStyle w:val="TextBody"/>
        <w:bidi w:val="0"/>
        <w:spacing w:lineRule="auto" w:line="288" w:before="0" w:after="0"/>
        <w:ind w:left="0" w:right="0" w:firstLine="720"/>
        <w:jc w:val="both"/>
        <w:rPr/>
      </w:pPr>
      <w:r>
        <w:rPr>
          <w:rFonts w:ascii="Arial;sans-serif" w:hAnsi="Arial;sans-serif"/>
          <w:b w:val="false"/>
          <w:color w:val="000000"/>
          <w:sz w:val="20"/>
        </w:rPr>
        <w:t>XACIATO will compete directly with the multiple generic and branded prescription drug products currently approved in the U.S. for the treatment of bacterial vaginosis, including oral and vaginal gel formulations of metronidazole and vaginal cream formulations of clindamycin. Branded, single-dose FDA-approved products for bacterial vaginosis include Solosec® (secnidazole) oral granules manufactured for and distributed by Lupin Pharmaceuticals, Inc., Clindesse® (clindamycin phosphate) vaginal cream, 2% manufactured and distributed by Padagis, and Nuvessa™ (metronidazole vaginal gel 1.3%) distributed by Exeltis USA, Inc.</w:t>
      </w:r>
      <w:r>
        <w:rPr>
          <w:color w:val="000000"/>
        </w:rPr>
        <w:t xml:space="preserve"> </w:t>
      </w:r>
      <w:r>
        <w:rPr>
          <w:rFonts w:ascii="Arial;sans-serif" w:hAnsi="Arial;sans-serif"/>
          <w:b w:val="false"/>
          <w:color w:val="000000"/>
          <w:sz w:val="20"/>
        </w:rPr>
        <w:t>Based on the XACIATO product profile reflected in the FDA-approved prescribing information, including the consistent cure rates demonstrated among the subsets of patients defined by prior episodes of bacterial vaginosis (≤ 3 and &gt;3 episodes in the previous 12 months), and the labeling for special populations such as pregnant and lactating women, we expect that the product may to be used by health care providers as a first line option for treating bacterial vaginosis. As a result of our exclusive license agreement with Organon, the commercial success of XACIATO is largely outside of our control.</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investigational contraceptive products, including Ovaprene, if approved, will compete with a wide range of prescription and over-the-counter contraceptive options, including hormone-free options such as condoms, diaphragms, cervical caps, sponges, copper IUDs, spermicides and vaginal gels, as well as hormonal products such as pills, patches, vaginal rings and injectables. In addition, multiple new methods of pregnancy prevention are in development, including hormone-free options, and some may be marketed in the U.S. before Ovaprene, potentially adding to the level of market competition Ovaprene will face, if approved.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Currently, there are no FDA-approved therapies for FSAD. Sildenafil Cream has the potential to be the first FDA-approved product for the treatment of FSAD.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DARE-HRT1, if approved as a treatment for moderate to severe VMS due to menopause, will compete with the many products on the market targeted or FDA-approved for the treatment of menopausal symptoms, including VMS. Such products include hormone therapies in the form of pills, patches and creams, some of which are FDA-approved products and others which are prepared in compounding pharmacies. We expect the options for hormone therapy to continue to expand with time. We believe DARE-HRT1 has the potential to address a preference among some women and health care providers for bio-identical hormones delivered in a non-oral route, as well as offer convenience compared to existing FDA-approved hormone therapies in that one IVR is designed to deliver the bio-identical hormones over 28 days without any daily intervention.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Over the longer term, our ability, independently or otherwise, to successfully develop,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Government Regulation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Governmental authorities in the U.S., at the federal, state and local level, and other countries extensively regulate the research, development, testing, manufacturing, labeling and packaging, storage, recordkeeping, advertising, promotion, import, export, marketing, and distribution, among other things, of pharmaceutical, medical device, and drug-device combination products. The process of obtaining regulatory approvals in the U.S. and in foreign countries and jurisdictions, and the subsequent compliance with appropriate federal, state, local and foreign statutes and regulations, require the expenditure of substantial time and financial resources.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and our third-party manufacturers, distributors and contract research organizations, or CROs, may also be subject to government regulation under other federal, state, and local laws, including the U.S. Foreign Corrupt Practices Act, the Occupational Safety and Health Act, the Environmental Protection Act, the Clean Air Act, the Health Insurance Portability and Accountability Act, privacy laws and import, export and customs regulations, as well as comparable laws and regulations of other countries.</w:t>
      </w:r>
    </w:p>
    <w:p>
      <w:pPr>
        <w:pStyle w:val="TextBody"/>
        <w:bidi w:val="0"/>
        <w:spacing w:lineRule="auto" w:line="288" w:before="200" w:after="200"/>
        <w:jc w:val="both"/>
        <w:rPr/>
      </w:pPr>
      <w:r>
        <w:rPr>
          <w:rFonts w:ascii="Arial;sans-serif" w:hAnsi="Arial;sans-serif"/>
          <w:b/>
          <w:color w:val="000000"/>
          <w:sz w:val="20"/>
          <w:u w:val="single"/>
        </w:rPr>
        <w:t>U</w:t>
      </w:r>
      <w:r>
        <w:rPr>
          <w:rFonts w:ascii="Arial;sans-serif" w:hAnsi="Arial;sans-serif"/>
          <w:b/>
          <w:i/>
          <w:color w:val="000000"/>
          <w:sz w:val="20"/>
          <w:u w:val="single"/>
        </w:rPr>
        <w:t>.S. Government Regulation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U.S., the FDA, under the authorities granted to the agency by the Federal Food, Drug and Cosmetic Act, or FDCA, and its implementing regulations, subjects pharmaceutical and other regulated medical products to rigorous premarket review as well as post-marketing oversight and potential enforcement actions. Failure to comply with applicable U.S. requirements at any time during the product development or approval process, or after approval, may subject a company to a variety of administrative or judicial sanctions brought by the FDA and the Department of Justice, or DOJ, or other governmental entities, any of which could have a material adverse effect on us. These sanctions could include: </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 xml:space="preserve">refusal to approve pending or future marketing applications; </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 xml:space="preserve">warning or untitled letters; </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withdrawal of an approval;</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 xml:space="preserve">imposition of a clinical hold; </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voluntary product recalls;</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 xml:space="preserve">seizures or administrative detention of product; </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 xml:space="preserve">total or partial suspension of production or distribution; or </w:t>
      </w:r>
    </w:p>
    <w:p>
      <w:pPr>
        <w:pStyle w:val="TextBody"/>
        <w:bidi w:val="0"/>
        <w:spacing w:lineRule="auto" w:line="288" w:before="0" w:after="10"/>
        <w:ind w:left="0" w:right="0" w:hanging="360"/>
        <w:jc w:val="both"/>
        <w:rPr/>
      </w:pPr>
      <w:r>
        <w:rPr>
          <w:color w:val="000000"/>
        </w:rPr>
        <w:t>•</w:t>
      </w:r>
      <w:r>
        <w:rPr>
          <w:rFonts w:ascii="Arial;sans-serif" w:hAnsi="Arial;sans-serif"/>
          <w:b w:val="false"/>
          <w:color w:val="000000"/>
          <w:sz w:val="20"/>
        </w:rPr>
        <w:t xml:space="preserve">injunctions, fines, disgorgement, civil penalties or criminal prosecution. </w:t>
      </w:r>
    </w:p>
    <w:p>
      <w:pPr>
        <w:pStyle w:val="TextBody"/>
        <w:bidi w:val="0"/>
        <w:spacing w:lineRule="auto" w:line="288" w:before="200" w:after="200"/>
        <w:ind w:left="0" w:right="0" w:firstLine="720"/>
        <w:jc w:val="left"/>
        <w:rPr>
          <w:rFonts w:ascii="Arial;sans-serif" w:hAnsi="Arial;sans-serif"/>
          <w:b/>
          <w:i/>
          <w:color w:val="000000"/>
          <w:sz w:val="20"/>
        </w:rPr>
      </w:pPr>
      <w:r>
        <w:rPr>
          <w:rFonts w:ascii="Arial;sans-serif" w:hAnsi="Arial;sans-serif"/>
          <w:b/>
          <w:i/>
          <w:color w:val="000000"/>
          <w:sz w:val="20"/>
        </w:rPr>
        <w:t>FDA Approval Process for Prescription Drugs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To obtain approval of a new drug product from the FDA, we must, among other requirements, submit extensive data supporting its safety and efficacy, as well as detailed information on the manufacture and composition of the drug and proposed product labeling and packaging.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The process required by the FDA before a new drug may be marketed in the U.S. generally involves some or all of the following key steps: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completion of nonclinical studies, such as laboratory tests, potentially animal studies, and formulation studies, performed in compliance with FDA regulations for good laboratory practices, or GLPs, and other applicable regulations;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design of a clinical protocol and its submission to the FDA as part of an IND, which must become effective before human clinical trials may begin;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performance of adequate and well-controlled human clinical trials according to good clinical practices, or GCPs, to establish the safety and efficacy of the product candidate for its intended use;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submission of an NDA to the FDA along with payment of the application user fee and FDA acceptance of that NDA;</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satisfactory completion of an FDA pre-approval inspection of the manufacturing facilities at which the active pharmaceutical ingredient, or API, and finished drug product are produced and tested to assess readiness for commercial manufacturing and conformance to the manufacturing-related elements of the application, to conduct a data integrity audit, and to assess compliance with current good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practices, or cGMP, in order to assure that the facilities, methods and controls are adequate to preserve the drug candidate’s identity, strength, quality and purity;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possible inspection of selected clinical study sites to confirm compliance with GCP requirements and data integrity;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FDA review and approval of the NDA, including satisfactory completion of an FDA advisory committee review of the product candidate, if applicable, which must occur prior to any commercial marketing or sale of the drug product in the U.S.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Preclinical Studies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After a therapeutic candidate is identified for development, it enters the preclinical or nonclinical testing stage. Preclinical studies include laboratory evaluation of product chemistry, toxicity and formulation, as well as animal studies to assess potential safety and efficacy. The Consolidated Appropriations Act for 2023, signed into law on December 29, 2022, (P.L. 117-328) amended the FDCA to specify that nonclinical testing for drugs may, but is not required to, include in vivo animal testing. According to the amended language, a sponsor may fulfill nonclinical testing requirements by completing various in vitro assays (e.g., cell-based assays, organ chips, or microphysiological systems), in silico studies (i.e., computer modeling), other human or non-human biology-based tests (e.g., bioprinting), or in vivo animal tests. Nonclinical tests intended for submission to the FDA to support the safety of a product candidate must be conducted in compliance with GLP regulations and the United States Department of Agriculture’s Animal Welfare Act, if applicable. A drug sponsor must submit the results of the preclinical tests, together with manufacturing information, analytical data and any available clinical data or literature, among other things, to the FDA as part of an IND. Some nonclinical testing may continue after the IND is submitted. In addition to including the results of the nonclinical studies, the IND will include one or more clinical protocols detailing, among other things, the objectives of the clinical trial and the safety and effectiveness criteria to be evaluated.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A clinical hold may occur at any time during the life of an IND and may affect one or more specific studies or all studies conducted under the IND. Occasionally, clinical holds are imposed due to manufacturing issues that may present safety issues for the clinical study subjects.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Human Clinical Trials in Support of an NDA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clinical investigation of an investigational new drug is divided into three phases that typically are conducted sequentially but may overlap or be combined. The three phases are as follows:</w:t>
      </w:r>
    </w:p>
    <w:p>
      <w:pPr>
        <w:pStyle w:val="TextBody"/>
        <w:bidi w:val="0"/>
        <w:spacing w:lineRule="auto" w:line="288" w:before="200" w:after="200"/>
        <w:ind w:left="0" w:right="0" w:firstLine="720"/>
        <w:jc w:val="both"/>
        <w:rPr/>
      </w:pPr>
      <w:r>
        <w:rPr>
          <w:rFonts w:ascii="Arial;sans-serif" w:hAnsi="Arial;sans-serif"/>
          <w:b w:val="false"/>
          <w:i/>
          <w:color w:val="000000"/>
          <w:sz w:val="20"/>
        </w:rPr>
        <w:t xml:space="preserve">Phase 1. </w:t>
      </w:r>
      <w:r>
        <w:rPr>
          <w:rFonts w:ascii="Arial;sans-serif" w:hAnsi="Arial;sans-serif"/>
          <w:b w:val="false"/>
          <w:color w:val="000000"/>
          <w:sz w:val="20"/>
        </w:rPr>
        <w:t>Phase 1 includes initial clinical trials introducing an investigational new drug into humans and may be conducted in subjects with the target disease or healthy volunteers. These trials are designed to determine the metabolism and pharmacologic actions of the drug in humans, the side effects associated with increasing doses, and, if possible, to gain early evidence on effectiveness.</w:t>
      </w:r>
    </w:p>
    <w:p>
      <w:pPr>
        <w:pStyle w:val="TextBody"/>
        <w:bidi w:val="0"/>
        <w:spacing w:lineRule="auto" w:line="288" w:before="0" w:after="0"/>
        <w:ind w:left="0" w:right="0" w:firstLine="720"/>
        <w:jc w:val="both"/>
        <w:rPr/>
      </w:pPr>
      <w:r>
        <w:rPr>
          <w:rFonts w:ascii="Arial;sans-serif" w:hAnsi="Arial;sans-serif"/>
          <w:b w:val="false"/>
          <w:i/>
          <w:color w:val="000000"/>
          <w:sz w:val="20"/>
        </w:rPr>
        <w:t xml:space="preserve">Phase 2. </w:t>
      </w:r>
      <w:r>
        <w:rPr>
          <w:rFonts w:ascii="Arial;sans-serif" w:hAnsi="Arial;sans-serif"/>
          <w:b w:val="false"/>
          <w:color w:val="000000"/>
          <w:sz w:val="20"/>
        </w:rPr>
        <w:t>Phase 2 includes the controlled clinical trials conducted to evaluate the effectiveness of the drug candidate for a particular indication or indications in subjects with the disease or condition under study and to determine the common short-term side effects and risks associated with the drug. Phase 2 trials are typically well controlled, closely monitored, and conducted in a relatively small number of subjects.</w:t>
      </w:r>
    </w:p>
    <w:p>
      <w:pPr>
        <w:pStyle w:val="TextBody"/>
        <w:bidi w:val="0"/>
        <w:spacing w:lineRule="auto" w:line="288" w:before="200" w:after="200"/>
        <w:ind w:left="0" w:right="0" w:firstLine="720"/>
        <w:jc w:val="both"/>
        <w:rPr/>
      </w:pPr>
      <w:r>
        <w:rPr>
          <w:rFonts w:ascii="Arial;sans-serif" w:hAnsi="Arial;sans-serif"/>
          <w:b w:val="false"/>
          <w:i/>
          <w:color w:val="000000"/>
          <w:sz w:val="20"/>
        </w:rPr>
        <w:t xml:space="preserve">Phase 3. </w:t>
      </w:r>
      <w:r>
        <w:rPr>
          <w:rFonts w:ascii="Arial;sans-serif" w:hAnsi="Arial;sans-serif"/>
          <w:b w:val="false"/>
          <w:color w:val="000000"/>
          <w:sz w:val="20"/>
        </w:rPr>
        <w:t>Phase 3 trials are typically large trials performed after preliminary evidence suggesting effectiveness of the drug candidate has been obtained. They are 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Human clinical trials are inherently uncertain and Phase 1, Phase 2 and Phase 3 testing may not be successfully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 Congress also recently amended the FDCA, as part of the Consolidated Appropriations Act for 2023, in order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or otherwise requires significant changes to be made, it could delay initiation of the relevant clinical trial.</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Clinical trials must be conducted under the supervision of one or more qualified investigators in accordance with the FDA’s GCP requirements.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testing that suggest a significant risk in humans exposed to the product or therapeutic candidate. The FDA may order the temporary or permanent discontinuation of a clinical trial at any time, via a clinical hold, or impose other sanctions if it believes that the clinical trial is not being conducted in accordance with FDA requirements or that the subjects are being exposed to an unacceptable health risk. An institutional review board, or IRB, is responsible for ensuring that human subjects in clinical studies are protected from inappropriate study risks. An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 The IRB also may halt a study, either temporarily or permanently, for failure to comply with GCP or the IRB’s requirements, or if the investigational new drug has been associated with unexpected serious harm to patients.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development of a new drug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drug product. Additionally, appropriate packaging must be selected and tested, and stability studies must be conducted to demonstrate that the product candidate does not undergo unacceptable deterioration over its shelf life.</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Marketing Application Submission and FDA Review</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Assuming successful completion of all required testing in accordance with all applicable regulatory requirements, detailed information on the product candidate is submitted to the FDA in the form of an NDA requesting approval to market the drug for one or more indications.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labeling, among other things. To support marketing approval, the data submitted must be sufficient in quality and quantity to establish the safety and efficacy of the product candidate for its intended use to the satisfaction of the FDA.</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Prescription Drug User Fee Act, or PDUFA, each NDA must be accompanied by a significant user fee. The FDA adjusts the PDUFA user fees on an annual basis. PDUFA also imposes an annual program fee for marketed prescription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goals and policies agreed to by the FDA under PDUFA, the FDA has ten months from receipt in which to complete its initial review of a standard NDA for a drug that is not a new molecular entity, and six months from the receipt date for an application with priority review. The FDA does not always meet its PDUFA goal dates, and the review process is often significantly extended by FDA requests for additional information or clarification and the sponsor’s process to respond to such inquiries. As a result, the NDA review process can be very lengthy. Most innovative drug products (other than biological products) obtain FDA marketing approval pursuant to an NDA submitted under Section 505(b)(1) of the FDCA,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conducts a preliminary review of all NDAs it receives, whether submitted under Section 505(b)(1) or Section 505(b)(2), to ensure that they are sufficiently complete for substantive review before it accepts them for filing. The FDA may refuse to file any NDA that it deems incomplete or not properly reviewable at the time of submission, and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 If the submission is accepted for filing, the FDA begins an in-depth substantive review of the NDA. The FDA reviews the NDA to determine, among other things, whether the proposed product is safe and effective for its intended use, whether it has an acceptable purity profile and whether the product is being manufactured in accordance with cGMP. During its review of an NDA, the FDA may refer the application to an advisory committee of independent experts for a recommendation as to whether the application should be approved.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typically follows such recommendations.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Before approving an NDA,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the NDA, the FDA will typically inspect one or more clinical sites to assure that the clinical trials were conducted in compliance with IND trial requirements and GCP requirements and to assure the integrity of the clinical data submitted to the FDA. To ensure cGMP and GCP compliance by its employees and third-party contractors, an applicant must incur significant expenditure of time, money and effort in the areas of training, record keeping, production and quality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also may require the submission of a risk evaluation and mitigation strategy, or REMS, plan if it determines that a REMS is necessary to ensure that the benefits of the drug outweigh its risks and to assure the safe use of the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plan. The FDA will not approve an NDA without a REMS plan, if required.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After evaluating the NDA and all related information, including the advisory committee recommendation, if any, and inspection reports regarding the manufacturing facilities where the drug product or its API will be produced and the clinical trial sites, the FDA will either issue an approval letter or, in some cases, a complete response letter, or CRL, that describes all of the specific deficiencies in the NDA identified by the agency. An approval letter authorizes commercial marketing of the drug product with specific prescribing information for specific indications. A CRL indicates that the review cycle of the application is complete and the application will not be approved in its present form. The deficiencies identified may be minor, for example, requiring labeling changes, or major, for example, requiring additional clinical trials. Additionally, the CRL may include recommended actions that the applicant might take to place the application in a condition for approval. If a CRL is issued, the applicant may either resubmit the NDA, addressing all of the deficiencies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the FDA nevertheless may ultimately decide that the NDA does not satisfy the regulatory criteria for approval.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a drug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clinical trials, sometimes referred to as “Phase 4” clinical trials, designed to further assess a product’s safety and effectiveness, and/or testing and surveillance programs to monitor the safety of approved products that have been commercialized. After approval, some types of changes to the approved product, such as adding new indications, manufacturing changes and additional labeling claims, are subject to further testing requirements and FDA review and approval. </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Special FDA Programs to Facilitate and Expedite Development and Review of Certain New Drugs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is authorized to designate certain products for expedited development or review if they are intended to address an unmet medical need in the treatment of a serious or life-threatening disease or condition. These programs include, but are not limited to, fast track designation, QIDP designation, and priority review designation. The purpose of these programs is to provide important new drugs to patients earlier than could occur under standard FDA procedures for interacting with and responding to product sponsors during development and regulatory review.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be eligible for a fast track designation, the FDA must determine, based on the request of a sponsor, that a product is intended to treat a serious or life threatening disease or condition and demonstrates the potential to address an unmet medical need by providing a therapy where none exists or a therapy that may be potentially superior to existing therapy based on efficacy or safety factors. A drug that is designated as a qualified infectious disease product (“QIDP”) is also eligible for fast track status.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FDA may decide to rescind the fast track designation if it determines that the qualifying criteria no longer apply. In addition, fast track designation may be withdrawn by the sponsor or rescinded by the FDA if the designation is no longer supported by data emerging in the clinical trial process.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Food and Drug Administration Safety and Innovation Act of 2012, or FDASIA, included the Generating Antibiotics Incentives Now Act, or the GAIN Act, which directed FDA to implement QIDP designation program. The GAIN Act created incentives for the development of antibacterial and antifungal drug products for the treatment of serious or life-threatening infections. A therapeutic candidate designated as a QIDP is eligible for fast track designation, and the first marketing application submitted for a specific drug product and indication for which QIDP designation was granted will be granted priority review. A subsequent application from the same sponsor for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product and indication will receive priority review designation only if it otherwise meets the criteria for priority review. As discussed further below under “New Drug Marketing Exclusivity under the Hatch-Waxman Act Amendments &amp; GAIN Exclusivity Extension - Qualified Infectious Disease Product Exclusivity,” the GAIN Act also provides the possibility of a five-year exclusivity extension that is added to any other marketing exclusivity for which a QIDP-designated drug qualifies upon FDA approval.</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Finally,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Even if a product qualifies for one or more of these programs, the FDA may later decide that the product no longer meets the conditions for qualification or decide that the time period for FDA review or approval will not be shortened. Furthermore, fast track designation, QIDP designation, and priority review do not change the standards for marketing approval and may not ultimately expedite the development or approval process.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Post-Approval Requirements for Prescription Drugs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Following approval of a new drug product, the manufacturer and the approved drug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preclinical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drugs are required to register their establishments with the FDA and some state agencies, and are subject to periodic unannounced inspections by the FDA for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drug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FDCA, such as the requirements for making manufacturing changes to an approved NDA.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restrictions on the marketing or manufacturing of the product, complete withdrawal of the product from the market or product recalls;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fines, warning letters or other enforcement-related letters or clinical holds on post-approval clinical trials;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refusal of the FDA to approve pending NDAs or supplements to approved NDAs;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product seizure or detention, or refusal to permit the import or export of products;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injunctions or the imposition of civil or criminal penalties;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consent decrees, corporate integrity agreements, debarment, or exclusion from federal health care programs; or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mandated modification of promotional materials and labeling and the issuance of corrective information.</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addition, the distribution of prescription pharmaceutical products is subject to a variety of federal and state laws. The Prescription Drug Marketing Act of 1987,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More recently, the Drug Supply Chain Security Act, or DSCSA, was enacted with the aim of building an electronic system to identify and trace certain prescription drugs distributed in the United States. The DSCSA mandates phased-in and resource-intensive obligations for pharmaceutical manufacturers, repackagers, wholesale distributors, and dispensers (primarily pharmacies) over a 10-year period that culminated in November 2023. It also replaced certain provisions from the PDMA pertaining to wholesale distribution of prescription drugs with a more comprehensive statutory scheme, requiring uniform national standards for wholesale distribution and, for the first time, for third-party logistics providers. In February 2022, the FDA released proposed regulations to amend the existing national standards for licensing of wholesale drug distributors by the states (which had been promulgated under the PDMA); to establish new minimum standards for state licensing third-party logistics providers; and to create a federal system for licensure for use in the absence of a state program, each of which is mandated by the DSCSA. Most recently, the FDA announced a one-year stabilization period to November 2024,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prescription drug products regulated by the FDA.</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 xml:space="preserve">FDA Review and Approval of Medical Devices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Medical devices also are strictly regulated by the FDA in the United States. Under the FDCA, a medical device is defined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FDA-regulated products such as drugs. If the primary intended use of a medical product is achieved through chemical action or by being metabolized by the body, the product is usually a drug or biologic. If not, it is generally a medical device.</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Unless an exemption applies, a new medical device may not be marketed in the United States unless and until it has been cleared through the premarket notification, or 510(k), process, or approved by the FDA pursuant to a PMA. The information that must be submitted to the FDA in order to obtain clearance or approval to market a new medical device varies depending on how the medical device is classified by the FDA.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device manufacturers are responsible for identifying cybersecurity risks and hazards associated with their products. In recent years, the FDA has increased its scrutiny of this issue as part of the review and marketing authorization process for new medical devices; the agency also monitors reports of cybersecurity risks as part of its post-marketing device surveillance activities. In addition, as part of the Consolidated Appropriations Act for 2023, Congress created new premarket requirements for developers of “cyber devices,” defined as medical devices that include software, connect to the internet, and contain any technological features that could be vulnerable to cybersecurity threats.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Medical devices are classified into one of three classes on the basis of the controls deemed by the FDA to be necessary to reasonably assure their safety and effectiveness. Class I devices are those low risk devices for 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Most Class I devices are exempt from premarket regulation; however, some Class I devices require premarket clearance by the FDA through the 510(k) process.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most Class II devices is accomplished through the 510(k) process, although some Class II devices are exempt from the 510(k) requirements. To obtain 510(k) clearance, a sponsor must submit to the FDA a premarket notification demonstrating that the device is substantially equivalent to a device that is already legally marketed in the United States and for which a PMA was not required (i.e., a Class II device). The device to which the sponsor’s device is compared for the purpose of determining substantial equivalence is called a “predicate device.” The FDA’s goal is to make a substantial equivalence determination within 90 days of FDA’s receipt of the 510(k) application, but it often takes longer if the FDA requests additional information. Most 510(k)s do not require supporting data from clinical trials, but such data is typically required if the predicate device relied in part on clinical trial data to obtain clearance. After a device receives 510(k) clearance, any modification that could significantly affect its safety or effectiveness, or that would constitute a major change in its intended use, will require a new clearance or possibly a pre-market approval. Premarket notifications are subject to user fees, unless a specific exemption applies.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Class III devices are deemed by the FDA to pose the greatest risk to patients, such as life-sustaining or life-supporting devices, devices that present a potential unreasonable risk of illness or injury, or, more generally, devices whose safety and effectiveness cannot be assured solely by the general controls and special controls described above. All Class III devices must be reviewed and approved by the FDA through the PMA process. A PMA must be supported by extensive data including, but not limited to, technical data, nonclinical studies, clinical trials, manufacturing and labeling to demonstrate to the FDA’s satisfaction the safety and effectiveness of the device for its intended use. After a PMA is submitted and the FDA determines the application is sufficiently complete, the agency will accept it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it considers such recommendations when making final decisions on approval. In addition, the FDA will conduct a preapproval inspection of the manufacturing facility to ensure compliance with the QSR. New PMA applications or supplements are also required for product modifications that affect the safety and efficacy of the device. PMA (and supplemental PMAs) are subject to significantly higher user fees than are 510(k) premarket notifications.</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Novel medical device types that the FDA has not previously classified as Class I, II or III are automatically classified into Class III regardless of the level of risk they ultimately pose to patients and/or users.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sans-serif" w:hAnsi="Arial;sans-serif"/>
          <w:b w:val="false"/>
          <w:i/>
          <w:color w:val="000000"/>
          <w:sz w:val="20"/>
        </w:rPr>
        <w:t>De Novo</w:t>
      </w:r>
      <w:r>
        <w:rPr>
          <w:color w:val="000000"/>
        </w:rPr>
        <w:t xml:space="preserve"> </w:t>
      </w:r>
      <w:r>
        <w:rPr>
          <w:rFonts w:ascii="Arial;sans-serif" w:hAnsi="Arial;sans-serif"/>
          <w:b w:val="false"/>
          <w:color w:val="000000"/>
          <w:sz w:val="20"/>
        </w:rPr>
        <w:t xml:space="preserve">classification procedure. This procedure allows a manufacturer whose novel device is automatically classified into Class III to request down-classification of its medical device into Class I or Class II based on a benefit-risk analysis demonstrating the device actually presents low or moderate risk, rather than requiring the submission and approval of a PMA application. Prior to the enactment of FDASIA, a medical device could only be eligible for </w:t>
      </w:r>
      <w:r>
        <w:rPr>
          <w:rFonts w:ascii="Arial;sans-serif" w:hAnsi="Arial;sans-serif"/>
          <w:b w:val="false"/>
          <w:i/>
          <w:color w:val="000000"/>
          <w:sz w:val="20"/>
        </w:rPr>
        <w:t xml:space="preserve">De Novo </w:t>
      </w:r>
      <w:r>
        <w:rPr>
          <w:rFonts w:ascii="Arial;sans-serif" w:hAnsi="Arial;sans-serif"/>
          <w:b w:val="false"/>
          <w:color w:val="000000"/>
          <w:sz w:val="20"/>
        </w:rPr>
        <w:t xml:space="preserve">classification if the manufacturer first submitted a 510(k) premarket notification and received a determination from the FDA that the device was not substantially equivalent. FDASIA streamlined the </w:t>
      </w:r>
      <w:r>
        <w:rPr>
          <w:rFonts w:ascii="Arial;sans-serif" w:hAnsi="Arial;sans-serif"/>
          <w:b w:val="false"/>
          <w:i/>
          <w:color w:val="000000"/>
          <w:sz w:val="20"/>
        </w:rPr>
        <w:t xml:space="preserve">De Novo </w:t>
      </w:r>
      <w:r>
        <w:rPr>
          <w:rFonts w:ascii="Arial;sans-serif" w:hAnsi="Arial;sans-serif"/>
          <w:b w:val="false"/>
          <w:color w:val="000000"/>
          <w:sz w:val="20"/>
        </w:rPr>
        <w:t xml:space="preserve">classification pathway by permitting manufacturers to request </w:t>
      </w:r>
      <w:r>
        <w:rPr>
          <w:rFonts w:ascii="Arial;sans-serif" w:hAnsi="Arial;sans-serif"/>
          <w:b w:val="false"/>
          <w:i/>
          <w:color w:val="000000"/>
          <w:sz w:val="20"/>
        </w:rPr>
        <w:t xml:space="preserve">De Novo </w:t>
      </w:r>
      <w:r>
        <w:rPr>
          <w:rFonts w:ascii="Arial;sans-serif" w:hAnsi="Arial;sans-serif"/>
          <w:b w:val="false"/>
          <w:color w:val="000000"/>
          <w:sz w:val="20"/>
        </w:rPr>
        <w:t xml:space="preserve">classification directly without first submitting a 510(k) premarket notification to the FDA and receiving a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Arial;sans-serif" w:hAnsi="Arial;sans-serif"/>
          <w:b w:val="false"/>
          <w:color w:val="000000"/>
          <w:sz w:val="20"/>
        </w:rPr>
        <w:t xml:space="preserve">substantially equivalent determination. The FDA is required under the statute to classify the device within 120 days following receipt of the </w:t>
      </w:r>
      <w:r>
        <w:rPr>
          <w:rFonts w:ascii="Arial;sans-serif" w:hAnsi="Arial;sans-serif"/>
          <w:b w:val="false"/>
          <w:i/>
          <w:color w:val="000000"/>
          <w:sz w:val="20"/>
        </w:rPr>
        <w:t xml:space="preserve">De Novo </w:t>
      </w:r>
      <w:r>
        <w:rPr>
          <w:rFonts w:ascii="Arial;sans-serif" w:hAnsi="Arial;sans-serif"/>
          <w:b w:val="false"/>
          <w:color w:val="000000"/>
          <w:sz w:val="20"/>
        </w:rPr>
        <w:t xml:space="preserve">application however, the most recent FDA premarket review goals state that in fiscal year 2023, FDA will attempt to issue a decision on 70% of all </w:t>
      </w:r>
      <w:r>
        <w:rPr>
          <w:rFonts w:ascii="Arial;sans-serif" w:hAnsi="Arial;sans-serif"/>
          <w:b w:val="false"/>
          <w:i/>
          <w:color w:val="000000"/>
          <w:sz w:val="20"/>
        </w:rPr>
        <w:t>De Novo</w:t>
      </w:r>
      <w:r>
        <w:rPr>
          <w:color w:val="000000"/>
        </w:rPr>
        <w:t xml:space="preserve"> </w:t>
      </w:r>
      <w:r>
        <w:rPr>
          <w:rFonts w:ascii="Arial;sans-serif" w:hAnsi="Arial;sans-serif"/>
          <w:b w:val="false"/>
          <w:color w:val="000000"/>
          <w:sz w:val="20"/>
        </w:rPr>
        <w:t xml:space="preserve">classification requests received within 150 days of receipt.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r>
        <w:rPr>
          <w:rFonts w:ascii="Arial;sans-serif" w:hAnsi="Arial;sans-serif"/>
          <w:b w:val="false"/>
          <w:i/>
          <w:color w:val="000000"/>
          <w:sz w:val="20"/>
        </w:rPr>
        <w:t xml:space="preserve">De Novo </w:t>
      </w:r>
      <w:r>
        <w:rPr>
          <w:rFonts w:ascii="Arial;sans-serif" w:hAnsi="Arial;sans-serif"/>
          <w:b w:val="false"/>
          <w:color w:val="000000"/>
          <w:sz w:val="20"/>
        </w:rPr>
        <w:t>classification requests are also subject to user fees, unless a specific exemption applies.</w:t>
      </w:r>
    </w:p>
    <w:p>
      <w:pPr>
        <w:pStyle w:val="TextBody"/>
        <w:bidi w:val="0"/>
        <w:spacing w:lineRule="auto" w:line="288" w:before="200" w:after="200"/>
        <w:ind w:left="0" w:right="0" w:firstLine="720"/>
        <w:jc w:val="both"/>
        <w:rPr/>
      </w:pPr>
      <w:r>
        <w:rPr>
          <w:rFonts w:ascii="Arial;sans-serif" w:hAnsi="Arial;sans-serif"/>
          <w:b w:val="false"/>
          <w:color w:val="000000"/>
          <w:sz w:val="20"/>
        </w:rPr>
        <w:t xml:space="preserve">Clinical trials are almost always required to support a PMA application and are sometimes required for a </w:t>
      </w:r>
      <w:r>
        <w:rPr>
          <w:rFonts w:ascii="Arial;sans-serif" w:hAnsi="Arial;sans-serif"/>
          <w:b w:val="false"/>
          <w:i/>
          <w:color w:val="000000"/>
          <w:sz w:val="20"/>
        </w:rPr>
        <w:t>De Novo</w:t>
      </w:r>
      <w:r>
        <w:rPr>
          <w:color w:val="000000"/>
        </w:rPr>
        <w:t xml:space="preserve"> </w:t>
      </w:r>
      <w:r>
        <w:rPr>
          <w:rFonts w:ascii="Arial;sans-serif" w:hAnsi="Arial;sans-serif"/>
          <w:b w:val="false"/>
          <w:color w:val="000000"/>
          <w:sz w:val="20"/>
        </w:rPr>
        <w:t>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IRB approval of the proposed investigation. In addition, if the clinical study involves a “significant risk” (as defined by the FDA) to human health, the company sponsoring the investigation must also submit and obtain FDA approval of an IDE. An IDE must be supported by appropriate data, such as animal and laboratory testing results, showing that it is safe to test the device in humans and that the testing protocol is scientifically sound. The IDE must be approved in advance by the FDA for a specified number of study participants, unless the product is deemed a non-significant risk device and eligible for abbreviated IDE requirements. Generally, clinical trials for a significant risk device may begin once the IDE is approved by the FDA and the study protocol and informed consent form are approved by a duly-appointed IRB at each clinical trial site. A diversity action plan will be required for most clinical studies of investigational medical devices intended to support marketing authorization as a result of the December 2022 FDCA amendments.</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FDA’s IDE regulations govern investigational device labeling, prohibit promotion, and specify an array of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Post-Marketing Requirements for Medical Devices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After a medical device is placed on the market, numerous regulatory requirements apply that in some ways mirror the post-approval requirements for prescription drugs. These include, but are not limited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submitting and updating establishment registration and device listings with the FDA;</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compliance with the QSR, which requires manufacturers to follow stringent design, testing, control, documentation, record maintenance, including maintenance of complaint and related investigation files, and other quality assurance controls during the manufacturing process;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pre-scheduled or unannounced device facility inspections by the FDA;</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labeling regulations, which prohibit the promotion of devices for uncleared or unapproved (or “off-label”) uses and impose other restrictions relating to promotional activities;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corrections and removal reporting regulations, which require that manufacturers report to the FDA field corrections or removals if undertaken to reduce a risk to health posed by a device or to remedy a violation of the FDCA that may present a risk to health; and</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post-market surveillance regulations, which apply to certain Class II or III devices when necessary to protect the public health or to provide additional safety and effectiveness data for the device.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adverse health consequences or death. Manufacturers may, under their own initiative, recall a product if any distributed devices fail to meet established specifications, are otherwise misbranded or adulterated, or if any other material deficiency is found. The FDA requires that certain classifications of recalls be reported to the FDA within ten working days after the recall is initiated.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with prescription drugs, the failure to comply with applicable device regulatory requirements can result in enforcement action by the FDA, which may include any of the following sanctions: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warning letters, fines, injunctions or civil penalties;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recalls, detentions or seizures of products;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operating restrictions;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delays in the introduction of products into the market;</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total or partial suspension of production;</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delay or refusal of the FDA or other regulators to grant 510(k) clearance or PMA approvals of new or modified devices;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withdrawals of marketing authorization; or</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in the most serious cases, criminal prosecution.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ensure compliance with regulatory requirements, medical device manufacturers are subject to market surveillance and periodic, prescheduled or unannounced inspections by the FDA, and these inspections may include the manufacturing facilities of subcontractors and third-party component suppliers.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FDA Review and Approval Process for Combination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 combination product is a product composed of a combination of two or more FDA-regulated product constituent parts or products, e.g., drug-device or biologic-device. Such products often raise regulatory, policy and review management challenges because they integrate constituent parts that are regulated under different types of regulatory requirements and by different FDA Centers, namely, the Center for Drug Evaluation and Research, or CDER, the Center for Devices and Radiological Health, or CDRH, or the Center for Biologics Evaluation and Research, or CBER. Differences in regulatory pathways for each constituent part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 Specifically, under regulations issued by the FDA, a combination product may be: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product comprised of two or more regulated constituent parts that are physically, chemically, or otherwise combined or mixed and produced as a single entity;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two or more separate products packaged together in a single package or as a unit and comprised of drug and device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FDA’s Office of Combination Products, or OCP, was established to provide prompt determination of the FDA Center with primary jurisdiction over the review and regulation of a combination product; ensure timely and effective premarket review by overseeing the timeliness of and coordinating reviews involving more than one center; ensure consistent and appropriate post-market regulation; resolve disputes regarding review timeliness; and review/revise agreements, guidance and practices specific to the assignment of combination products. </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OCP determines which Center will have primary jurisdiction for the combination product, referred to as the Lead Center, based on the combination product’s “primary mode of action,” or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under through a 510(k), PMA, or </w:t>
      </w:r>
      <w:r>
        <w:rPr>
          <w:rFonts w:ascii="Arial;sans-serif" w:hAnsi="Arial;sans-serif"/>
          <w:b w:val="false"/>
          <w:i/>
          <w:color w:val="000000"/>
          <w:sz w:val="20"/>
        </w:rPr>
        <w:t>De Novo</w:t>
      </w:r>
      <w:r>
        <w:rPr>
          <w:color w:val="000000"/>
        </w:rPr>
        <w:t xml:space="preserve"> </w:t>
      </w:r>
      <w:r>
        <w:rPr>
          <w:rFonts w:ascii="Arial;sans-serif" w:hAnsi="Arial;sans-serif"/>
          <w:b w:val="false"/>
          <w:color w:val="000000"/>
          <w:sz w:val="20"/>
        </w:rPr>
        <w:t>classification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the sponsor may request that OCP reconsider its decision.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Combination products are subject to FDA user fees based on the type of application submitted for the product’s premarket approval or clearance. For example, a combination product for which an NDA is submitted is subject to the NDA fee under PDUFA. Likewise, a combination product for which a PMA is submitted is subject to the PMA fee under the Medical Device User Fee and Modernization Act.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Since a combination product incorporates two or more constituent parts that have different regulatory requirements, a combination product manufacturer must comply with all cGMP and QSR requirements that apply to each constituent part. The FDA has issued a combination product cGMP regulation, along with final guidance, describing two approaches a combination product manufacturer may follow to demonstrate compliance. Under these two options, the manufacturer demonstrates compliance with: (1) All cGMP regulations applicable to each separate regulated constituent part included in the combination product; or (2) either the drug cGMP or the QSR, as well as with specified provisions from the other of these two sets of requirements (also called the “streamlined approach”). In addition, The 21st Century Cures Act, or the Cures Act, which became law in December 2016 and, among other things, amended provisions of the FDCA, clarified that for drug-device combination products with a device PMOA and an FDA-approved drug constituent part, Hatch-Waxman Act requirements apply. Accordingly, a potential patent dispute regarding the listed drug that is being referenced by the combination product sponsor may delay the marketing authorization of the combination product. Furthermore, the Cures Act amendments applied Hatch-Waxman Act exclusivity provisions (e.g., new chemical entity and new clinical investigation) to the device clearance and approval process for combination products with a device PMOA.</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New Drug Marketing Exclusivity under the Hatch-Waxman Act Amendments &amp; GAIN Exclusivity Extension</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Orange Book Listing &amp; Patent Certification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noted above, Congress created the 505(b)(2) NDA pathway in 1984 as part of the Hatch-Waxman Act amendments to the FDCA.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 </w:t>
      </w:r>
    </w:p>
    <w:p>
      <w:pPr>
        <w:pStyle w:val="TextBody"/>
        <w:bidi w:val="0"/>
        <w:spacing w:lineRule="auto" w:line="276"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Non-Patent Exclusivity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ANDA or 505(b)(2) NDA also will not be approved until any applicable non-patent exclusivities listed in the Orange Book for the referenced product have expired. The Hatch-Waxman Act amendments to the FDCA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FDCA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Five-year and three-year exclusivity also will not delay the submission or approval of a traditional NDA filed under Section 505(b)(1) of the FDCA; however, an applicant submitting a traditional NDA would be required to conduct or obtain a right of reference to all of the preclinical studies and adequate and well-controlled clinical trials necessary to demonstrate safety and effectiveness.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Qualified Infectious Disease Product Exclusivity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GAIN Act amendments to the FDCA, the FDA may designate a product as a QIDP for a specific use for which it is being studied, upon the written request of a sponsor at any time prior to submission of a marketing application. In order to qualify for designation as a QIDP, the drug product candidate must qualify as an antibiotic or antifungal drug for human use intended to treat serious or life-threatening infections, including those caused by either (i) an antibiotic or antifungal resistant pathogen, including novel or emerging infectious pathogens, or (ii) a so-called “qualifying pathogen” found on a list of potentially dangerous, drug-resistant organisms established and maintained by the FDA. In addition to the expedited review benefits that a QIDP-designated drug candidate may be eligible for (described above under “Special FDA Programs to Facilitate and Expedite Development and Review of Certain New Drugs”), such a drug that is approved for the use for which the QIDP designation was granted will receive a five-year extension to any non-patent marketing exclusivity period for which the drug qualified upon approval, such as a five-year NCE exclusivity or three-year new clinical data exclusivity. This so-called GAIN exclusivity extension is not available to a QIDP-designated drug that has previously received the five-year extension period, such as when an applicant is seeking approval for a new indication or new strength for a marketed infectious disease product. </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 xml:space="preserve">Patent Term Extension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 patent claiming a prescription drug or medical device for which FDA approval is granted may be eligible for a limited patent term extension under the FDCA,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Disclosure of Clinical Trial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Sponsors of clinical trials of certain FDA-regulated products, including prescription drugs and medical devices, are required to register and disclose certain clinical trial information on a public registry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brought enforcement actions against clinical trial sponsors that fail to comply with such requirements.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Other U.S. Health Care Laws and Compliance Requirements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As we plan to commercialize our product candidates, if approved, we are subject to additional health care statutory and regulatory requirements and enforcement by federal government and the states and foreign governments in the jurisdictions in which we conduct our business. Health care providers, physicians and third-party payors play a primary role in the recommendation and prescription of any product candidates for which we may obtain marketing approval. Arrangements we may enter into with third-party payors or other customers expose us to broadly applicable fraud and abuse and other health care laws and regulations that constrain the business or financial arrangements and relationships through which we market, sell, and distribute any products for which we obtain marketing approval.</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Violations of the fraud and abuse laws, or other health care laws, are punishable by criminal and civil sanctions, including, in some instances, the possibility of exclusion from participation in federal and state health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If the government were to allege or convict us or our executive officers, employees or consultants of violating these laws, our business could be harmed. In addition, private individuals have the ability to bring similar actions under some of the fraud and abuse laws described below.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These applicable health care industry laws include, among others, health care information and data privacy and security laws, transparency laws, and fraud and abuse laws, such as: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federal Anti-Kickback Statute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federal civil and criminal false claims laws, including the civil False Claims Act, and civil monetary penalties laws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U.S. federal Health Insurance Portability and Accountability Act of 1996, or HIPAA, created new federal, civil and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Physician Payments Sunshine Act, enacted as part of the ACA (defined below), among other things, imposes reporting requirements on manufacturers of FDA-approved drugs, devices, biologics and medical supplies covered by Medicare or Medicaid to report, on an annual basis, to the Centers for Medicare &amp; Medicaid Services, or CMS, information related to payments and other transfers of value to physicians (defined to include doctors, dentists, optometrists, podiatrists, and chiropractors), certain advanced non-physician health care practitioners, and teaching hospitals, as well as ownership and investment interests held by physicians and their immediate family members in such manufacturers;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HIPAA, as amended by the Health Information Technology for Economic and Clinical Health Act, or HITECH, and their respective implementing regulations impose specified requirements relating to the privacy, security and electronic exchange of individually identifiable health information (called "protected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health information" under HIPAA) as well as requirements for notification to affected individuals and the government in the event of a breach. Among other things, HITECH makes certain of HIPAA’s privacy and all of HIPAA's security standards directly applicable to “business associates,” defined as independent contractors or agents of "covered entities," or organizations subject to HIPAA which include certain health care providers, health plans, and health care clearinghouses. Business associates create, receive, maintain or transmit protected health information in connection with providing a service for or on behalf of a covered entity. HITECH also increased the civil and criminal penalties that may be imposed against covered entities, business associates and created penalties for third parties that unlawfully acquire protected health information. HITECH also gave state attorneys general new authority to file civil actions for damages or injunctions in federal courts to enforce HIPAA and seek attorney’s fees and costs associated with pursuing federal civil actions;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State and local laws which require the registration of pharmaceutical sales representatives.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expanding and complicating compliance requirements.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the extent we commercialize or co-promote our products, if approved, and because such products could be reimbursed under federal and other governmental health care programs, we have developed an appropriate compliance program, commensurate to the limited commercial activities in which we engage,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Ensuring that our current and future business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Moreover,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Coverage, Pricing, and Reimbursement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Sales of our drug and drug-device combination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In the United States, third-party payors often rely upon Medicare coverage policy and payment limitations in setting their own reimbursement policies, but they also have their own methods and approval process apart from Medicare coverage and reimbursement determinations. One third-party payor’s determination to provide coverage for a product does not assure that other payors will also provide coverage for the product.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granted at all.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August 2022, President Biden signed into the law the Inflation Reduction Act of 2022, or the IRA, which includes (among other things) multiple provisions that may impact the prices of drug products that are both sold into the Medicare program and throughout the United States. Starting in 2023, a manufacturer of drug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ongoing.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or PBMs, and other members of the health 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U.S. may affect the entire pharmaceutical supply chain and the business of other stakeholders, including medical product developers like us.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Further legislative and regulatory changes under the ACA remain possible, although it is unknown what form any such changes or any law would take, and how or whether it may affect the biopharmaceutical industry as a whole or our business in the future. </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Data Privacy and the Protection of Personal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numerous laws and regulations governing data privacy and the protection of personal information of patients, clinical investigators, employees, and vendors/business contacts including in relation to medical records and other health information, credit card data and financial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as well as reputational harm. Our customers and research partners must comply with laws governing the privacy and security of health information, including HIPAA, HITECH and state health information privacy laws. If we knowingly obtain protected health information without the authority to do so, our customers or research collaborators may be subject to enforcement and we may have direct liability for the unlawful receipt of protected health information or for aiding and abetting a HIPAA violation.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Even when HIPAA does not apply, according to the Federal Trade Commission, or the FTC,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or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The FTC and states' Attorneys General have brought enforcement actions and prosecuted some data breach cases as unfair and/or deceptive acts or practices under the FTC Act and comparable state laws.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adopted the California Consumer Privacy Act of 2018, or CCPA, which went into effect in January of 2020. The CCPA mirrors a number of the key provisions of the European General Data Protection Regulation, or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requiring covered companies to provide new disclosures to consumers about such companies' practices for collection and use of consumer data, and providing customers new ways to opt-out of certain sales or transfers of personal information. In addition, the CCPA creates a new and potentially severe statutory damages framework for violations of the CCPA and for businesses that fail to implement reasonable security procedures and practices to prevent data breaches. While there is currently an exception for protected health information that is subject to HIPAA and clinical trial regulations, as currently written, the CCPA may impact our business activities. More recently, a new privacy law, the California Privacy Rights Act, or CPRA, was approved by California voters in the election on November 3, 2020. The CPRA went into effect in January of 2023, modifying and strengthening the CCPA significantly,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enacting new regulations and will have expanded enforcement authority. Various states such as Colorado, Connecticut, Delaware, Florida, Indiana, Iowa, Montana, Oregon, Tennessee, Texas, Utah and Virginia have enacted their own privacy laws similar to the CCPA, and other states are considering proposals for such.</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Health Care Reform and Potential Changes to Laws and Regulations</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that receive marketing approval. FDA and other regulatory authority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Among policy makers and payors in the United States and elsewhere, there is significant interest in promoting changes in health care systems with the stated goals of containing health care costs, improving quality and/or expanding access.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In addition to the sweeping reforms contained in the ACA (summarized above in the section entitled “Coverage, Pricing, and Reimbursement”), other legislative changes have been proposed and adopted in the United States that may affect health care expenditures. In addition to the IRA's drug price negotiation provisions, discussed above, President Biden's Executive Order 14087, issued October 2022, called for CMS to prepare and submit a report to the White House on potential payment and delivery modes that would complement to IRA, lower drug costs, and promote access to innovative drugs. In February 2023, CMS published its report which described three potential models focusing on affordability, accessibility and feasibility of implementation for further testing by the CMS Innovation Center. As of February 2024, the CMS Innovation Center continues to test the proposed models and has started to roll out plans for access model testing of certain product types (e.g., cell and gene therapies) by states and manufacturers.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Other new laws may result in additional reductions in Medicare and other health care funding, which could have an adverse effect on customers for our approved product and, accordingly, our financial operations. 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if we are slow or unable to adapt to changes in existing requirements or the adoption of new requirements or policies, or if we are not able to maintain regulatory compliance, our therapeutic candidates may lose any marketing approval that may have been obtained and we may not achieve or sustain profitability, which would adversely affect our business.</w:t>
      </w:r>
    </w:p>
    <w:p>
      <w:pPr>
        <w:pStyle w:val="TextBody"/>
        <w:bidi w:val="0"/>
        <w:spacing w:lineRule="auto" w:line="288" w:before="200" w:after="283"/>
        <w:jc w:val="both"/>
        <w:rPr>
          <w:rFonts w:ascii="Arial;sans-serif" w:hAnsi="Arial;sans-serif"/>
          <w:b/>
          <w:i/>
          <w:color w:val="000000"/>
          <w:sz w:val="20"/>
          <w:u w:val="single"/>
        </w:rPr>
      </w:pPr>
      <w:r>
        <w:rPr>
          <w:rFonts w:ascii="Arial;sans-serif" w:hAnsi="Arial;sans-serif"/>
          <w:b/>
          <w:i/>
          <w:color w:val="000000"/>
          <w:sz w:val="20"/>
          <w:u w:val="single"/>
        </w:rPr>
        <w:t>Government Regulation Outside the U.S.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regulations in the U.S.,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and the time required to obtain approval in other countries and jurisdictions might differ from and be longer than that required to obtain FDA approval.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European Union, or EU, regulatory systems, we would be required to submit a Marketing Authorisation Application, which is similar to the NDA, except that, among other things, there are country-specific document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negatively impact the regulatory process in others.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International marketing and distribution of medical devices are also subject to foreign government regulations, which may vary substantially from country to country. There is a trend towards harmonization of quality system standards for medical device products among the European Union, United States, Canada and various other industrialized countries.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January 31, 2020, the United Kingdom is no longer a member state of the EU, and therefore a separate marketing authorization application and approval will be required to market a medicinal product in the U.K. The Medicines and Healthcare products Regulatory Agency is the U.K.’s standalone pharmaceutical and medical devices regulator.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Arial;sans-serif" w:hAnsi="Arial;sans-serif"/>
          <w:b/>
          <w:i/>
          <w:color w:val="000000"/>
          <w:sz w:val="20"/>
        </w:rPr>
      </w:pPr>
      <w:r>
        <w:rPr>
          <w:rFonts w:ascii="Arial;sans-serif" w:hAnsi="Arial;sans-serif"/>
          <w:b/>
          <w:i/>
          <w:color w:val="000000"/>
          <w:sz w:val="20"/>
        </w:rPr>
        <w:t xml:space="preserve">Review and Approval of Medicinal Products in the European Union </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in the United States, medicinal products can be marketed in the EU only if a marketing authorization from the competent regulatory agencies has been obtained. Similar to the United States, the various phases of preclinical and clinical research in the EU are subject to significant regulatory controls. Also similar to the United States, when a drug-device combination product’s principal intended action is accomplished by the drug constituent part, the EU regulates the combination product as a medicinal product.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European Clinical Trials Directive, a system for the approval of clinical trials in the EU had been implemented through national legislation of the member states. Under the previous system, an applicant obtained approval from the competent national authority of an EU member state in which the clinical trial was conducted. Furthermore, the applicant could only start a clinical trial after a competent ethics committee had issued a favorable opinion. In April 2014, the new Clinical Trials Regulation, (EU) No 536/2014 (Clinical Trials Regulation) was adopted and became effective on January 31, 2022. The Clinical Trials Regulation is directly applicable in all the EU Member States, repealing the current Clinical Trials Directive 2001/20/EC. The extent to which ongoing clinical trials will be governed by the Clinical Trials Regulation depends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new Clinical Trials Regulation aims to simplify and streamline the approval of clinical trials in the European Union. The main characteristics of the regulation include: a streamlined application procedure via a single entry point, the “EU portal” called the Clinical Trial Information System, or CTIS; a single set of documents to be prepared and submitted for the application as well as simplified reporting procedures for clinical trial sponsors; and a harmonized procedure for the assessment of applications for clinical trials. Use of the CTIS became mandatory for new clinical trial application submissions as of February 1, 2023.</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obtain marketing approval of a drug in the EU, an applicant must submit a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certain diseases. For products with a new active substance indicated for the treatment of certain diseases and products that are highly innovative or for which a centralized process is in the interest of patients, the centralized procedure may be optional.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 a draft summary of product characteristics, and draft labelling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EU, only products for which marketing authorizations have been granted may be promoted. 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Prior to May 26, 2021, the date on which the new Medical Device Regulation ("MDR") became effective, medical devices marketed in Europe were required to comply with the Essential Requirements defined in Annex I to the EU Medical Devices Directive, or MDD, a coordinated system for the authorization of medical devices. The MDD regulated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The method of assessing conformity depended on the class of the product, but normally involved a combination of self-assessment by the manufacturer and a third-party assessment by a “Notified Body.” This third-party assessment may consist of an audit of the manufacturer’s quality system and specific testing of the manufacturer’s product.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2017, European Union regulatory bodies finalized a new Medical Device Regulation (“MDR”), which provided three years for transition and compliance, for a final effective date of May 26, 2020. As a result of the COVID-19 pandemic, however, the implementation date was postponed by one year to May 26, 2021, and a further transition period until May 26, 2024 gives the medical device industry and Notified Bodies additional time to come into compliance. The MDR changed several aspects of the existing regulatory framework for medical device marketing in Europe and increased regulatory oversight of all medical devices marketed in the EU, which may, in turn, increase the costs, time and requirements that need to be met in order to place an innovative or high-risk medical device on the European market. Specifically, the MDR requires post-market clinical follow-up evidence for medical devices, annual reporting of safety information for Class III products, and bi-annual reporting for Class II products, unique device identification, or UDI, for all products, submission of core data elements to a European UDI database prior to placement of a device on the market, reclassification of medical devices, and multiple other labeling changes. A CE certificate issued under the MDD before May 26, 2021 may remain valid until May 25, 2024 under certain conditions. Longer transition periods for various medical devices covered by certificates or declarations of conformity issued before May 26, 2021 were implemented by the European Commission in March 2023 in order to mitigate the risk of device shortages in the EU. The new transition periods permit devices certified in accordance with the MDD to remain on the market under such certifications until May 26, 2026 for class III implantable custom-made devices,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31, 2027 for Class III and implantable class IIb devices, and December 31, 2028 for all other class IIb and lower risk devices. As a new market entrant, however, the transition provisions do not apply to our business and we must acquire approvals under the MDR for new products, which could be challenging and costly.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Arial;sans-serif" w:hAnsi="Arial;sans-serif"/>
          <w:b/>
          <w:i/>
          <w:color w:val="000000"/>
          <w:sz w:val="20"/>
        </w:rPr>
      </w:pPr>
      <w:r>
        <w:rPr>
          <w:rFonts w:ascii="Arial;sans-serif" w:hAnsi="Arial;sans-serif"/>
          <w:b/>
          <w:i/>
          <w:color w:val="000000"/>
          <w:sz w:val="20"/>
        </w:rPr>
        <w:t>Review and Approval of Medicinal Products in Canada</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CTA must be filed with and approved by Health Canada. In addition, all federally regulated trials must be approved and monitored by research ethics boards. The review boards study and approve study-related documents and monitor trial data.</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Prior to being given market authorization for a drug product, a manufacturer must present substantive scientific evidence of a product’s safety, efficacy and quality as required by the Food and Drugs Act (Canada) and its associated regulations, including the Food and Drug Regulations. This information is usually submitted in the form of a New Drug Submission, or NDS. Health Canada reviews the submitted information, sometimes using external consultants and advisory committees, to evaluate the potential benefits and risks of a drug. If after of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All establishments engaged in the fabrication, packaging/labeling, importation, distribution, and wholesale of drugs and operation of a testing laboratory relating to drugs are required to hold a Drug Establishment License to conduct one or more of the licensed activities unless expressly exempted under the Food and Drug Regulations. The basis for the issuance of a Drug Establishment License is to ensure the facility complies with cGMP as stipulated in the Food and Drug Regulations and as determined by cGMP inspection conducted by Health Canada. An importer of pharmaceutical products manufactured at foreign sites must also be able to demonstrate that the foreign sites comply with cGMP, and such foreign sites are included on the importer’s Drug Establishment License.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Regulatory obligations and oversight continue following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Health Canada has also implemented a similar process as the FDA for regulating combination products comprising both drug and device constituent parts. The agency considers the principal mechanism of action by which the claimed effect or purpose of the product is achieved, and then subjects the entire product to regulation under either the Food and Drug Regulations or the Medical Devices Regulations.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Rest of the World Regulation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regulations in the United States, EU, and Canada, we may become subject to a variety of regulations governing clinical studies and commercial sales and distribution of prescription drug and drug-device combination products in other jurisdictions around the world. These laws and regulations typically require the licensing of manufacturing and contract research facilities, carefully controlled research and testing of product candidates and governmental review and approval of results prior to marketing therapeutic product candidates. Additionally, they may require adherence to the FDA’s GLPs, GCPs, and cGMPs during manufacturing. The process of new drug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by regulators in the United States, Canada and the European Union are generally considered to be among the most rigorous in the world.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Whether or not FDA, EMA, or Health Canada approval is obtained for a product, we must obtain approval from the comparable regulatory authorities of other countries before we can commence clinical studies or marketing of the product in those countries. The approval process varies from country to country and the time may be longer or shorter than that required for the FDA, EMA, or Health Canada approval. The requirements governing the conduct of clinical studies, product licensing, pricing and reimbursement vary greatly from country to country. In some international markets, additional clinical trials may be required prior to the filing or approval of marketing applications within the country.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Moreover,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pStyle w:val="TextBody"/>
        <w:bidi w:val="0"/>
        <w:spacing w:lineRule="auto" w:line="276" w:before="200" w:after="283"/>
        <w:ind w:left="0" w:right="0" w:firstLine="720"/>
        <w:jc w:val="both"/>
        <w:rPr>
          <w:rFonts w:ascii="Arial;sans-serif" w:hAnsi="Arial;sans-serif"/>
          <w:b/>
          <w:i/>
          <w:color w:val="000000"/>
          <w:sz w:val="20"/>
        </w:rPr>
      </w:pPr>
      <w:r>
        <w:rPr>
          <w:rFonts w:ascii="Arial;sans-serif" w:hAnsi="Arial;sans-serif"/>
          <w:b/>
          <w:i/>
          <w:color w:val="000000"/>
          <w:sz w:val="20"/>
        </w:rPr>
        <w:t>Europe – Data Privacy</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May 25, 2018, the GDPR went into effect, implementing a broad data protection framework that expanded the scope of EU data protection law, including to non-EU entities that process, or control the processing of, personal data relating to individuals located in the EU, including clinical trial data. The GDPR sets out a number of requirements that must be complied with when handling the personal data of European Union-based data subjects including: providing expanded disclosures about how their personal data will be used; limitations on retention of personal data, higher standards for organizations to demonstrate that they have obtained valid consent or have another legal basis in place to justify their data processing activities; requirements to conduct data protection impact assessments for "high risk" processing;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where the latter is used to uniquely identify an individual are all classified as “special category” data under the GDPR and afforded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continue to reframe their national legislation to harmonize with the GDPR, we will need to monitor compliance with all relevant EU member states’ laws and regulations, including where permitted derogations from the GDPR are introduced.</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We will also be subject to evolving EU laws on data export, if we transfer data outside the EU to ourselves or third parties outside of the EU. The GDPR only permits exports of data outside the EU to countries deemed by the European Commission to have adequate data privacy laws or where there is a suitable data transfer solution in place to safeguard personal data (e.g. the European Union Commission approved Standard Contractual Clauses). On July 16, 2020, the Court of Justice of the European Union or the CJEU, issued a landmark opinion in the case </w:t>
      </w:r>
      <w:r>
        <w:rPr>
          <w:rFonts w:ascii="Arial;sans-serif" w:hAnsi="Arial;sans-serif"/>
          <w:b w:val="false"/>
          <w:i/>
          <w:color w:val="000000"/>
          <w:sz w:val="20"/>
        </w:rPr>
        <w:t xml:space="preserve">Maximilian Schrems vs. Facebook </w:t>
      </w:r>
      <w:r>
        <w:rPr>
          <w:rFonts w:ascii="Arial;sans-serif" w:hAnsi="Arial;sans-serif"/>
          <w:b w:val="false"/>
          <w:color w:val="000000"/>
          <w:sz w:val="20"/>
        </w:rPr>
        <w:t xml:space="preserve">(Case C-311/18), called </w:t>
      </w:r>
      <w:r>
        <w:rPr>
          <w:rFonts w:ascii="Arial;sans-serif" w:hAnsi="Arial;sans-serif"/>
          <w:b w:val="false"/>
          <w:i/>
          <w:color w:val="000000"/>
          <w:sz w:val="20"/>
        </w:rPr>
        <w:t>Schrems II</w:t>
      </w:r>
      <w:r>
        <w:rPr>
          <w:rFonts w:ascii="Arial;sans-serif" w:hAnsi="Arial;sans-serif"/>
          <w:b w:val="false"/>
          <w:color w:val="000000"/>
          <w:sz w:val="20"/>
        </w:rPr>
        <w:t xml:space="preserve">. This decision a) calls into question certain data transfer mechanisms as between the EU member states and the U.S. and b) invalidates the EU-U.S. Privacy Shield on which many companies had relied as an acceptable mechanism for transferring such data from the EU to the U.S. </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Arial;sans-serif" w:hAnsi="Arial;sans-serif"/>
          <w:b w:val="false"/>
          <w:i/>
          <w:color w:val="000000"/>
          <w:sz w:val="20"/>
        </w:rPr>
        <w:t>Schrems II</w:t>
      </w:r>
      <w:r>
        <w:rPr>
          <w:color w:val="000000"/>
        </w:rPr>
        <w:t xml:space="preserve"> </w:t>
      </w:r>
      <w:r>
        <w:rPr>
          <w:rFonts w:ascii="Arial;sans-serif" w:hAnsi="Arial;sans-serif"/>
          <w:b w:val="false"/>
          <w:color w:val="000000"/>
          <w:sz w:val="20"/>
        </w:rPr>
        <w:t xml:space="preserve">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U.S. along with its adequacy decision. Adequacy decisions can be adapted or 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pStyle w:val="TextBody"/>
        <w:bidi w:val="0"/>
        <w:spacing w:lineRule="auto" w:line="276" w:before="200" w:after="283"/>
        <w:ind w:left="0" w:right="0" w:firstLine="720"/>
        <w:jc w:val="both"/>
        <w:rPr/>
      </w:pPr>
      <w:r>
        <w:rPr>
          <w:rFonts w:ascii="Arial;sans-serif" w:hAnsi="Arial;sans-serif"/>
          <w:b w:val="false"/>
          <w:color w:val="000000"/>
          <w:sz w:val="20"/>
        </w:rPr>
        <w:t xml:space="preserve">If we have to rely on third parties to carry out services for us, including processing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transfer of personal data from the EU to us in the United States will require greater scrutiny and assessments as required under </w:t>
      </w:r>
      <w:r>
        <w:rPr>
          <w:rFonts w:ascii="Arial;sans-serif" w:hAnsi="Arial;sans-serif"/>
          <w:b w:val="false"/>
          <w:i/>
          <w:color w:val="000000"/>
          <w:sz w:val="20"/>
        </w:rPr>
        <w:t>Schrems II</w:t>
      </w:r>
      <w:r>
        <w:rPr>
          <w:color w:val="000000"/>
        </w:rPr>
        <w:t xml:space="preserve"> </w:t>
      </w:r>
      <w:r>
        <w:rPr>
          <w:rFonts w:ascii="Arial;sans-serif" w:hAnsi="Arial;sans-serif"/>
          <w:b w:val="false"/>
          <w:color w:val="000000"/>
          <w:sz w:val="20"/>
        </w:rPr>
        <w:t xml:space="preserve">and may have an adverse impact on cross-border transfers of personal data, or increase costs of compliance. </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GDPR provides an enforcement authority to impose large penalties for noncompliance, including the potential for fines of up to €20 million or 4% of the annual global revenues of the noncompliant company, whichever is greater. We will be subject to the GDPR when we have a European Union presence or “establishment” (e.g., EU based subsidiary or operations), when conducting clinical trials with EU based data subjects, whether the trials are conducted directly by us or through a vendor or partner, or offering approved products or services to EU-based data subjects, regardless of whether involving a EU based subsidiary or operations. </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 xml:space="preserve">U.S. Foreign Corrupt Practices Act </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U.S. Foreign Corrupt Practices Act,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 care professionals in many countries, either directly or through third parties. Our present and future business has been and will continue to be subject to various other U.S. and foreign laws, rules and/or regulations.</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Environmental, Health and Safety Regulation</w:t>
      </w:r>
    </w:p>
    <w:p>
      <w:pPr>
        <w:pStyle w:val="TextBody"/>
        <w:bidi w:val="0"/>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numerous federal, state and local environmental, health and safety, or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Employees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of March 27, 2024, we had 26 employees. Twenty three of our employees are full-time and three are part-time, 18 are in research and development and eight are in general and administrative. Given the differing characteristics of our product candidates, our approach is to engage consultants with experience in varying specialties to help us develop such candidates. Our numerous consultants serve as an extension to our employee base. We believe this approach enables us to access the expertise needed in a cost-efficient manner and without the need to rapidly increase the number of full-time employees and their associated costs. In the future, if we select a commercialization strategy for a product candidate that requires us to establish marketing, sales or distribution infrastructure and capabilities, we may need to rapidly increase our employee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Company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200" w:after="283"/>
        <w:ind w:left="0" w:right="0" w:firstLine="720"/>
        <w:jc w:val="both"/>
        <w:rPr/>
      </w:pPr>
      <w:r>
        <w:rPr>
          <w:rFonts w:ascii="Arial;sans-serif" w:hAnsi="Arial;sans-serif"/>
          <w:b w:val="false"/>
          <w:color w:val="000000"/>
          <w:sz w:val="20"/>
        </w:rPr>
        <w:t>Our website is located at </w:t>
      </w:r>
      <w:r>
        <w:rPr>
          <w:rFonts w:ascii="Arial;sans-serif" w:hAnsi="Arial;sans-serif"/>
          <w:b w:val="false"/>
          <w:i/>
          <w:color w:val="000000"/>
          <w:sz w:val="20"/>
        </w:rPr>
        <w:t>http://www.darebioscience.com</w:t>
      </w:r>
      <w:r>
        <w:rPr>
          <w:rFonts w:ascii="Arial;sans-serif" w:hAnsi="Arial;sans-serif"/>
          <w:b w:val="false"/>
          <w:color w:val="000000"/>
          <w:sz w:val="20"/>
        </w:rPr>
        <w:t>.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sans-serif" w:hAnsi="Arial;sans-serif"/>
          <w:b w:val="false"/>
          <w:i/>
          <w:color w:val="000000"/>
          <w:sz w:val="20"/>
          <w:u w:val="single"/>
        </w:rPr>
        <w:t>http://www.sec.gov</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Summary of Risk Factors</w:t>
      </w:r>
    </w:p>
    <w:p>
      <w:pPr>
        <w:pStyle w:val="TextBody"/>
        <w:bidi w:val="0"/>
        <w:spacing w:lineRule="auto" w:line="288" w:before="200" w:after="120"/>
        <w:ind w:left="0" w:right="0" w:firstLine="720"/>
        <w:jc w:val="both"/>
        <w:rPr>
          <w:rFonts w:ascii="Arial;sans-serif" w:hAnsi="Arial;sans-serif"/>
          <w:b w:val="false"/>
          <w:i/>
          <w:color w:val="000000"/>
          <w:sz w:val="20"/>
        </w:rPr>
      </w:pPr>
      <w:r>
        <w:rPr>
          <w:rFonts w:ascii="Arial;sans-serif" w:hAnsi="Arial;sans-serif"/>
          <w:b w:val="false"/>
          <w:i/>
          <w:color w:val="000000"/>
          <w:sz w:val="20"/>
        </w:rPr>
        <w:t>Below is a summary of the principal factors that make an investment in our securities speculative or risky. This summary does not address all of the risks that we face. We urge investors to carefully review and consider the additional discussion of the risks summarized in this risk factor summary, and other risks that we face, which can be found below under the heading “Risk Factors,” together with other information in this report, before making investment decisions regarding our securities.</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We will need to raise substantial additional capital to continue our operations, execute our business strategy and remain a going concern, and we may not be able to raise adequate capital on a timely basis, on favorable terms, or at all. Raising additional capital may cause substantial dilution to our stockholders, restrict our operations or require us to relinquish rights in our technologies or product candidates and their future revenue streams. </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 </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Our business depends on obtaining the approval of regulatory authorities, and in particular, FDA approval, to market products that we develop. All of our product candidates are investigational, require the conduct and successful completion of clinical studies and nonclinical work, and may never complete development or be submitted for or receive regulatory approval. The FDA's approval of XACIATO is not predictive of favorable development or marketing approval outcomes for our product candidates.</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Clinical development is a lengthy and expensive process with an inherently uncertain outcome. Failure to successfully complete clinical trials and nonclinical activities and obtain regulatory approval to market and sell our product candidates on our anticipated timelines at reasonable costs to us, or at all, particularly Ovaprene and Sildenafil Cream, could have a material adverse effect on our business, operating results and financial condition.</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Drug products and drug/device combination products are complex to manufacture and we face significant challenges in scaling up manufacturing of our product candidates for larger clinical trials and commercial production. Manufacturing and supply delays and disruptions could postpone the initiation of or interrupt our clinical studies, extend the timeframe and cost of development of our product candidates, delay potential regulatory approvals and adversely impact the commercialization of any approved products.</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Strategic collaborations are a key part of our strategy and our existing strategic collaborations are important to our business. If we are unable to maintain existing strategic collaborations or establish new ones, or if they are not successful, we may require substantial additional capital to develop and commercialize our products and product candidates and our business and prospects may be materially harmed.</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Unless and until one of our product candidates receives regulatory approval, payments under our license agreement with Organon based on net sales of XACIATO represent our only potential source of ongoing revenue and the amount of those net sales is largely outside of our control. </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We have no manufacturing, sales, marketing or distribution infrastructure. We depend heavily on, and expect to continue to rely on, the performance of third parties, including our strategic collaborators, contract manufacturers and suppliers, CROs, medical institutions, and scientific, medical, regulatory and other consultants and advisors, to develop our product candidates and commercialize any approved products. Failure of these third parties to perform as expected could result in substantial delays, increased costs or failures of our product development programs, delayed or unsuccessful commercialization of any approved products, and the need for significant additional capital. </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Due in part to our limited financial and human resources, we may fail to effectively execute our product development, regulatory submission and commercialization plans in accordance with communicated timelines,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The loss or impairment of our rights under our license agreements for XACIATO or any of our product candidates could prevent us from developing or commercializing them, which could have a material adverse effect on our business prospects, operations and viability.</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The commercial success of XACIATO will depend on Organon’s efforts and capabilities and a variety of factors, many of which currently are unknown or uncertain, and if commercialization of XACIATO is not successful, our reputation, business and prospects may suffer.</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XACIATO and any future products will face intense competition, including from generic products, and may fail to achieve the degree of market acceptance necessary for commercial success. Our business, operating results and financial condition will suffer if we, or our commercial collaborators, fail to compete effectively and fail to achieve market acceptance. </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Failure to successfully obtain coverage and adequate reimbursement for XACIATO and any future products from government health care programs and other third-party payors would diminish our ability, or that of a commercial collaborator, to generate net product revenue or net sales. If out-of-pocket costs for products we develop are deemed by women to be unaffordable, a commercial market may never develop.</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We have a relatively small number of employees, and if we fail to attract and retain key personnel or effectively manage our personnel costs, our business may materially suffer.</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We may not be successful in our efforts to identify and acquire or in-license additional product candidates or technologies, which may limit our growth potential.</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Our failure to adequately protect or enforce our intellectual property rights, and those of our licensors, could materially harm our proprietary position in the marketplace or prevent or impede the commercialization of XACIATO and any future products.</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 xml:space="preserve">Lack of patent protection for the active ingredients in certain of our product candidates, including Sildenafil Cream and DARE-HRT1, may limit the commercial opportunity for those products if competitors are able to develop and commercialize safe and effective alternative formulations or methods of delivery of the active ingredients. </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Volatility in the financial markets, geopolitical conflicts and events, public health emergencies such as the COVID-19 pandemic and other macroeconomic factors may negatively impact our business, financial condition and results and our stock price, including by increasing the cost and timelines for our clinical development programs or making it more difficult or costly to raise additional capital when needed.</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Product liability lawsuits against us could cause us to incur substantial liabilities and divert management attention from our business.</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The price of our common stock has been and may continue to be highly volatile and such volatility may be related or unrelated to our performance and operating results. Volatility in our stock price may subject us to increased risk of securities litigation, including class-action lawsuits, which could be expensive and divert management attention.</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If we fail to regain and maintain compliance with the continued listing requirements of the Nasdaq Capital Market, our common stock could be delisted, which could, among other things, limit demand for our common stock, substantially impair our ability to raise additional capital and have an adverse effect on the market price of, and the efficiency of the trading market for, our common stock.</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Future dilution to our existing stockholders from sales and issuances of our common stock through at-the-market, or ATM, offerings, other types of public or private offerings of equity or equity-linked securities and upon the exercise of stock options, or the market's expectation that such sales could adversely affect our stock price, even if our business is doing well.</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0"/>
        </w:rPr>
        <w:t>We have been subject to a cyber-related crime and our controls and security measures may not be successful in preventing other cybersecurity incidents in the future. Cyber-attacks, security breaches, loss of data and other disruptions to our information technology systems or those of our strategic collaborators or third-party service providers could compromise sensitive information related to our business, delay or prevent us from accessing critical information, subject us to significant financial loss, or expose us to liability, any of which could adversely affect our business and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 Factors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Investment in our securities involves a high degree of risk and uncertainty. Our business, operating results, growth prospects and financial condition are subject to various risks, many of which are not exclusively within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pStyle w:val="TextBody"/>
        <w:bidi w:val="0"/>
        <w:spacing w:lineRule="auto" w:line="288" w:before="200" w:after="200"/>
        <w:jc w:val="both"/>
        <w:rPr>
          <w:rFonts w:ascii="Arial;sans-serif" w:hAnsi="Arial;sans-serif"/>
          <w:b/>
          <w:color w:val="000000"/>
          <w:sz w:val="20"/>
          <w:u w:val="single"/>
        </w:rPr>
      </w:pPr>
      <w:r>
        <w:rPr>
          <w:rFonts w:ascii="Arial;sans-serif" w:hAnsi="Arial;sans-serif"/>
          <w:b/>
          <w:color w:val="000000"/>
          <w:sz w:val="20"/>
          <w:u w:val="single"/>
        </w:rPr>
        <w:t>Risks Related to Our Financial Position and Capital Needs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We will need to raise substantial additional capital to continue our operations and execute our business strategy, and we may not be able to raise adequate capital on a timely basis, on favorable terms, or at all.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have a history of losses from operations, we expect negative cash flows from our operations to continue for the foreseeable future, and we expect that our net losses will continue for the foreseeable future as we develop and seek to bring to market our existing product candidates and as we seek to potentially acquire or license and develop additional product candidates. These circumstances raise substantial doubt about our ability to continue as a going concern. Our financial statements as of December 31, 2023 were prepared under the assumption that we will continue as a going concern and do not include any adjustments that might result from the outcome of this uncertainty. At December 31, 2023, our accumulated deficit was approximately $171.2 million, our cash and cash equivalents were approximately $10.5 million, our deferred grant funding liability under our grant agreements related to DARE-LARC1 and DARE-LBT was approximately $13.7 million, and our working capital deficit was approximately $2.9 million. Our cash and cash equivalents at December 31, 2023 represented funds received under such grant agreements and such funds may be applied solely toward direct costs for the development of DARE-LARC1 and DARE-LBT, other than approximately 10% of such funds, which may be applied toward general overhead and administration expenses that support our entire operations. We will require additional capital to fund our operating needs into the third quarter of 2024. and to meet our current obligations as they become due. Advancing our investigational women's health products through clinical development and pursuing regulatory approval and commercialization will require substantial additional investment. We will need to raise substantial additional capital to continue to fund our operations and execute our current business strategy. The amount and timing of our capital needs have and will continue to depend highly on many factors, as discussed further below as well as under "ITEM 7. MANAGEMENT'S DISCUSSION OF AND ANALYSIS OF FINANCIAL CONDITION AND RESULTS OF OPERATIONS—Liquidity and Capital Resources—Plan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Our management may devote significant time and we may incur substantial costs in pursuing, evaluating and negotiating potential capital-raising transactions and those efforts may not prove successful on a timely basis, or at all. If we cannot raise adequate additional capital when needed, we may be forced to reduce, or even terminate our operations. We may delay, scale back or eliminate one or more of our product development programs; relinquish rights under our license agreements with third parties relating to our product candidates; forgo opportunities to expand our product portfolio; take other measures to reduce our expenses; reorganize or merge with another entity; or file for bankruptcy or cease operations. If we become unable to continue as a going concern, we may have to liquidate our assets, and might realize significantly less than the values at which they are carried on our financial statements, and our stockholders may lose all or part of their investment in our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capital needs have depended on, and will continue to depend on, many factors that are highly variable and difficult to predict, including:</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the product development programs we choose to pursue;</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 xml:space="preserve">the cost and pace of preclinical and clinical development; </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the results of preclinical activities and clinical trials;</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the cost and timing of obtaining clinical supplies of product candidates;</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 xml:space="preserve">the cost and timing of regulatory submissions and decisions by the FDA and other regulatory authorities on our applications to commence and advance clinical development of and to market our product candidates; </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 xml:space="preserve">the amount and timing of payments to third parties required under acquisition, in-license and other agreements relating our rights to develop and commercialize our product and product candidates; </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the cost and timing of commercialization activities we undertake or engage third parties to undertake for any approved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the amount and timing of future royalty, milestone or other payments, if any, we receive under our commercial collaboration agreements for XACIATO and Ovaprene;</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our ability to maintain, and establish new, strategic collaborations relating to the development and/or commercialization of our product and product candidates;</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 xml:space="preserve">the extent to which we acquire, in-license, or otherwise invest in new product candidates or technologies and the terms of any such transaction; and </w:t>
      </w:r>
    </w:p>
    <w:p>
      <w:pPr>
        <w:pStyle w:val="TextBody"/>
        <w:bidi w:val="0"/>
        <w:spacing w:lineRule="auto" w:line="268" w:before="0" w:after="200"/>
        <w:ind w:left="0" w:right="0" w:hanging="360"/>
        <w:jc w:val="left"/>
        <w:rPr/>
      </w:pPr>
      <w:r>
        <w:rPr>
          <w:color w:val="000000"/>
        </w:rPr>
        <w:t>•</w:t>
      </w:r>
      <w:r>
        <w:rPr>
          <w:rFonts w:ascii="Arial;sans-serif" w:hAnsi="Arial;sans-serif"/>
          <w:b w:val="false"/>
          <w:color w:val="000000"/>
          <w:sz w:val="20"/>
        </w:rPr>
        <w:t xml:space="preserve">the cost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product development efforts succeed, we will need to develop a commercialization plan for each product, which may also require significant resources to create and implement. In addition, the terms of any collaboration agreements for development and/or commercialization of our product and product candidates may significantly impact our need for additional capital. Because of these uncertainties and the other risks and uncertainties discussed in this “Risk Factors” section, we cannot reasonably estimate the amount funding necessary to successfully complete development of and seek regulatory approval for our product candidates or to commercialize any approved products. In addition, we may seek additional capital due to favorable market conditions or strategic considerations even if we believe we have sufficient funds for our planned operations.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seek to raise additional capital through a variety of means, including equity, equity-linked or debt securities offerings, government or other grant funding, strategic collaborations or alliances, debt, royalty monetization or other structured financings, or other similar types of arrangements. Our past success in raising capital through equity offerings, grant funding, collaboration agreements, and a royalty monetization financing should not be viewed as an indication we will be successful in raising capital through those or any other means in the future. We expect that our ability to raise additional capital and the amount of capital available to us will depend not only on progress we and our collaborators make toward successfully developing, obtaining regulatory approval for and commercializing our product and product candidates, but also on factors outside of our control, such as macroeconomic and financial market conditions. To the extent we seek to obtain additional capital before achieving clinical, regulatory and/or sales milestones or when our stock price or trading volume or both are low, or when the general market for biopharmaceutical or women’s health companies is weak, additional capital may not be available to us on favorable terms, or at all.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Unstable and unfavorable market and economic conditions may harm our ability to raise additional capital. The occurrence or continued occurrence of macroeconomic factors or events similar to those experienced in recent years, such as a U.S. economic crisis or recession or recessionary concerns, inflation, public health emergencies (such as the COVID-19 pandemic), geopolitical conflict (such as the wars in Ukraine and the Middle East), natural/environmental disasters, supply-chain disruptions, terrorist attacks, strained relations between the U.S. and a number of other countries, social and political discord and unrest in the U.S. and other countries, and government shutdowns, among others, increase market volatility and have long-term adverse effects on the U.S. and global economies and financial markets. Volatility and deterioration in the financial markets and liquidity constraints or other adverse developments affecting financial institutions may make equity or debt financings more difficult, more costly or more dilutive and may increase competition for, or limit the availability of, funding from other third-party sources, such as from strategic collaborations and government and other grants.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 xml:space="preserve">Raising additional capital may cause substantial dilution to our stockholders, restrict our operations or require us to relinquish rights in our technologies or product candidates and their future revenue streams.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discussed above, we may seek to raise additional capital through a variety of means. Raising capital through the issuance of shares of our common stock, or securities convertible into or exercisable for our common stock, may depress our stock price and substantially dilute our existing stockholders. The terms of securities issued may include liquidation or other preferences that may materially adversely affect the rights of our existing stockholders. Debt and other structured financings, if available, would increase our fixed payment obligations and may involve covenants requiring us to maintain specified financial ratios or a specified cash balance, or limiting or restricting our ability to take specific actions, such as incurring additional debt, acquiring, selling or licensing intellectual property rights, and making capital expenditures, or impose other operating restrictions that could adversely impact our ability to operate our business and pursue our strategic objectives. We could also be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meet certain milestones in connection with a debt financing and the failure to achieve such milestones by certain dates may force us to relinquish rights to some of our technologies, product candidates or products, or otherwise agree to terms unfavorable to us. In addition, we may be required to relinquish valuable rights to future revenue streams, such as in the case of the royalty interest financing agreement we entered into in December 2023. Moreover, the lower our cash balance when we seek to raise additional capital, the more difficult, costly or dilutive to our existing stockholders it may be for us to raise additional capital.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be required to seek additional capital through arrangements with collaborators at an earlier stage of development or commercialization of our technologies, product candidates or products than otherwise would be desirable, in which case we may grant rights to our technologies, product candidates or products on terms that may not be as favorable to us or grant rights that we would otherwise prefer to retain. If we raise capital through new collaborations, strategic alliances or other similar types of arrangements, we may relinquish valuable rights to future revenue streams. Licensing agreements likely would significantly reduce our control over the development or commercialization of the licensed technology, product candidates or products, and our collaborators may become unable or unwilling to devote adequate resources to realize their full potential value. If we obtain funding through grants from governmental entities or private organizations, such parties may impose restrictions on our rights to technologies, product candidates or products developed with such funding, obtain rights to license such technologies, product candidates or products to third parties (e.g., if we are unable or unwilling to commercialize a product or make it available to certain patient populations in a timely manner or at certain prices), or require future royalty or other payments if such technologies, product candidates or products are commercialized.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limited operating history upon which to evaluate our business and prospects. The development of drug and drug/device combination products in order to obtain regulatory approval is a highly speculative, lengthy and expensive undertaking and involves substantial risk. We cannot accurately determine the duration and completion costs of our development programs, or if, when and to what extent we will generate revenue from the commercialization of any of our product candidates. Other than XACIATO, which was recently commercially launched by our collaborator Organon, we have not obtained any regulatory approvals for any of our product candidates, commercialized any of our product candidates or generated any product revenue. We do not expect the potential milestone and royalty payments to us under our exclusive license agreement for XACIATO will be sufficient to cover our operating expenses. We have not been profitable since we commenced operations and may never achieve profitability. We devote significant resources to licensing or otherwise acquiring the rights to our product candidates and to research and development, or R&amp;D, activities for them. Since inception, we have incurred significant operating losses. As discussed above, we must raise additional capital to finance our operations and remain a going concern and adequate additional capital may not be available to us on a timely basis, or at all.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If one of our commercial collaborators terminates its exclusive license agreement with us, our need for additional capital may significantly increase.</w:t>
      </w:r>
    </w:p>
    <w:p>
      <w:pPr>
        <w:pStyle w:val="TextBody"/>
        <w:bidi w:val="0"/>
        <w:spacing w:lineRule="auto" w:line="288" w:before="0" w:after="120"/>
        <w:ind w:left="0" w:right="0" w:firstLine="720"/>
        <w:jc w:val="both"/>
        <w:rPr/>
      </w:pPr>
      <w:r>
        <w:rPr>
          <w:rFonts w:ascii="Arial;sans-serif" w:hAnsi="Arial;sans-serif"/>
          <w:b w:val="false"/>
          <w:color w:val="000000"/>
          <w:sz w:val="20"/>
        </w:rPr>
        <w:t>We have entered into an exclusive license agreement with Organon for the commercialization of XACIATO and an exclusive license agreement with Bayer for the commercialization of Ovaprene, if approved. Each of these license agreements may be terminated by the licensee for convenience upon the completion of a specified notice period, subject to limited restrictions. Furthermore, under our agreement with Bayer, Bayer has no payment obligations to us, unless, after reviewing the results of our pivotal clinical trial of Ovaprene, it elects, in its sole discretion, to make the license grant under our agreement effective by making a $20.0 million payment to us. If we do not successfully complete a pivotal clinical trial of Ovaprene in a timely manner, the license grant may never become effective, and we may not receive any additional payments from Bayer. Bayer may elect not to make the license grant effective regardless of the outcome of the pivotal clinical trial. If an exclusive license agreement is terminated early, or in Ovaprene's case, does not become fully effective, we may realize only a small fraction of the potential value of the agreement to us, and we would need to raise significant additional capital to pursue further development and commercialization of XACIATO or Ovaprene, as applicable, or establish another commercial collaboration, which we may not be able to do on a timely basis, on favorable terms, or at all.</w:t>
      </w:r>
      <w:r>
        <w:rPr>
          <w:color w:val="000000"/>
        </w:rPr>
        <w:t xml:space="preserve">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The royalties we may receive under our license agreements with our commercial collaborators are based on net sales, which will be largely outside of our control.</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XACIATO’s and Ovaprene’s value to us under our license agreements with Organon and Bayer, assuming the license grant to Bayer becomes effective, to be generated primarily through royalties and potential commercial milestone payments, in each case, based on net sales. The amount of net sales our products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generate, if any, is largely outside of our control because marketing and sales activities will be conducted by the licensee and the product pricing will be determined by the licensee. Gross sales can be greatly reduced by sales discounts and allowances, which will also be determined by the licensee (or mandated by governmental entities) and outside of our control. Sales discounts may be particularly substantial for new products compared to established products to incentivize purchases and promote customer loyalty. These factors would serve to reduce our royalties and delay potential achievement of commercial milestones. If a commercial collaborator has no or limited commercialization success, or net sales are otherwise minimal due to pricing and discount structures, our operating results would be negatively impacted and our need for additional capital could significantly increase or be accelerated.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future, we may rely on revenues received from third-party licensees to fund our operations, and failure to receive such revenues, or receipt of only minimal revenue, may cause us to, among other things: </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pursue raising additional funds through equity or debt financings that could be dilutive to our stockholders or involve restrictive covenants, operational restrictions and security interests in our assets;</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enter into new strategic collaborations that may be less favorable than those we would have obtained under different circumstances;</w:t>
      </w:r>
    </w:p>
    <w:p>
      <w:pPr>
        <w:pStyle w:val="TextBody"/>
        <w:bidi w:val="0"/>
        <w:spacing w:lineRule="auto" w:line="268" w:before="0" w:after="60"/>
        <w:ind w:left="0" w:right="0" w:hanging="360"/>
        <w:jc w:val="both"/>
        <w:rPr/>
      </w:pPr>
      <w:r>
        <w:rPr>
          <w:color w:val="000000"/>
        </w:rPr>
        <w:t>•</w:t>
      </w:r>
      <w:r>
        <w:rPr>
          <w:rFonts w:ascii="Arial;sans-serif" w:hAnsi="Arial;sans-serif"/>
          <w:b w:val="false"/>
          <w:color w:val="000000"/>
          <w:sz w:val="20"/>
        </w:rPr>
        <w:t>delay, reduce or terminate one or more development programs;</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reduce headcount;</w:t>
      </w:r>
    </w:p>
    <w:p>
      <w:pPr>
        <w:pStyle w:val="TextBody"/>
        <w:bidi w:val="0"/>
        <w:spacing w:lineRule="auto" w:line="268" w:before="0" w:after="60"/>
        <w:ind w:left="0" w:right="0" w:hanging="360"/>
        <w:jc w:val="left"/>
        <w:rPr/>
      </w:pPr>
      <w:r>
        <w:rPr>
          <w:color w:val="000000"/>
        </w:rPr>
        <w:t>•</w:t>
      </w:r>
      <w:r>
        <w:rPr>
          <w:rFonts w:ascii="Arial;sans-serif" w:hAnsi="Arial;sans-serif"/>
          <w:b w:val="false"/>
          <w:color w:val="000000"/>
          <w:sz w:val="20"/>
        </w:rPr>
        <w:t>forgo opportunities to expand our product portfolio; or</w:t>
      </w:r>
    </w:p>
    <w:p>
      <w:pPr>
        <w:pStyle w:val="TextBody"/>
        <w:bidi w:val="0"/>
        <w:spacing w:lineRule="auto" w:line="268" w:before="0" w:after="200"/>
        <w:ind w:left="0" w:right="0" w:hanging="360"/>
        <w:jc w:val="left"/>
        <w:rPr/>
      </w:pPr>
      <w:r>
        <w:rPr>
          <w:color w:val="000000"/>
        </w:rPr>
        <w:t>•</w:t>
      </w:r>
      <w:r>
        <w:rPr>
          <w:rFonts w:ascii="Arial;sans-serif" w:hAnsi="Arial;sans-serif"/>
          <w:b w:val="false"/>
          <w:color w:val="000000"/>
          <w:sz w:val="20"/>
        </w:rPr>
        <w:t>take other measures to reduce our expenses, pursue strategic transactions, such as a merger or other business combination or sale of assets, file for bankruptcy, or cease operations.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 xml:space="preserve">We have relied heavily on sales of our common stock to fund our operations, and our future ability to obtain additional capital through stock sales or other securities offerings may be more costly or dilutive to our stockholders than in the past, or may not be available to us at all. Our ability to raise additional capital may be limited by a low trading volume, stock price and market capitalization, as well as by laws, regulations and market conditions.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relied heavily on our ability to raise capital by selling shares of our common stock. For example, we raised an aggregate of approximately $79.1 million in gross proceeds in fiscal years 2021 and 2022 through the sale of shares of our common stock in offerings made under a Form S-3 “shelf” registration statement. Our ability to raise additional capital through sales of our common stock or other securities offerings will depend on several factors, many of which may not be in our favor, including the trading volume and volatile trading price of our common stock, our relatively low public float and market capitalization, our potential inability to regain and maintain compliance with the listing requirements of the Nasdaq Capital Market, unfavorable financial market conditions, and the other risks and uncertainties described in this “Risk Factors” section. If we are unable to raise additional capital through the offering and sale of shares of our common stock, or securities convertible into or exercisable for our common stock, on a timely basis or acceptable terms, or at all, we may seek additional capital through other third-party sources that require us to relinquish valuable rights in our intellectual property, technologies, product candidates or future revenue streams, or that subject us to restrictive covenants, operational restrictions or security interests in our assets, or we may need to delay, scale back or eliminate some or all of our development programs, reduce other expenses, file for bankruptcy, reorganize, merge with another entity, or cease operations.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Using a shelf registration statement to conduct an equity offering to raise capital generally takes less time and is less expensive than other means, such as conducting an offering under a Form S-1 registration statement. We currently have a shelf registration statement effective, however, our ability to raise capital under a shelf registration statement is, and may continue to be, limited by, among other things, current and future SEC rules and regulations impacting the eligibility of smaller companies to use Form S-3 for primary offerings of securities. For example, we currently are subject to the "baby shelf rule" because the market value of our outstanding shares of common stock held by non-affiliates, or our public float, was less than $75.0 million at the time of filing this annual report on Form 10-K, calculated in accordance with SEC rules. This means that we may use our shelf registration statement to raise additional funds only to the extent that the aggregate market value of securities sold by us or on our behalf pursuant to Instruction I.B.6. of Form S-3 during the 12 calendar months immediately prior to, and including, the intended sale does not exceed one-third of the aggregate market value of our public float, calculated in accordance with the instructions to Form S-3. As an example, as of March 27, 2024, we could not offer or sell more than approximately $19.0 million of new securities under our shelf registration statement.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would expect either of these alternatives to take more time and be a more expensive method of raising additional capital relative to using our shelf registration statement.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Our Securities—If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 below.</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 Even if a public offering under Nasdaq rules is not subject to the 20% limitation described above, it may involve publicly announcing the proposed transaction before it is completed, which often has the effect of depressing a company's stock price. Accordingly, our existing investors may suffer greater dilution if we seek to raise additional capital through such a public offering of our securities.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Obtaining stockholder approval is a costly and time-consuming process. If we must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transaction.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and pursue regulatory approvals in accordance with our current timeline expectations.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current financial and technical resources are limited and not sufficient to develop all of the product candidates to which we hold licenses or options to license. This may affect our efforts to develop and bring to market the product candidates currently in our portfolio and any candidates we may add to our portfolio in the future. Due to our limited resources, we have curtailed, and may be required to further curtail, our development programs and clinical and nonclinical development activities that might otherwise have led, or lead, to more rapid progress in the development of our product candidates, or product candidates that we may in the future choose to develop. We may make determinations with regard to the indications and clinical trials on which to focus our resources that result in our realization of less than the full potential value of a product candidate. The decisions to allocate our research, management, personnel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result of financial and other resource constraints, we may be unable to commence or complete our planned clinical trials or prepare and submit applications for marketing approval of our product candidates in accordance with our currently anticipated timelines. See also “Risks Related to Product Research &amp; Development, and Regulatory Approval – Delays in the commencement or completion of clinical testing of product candidates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are developing or may develop in the future may occur due to any of a number of factors and could result in significantly increased costs and longer timelines and could impact our ability to ever become profitable” below.</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Our cash could be adversely impacted if a financial institution with which we have deposit or other accounts fails.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cash and cash equivalents we use to satisfy our working capital and operating expense needs are held in accounts at various financial institutions. The balance held in deposit accounts often exceeds the Federal Deposit Insurance Corporation (“FDIC”) deposit insurance limit or similar government deposit insurance schemes. Our cash and cash equivalents could be adversely impacted, including the loss of uninsured deposits and other uninsured financial assets, if one or more of the financial institutions in which we hold our cash or cash equivalents fails or is subject to other adverse conditions in the financial or credit markets. For example, on March 10, 2023, Silicon Valley Bank was closed by the California Department of Financial Protection and Innovation and taken into receivership by the FDIC. At that time, substantially all of our cash and cash equivalents were held in accounts with Silicon Valley Bank and we could not access such accounts. While we were afforded full access to our accounts on March 13, 2023 as a result of action taken by the U.S. Department of the Treasury, the Federal Reserve and the FDIC under the systemic risk exception, there is no guarantee that the systemic risk exception will be relied upon to provide access to uninsured deposits and other assets in the future in the event of the closure of a financial institution, or that such access would be afforded in a timely fashion. Any loss of our cash or cash equivalents or any delay in our access thereto could, among other risks, adversely impact our ability to pay our operating expenses, result in breaches of our contractual obligations, or result in violations of federal or state wage and hour laws if we are unable to pay our employees on a timely basis.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Women’s health has historically been an underfunded sector. Recently, a number of public companies focused in women’s health have failed to achieve expected commercial success and struggled to access sufficient capital. We are solely focused in women’s health and may be unfavorably impacted by weak investor sentiment and a lack of interest in the category. Our ability to access capital and to advance our candidates could be adversely impacted.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solely focused in women’s health, and primarily in the areas of contraception, vaginal health, reproductive health, menopause, sexual health and fertility. The sector has historically been underfunded, with only about one percent of healthcare research and innovation in the U.S. invested in female-specific conditions beyond oncology according to market research. The failure of the women’s health sector to receive consistent and committed investment fuels investor sentiment that market opportunities for new products in women’s health are limited. Our stock price and our ability to access additional capital on acceptable terms when needed may be adversely impacted by unfavorable investor perception of market opportunities for women’s health products, and our business, operating results, financial condition and prospects could suffer.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u w:val="single"/>
        </w:rPr>
      </w:pPr>
      <w:r>
        <w:rPr>
          <w:rFonts w:ascii="Arial;sans-serif" w:hAnsi="Arial;sans-serif"/>
          <w:b/>
          <w:color w:val="000000"/>
          <w:sz w:val="20"/>
          <w:u w:val="single"/>
        </w:rPr>
        <w:t>Risks Related to Product Research &amp; Development and Regulatory Approval</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XACIATO is our first and only FDA-approved product. The FDA’s approval of XACIATO does not provide any assurance or predict that we will be successful in developing or achieving regulatory approval of any other product candidate. If we are unable to successfully conduct and complete development of and obtain regulatory approvals for our investigational products, which may never occur, our business may fail and you could lose all or part of your investment.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Historical success in clinical development of and obtaining regulatory approval for a product candidate does not guarantee or predict future successful outcomes for other investigational products. Each of our development programs is unique and subject to substantial uncertainty of success inherent in pharmaceutical and biopharmaceutical development.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pipeline consists entirely of investigational products, which we also refer to as product candidates, which means that they must successfully complete one or more clinical studies to be considered for marketing approval and undergo a submission and review process with the FDA to obtain approval to be marketed in the U.S., or a similar process with comparable regulatory authorities in other jurisdictions to be marketed anywhere outside of the U.S. FDA or other regulatory authority approval may never be obtained. If we are unable to successfully complete development of and obtain regulatory approvals for our product candidates, our business may fail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Clinical development is a lengthy and expensive process with an inherently uncertain outcome. Failure to successfully develop and obtain regulatory approval to market and sell our product candidates, and in particular, Ovaprene and Sildenafil Cream, would likely adversely affect our business.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business depends on the successful clinical development and regulatory approval of our product candidates, and in particular, our lead product candidates, which may never occur. The product candidates we develop require substantial clinical testing to demonstrate that they are safe and effective for their proposed uses.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some of our product candidates have undergone clinical trials and demonstrated positive results, including Ovaprene and Sildenafil Cream, there is no guarantee of successful outcomes in current or future clinical studies of these product candidates or of obtaining marketing approval for any of them. For example, while PCT clinical trials have been used as a surrogate marker for contraceptive effectiveness and our PCT clinical trial of Ovaprene met its primary endpoint, there is no guarantee Ovaprene will demonstrate contraceptive effectiveness in its ongoing pivotal Phase 3 clinical study. As another example, while we believe the objectives of our exploratory Phase 2b RESPOND study of Sildenafil Cream were met and enabled successful completion of an end-of-Phase 2 meeting with the FDA and alignment on key elements of the Phase 3 program for Sildenafil Cream, the co-primary efficacy endpoints of the Phase 2b study were not met and there is no guarantee that Phase 3 clinical studies will be successful. The fact that the active pharmaceutical ingredients in certain of our product candidates, including Sildenafil Cream, received regulatory approval in other formulations and/or for other indications does not guarantee successful development of our product candidates for their proposed intended uses. Clinical trials may never demonstrate sufficient safety and effectiveness to obtain the requisite regulatory approvals for our product candidates.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conduct and complete clinical trials for our product candidates, we may not obtain regulatory approval to market and sell any of them on the timelines we anticipate, or at all, which would have a material adverse effect on our business and operations.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Outcomes of our clinical trials, particularly later-stage clinical trials, may significantly impact our stock price. If the results of our pivotal Phase 3 clinical study of Ovaprene are not positive, our stock price could decline and our business and prospects may be adversely affected.</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Ovaprene is one of our lead product candidates. If the results of our pivotal Phase 3 clinical study of Ovaprene are not positive or are perceived by third parties, including financial market participants, as not positive, our business, prospects and stock price could suffer significantly. If Ovaprene fails to demonstrate adequate safety or contraceptive effectiveness in the Phase 3 study, we may determine to delay, scale back or terminate the program, and we may not realize any return on our investment in the program. In addition, if we, the investment community, potential collaborators or the FDA view the topline or complete results of the study as not positive, our stock price could decline significantly, our reputation may suffer, and our ability to raise additional capital to continue to operate as a going concern and execute our business strategy could be adversely impacted.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Delays in the commencement or completion of clinical testing of our product candidates may occur due to any of a number of factors and could result in significantly increased costs and longer timelines and could impact our ability to ever become profitable.</w:t>
      </w:r>
    </w:p>
    <w:p>
      <w:pPr>
        <w:pStyle w:val="TextBody"/>
        <w:bidi w:val="0"/>
        <w:spacing w:lineRule="auto" w:line="288" w:before="0" w:after="120"/>
        <w:ind w:left="0" w:right="0" w:firstLine="720"/>
        <w:jc w:val="both"/>
        <w:rPr/>
      </w:pPr>
      <w:r>
        <w:rPr>
          <w:rFonts w:ascii="Arial;sans-serif" w:hAnsi="Arial;sans-serif"/>
          <w:b w:val="false"/>
          <w:color w:val="000000"/>
          <w:sz w:val="20"/>
        </w:rPr>
        <w:t>Clinical trials of our product candidates may not commence, progress or be completed as expected. Delays could significantly impact our product development costs and timelines, as well as a product candidate’s market potential, if ultimately approved. The timing of initiation, conduct and completion of clinical trials and other development activities for our product candidates may vary dramatically due to factors within and outside of our control and is difficult to predict accurately. We may make statements regarding anticipated timing for commencement, completion of enrollment, and/or availability of results from our clinical studies, but those statements are predictions based on significant assumptions and the actual timing of achievement of development milestones may differ materially from our predictions for a variety of reasons.</w:t>
      </w:r>
      <w:r>
        <w:rPr>
          <w:color w:val="000000"/>
        </w:rPr>
        <w:t xml:space="preserve"> </w:t>
      </w:r>
    </w:p>
    <w:p>
      <w:pPr>
        <w:pStyle w:val="TextBody"/>
        <w:bidi w:val="0"/>
        <w:spacing w:lineRule="auto" w:line="288" w:before="0" w:after="60"/>
        <w:ind w:left="0" w:right="0" w:firstLine="720"/>
        <w:jc w:val="both"/>
        <w:rPr>
          <w:rFonts w:ascii="Arial;sans-serif" w:hAnsi="Arial;sans-serif"/>
          <w:b w:val="false"/>
          <w:color w:val="000000"/>
          <w:sz w:val="20"/>
        </w:rPr>
      </w:pPr>
      <w:r>
        <w:rPr>
          <w:rFonts w:ascii="Arial;sans-serif" w:hAnsi="Arial;sans-serif"/>
          <w:b w:val="false"/>
          <w:color w:val="000000"/>
          <w:sz w:val="20"/>
        </w:rPr>
        <w:t>The commencement of clinical trials of our product candidates can be delayed for many reasons, including: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lack of adequate capital and the need to obtain additional funding;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obtaining guidance or authorizations from the FDA or foreign regulatory authorities;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obtaining approval from the institutional review boards, or IRBs, of prospective clinical study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finalizing the trial design as a result of discussions with the FDA, foreign regulatory authorities, prospective clinical trial investigators or IRBs;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reaching agreement on acceptable terms with prospective CROs and clinical trial sites; 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inability to obtain sufficient quantities of clinical product supplies from our contract manufacturers and suppliers.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Once a clinical trial has begun, it may be delayed, suspended or terminated by us, an IRB, the FDA or other regulatory authorities as a result of the occurrence of any of a number of events or circumstances, including: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lack of adequate capital and the need to obtain additional funding;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to conduct the clinical trial in accordance with regulatory or IRB requirements;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slower than expected rates of participant recruitment and enrollment;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higher than anticipated participant drop-out rates;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of participants to use the investigational product as directed or to report data as per trial protocols;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inspection of the clinical trial operations or clinical trial site by the FDA or other regulatory authorities resulting in the imposition of a clinical hold;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to achieve certain efficacy and/or safety standards;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participants experiencing severe undesirable side effects or other unexpected adverse events related to the investigational product;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disruptions in or insufficient supply of clinical trial material or inadequate quality of such materials;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of our CROs or other third-party service providers to meet their contractual obligations to us in a timely manner, or at all; 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quality control/quality assurance procedures necessary for study database lock and analysis of unblinded data.</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Unexpected serious adverse events or other undesirable side effects could arise during clinical development and interrupt, delay, or cause the termination of clinical trials, and require us to conduct additional clinical and nonclinical studies that were not part of our development plan, which could significantly increase the development costs and timeline for a program and adversely impact its value and our ability to continue product development. These events may also cause our reputation to suffer and subject us to lawsuits.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As discussed elsewhere in this Risk Factors section, macroeconomic factors and events also have the potential to cause or contribute to significant delays in commencement and completion of our clinical trials. Global supply chain disruptions and the subsequent effects thereof may adversely affect the ability of contract manufacturers to manufacture and supply our clinical trial material. Our prospective or contracted clinical trial sites may experience resource constraints, including staffing shortages, stemming from global or regional issues, such as a pandemic or other public health emergency, and become unable to allocate adequate resources to reach agreements necessary to commence our clinical trials at their facilities or, even if agreements are in place, to conduct our clinical trials. For ongoing clinical trials, macroeconomic factors or events, such as a global pandemic, may result in lower than anticipated subject enrollment and completion rates, including because clinical trial sites may temporarily close or reallocate resources away from clinical research, or study participants may withdraw prior to receiving study treatment or discontinue their treatment or follow up visits to avoid medical settings or because they become sick or must care for a sick family member.</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Significant clinical trial delays could have a material adverse impact on our financial condition and results of operations by substantially increasing the costs of our development programs. Significant clinical trial delays also could jeopardize our ability to meet obligations under agreements under which we license our rights to our product candidates, allow other companies to bring competitive products to market before we do, shorten any period of market exclusivity we may otherwise have under our patent rights, and weaken our negotiating position in discussions with potential collaborators, any of which could impair our ability to successfully complete development of or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Arial;sans-serif" w:hAnsi="Arial;sans-serif"/>
          <w:b/>
          <w:i/>
          <w:color w:val="000000"/>
          <w:sz w:val="20"/>
        </w:rPr>
      </w:pPr>
      <w:r>
        <w:rPr>
          <w:rFonts w:ascii="Arial;sans-serif" w:hAnsi="Arial;sans-serif"/>
          <w:b/>
          <w:i/>
          <w:color w:val="000000"/>
          <w:sz w:val="20"/>
        </w:rPr>
        <w:t xml:space="preserve">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manufacture of our product candidates is complex and subject to compliance with extensive regulatory requirements, and in most cases we rely on single source contract manufacturers and suppliers. As a result, we face significant risks of manufacturing and supply delays and disruptions that may be difficult and expensive to resolve and may cause substantial delays in the development and regulatory approval of our product candidates or the commercialization of any approved product. To date, our clinical-stage product candidates have been tested in a relatively small number of clinical study participants. Significant scale-up of manufacturing will be required to provide adequate supplies of our product candidates for larger Phase 2 and Phase 3 clinical trials and may take longer and be more expensive than anticipated, potentially having a significant negative impact on our development costs and timelines. We have, and we expect we will continue to, face multiple challenges as our contract manufacturers scale their processes to provide supplies for larger clinical trials or commercial production including, among others, potential difficulties with process scale-up, process reproducibility, stability and purity issues, compliance with cGMP, lot consistency, and timely availability of acceptable raw materials.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example, the ongoing pivotal clinical study of Ovaprene will require far more clinical product supplies than were manufactured for prior clinical and nonclinical studies combined. A substantial scale up in production was necessary to meet the study’s requirements and required more time and expense than anticipated. Additional clinical supplies must be produced to complete the study and manufacturing disruptions may occur that extend the overall timeline and cost to complete the study. Under our agreement with ADVA-Tec, we are dependent on ADVA-Tec and its contract manufacturer, Poly-Med, Inc., for all Ovaprene clinical and commercial product supplies, and we do not control these third parties and have limited influence the efforts and resources they expend to meet our supply requirements. Furthermore, some of the key raw materials and components of Ovaprene have only a single source of supply. Global supply chain disruptions may also result in delays in and increased costs for the manufacture and supply of sufficient quantities of Ovaprene to meet the pivotal clinical study’s requirements.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manufacture of our product candidates is subject to extensive regulation. The finished products (and their APIs) used in clinical trials or approved for commercial sale must be manufactured in accordance with cGMP requirements in the U.S. that are enforced by the FDA and must comply with applicable requirements of foreign regulatory authorities for sales outside of the U.S.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a product that may result in closure of the manufacturing facility for an extended period of time to investigate and remedy the contamination or inadvertent change. In addition, deviations anywhere in the manufacturing process could cause our product candidates to perform differently and affect the results of clinical trials. Further, even minor deviations in the manufacturing process, including filling labeling, packaging, storage and shipping, and quality control and testing, may result in shipment delays, lot failures, recalls or spoilage, and delay or disrupt our clinical studies or commercial supply of any approved product. If our contract manufacturers are unable to produce sufficient quantities of our product candidates (or their APIs) for clinical trials or, if approved, for commercialization at acceptable quality levels, our development and commercialization efforts would be impaired, which could have a material adverse effect on our business, financial condition and results of operations.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product candidates progress through the development process, it is not uncommon that manufacturing methods are altered along the way in an effort to optimize yield, manufacturing batch size, minimize costs, achieve consistent quality and results, or to comply with regulatory authority requirements. Any such changes carry risk that they will not achieve the intended objectives. If and when changes are made to the manufacturing process of our product candidates (or their APIs), we may be required by the FDA or foreign regulatory authorities to conduct bridging clinical or nonclinical studies or repeat one or more clinical trials to demonstrate comparable identity, strength, quality and purity of the product candidate before and after such changes, which could significantly increase development costs and delay regulatory approval or disrupt commercial supply. These manufacturing and supply risks are similarly applicable to any product or product candidate we license to a commercial collaborator and could adversely impact the timing or amount of potential milestone and royalty payments to us.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our cost of goods for our product candidates is at an early stage of development. The cost to manufacture our product candidates at commercial scale is difficult to predict currently. We may need to alter the materials, equipment or processes for making our product candidates in order to yield commercially viable products. As discussed above, manufacturing changes could increase development costs and timing and may not achieve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intended objectives. Manufacturing costs may negatively impact the commercial viability of our product candidates, if approved.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See also “Risks Related to Our Dependence on Third Parties- We do not have, and we do not have plans to establish, our own manufacturing capabilities and instead rely on third-party suppliers and manufacturers for clinical study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 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and the risk of manufacturing disruptions” below.</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 xml:space="preserve">Many of our product candidates, including Ovaprene, will or may be considered combination products by the FDA and other regulatory authorities, which could increase the complexity, cost and timeline for their development and regulatory approvals. A change in the FDA’s prior determination that CDRH would lead the review of a marketing application for Ovaprene would adversely impact Ovaprene’s development timeline and significantly raise our costs to complete clinical development and obtain regulatory approval for Ovaprene.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To the extent our product candidates meet the FDA’s or any other regulatory authority’s definition of a combination product, the regulatory approval requirements can be more complex and costly because in addition to the individual regulatory requirements for each component, e.g., a drug and a medical device, additional combination product regulatory requirements may apply. The cost and timeline for development of product candidates determined to be combination products may be substantially greater than product candidates that are not considered combination products. See also ITEM 1. "BUSINESS–Government Regulation–U.S. Government Regulation–FDA Review and Approval Process for Combination Products,” above.</w:t>
      </w:r>
    </w:p>
    <w:p>
      <w:pPr>
        <w:pStyle w:val="TextBody"/>
        <w:bidi w:val="0"/>
        <w:spacing w:lineRule="auto" w:line="288" w:before="0" w:after="200"/>
        <w:ind w:left="0" w:right="0" w:firstLine="720"/>
        <w:jc w:val="both"/>
        <w:rPr/>
      </w:pPr>
      <w:r>
        <w:rPr>
          <w:rFonts w:ascii="Arial;sans-serif" w:hAnsi="Arial;sans-serif"/>
          <w:b w:val="false"/>
          <w:color w:val="000000"/>
          <w:sz w:val="20"/>
        </w:rPr>
        <w:t>Ovaprene is composed of both device and drug components and is considered a combination product by the FDA. The process for obtaining FDA approval of Ovaprene will require compliance with complex procedures because concordance between two centers of the FDA (CDRH and CDER) is necessary. Ovaprene previously underwent a request for designation, or RFD, process with the FDA that determined that CDRH would lead the review of a PMA for potential marketing approval of this product candidate. If the designation were to be changed to CDER, or if either center were to institute additional requirements for the approval of Ovaprene, we could be required to complete clinical studies with more patients and over longer periods of time than is currently anticipated. This would significantly increase the anticipated cost and timeline to completion of Ovaprene’s development and require us to raise additional funds.</w:t>
      </w:r>
      <w:r>
        <w:rPr>
          <w:color w:val="000000"/>
        </w:rPr>
        <w:t xml:space="preserve"> </w:t>
      </w:r>
      <w:r>
        <w:rPr>
          <w:rFonts w:ascii="Arial;sans-serif" w:hAnsi="Arial;sans-serif"/>
          <w:b w:val="false"/>
          <w:color w:val="000000"/>
          <w:sz w:val="20"/>
        </w:rPr>
        <w:t>Based on discussions with the FDA, we believe that if our ongoing pivotal clinical study of Ovaprene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Because Ovaprene is one of our lead product candidates, the impact of either a change in the lead FDA review center or the imposition of additional, currently unplanned requirements for approval could be significant to us and have a material adverse effect on the prospects for developing Ovaprene, as well as on our business and our financial condition. See also “The commercial success of Ovaprene will depend on market acceptance of a hormone-free monthly, intravaginal product, availability and effectiveness of alternative contraceptive products and women's preferences, as well as the success of Bayer’s marketing and sales efforts” below.</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The factors contributing to female sexual dysfunction disorders, including FSAD, are complex and there is limited clinical trial precedent from which to draw experience, making the design and execution of a clinical trial that demonstrates effectiveness of Sildenafil Cream in treating FSAD more inherently challenging and uncertain compared with investigational products for many other conditions.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are currently no FDA-approved pharmacologic treatments for female sexual arousal disorder, or FSAD, and there is no precedent program to reference in the design of our clinical trials for Sildenafil Cream. Female sexual dysfunction disorders in women vary in nature and may be the result of a variety of physiological and psychological factors. Given the variability of factors contributing to the underlying condition, and the product candidates' attributes, clinical studies to evaluate effectiveness in any subset of the conditions under the umbrella of Sexual Dysfunction, such as FSAD, are complex. While we worked with experts to develop novel patient reported outcome (PRO) instruments for our exploratory Phase 2b RESPOND study of Sildenafil Cream, tested the potential PRO instruments in a content validity study, reviewed the results of that study with the FDA and aligned with the FDA on the Phase 2b study design, the Phase 2b RESPOND study proved more difficult to enroll than anticipated given the enrollment criteria for the study, particularly the requirement that the partner be enrolled in the study. Moreover, the Phase 2b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RESPOND study did not demonstrate statistical significance for the co-primary or secondary efficacy endpoints, although we determined that topline data supported continued clinical development of Sildenafil Cream and further analysis of the study data identified certain subsets of participants that achieved clinically meaningful and statistically significant improvement in certain items relating to the co-primary efficacy endpoints and data from the RESPOND study enabled successful completion of an end-of-Phase 2 meeting with the FDA and ongoing feedback from the FDA to align on key elements of the Phase 3 program for Sildenafil Cream.</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Sildenafil Cream is designed to work primarily by increasing blood flow to the genital tissue. Therefore, identifying and enrolling patients in our clinical trials of Sildenafil Cream for whom inadequate blood flow to the genital tissue is the primary contributor to their arousal disorder is critical. If we fail to screen properly, and instead enroll patients with different contributing factors, the results of our clinical trials are unlikely to demonstrate effectiveness of Sildenafil Cream. Conversely, trying to screen out patients with different contributing factors may slow enrollment in a study, delay its completion and increase its costs. In our exploratory Phase 2b RESPOND study, we experienced a slower than anticipated pace of enrollment given the enrollment criteria for the study, which lengthened our original estimated timeline for the study. We may experience delays in future clinical studies of Sildenafil Cream relative to our communicated expectations due to the novel nature of the studies and the complexities of the condition it is intended to treat, which may significantly lengthen clinical study timelines, increase overall costs, and may lead to unfavorable results.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respect to any clinical study of Sildenafil Cream, even if we can identify and enroll a sufficient number of women for whom inadequate blood flow to the genital tissue is the primary contributing factor to their arousal disorder, there is no guaranty that the use of Sildenafil Cream will improve their general feelings of arousal or that the PRO instruments we utilize to measure the effectiveness of Sildenafil Cream in the study will adequately capture their genital arousal response. We expect to conduct two Phase 3 studies to support an NDA for Sildenafil Cream. Given the multiple factors contributing to arousal disorders and the novelty of the clinical endpoints that may be utilized to measure effectiveness of Sildenafil Cream in treating FSAD, we may be required to conduct multiple clinical trials in large patient populations, extending the timeline and increasing the cost of development for Sildenafil Cream, without any guarantee of positive results. If we are unable to efficiently and successfully advance Sildenafil Cream through clinical development, our business, operating results and financial conditional, as well as our stock price, could suffer. </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From time to time, we may publicly disclose interim,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of clinical trials we report may differ from final results reported for those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complete data are available.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interim analysis will result in a favorable final result at the completion of the clinical trial.</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 others, including regulatory authorities, may not accept or agree with our assumptions, estimates, calculations, conclusions or analyses or may interpret or weigh the importance of study data differently than we do,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an extensive set of data and analyses, and investors and others may disagree with the information we determine is the material or otherwise appropriate information to include in our public disclosure. Information we determine not to publicly disclose may ultimately be deemed significant with respect to future decisions, conclusions, views, activities or otherwise regarding a particular product candidate, product or our business. If the topline data that we report differ from actual results, or if others, including regulatory authorities, disagree with the conclusions reached, our ability to obtain approval for,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commercialize, our product candidates may be harmed, which could harm our business, operating results, prospects or financial condition.</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Our business depends on obtaining regulatory approval to market our product candidates in a timely manner, in particular, FDA approval. 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pStyle w:val="TextBody"/>
        <w:bidi w:val="0"/>
        <w:spacing w:lineRule="auto" w:line="288" w:before="0" w:after="120"/>
        <w:ind w:left="0" w:right="0" w:firstLine="720"/>
        <w:jc w:val="both"/>
        <w:rPr/>
      </w:pPr>
      <w:r>
        <w:rPr>
          <w:rFonts w:ascii="Arial;sans-serif" w:hAnsi="Arial;sans-serif"/>
          <w:b w:val="false"/>
          <w:color w:val="000000"/>
          <w:sz w:val="20"/>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 time and our current development plans may not accurately anticipate all applicable requirements for marketing approval by the FDA or comparable regulatory authorities for jurisdictions outside the U.S.</w:t>
      </w:r>
      <w:r>
        <w:rPr>
          <w:color w:val="000000"/>
        </w:rPr>
        <w:t xml:space="preserv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success depends on our ability to obtain regulatory approvals for our product candidates in a timely and cost-efficient manner. Even if we successfully complete nonclinical studies, clinical studies, manufacturing and other required activities, we may still experience delays in our efforts to obtain marketing approvals for any of our product candidates. Marketing approval applications require the submission of extensive clinical and nonclinical data and supporting information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third-party manufacturers and clinical investigators to successfully complete inspections by the FDA or other regulatory authorities during the approval process requires significant human and financial resources.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change the development plan for a product candidate as a result of changes during the development period in the FDA’s marketing approval policies or the amendment or enactment of additional statutes or regulations, updated interpretations of applicable policies, statutes or regulations, or upon review of outcomes of other similar product candidates under development. This could significantly lengthen our development timelines and cost.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and comparable regulatory authorities in other countries have substantial discretion in the approval process and may refuse to accept any application or may decide that the data are insufficient for approval and require additional clinical or nonclinical studies or changes in the manufacturing process or facilities, even if we had previously aligned with the relevant regulatory authorities on such data and other requirements. We cannot assure you that we will obtain any additional marketing approvals for our product or product candidates in any jurisdiction.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announcement of new requirements by the FDA, the failure of a competitive product to receive regulatory approval, or the receipt of a complete response letter from the FDA by another company pursuing the FDA's 505(b)(2) pathway for product candidates identical to or similar to ours, any of which may have implications for our proposed regulatory authorization pathways, could impact how investors and potential strategic collaborators view the development risks associated with our product candidates. Changing testing or manufacturing requirements for our product candidates or for product candidates deemed to be comparable to ours may adversely impact our financial resources, our development timelines and may harm the perception held by others of our business.</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We expect to utilize the FDA’s Section 505(b)(2) pathway for most of our current product candidates and if that pathway is not available, the development of our product candidates will likely take significantly longer, cost significantly more and entail significantly greater complexity and risk than currently anticipated, and, in any case, may not be successful.</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intend to develop and seek approval for many of our product candidates, including Sildenafil Cream, pursuant to the FDA’s 505(b)(2) pathway. If the FDA determines that we may not use this regulatory pathway, then we would need to seek regulatory approval via a “full” or “stand-alone” NDA under Section 505(b)(1) of the FDCA. This would require us to conduct additional clinical trials and nonclinical testing, provide additional safety and efficacy data and other information, and meet additional standards for regulatory approval.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Drug Price Competition and Patent Term Restoration Act of 1984, informally known as the Hatch-Waxman Act, added Section 505(b)(2) to the FDCA. Section 505(b)(2) permits the filing of an NDA where at least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our development programs relative to seeking approval under the 505(b)(1) regulatory pathway.</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the FDA changes its 505(b)(2) policies and practices or if Congress were to amend the statute to alter the currently available regulatory pathway, it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any delay resulting from our inability to pursue the FDA's 505(b)(2) pathway could result in new competitive products reaching the market more quickly than our product candidates, which may have a material adverse impact on our competitive position and prospects. Even if we are allowed to pursue the FDA's 505(b)(2) pathway, we cannot assure you that our product candidates will receive the requisite approvals for commercialization.</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Our clinical-stage product candidates have only been tested in a small number of women over short periods of use and no data exists regarding a potential increase in fetal abnormalities in pregnant women.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If our clinical-stage product candidates, including Ovaprene and Sildenafil Cream,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Pre-clinical product candidates may not be valued by investors and may be difficult to fund.</w:t>
      </w:r>
    </w:p>
    <w:p>
      <w:pPr>
        <w:pStyle w:val="TextBody"/>
        <w:bidi w:val="0"/>
        <w:spacing w:lineRule="auto" w:line="288" w:before="0" w:after="0"/>
        <w:ind w:left="0" w:right="0" w:firstLine="720"/>
        <w:jc w:val="both"/>
        <w:rPr/>
      </w:pPr>
      <w:r>
        <w:rPr>
          <w:rFonts w:ascii="Arial;sans-serif" w:hAnsi="Arial;sans-serif"/>
          <w:b w:val="false"/>
          <w:color w:val="000000"/>
          <w:sz w:val="20"/>
        </w:rPr>
        <w:t>Given their early stage of development and the lack of data, many pre-clinical assets are often perceived as having low valuations by investors and potential strategic collaborators, such as pharmaceutical companies. Our investment of time and resources in such assets may not be appreciated or valued. As a result, it may be difficult for us to fund such programs.</w:t>
      </w:r>
      <w:r>
        <w:rPr>
          <w:color w:val="000000"/>
        </w:rPr>
        <w:t xml:space="preserve"> </w:t>
      </w:r>
      <w:r>
        <w:rPr>
          <w:rFonts w:ascii="Arial;sans-serif" w:hAnsi="Arial;sans-serif"/>
          <w:b w:val="false"/>
          <w:color w:val="000000"/>
          <w:sz w:val="20"/>
        </w:rPr>
        <w:t>Additionally, past receipt of grant funding may not be predictive of our ability to secure additional grants to fund further development of a program. Our portfolio includes several pre-clinical stage programs and if they fail to be adequately valued by investors or potential strategic collaborators, our business, financial condition and stock price may be adversely affected.</w:t>
      </w:r>
      <w:r>
        <w:rPr>
          <w:color w:val="000000"/>
        </w:rPr>
        <w:t xml:space="preserve">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Several of our product candidates are in pre-clinical stages of development and may never advance to clinical development.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our pre-clinical stage programs may never progress to clinical development and may prove to be worthless.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grants supporting the DARE-LARC1 and DARE-LBT programs do not guarantee that pre-clinical development will be successful or that we will be able to fund their clinical development in the future.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grants supporting pre-clinical development of DARE-LARC1 and DARE-LBT, including the grant agreement under which we were awarded up to $48.95 million in non-dilutive funding for pre-clinical development of DARE-LARC1, do not guarantee that pre-clinical development will be successful, or, even if we are successful with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specified pre-clinical activities, that we will be able to fund their future clinical development. Further, while we received aggregate payments of approximately $28.4 million under the 2021 DARE-LARC1 grant agreement as of December 31, 2023, additional payments are contingent upon the DARE-LARC1 program’s achievement of specified development and reporting milestones during the grant period and our compliance with other obligations under the agreement, and there is no assurance those milestones will be achieved or that we will receive additional payments or the full potential amount of the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both"/>
        <w:rPr>
          <w:rFonts w:ascii="Arial;sans-serif" w:hAnsi="Arial;sans-serif"/>
          <w:b/>
          <w:color w:val="000000"/>
          <w:sz w:val="20"/>
          <w:u w:val="single"/>
        </w:rPr>
      </w:pPr>
      <w:r>
        <w:rPr>
          <w:rFonts w:ascii="Arial;sans-serif" w:hAnsi="Arial;sans-serif"/>
          <w:b/>
          <w:color w:val="000000"/>
          <w:sz w:val="20"/>
          <w:u w:val="single"/>
        </w:rPr>
        <w:t>Risks Related to Our Dependence on Third Parties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Our existing product development and commercialization collaborations are important to our business, and future collaborations may also be important to us. If we are unable to maintain any of these collaborations, if these collaborations are not successful, or if we are unable to establish additional strategic collaborations, our business and prospects may be materially harmed.</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resources and no internal sales, marketing or distribution capabilities. A key aspect of our strategy is to establish collaborations with third parties, such as large and mid-size pharmaceutical companies and other third parties with the relevant R&amp;D and/or commercial expertise and infrastructure to help bring our product candidates to market. We currently do not expect to directly market, sell or distribute any of our products that receive regulatory approval, and instead intend to enter into agreements with third parties to market, sell and distribute and provide related support services for those products. For example, we have entered into out-license agreements with third parties for the commercialization of XACIATO and, if approved, Ovaprene. We also have a CRADA for the conduct of a pivotal clinical study of Ovaprene with NICHD. We intend to seek additional strategic collaborations. However, these collaborations make the successful development and commercialization of our products and product candidates dependent upon the performance of third parties. By entering into strategic collaborations, we may relinquish control over important elements of product development and commercialization, and the collaborator may fail to develop or effectively commercialize the applicable products or product candidates. In addition, in the case of commercial collaborations, our product revenues, may be lower than if we were to sell and distribute products that we develop ourselves.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existing collaborations, and any future strategic collaborations we establish, involve significant risks to the success of the product, including that: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have significant discretion in determining the efforts and resources that they will apply to these collaborations;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not perform their obligations as expected;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not pursue development or commercialization of a product or product candidate or elect not to continue or renew a collaboration based on clinical or nonclinical study results, changes in the collaborators' strategic focus or available funding, or external factors, such as an acquisition, a public health emergency, or macroeconomic events or conditions, that cause them to divert resources to other initiatives or create competing priorities;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refuse to perform clinical studies or other development work required for approval in a particular jurisdiction outside the 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delay or stop clinical studies, provide insufficient funding for or abandon a clinical program, repeat or conduct new clinical studies or require a new formulation of a product or product candidate for clinical testing;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could independently, or together with third parties, develop and commercialize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with marketing and distribution rights to one or more of our products may not commit sufficient resources to the marketing and distribution of such product or products;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disagreements with collaborators, including disagreements over proprietary rights, contract interpretation, or product development or commercialization strategy, might cause delays or termination of the research, development or commercialization of our products or product candidates, might lead to additional responsibilities for us with respect to products or product candidates, or might result in litigation or arbitration, any of which would be time-consuming and expensive;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collaborators may infringe the intellectual property rights of third parties, which may expose us to litigation and potential liability;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collaborators may violate, or be investigated for potentially violating, health care compliance and related laws and regulations, which may expose us to litigation, enforcement actions or inquiries, or other potential liability;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collaborations may be terminated for the convenience of the collaborator and, if terminated, could significantly delay product development and commercial launch and increase the cost to us to pursue further development or commercialization of the applicable product or product candidate. For example, our out-license agreements for XACIATO and Ovaprene and the CRADA with NICHD may be terminated by the counterparty for convenience upon the completion of a specified notice period, subject to limited restrictions. </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If a collaborator terminates its agreement with us or if a collaboration does not result in the successful development of any product candidates and/or commercialization of any approved products, we may not receive any future royalty revenue, commercial milestones or other revenues under the collaboration, our development programs may not be funded as we expect, and our ability to establish another collaboration for the applicable product or product candidate may be negatively impacted. We may be unable to replace any commercial collaborator with an alternate third party on a timely or commercially reasonable basis, or at all. See also, “Risks Related to Our Financial Position and Capital Needs- If one of our commercial collaborators terminates its exclusive license agreement with us or fails to perform as expected, our need for additional capital may significantly increase,” above and “We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 below. Moreover, the risks relating to product development, regulatory approval and commercialization and compliance with health care related laws and regulations described in this report also apply to the activities of our collaborators.</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Except to the extent of any license fees or milestone payments under our current and any future collaboration agreements, because we currently have only one FDA-approved product, our ability to generate revenue over the next several years will largely be dependent on royalties and net sales-based milestones under our exclusive license agreement with Organon. Accordingly, our revenues may be dependent on Organon's ability to successfully market, sell and distribute XACIATO and to perform its contractual obligations. There is no assurance that commercialization of XACIATO in the U.S. will be successful, or that Organon will pursue development and commercialization of XACIATO outside of the U.S. The amount of royalty and milestone payments we will receive under the license agreement is uncertain. Apart from Organon's diligence obligation under our license agreement, we have no control over the efforts and resources Organon devotes to the marketing and sale of XACIATO. The occurrence of any of the risks described above could negatively impact the commercial success of XACIATO and have a material adverse effect on our business, financial condition and results of operations.</w:t>
      </w:r>
    </w:p>
    <w:p>
      <w:pPr>
        <w:pStyle w:val="TextBody"/>
        <w:bidi w:val="0"/>
        <w:spacing w:lineRule="auto" w:line="288" w:before="200" w:after="120"/>
        <w:ind w:left="0" w:right="0" w:firstLine="720"/>
        <w:jc w:val="both"/>
        <w:rPr/>
      </w:pPr>
      <w:r>
        <w:rPr>
          <w:rFonts w:ascii="Arial;sans-serif" w:hAnsi="Arial;sans-serif"/>
          <w:b w:val="false"/>
          <w:color w:val="000000"/>
          <w:sz w:val="20"/>
        </w:rPr>
        <w:t>Termination of the CRADA by NICHD or by us could significantly delay the conduct and/or completion of the Phase 3 study of Ovaprene and significantly increase the overall timeline and costs for development of Ovaprene. Though the CRADA has a five-year term, either party may terminate it for any reason or for no reason upon 30 days’ prior written notice to the other party. If the CRADA is terminated before completion of the Phase 3 study of Ovaprene,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the cash payments we have made under the CRADA for up to one year after expiration or termination to cover costs associated with the conduct of activities described under the research plan in the CRADA that were initiated prior to expiration or termination. If we fail to make any scheduled payment to NICHD under the CRADA, NICHD is not obligated to carry out R&amp;D activities until it receives the funds. We have paid NICHD $5.0 million under the CRADA to date. Under the terms of the CRADA, a final payment of $0.5 million was due in the second quarter of 2023. Pursuant to our discussions with NICHD, we expect to make the final payment in the third quarter of 2024.</w:t>
      </w:r>
      <w:r>
        <w:rPr>
          <w:color w:val="000000"/>
        </w:rPr>
        <w:t xml:space="preserve"> </w:t>
      </w:r>
      <w:r>
        <w:rPr>
          <w:rFonts w:ascii="Arial;sans-serif" w:hAnsi="Arial;sans-serif"/>
          <w:b w:val="false"/>
          <w:color w:val="000000"/>
          <w:sz w:val="20"/>
        </w:rPr>
        <w:t xml:space="preserve">Suspension by NICHD of activities under the CRADA or termination by NICHD or by us of the CRADA could have a material adverse effect on the Phase 3 study of Ovaprene and on our business, results of operations and financial condition, and may cause the market price of our common stock to decline.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face significant competition in seeking strategic collaborations. Collaborations can also be complex and time-consuming arrangements to negotiate and document. If we are unable to reach agreements with suitable collaborators on a timely basis, on acceptable terms, or at all, we may have to curtail the development of a product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product candidate, reduce or delay one or more of our other development programs, delay or reduce the scope of any commercial readiness activities, delay commercialization, or increase our expenditures and undertake development or commercialization activities at our own expense. Our success in entering into a definitive agreement for any 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and other potential sources of market exclusivity for such product, the market performance of other products we developed, and industry and market conditions generally. The prospective collaborator may also have opportunities to collaborate with third parties on products or technologies that would compete with our products or product candidates and will evaluate whether those opportunities are more attractive than a collaboration with us. We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also be restricted under existing collaboration agreements from entering into other collaborations on certain terms with other potential collaborators. For example, the terms of our exclusive license agreement also provide Organon exclusive worldwide rights of first negotiation for specified potential future products of ours, which may increase the complexity and time required, or otherwise inhibit our ability to transfer, license, sublicense, assign, grant or otherwise dispose of any rights in those potential future products to a third party, and lead to delays in their development and commercialization.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we are not successful in attracting collaborators, entering into collaborations on acceptable terms and maintaining our collaborations for the products we develop, we may not complete development of or obtain regulatory approval for such products and product candidates, or if we obtain regulatory approval, commercial launch may be delayed and market penetration could be limited. In such event, our ability to generate revenues from such products and achieve or sustain profitability would be significantly hindered which would materially harm our business and financial condition.</w:t>
      </w:r>
    </w:p>
    <w:p>
      <w:pPr>
        <w:pStyle w:val="TextBody"/>
        <w:bidi w:val="0"/>
        <w:spacing w:lineRule="auto" w:line="268" w:before="0" w:after="200"/>
        <w:jc w:val="both"/>
        <w:rPr>
          <w:rFonts w:ascii="Arial;sans-serif" w:hAnsi="Arial;sans-serif"/>
          <w:b/>
          <w:i/>
          <w:color w:val="000000"/>
          <w:sz w:val="20"/>
        </w:rPr>
      </w:pPr>
      <w:r>
        <w:rPr>
          <w:rFonts w:ascii="Arial;sans-serif" w:hAnsi="Arial;sans-serif"/>
          <w:b/>
          <w:i/>
          <w:color w:val="000000"/>
          <w:sz w:val="20"/>
        </w:rPr>
        <w:t xml:space="preserve">We do not have, and we do not have plans to establish, our own manufacturing capabilities and instead rely on third-party suppliers and manufacturers for our clinical study supplies, including multiple single source suppliers and manufacturers. If these third parties do not perform as we expect, fail to maintain their regulatory approvals or become subject to negative circumstances, it could delay, prevent or impair our product development or commercialization efforts, or those of our collaborators, and harm our business.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own or operate, and we currently have no plans to establish, facilities for manufacturing, storage and distribution, or testing of product candidates. We rely and expect to continue to rely on third parties to supply and manufacture our product candidates and other materials necessary to commence and complete pre-clinical testing, clinical trials and other activities required for regulatory approval of our product candidates, including qualification of equipment, developing and validating methods, defining critical process parameters, releasing component materials, and conducting stability testing. In addition, we expect to continue to rely on third parties for commercial production and supplies of any future products. This reliance on third-party manufacturers and suppliers subjects us to inherent uncertainties related to product safety, availability, quality and cost.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(including their component materials) must be manufactured, packaged, tested, and labeled in accordance with our specifications and in conformity with cGMP and other applicable regulatory requirements, which requires dedication of substantial resources to specialized personnel, facilities and equipment and sophisticated quality assurance, quality control, recordkeeping procedures. While our employees and consultants monitor and audit our CMOs’ manufacturing processes and systems, we have limited control over our CMOs and they may fail to perform as expected. The facilities and quality systems of CMOs who produce our product candidates and their APIs must pass a pre-approval inspection for compliance with applicable regulations as a condition of FDA approval. Failure to pass inspections, or to timely remediate any compliance issues identified by the FDA, could substantially delay marketing approval. As long as we are the product candidate sponsor or the holder of the product approval or manufacturer of record with the FDA or other regulatory authority, we are ultimately responsible for compliance with regulatory requirements for manufacturing and distribution of our product candidates and any future approved products, regardless of our lack of control over our third-party manufacturers and suppliers. Failure of those third parties to comply with cGMP and other applicable regulatory requirements may result in fines and civil penalties on us, suspension of production, delay or failure to obtain product approval, product seizure or recall, or withdrawal of product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CMOs and component suppliers may experience delays in producing and supplying, or may become unable or unwilling to produce and supply, our clinical trial material or commercial supply material due to financial or personnel constraints, their obligations to, or their decision to prioritize the production and supply of products for, other customers, partial or full loss of their facilities, or supply chain disruptions, including as a result of geopolitical conflicts, macroeconomic events or conditions, natural or man-made disasters, or public health emergencies such as the COVID-19 pandemic. For example, our single source CMO for Ovaprene is located in an area of the U.S. that is vulnerable to tropical storms, hurricanes, flooding and tornadoes, which have potential to render its facilities inoperative for protracted periods. One or more of our CMOs may fail or be unable to perform at a time that is costly or inconvenient for us. We may not have adequate or any recourse against a CMO or supplier who does not perform or terminates its agreement with us if such non-performance or termination is excused under the applicable agreement. We do not have long-term supply agreements with any of our CMOs. We generally enter into manufacturing agreements on a project-by-project basis based on our development needs, which may heighten the risk of timely availability of sufficient quantities of our product candidates at acceptable costs for clinical trials. As we advance development of our product candidates, we will need to negotiate agreements for commercial supply and we may not be able to reach agreement on a timely basis or acceptable terms, or at all. In addition, the FDA or regulatory authorities outside of the U.S. may require that we have an alternate manufacturer of a product before approving it for marketing and sale in the U.S. or other jurisdiction, and securing such alternate manufacturer before approval of a marketing application could result in considerable additional time and cost prior to product approval.</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Currently, we do not have alternative CMOs or API suppliers to back up our primary vendors of clinical trial material. Identification of and discussions with other vendors may be protracted and/or unsuccessful, or new vendors may not be successful in producing the same results as our current vendors on a timely basis at the appropriate volumes, at an acceptable cost, or at all. Therefore, if the current vendors become unable or unwilling to perform their required activities, we could experience protracted delays or interruptions in the supply of clinical trial material or any future approved product for commercial sale, which could materially and adversely affect our development programs, commercial activities, operating results, and financial condition.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new CMO or API supplier would be required to qualify under applicable regulatory requirements. In some cases, the technical skills or technology required to manufacture our clinical trial material or commercial material may be unique or proprietary to the original CMO or supplier and we may have difficulty, or there may be contractual restrictions prohibiting us from, transferring such skills or technology to another third party and a feasible alternative may not exist. These factors would increase our reliance on such CMOs and suppliers or require us to obtain a license from them in order to have another third party manufacture our product candidates or any future approved product. If we are required to change manufacturers for any reason, we will be required to verify that the new manufacturer maintains facilities and procedures that comply with quality standards and with all applicable regulations and guidelines. In some cases, the FDA or a foreign regulatory authority may require us to conduct additional clinical or nonclinical studies, collect additional stability data, and provide additional information concerning any new CMO or supplier, or change in a validated manufacturing process, including scaling-up production, before we could distribute products from that manufacturer or supplier or revised process. The process of identifying, verifying and transitioning to a new CMO or supplier could significantly delay development or regulatory approval of our product candidates or delay or disrupt commercialization of any approved product and substantially increase costs or result in significant loss of product sales and associated revenue.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If our CMOs encounter difficulties or otherwise fail to comply with their contractual obligations or there are delays entering commercial supply agreements, we may have insufficient quantities of material to support ongoing or planned clinical trials or to meet commercial demand for any approved product in the future. In addition, any delay or interruption in the supply of materials necessary or useful to manufacture our product candidates could delay the completion of our clinical trials, increase the costs associated with our development programs, and depending upon the period of delay, require us to terminate the clinical trials completely and commence new clinical trials at significant additional expense. Delays or interruptions in the supply of commercial product could result in increased cost of goods sold and lost sales. Manufacturing or quality control problems may arise in connection with the manufacture of our clinical trial material or future approved product and CMOs may not be able to maintain the necessary governmental licenses and approvals to continue their manufacturing services for us. In addition, with respect to any finished product or key components manufactured outside the U.S., such as the API for Sildenafil Cream, we may experience interruptions in supply due to shipping or customs difficulties or regional instability. Furthermore, changes in currency fluctuations, shipping costs, or import tariffs could adversely affect cost of goods sold. Any of the above factors could cause us to delay or suspend anticipated or ongoing clinical trials, regulatory submissions or commercialization of a product candidate, entail higher costs, or result in being unable to effectively commercialize an approved product. Our dependence on third parties for the manufacture of our product candidates or future approved products may adversely affect our future profit margins and our ability to commercialize any products that receive marketing approval on a timely and competitive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Similarly, while Organon now holds the FDA marketing approval and we have transferred XACIATO manufacturing responsibilities to Organon, commercial production and supply of XACIATO remains subject to comparable manufacturing risks as described herein, and any interruption in the commercial supply of XACIATO that directly or indirectly results in significant loss of product sales could have a material adverse effect on the payments we receive under our license agreement.</w:t>
      </w:r>
    </w:p>
    <w:p>
      <w:pPr>
        <w:pStyle w:val="TextBody"/>
        <w:bidi w:val="0"/>
        <w:spacing w:lineRule="auto" w:line="268" w:before="0" w:after="200"/>
        <w:jc w:val="both"/>
        <w:rPr>
          <w:rFonts w:ascii="Arial;sans-serif" w:hAnsi="Arial;sans-serif"/>
          <w:b/>
          <w:i/>
          <w:color w:val="000000"/>
          <w:sz w:val="20"/>
        </w:rPr>
      </w:pPr>
      <w:r>
        <w:rPr>
          <w:rFonts w:ascii="Arial;sans-serif" w:hAnsi="Arial;sans-serif"/>
          <w:b/>
          <w:i/>
          <w:color w:val="000000"/>
          <w:sz w:val="20"/>
        </w:rPr>
        <w:t>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and the risk of manufacturing disruptions.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agreement with ADVA-Tec restricts our ability to engage a manufacturing source for Ovaprene other than ADVA-Tec during Ovaprene's development period as well as following regulatory approval, subject to limited exceptions. If ADVA-Tec fails to provide sufficient clinical supply of Ovaprene on anticipated timelines, our ability to complete clinical development and seek regulatory approval of Ovaprene could be significantly delayed. A substantial scale up in production of Ovaprene clinical supplies was necessary to support the ongoing Phase 3 clinical study of Ovaprene, which took longer and was more expensive than anticipated, and if Ovaprene receives marketing approval, further substantial manufacturing scale up will be necessary. If Ovaprene receives marketing approval, failure by ADVA-Tec to provide sufficient commercial product quantities at reasonable costs could have a significant adverse effect on our revenue and ability to become profitable. Furthermore, for some key raw materials and components of Ovaprene, there currently is only a single source of supply, and alternate sources of supply may not be readily available.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SST license agreement, SST was responsible for obtaining supplies of Sildenafil Cream for Phase 2 clinical trials conducted in the U.S., and we are responsible for providing supplies of Sildenafil Cream for Phase 3 clinical development and, if approved, for marketing and sale. We do not have any long-term manufacturing or supply agreements with the CMO from which we plan to obtain Sildenafil Cream for our first Phase 3 clinical study of Sildenafil Cream or with any supplier of the raw materials required to produce Sildenafil Cream. Future supplies of Sildenafil Cream or the raw materials required to produce Sildenafil Cream may be more difficult and costly to obtain. For example, the current supplier of sildenafil is located in India. Should this supplier slow production, shut down its factory or increase its prices for any reason, including due to factors outside of its control such as a public health emergency or geopolitical conflicts or events, we may not be able to obtain adequate supplies of sildenafil to satisfy our clinical supply requirements.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business model relies on the outsourcing of important product development functions, tests and services to CROs, medical institutions and other specialist providers, vendors and consultants. We rely on these third parties to conduct our clinical trials and perform related activities, including quality assurance, clinical monitoring and clinical data management, as well as to assist us in preparing, submitting and supporting the applications necessary to gain marketing approvals for our product candidates. For example, we engaged CROs to run all aspects of the pivotal Phase 3 clinical trial of XACIATO, the exploratory Phase 2b RESPOND clinical trial of Sildenafil Cream, the PCT clinical trial for Ovaprene, and our respective Phase 1/2 clinical studies of DARE-HRT1 and DARE-VVA1. In addition, our ongoing pivotal Phase 3 clinical trial of Ovaprene is being conducted by third parties under our CRADA with NICHD. We similarly expect to rely on CROs and other third parties to perform all clinical and nonclinical testing and many other important development and regulatory affairs activities needed to support applications for regulatory approvals of all product candidates we develop. We do not control these third parties and they may not devote sufficient time and resources to our projects, or their performance may be substandard, resulting in clinical trial delays or suspensions, delays in submission of our marketing applications or failure of a regulatory authority to accept our applications for filing. There is no assurance that the third parties we or our strategic collaborators engage will be able to provide the functions, tests, activities or services as agreed upon, or provide them at the agreed upon price and timeline or to our requisite quality standards, including due to macroeconomic factors, geopolitical conflicts or events, natural or manmade disasters, public health emergencies or pandemics or poor workforce relations or human capital management. We rely on the efforts of these third parties and if they fail to perform as expected, we could suffer significant delays and additional costs in, and potentially failure of, the development of one or more of our product candidates.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is also no assurance these third parties will not make errors in the design, management or retention of our data or data systems. Any failures by such third parties could lead to a loss of data, which in turn could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could have a material adverse effect on our business, financial condition, results of operations and prospects.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particular, as a result of the CRADA, we are highly dependent on NICHD and the third parties it engages for the conduct and completion of our ongoing pivotal Phase 3 clinical trial of Ovaprene. Pursuant to the terms of the CRADA, the study is being conducted within NICHD’s Contraceptive Clinical Trial Network, or the CCTN, with NICHD's selected CRO providing clinical coordination and data collection and management services for the study. NICHD is responsible for selecting participating clinical sites from the pool of CCTN sites and, together with its selected CRO, overseeing the clinical investigators in the conduct of the study, providing clinical site monitoring and quality assurance along with establishing the electronic data capture database for the study and performing data analysis, which are key factors to the successful completion of a clinical trial. We do not control these third parties and, accordingly, our control over the conduct and completion of the study is limited. If NICHD or the third parties it engages for the study prioritize other projects over the study or otherwise do not devote adequate time and resources to the study, or their performance is substandard, completion of the study may be delayed or suspended or the study may be unsuccessful, which could significantly harm our business, operating results and financial condition, as well as our relationship with Bayer, and cause the price of our common stock to decline.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Our ability to develop and commercialize our product candidates depends upon maintaining rights granted to us under license agreements with third parties. The loss or impairment of our rights under our in-license agreements relating to XACIATO or our product candidates could have a material adverse effect on our business prospects, operations and viability.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rights to develop and commercialize XACIATO and our product candidates under license agreements between us and third-party licensors. The loss or impairment of these rights, including as a result of our inability or other failure (or that of our licensors, in the case of sublicenses) to meet our obligations under any one of such license agreements, including, without limitation, our payment obligations, could have a substantial negative effect on our business and prospects.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2018, we entered into definitive agreements with Hammock Pharmaceuticals, Inc., TriLogic Pharma LLC and MilanaPharm LLC under which we acquired exclusive global rights to XACIATO for the treatment of bacterial vaginosis,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In addition to customary termination rights, MilanaPharm may terminate our license with respect to a licensed product or process in a country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"BUSINESS-Strategic Agreements for Pipeline Development-Hammock/MilanaPharm Assignment and License Agreement,” above.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six months of obtaining a pre-market approval from the FDA, (3) with respect to the license in any particular country, fail to commercialize Ovaprene in that particular country within three years of the first commercial sale, (4) develop or commercialize a non-hormonal ring-based vaginal contraceptive device other than Ovaprene, (5) fail to conduct certain clinical trials, or (6) fail to make certain milestone, sublicense and/or royalty payments to ADVA-Tec. See ITEM 1. "BUSINESS-Strategic Agreements for Pipeline Development-ADVA-Tec License Agreement," above.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2018, we entered into a world-wide license and collaboration agreement with SST for the exclusive worldwide rights to develop and commercialize Sildenafil Cream for all indications for women related to female sexual dysfunction and/or female reproductive health, including treatment of FSAD. The SST license agreement provides that each party will have customary rights to terminate the agreement in the event of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 ITEM 1. "BUSINESS-Strategic Agreements for Pipeline Development-SST License and Collaboration Agreement,” above.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In April 2018, we entered into the Catalent license agreement under which we acquired exclusive global rights to Catalent's IVR technology platform, including the product candidates we now call DARE-HRT1, DARE-FRT1, and DARE-PTB1. Under this agreement, we must use commercially reasonable efforts to develop and make at least one product or process available to the public, which efforts include achieving specific diligence requirements by specific dates specified in the agreement, and Catalent may terminate the agreement upon 60 days’ notice for any uncured material breach by us of any of our other obligations under the agreement. See ITEM 1. "BUSINESS-Strategic Agreements for Pipeline Development-Catalent JNP License Agreement,” above.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we do not meet our obligations under our license agreements in a timely manner, some of which require the expenditure or payment to the licensor of significant amounts of cash, or if we are unable to obtain an extension of deadlines for satisfying our obligations, we could lose our rights under these agreements. Moreover, because some of our rights to XACIATO and our product candidates are sublicensed to us, our license agreements may be terminated or we may otherwise lose rights to intellectual property underlying our product or product candidates in the event of termination or loss of rights by our licensors, which may be outside of our control. There is no assurance that we would be able to renew or renegotiate license agreements on acceptable terms, or at all, if our existing license agreements (or the underlying agreements in the case of sublicenses) are terminated. Furthermore, we cannot guarantee that any license agreement will be enforceable. The termination of these license agreements or our inability to enforce our rights under these license agreements could result in the loss of our ability, or that of our sublicensees, to develop, manufacture, market or sell XACIATO or the product candidate covered by the agreement, as well as our ability to grant rights to other third parties to collaborate with us in the development and commercialization of our product candidates, which could have a material adverse effect on our business prospects and operations.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Disputes may arise regarding intellectual property subject to, and any of our rights and obligations under, any license or other strategic agreement, including: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scope of rights granted under the license agreement and other interpretation-related issues;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extent to which our technology and processes infringe, misappropriate or violate the intellectual property of the licensor that is not subject to the license agreement;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our diligence obligations under the license agreement and what activities satisfy those diligence obligations;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sublicensing of patent and other rights to third parties under any such agreement or collaborative relationships;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inventorship and ownership of inventions and know-how resulting from the joint creation or use of intellectual property by our licensors and us and our collaborators;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priority of invention of patented technology.</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or maintain third-party collaborations to commercialize, the affected product or product candidate.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may seek to license the product and technology rights to additional product candidates in accordance with our business strategy,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those candidates would ever be advanced successfully through clinical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u w:val="single"/>
        </w:rPr>
      </w:pPr>
      <w:r>
        <w:rPr>
          <w:rFonts w:ascii="Arial;sans-serif" w:hAnsi="Arial;sans-serif"/>
          <w:b/>
          <w:color w:val="000000"/>
          <w:sz w:val="20"/>
          <w:u w:val="single"/>
        </w:rPr>
        <w:t>Risks Related to Commercialization of XACIATO and Our Product Candidates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 xml:space="preserve">The commercial success of XACIATO is outside of our control and will depend on Organon’s efforts and capabilities, as well as a variety of factors, many of which currently are unknown or uncertain, and if commercialization of XACIATO is not successful, our business and prospects may suffer.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If commercialization of XACIATO is not successful, or is perceived to be unsuccessful, our business, financial condition, results of operations and prospects may suffer, particularly because XACIATO is the first and only product for which we have received regulatory approval. XACIATO’s commercial success will depend on many factors,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capabilities of Organon and its commitment of sufficient resources to market, distribute and sell the product;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timely and adequate commercial supply of the finished product and its components;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perceived superiority of its cure rates compared to other available treatments;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extent to which the approved product labeling contains features or expected benefits that differentiate it from other available treatments;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preferences by health care providers and women for a vaginally administered therapy;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prevalence and severity of any adverse side effects;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patient satisfaction and willingness to use it again and refer it to others;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price pressure given the high level of generic treatments and changes in health care laws and regulations, including the Inflation Reduction Act of 2022;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adequate coverage, pricing and reimbursement from third-party payors;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willingness of patients, without third-party insurance coverage or adequate reimbursement, to pay for the product;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success or failure of other branded therapies;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market exclusivity provided by our intellectual property rights or conferred by regulatory authorities;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approval of new entrants, including alternative, non-antibiotic treatment options.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is no assurance that Organon’s efforts with respect to XACIATO will be successful or that product sales will be able to generate revenue to us at the levels or within the timing we expect or at the levels or within the timing necessary to support our goals. See also the risks and uncertainties described under “Risks Related to Our Dependence on Third Parties,” above. </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 xml:space="preserve">We have no internal sales, marketing or distribution capabilities. If we are unable to establish those capabilities on our own or through third parties, we will be unable to successfully commercialize our product candidates, if approved, or generate product sales revenue.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have a product marketing, sales or distribution infrastructure.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As we move our product candidates through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We currently have no commercialization agreements with third parties other than our license agreements with Organon for XACIATO and Bayer for Ovaprene. We may not be able to maintain our existing commercial collaborations or establish and maintain other commercial collaborations on favorable terms, on a timely basis, or at all.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generate revenue from our product candidates, if approved, we may need to establish a commercial infrastructure. There are significant risks involved with establishing our own commercial infrastructure. For example, recruiting and training a sales force is expensive and time-consuming and could delay product launch. If we recruit and train a sales force and the commercial launch of the product is delayed or does not occur for any reason, we would have prematurely or unnecessarily incurred significant commercialization expenses. This may be costly, and our investment would be lost if we could not retain or reposition our sales and marketing personnel. Both the launch and ongoing commercial support of our products would require significant capital, which may not be available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when needed or on acceptable terms or at all. All of these factors could strain our cash resources and require us to raise additional capital. In addition, there is no guarantee that our efforts to generate product revenue would be successful.</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Factors that may hinder efforts to commercialize our products on our own include: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our inability to recruit, train and retain adequate numbers of effective sales and marketing personnel;</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inability of sales personnel to obtain access to physicians or educate an adequate number of physicians as to the benefits of our products;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lack of complementary products our sales personnel could offer, which may put us at a competitive disadvantage compared to companies with more extensive product lines;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unforeseen costs and expenses associated with creating an independent sales and marketing organization.</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risks described above may also apply if our commercial collaborations do not involve an exclusive license of substantially all commercialization rights to a third party and we instead enter into co-promotion arrangements with a third party.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Failure to timely enter into or maintain a commercialization arrangement with a third party or establish our own commercialization capabilities could significantly delay commercial launch of our products or require us to reduce the scope of any sales and marketing activities, which could have a material adverse effect on our business, financial condition and results of operations.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Our product candidates, if approved, and XACIATO will face intense competition and our business and operating results will suffer if we, or our commercial collaborators, fail to compete effectively.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biopharmaceutical industry is intensely competitive and characterized by rapid technological developments. Our competitors and potential competitors include large, well-established pharmaceutical and biotechnology companies, many of which have robust product portfolios and strong franchises in women’s health. Many of our competitors or potential competitors, either alone or with strategic collaborators, have: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much greater financial, research, technical and human resources than we have at every stage of the product development and commercialization life cycle;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more extensive experience in designing and conducting clinical trials, nonclinical studies, obtaining regulatory approvals, and in manufacturing, marketing and selling prescription medical products;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approved products or product candidates in late stages of development for one or more of our target indications.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Competitive products may be equally safe and as effective as our products, but sold at a substantially lower price. Alternatively, competitive products may be safer or more effective, more convenient to use, have better insurance coverage or reimbursement levels or be more effectively marketed and sold than our products.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if approved, will compete with products that have already been accepted by the medical community and patients. If our product candidates fail to generate compelling clinical results or if patients and health care providers fail to adopt our products for their respective indications, their commercial potential could be adversely impacted or severely diminished. It is possible that the potential advantages of our product candidates do not materialize or that the approved prescribing information for our products does not describe expected features or benefits. We also expect to face competition from new products that enter the market over time. We are aware of products currently under development intended for the same indications as our product candidates. These competitive product candidates may prove safer, more tolerable, more effective, and less expensive, and may be introduced to market earlier, or produced, marketed and sold more effectively or on a more cost-effective basis, than our product candidates. The success of competitive products may render our product candidates noncompetitive or obsolete, even prior to completion of their development.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respect to XACIATO, there are many FDA-approved products for treating bacterial vaginosis, and many are generic. XACIATO will compete with those products. Current therapies for the treatment of bacterial vaginosis primarily consist of oral and vaginal formulations of antibiotics delivered as a single dose or through multiple doses over consecutive days. If health care providers do not view the prescribing information for XACIATO as compelling compared with other products available for the treatment of bacterial vaginosis, or if competitive products have better insurance coverage or reimbursement levels than XACIATO, health care providers may opt to continue to prescribe existing treatments rather than recommend or prescribe XACIATO to their patients. In addition, women may prefer orally delivered options to vaginally administered XACIATO unless they view XACIATO as providing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superior efficacy, safety and/or convenience. Failure of our commercial collaborator to generate significant net sales of XACIATO would negatively effect the payments we receive under our license agreement.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women's health market includes many generic products and growth in generics is expected to continue, which could make the successful introduction of our branded products difficult and expensive.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proportion of the U.S. market made up of generic products has been increasing. If this trend continues, it may be more difficult for us or a commercial collaborator to introduce a new branded medical product, if approved, at a price that will allow us to achieve acceptable levels of revenue and net income from product sales. Generic competition is particularly strong in contraception and hormone therapy, which are areas in which our product candidates, if approved, will compete. In order for our branded products to develop commercial markets and for third-party payors to cover these higher cost products, our products must demonstrate better patient compliance and clinical benefit in their clinical trials compared to other available products.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 marketing and educational efforts may be required to introduce a new branded prescription medical product in order to overcome the trend towards generics and gain access to reimbursement by payors. If we or a commercial collaborator cannot introduce a product at the desired price or gain reimbursement from payors for the product, or if patients opt for a lower cost generic product rather than pay out-of-pocket or a higher co-pay for our product, our revenues or royalties and other license fees, as applicable, will be limited.</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XACIATO and any of our future approved products may fail to achieve the degree of market acceptance by physicians, patients, third-party payors or others in the medical community necessary for commercial success, which would negatively impact our business.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XACIATO and any future products may fail to gain sufficient market acceptance by physicians, patients, third-party payors and others in the medical community. If XACIATO and any future products do not achieve an adequate level of market acceptance, they may not generate significant net product revenue or net sales or result in significant payments to us from our commercial collaborators, we may suffer reputational harm and we may never become profitable. The degree of market acceptance of XACIATO and any future products will depend on several factors, including: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timing of our receipt of any marketing approvals and the jurisdictions in which marketing approvals are obtained;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terms of any approvals, such as any restrictions on the use of our product together with other medications;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indications for which the product is approved;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demonstrated evidence of efficacy and safety;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approval and availability of alternative treatments and products for the same indications as our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prevalence and severity of any adverse side effects associated with our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convenience and ease of administration for patients compared to alternative treatments and products, or other potential advantages and disadvantages compared to the alternatives;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adverse publicity about our product or favorable publicity about competing products;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our ability to offer our product for sale at competitive prices;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willingness of the target patient population to try a new product and of physicians to prescribe a new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success of any physician education programs for our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availability and extent of third-party coverage and reimbursement for our product and amount of out-of-pocket cost to patients;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willingness of uninsured patients to pay for the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the willingness of pharmacy chains to stock the product; and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effectiveness of our or our collaborators’ sales and marketing strategy and efforts.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If XACIATO or any future product does not achieve an adequate level of market acceptance, it could have a material and adverse effect on our business, financial condition, results of operation and prospects.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commercial success of Ovaprene, if approved, will depend on market acceptance of a hormone-free, monthly intravaginal product, availability and effectiveness of alternative contraceptive products and women's preferences, as well as the success of Bayer’s marketing and sales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To have significant revenue potential as a new contraceptive product option, Ovaprene may need to have a typical use efficacy outcome (which is the expected rate of pregnancy protection once the product is used widely under everyday circumstances) comparable to current non-implanted hormonal contraceptive methods (pills, patches and vaginal rings), which is approximately 86%-91% typical use efficacy. Clinical testing will also need to demonstrate that the product can be safely worn for multiple weeks.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receive regulatory approval to market Ovaprene, its commercial success, or the success of any other future contraceptive product candidate we may seek to develop, including our current pre-clinical stage candidates, will depend upon the contraceptive market and market acceptance of an alternative method. Risks related to market acceptance include: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minimum acceptable contraceptive efficacy rates;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perceived safety differences of hormonal and/or non-hormonal contraceptive options;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competition from new lower dose hormonal contraceptives with more favorable side effect profiles;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new generic contraceptive options including a generic version of the hormone-containing intravaginal product NuvaRing®;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effects of changes in health care laws and regulations on third-party payor coverage (including the birth control coverage mandate) and reimbursement and out-of-pocket costs to patients;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the availability and extent of third-party coverage and reimbursement for our product, the amount of out-of-pocket cost to patients and the effects of any changes in health care laws and regulations, including the birth control mandate, on product pricing and coverage and out-of-pocket costs to patients.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one or more of these risks occur, it could reduce the market potential for Ovaprene, or any future contraceptive product we may seek to develop, and place pressure on our business, financial condition, results of operations and prospects.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Under our license agreement with Bayer, provided the license grant becomes effective, Bayer will have exclusive rights to market and sell Ovaprene in the U.S. Accordingly, the potential value of Ovaprene to our company is highly dependent on the efforts and activities of Bayer. Should Ovaprene fail to generate compelling clinical safety and efficacy data, the license grant under our agreement with Bayer may never become effective. Even if Bayer elects to make the license agreement effective, Bayer has significant discretion in determining the resources that it will allocate to commercialization of Ovaprene and Ovaprene’s commercial success may be limited, in which case our business, financial condition, results of operations and prospects could suffer significantly.</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commercial success of Sildenafil Cream, if approved, will depend on the availability of alternative products for female sexual dysfunction disorders, the age group for which our product is indicated and women's preferences, in addition to the market's acceptance of our topical cream.</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Today, there are no FDA-approved products to treat FSAD. While our goal is for Sildenafil Cream to be the first product to receive such approval, one or more competitive products may be approved before our product. Even if we achieve our goal of being first-to-market for FSAD, the costs associated with introducing a new product into the sexual dysfunctions market would likely be significant, and regardless of the amount spent, there is no guarantee that our new product will be broadly adopted. Women may be hesitant to use Sildenafil Cream for many reasons, including the lack of experience with any product designed to treat FSAD, the lack or perceived lack of clinical evidence supporting its benefits, and the out-of-pocket cost of Sildenafil Cream, particularly if it is not covered by insurance.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FSAD is a condition that impacts women of many ages, including older and elderly populations. We have not yet thoroughly studied the topical or clinical pharmacology of Sildenafil Cream in different patient populations, and sildenafil, the active ingredient in our drug candidate, has not been tested over long periods of time in older or elderly women. Older or elderly women may react differently and adversely to Sildenafil Cream than younger populations. Based on our end-of-Phase 2 meeting with the FDA, we expect our pivotal Phase 3 clinical trials of Sildenafil Cream will be conducted in a premenopausal population. Therefore, we expect initial FDA approval of Sildenafil Cream, if received, would be limited to premenopausal women. Should Sildenafil Cream not be studied in older or elderly women, or, if studied in those populations, should it show increased risk of adverse reactions, or signs thereof, in older or elderly women during clinical development, the potential market for Sildenafil Cream could be significantly limited, which could have a material adverse impact on the value of this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receive marketing approval in the future, our commercial success with Sildenafil Cream will depend, in large part, on the ability of the product candidate to demonstrate safety and effectiveness in treating FSAD in clinical trials, as well as our ability, or that of a commercial collaborator, to educate doctors and women about the need to diagnose and treat FSAD and the potential benefits of using of Sildenafil Cream, which may not prove successful. Sexual arousal can be influenced by many emotional and physiological factors. To be successful, our clinical trials of Sildenafil Cream must anticipate such factors. Sildenafil Cream is designed to increase local blood flow to the genital tissue. Even if Sildenafil Cream demonstrates success in increasing blood flow, the product candidate may not demonstrate a significant, or any, increase in arousal or improvement in the overall sexual experience in some women in our clinical trials. If we fail to generate compelling clinical results, we may not receive regulatory approval to market Sildenafil Cream, or, if approved, many physicians may not prescribe and/or many women diagnosed with sexual arousal disorder may opt not to try Sildenafil Cream. If we fail to produce strong clinical outcomes, our ability to build a commercial market for Sildenafil Cream will be materially adversely impacted.</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commercial success of DARE-HRT1, if approved, will depend on the availability of alternative products for managing the vasomotor and vaginal symptoms of menopause and women's preferences, in addition to the market's acceptance of our IVR.</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Treatments to address the symptoms associated with menopause, including the vasomotor symptoms, also known as hot flashes, include combinations of prescription hormones, some of which are FDA-approved and others which are prepared in compounding pharmacies. Numerous products already exist, and this number is likely to expand with time. In addition, there has been an emerging preference among some women and providers for bio-identical hormones that are chemically identical to those the body produces. DARE-HRT1 is designed to offer a convenient vaginal ring that continuously delivers a combination of bio-identical estradiol and progesterone over 28 days. Until relatively recently, no FDA-approved bio-identical hormone treatments existed. In 2018, Bijuva® estradiol and progesterone capsules, which are to be taken daily, received the first such approval. Studies have failed to demonstrate that bio-identical hormones are safer than other hormones, so DARE-HRT1 will need to compete with many types of hormone therapy options in terms of convenience, safety and efficacy in managing symptoms of menopause.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Risks related to market acceptance of DARE-HRT1, if approved for hormone therapy, include: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preference for a vaginal ring delivery of hormone therapy over pills, patches and creams by menopausal women;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data regarding symptom relief of DARE-HRT1 over other hormonal treatments for vasomotor symptoms associated with menopause;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preference for bio-identical hormones by women and health care providers;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positive or negative news and research regarding bio-identicals;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preference for an FDA-approved product by women and health care providers over treatments prepared in compounding pharmacies;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success or failure of Bijuva®, the first FDA-approved bio-identical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new information supportive or against the use of hormones in menopause;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availability and extent of third-party payor coverage and reimbursement for DARE-HRT1 and out-of-pocket cost for patients.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Depending upon the direction of the factors above, a commercial market for DARE-HRT1 may develop more slowly than expected, or not at all, and our business, financial condition, results of operation and prospects could be hurt as a result.</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FDA and other regulatory agencies actively enforce the laws and regulations prohibiting the promotion of off-label uses for prescription medical products. If we or any commercial collaborator is found or alleged to have improperly promoted any of our products for off-label uses, we may become subject to significant liability, including fines, penalties or injunctions, and reputational harm.</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and other regulatory agencies strictly regulate the promotional claims that may be made about prescription medical products. In particular, a product may not be promoted for uses that are not approved by the FDA (i.e., off-label uses), as reflected in the product’s approved or cleared labeling. Promotional labeling and advertising for any of our drug product candidates that receive marketing approval, must be submitted to FDA at the time of first use and the agency actively solicits reports from health care professionals about improper promotional claims or activities by the drug manufacturer or distributor. Medical device promotion and advertising are subject to similar off-label restrictions, although without the same requirement to submit promotional materials to FDA at the time of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use. Both prescription drug and medical device promotional materials must present a fair balance between the product’s effectiveness and the risks associated with its use, and must be truthful and not misleading.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or a commercial collaborator is alleged or found to have promoted a product for any off-label use, we may become subject to significant liability and reputational harm. The federal government has levied large civil and criminal fines against companies for alleged improper medical product promotion and has enjoined several companies from engaging in off-label promotion. The FDA has also requested that companies enter into consent decrees or permanent injunctions under which specified promotional conduct is changed or curtailed. Other enforcement authorities may also take action against a company for promoting an off-label use of a prescription medical product, which could result in penalties under other statutory authorities, such as laws prohibiting false claims for reimbursement. See also “Risks Related to Our Business Operations and Industry- The pharmaceutical and medical device industries are highly regulated and subject to various fraud and abuse laws, including, without limitation, the U.S. federal Anti-Kickback Statute, the U.S. federal False Claims Act and the U.S. Foreign Corrupt Practices Act” below.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If we or our commercial collaborators, as applicable, cannot successfully manage the product promotion to ensure compliance with these legal and regulatory requirements, we could become subject to significant liability, our reputation could be damaged, and adoption of our products could be considerably impaired.</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Unexpected safety, efficacy or quality concerns relating to XACIATO could develop, which could have significant negative consequences for us.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XACIATO was approved by the FDA based on prior findings of safety or effectiveness of previously approved clindamycin products and on clinical data from the Phase 3 DARE-BVFREE clinical trial, in which 307 patients were randomized and treated once. In light of its commercial launch, XACIATO will be used by larger numbers of patients, and some patients may use multiple regimens over the course of a year. New data may emerge from market surveillance or future clinical trials of XACIATO that give rise to safety, efficacy or quality concerns and result in negative consequences, including: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modification to the product’s prescribing information, such as the addition of boxed or other warnings, contraindications, or limitations of use;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restrictions on the promotion or marketing of the product;</w:t>
      </w:r>
      <w:r>
        <w:rPr>
          <w:color w:val="000000"/>
        </w:rPr>
        <w:t xml:space="preser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issuance of “Dear Doctor Letters” or similar communications to health care professionals or the public regarding safety or efficacy concerns;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imposition of post-marketing clinical trial requirements or other post-marketing studies;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product distribution restrictions or other risk management measures, such as a risk evaluation and mitigation strategy, or REMS, which could include elements to assure safe use;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warning or untitled letters;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suspension or withdrawal of marketing approvals;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suspension or termination of ongoing clinical trials, if any;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refusal by regulators to approve pending marketing applications or supplements to approved applications that we submit;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suspension of, or imposition of restrictions on, the operations of our commercial collaborator or any CMO producing commercial supplies of XACIATO, including costly new manufacturing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costly and time-consuming corrective actions;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voluntary or mandatory product recalls or withdrawals from the market;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reputational harm; and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product liability claims and lawsuits.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Furthermore, the discovery of significant problems with another intravaginally administered or clindamycin-containing product perceived as comparable to XACIATO, could have an adverse impact on commercialization of XACIATO, including as a result of occurrence of the events described above. For example, XACIATO has not been studied in pregnant or breastfeeding women. Should increased risk of miscarriage or other adverse effects on maternal or fetal outcomes or breastfed infants be observed in future data from market surveillance or clinical trials of XACIATO or other clindamycin products, XACIATO’s commercial potential may be limited and we could become subject to product liability claims and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occurrence of any of the circumstances described above could reduce XACIATO’s market acceptance, inhibit or delay its commercialization within or outside of the U.S. and adversely affect sales of XACIATO, which could, in turn, have a significant negative impact on the payments we receive under our license agreement with our commercial collaborator for XACIATO, as well as our stock price.</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If we suffer negative publicity concerning the safety or efficacy of XACIATO or the product candidates we develop, our reputation could be harmed, product sales could be adversely affected or we may be forced to cease or curtail product development efforts.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If concerns should arise about the actual or anticipated clinical outcomes regarding the safety of XACIATO or any of our product candidates, including as a result of safety concerns related to third-party products containing the same or similar active or excipient substances, such concerns could adversely affect the market’s perception of XACIATO and our product candidates. Negative publicity could be time consuming and expensive to address and could adversely affect potential opportunities with strategic partners or collaborators, lead to a decline in product sales, and negatively impact investor sentiment toward a product or product candidate or our company as a whole, which could lead to a decline in the price of our common stock.</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are and will remain subject to ongoing regulatory requirements even after obtaining regulatory approval for a product candidate.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any of the product candidates we develop are approved by the FDA or a comparable regulatory authority outside of the U.S., as long as we are the holder of the product approval or manufacturer of record with the FDA or other regulatory authority, we will be subject to ongoing regulatory requirements with respect to manufacturing, labeling, packaging, storage, advertising, promotion, sampling, record-keeping, conduct of post-marketing clinical trials and submission of safety, efficacy and other post-approval information, including both federal and state requirements in the U.S. and requirements of comparable foreign regulatory authorities.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manufacturers and manufacturers’ facilities are required to continuously comply with FDA and comparable foreign regulatory authority requirements, including ensuring quality control and manufacturing procedures conform to cGMP regulations and corresponding foreign regulatory manufacturing requirements. Accordingly, we and our contract manufacturers will be subject to continual review and inspections to assess compliance with cGMP and adherence to commitments made in our NDA or PMA submissions to the FDA.</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marketing approvals we receive for our product candidates in the future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In addition, we will be required to report adverse reactions and production problems, if any, to the FDA and comparable foreign regulatory authorities (when products are approved in foreign markets). Any new legislation addressing drug safety issues could result in delays in product development or commercialization, or increased costs to assure compliance.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a regulatory agency discovers previously unknown problems with a product, such as problems with the facility where the product is manufactured, or it disagrees with the promotion, marketing or labeling of a product, the regulatory agency may impose restrictions on that product or on us or our commercial collaborator, including requiring withdrawal of the product from the market. If we or our commercial collaborators are unable to comply with applicable regulatory requirements, a regulatory agency or enforcement authority may, among other things: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issue warning letters;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impose civil or criminal penalties;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suspend or withdraw regulatory approval;</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suspend any of our ongoing clinical trials;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refuse to approve pending applications or supplements to approved applications submitted by 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impose restrictions on our operations, including closing our contract manufacturers’ facilities; or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require a product recall.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Any government investigation of alleged violations of law would require us and/or our commercial collaborators to expend significant time and resources in response and could generate adverse publicity. Any inability to comply with ongoing regulatory requirements may significantly and adversely affect our ability, or that of our collaborators, to develop and commercialize our products and the value of our business, and our operating results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Failure to successfully obtain coverage and reimbursement for XACIATO and any future products in the United States, or the availability of coverage only at limited levels, would diminish our ability, or that of a commercial collaborator, to generate net product revenue or net sales.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Coverage from government health care programs and private commercial health insurance companies is critical to the commercial success of XACIATO and any future products. Market acceptance and sales of XACIATO and any future products that we or a commercial collaborator may seek to commercialize will depend in part on the extent to which reimbursement for these products will be available from third-party payors. Third-party payors, such as government health care programs, private health insurers, managed health care providers, and other organizations, are increasingly challenging medical product prices and examining the medical necessity and cost-effectiveness of medical products, in addition to their safety and efficacy. If these third-party payors do not consider XACIATO or any future product to be cost-effective compared to other available therapies and medical products, they may not cover the product as a benefit under their plans or, even if they do, the level of payment may not be sufficient to allow us, or a commercial collaborator, to sell the product on a profitable basis. Coverage decisions can depend upon clinical and economic standards that disfavor new prescription medical products when more established or lower cost alternatives are already available or subsequently become available. Third-party payor coverage may not be available to patients for XACIATO or any future product. If third-party payors do not provide adequate coverage and reimbursement, health care providers may not prescribe our products or patients may ask their health care providers to prescribe competing products with more favorable reimbursement.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Significant uncertainty exists as to the reimbursement status for newly approved prescription medical products, including coverage and payment. There is no uniform policy requirement for coverage and reimbursement for prescription medical products among third-party payors in the U.S.; therefore, coverage and reimbursement for our products could differ significantly from payor to payor. In the U.S., the principal decisions about reimbursement for new medical products are typically made by the Centers for Medicare and Medicaid Services, or CMS, as CMS decides whether and to what extent a new medical product will be covered and reimbursed under Medicare. Third-party payors often rely upon Medicare coverage policy and payment limitations to a substantial degree in setting their own reimbursement policies, but they also have their own methods and approval process apart from Medicare coverage and reimbursement determinations. It is difficult to predict what CMS will decide with respect to reimbursement. Decisions regarding the extent of coverage and amount of reimbursement to be provided for XACIATO and any future products will be made on a payor-by-payor basis. Accordingly, one third-party payor’s determination to provide coverage for a product does not assure that other payors will also provide coverage and adequate reimbursement for the product. Moreover, reimbursement agencies in Europe may be more conservative than CMS, should XACIATO or any of our product candidates be approved for marketing in Europe.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CMS and private payors, professional organizations can influence decisions about reimbursement for new medical products by determining standards of care. In addition, many private payors contract with commercial vendors who sell software that provides guidelines that attempt to limit utilization of, and therefore reimbursement for, certain products deemed to provide limited benefit as compared to existing alternatives. Such organizations may set guidelines that limit reimbursement or utilization of any of our commercialized products.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secure coverage and reimbursement for XACIATO and any future product, we or a commercial collaborator may need to conduct expensive pharmacoeconomic studies in order to demonstrate the medical necessity and cost-effectiveness of the product to third-party payors, which costs would be in addition to those required to obtain FDA or other comparable regulatory approvals. A payor’s decision to provide coverage for a product does not imply that an adequate reimbursement rate will be approved. Managed care organizations and other private insurers frequently adopt their own payment or reimbursement reductions. Consolidation among managed care organizations has increased the negotiating power of these entities. Third-party payors increasingly employ formularies to control costs by negotiating discounted prices in exchange for formulary inclusion. Failure to obtain timely or adequate pricing or formulary placement for XACIATO or any future product, or obtaining such pricing or placement at unfavorable pricing levels, could materially adversely affect our business, financial conditions, results of operations and prospects. Moreover, eligibility for reimbursement does not imply that any product will be paid for in all cases or at a rate that covers our costs, or those of a commercial collaborator. Interim payments for new products, if applicable, also may not be sufficient to cover our costs, or those of a commercial collaborator,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Accordingly, the coverage determination process is often a time-consuming and costly process that will require us or our commercial collaborator to provide scientific and clinical support for the use of our products to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cost prohibitive for health care providers or their patients, or less profitable than alternative treatments or products, or if administrative burdens make our products less desirable to use. Our inability, or that of our commercial collaborator, to obtain coverage and profitable payment rates from both government-funded and private payors for XACIATO or any future product could have a material adverse effect on our operating results, our ability to raise capital needed to execute our business strategy and our overall financial condition.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Failure by us or a commercial collaborator to obtain timely and adequate coverage and pricing for XACIATO and any future products, or obtaining such coverage and pricing at unfavorable levels, could materially adversely affect our business, financial condition, results of operations and prospects.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Legislation and legislative and regulatory proposals intended to contain health care costs may adversely affect our business.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and prescription drugs. Individual states in the U.S.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Biden Administration has also indicated that lowering prescription drug prices is a priority, and on August 16, 2022, President Biden signed into the law the Inflation Reduction Act of 2022, or the IRA. Among other things, the IRA has multiple provisions that may impact the prices of drug products that are both sold into the Medicare program and throughout the U.S. Starting in 2023,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the Centers for Medicare and Medicaid Services, or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 Further, in December 2023, the Biden Administration announced an initiative to control the price of prescription drugs through the use of march-in rights under the Bayh-Dole Act of 1980 (the "Bayh-Dole Act"), and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It is uncertain whether and how future legislation or regulatory changes could affect prospects for XACIATO 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or the ability of a commercial collaborator, to commercialize any future products as well as our ability to generate revenue and attain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Even seemingly small copayments or other cost-sharing requirements could dramatically reduce the market potential for XACIATO and our product candidates.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If the out-of-pocket costs for XACIATO or any of our product candidates, if approved, are deemed by women to be unaffordable, or if less expensive alternatives exist, a commercial market may never develop or the market potential for that product may be significantly reduced, which could have a material adverse effect on our business, financial condition, and prospects.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regard to contraceptive products, the ACA and subsequent regulations enacted by DHHS, require health plans to provide coverage for women’s preventive care, including all forms of FDA-cleared or approved contraception, without imposing any cost sharing on the plan beneficiary. These regulations ensure that women in the U.S. who wish to use an approved form of contraception may request it from their doctors and their health insurance plan must cover all costs associated with such contraceptive products. In January and July of 2022, the DHHS, Department of Labor, and Treasury Department jointly issued guidance on implementation of this ACA mandate, among other things. The federal guidance makes clear that all FDA-approved or cleared contraceptive products that are determined by an individual’s medical provider to be medically appropriate for such individual must be covered without cost sharing, regardless of whether the product is specifically identified in a Birth Control Guide published by the FDA. Any future repeal or elimination of the ACA’s preventive care coverage rules would mean that women seeking to use prescribed forms of contraceptives may have to pay some portion of the cost for such products out-of-pocket, which could deter some women from using prescription contraceptive products or branded prescription contraceptive products, including Ovaprene and our other investigational contraceptive products, if and when approved by the FDA.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As no FDA-approved treatments for FSAD currently exist, there is little precedent to help assess whether health insurance plans will cover Sildenafil Cream, if approved.</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Sildenafil Cream is being developed for female sexual arousal disorder, a life altering, but not a life threatening, condition. Hence, there is no assurance that third-party reimbursement will be available for Sildenafil Cream, if approved. Even if reimbursement becomes available, the amount of such reimbursement may not make our product affordable to women and profitable to us. Insurers may deem Sildenafil Cream to be a lifestyle drug and decide not to provide reimbursement. Today, many health insurance plans provide reimbursement for male sexual arousal medications. However, we cannot predict whether they will continue to do so or whether they will do so for FSAD treatments as well. The safety and efficacy data from our clinical trials may impact whether Sildenafil Cream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fails to obtain insurance coverage, or if the patient’s share of the cost is deemed to be expensive, a market may never develop for Sildenafil Cream, which would have a material adverse effect on our financial condition and prospects.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commercial success of products we develop, if approved, will be impacted by the prescribing information approved by the FDA and comparable regulatory authorities outside the U.S.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commercial success of any products we develop will significantly depend upon our ability, or that of our commercial collaborator, to obtain approval from the FDA and other regulatory authorities of prescribing information for the product that adequately describes expected features or benefits. Failure to achieve such approval will prevent or substantially limit our or our collaborators’ ability to advertise and promote such features and benefits in order to differentiate our products from competing products. This failure could have a material adverse effect on our business, financial condition, results of operations and prospects.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Drug products and drug/device combination products are complex to manufacture, and manufacturing disruptions may occur that could cause significant delays and disruption in the commercial supply of any product we develop, if approved.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manufacture of our product candidates is complex, subject to compliance with extensive regulatory requirements and we are dependent on, and expect to continue to rely on, contract manufacturers and other third parties to supply our products and their components. Manufacturing disruptions may occur, including as a result of scaling up production to meet commercial requirements or due to global supply chain disruptions. Such problems may prevent the production of lots that meet the specifications required for sale of a product and may be difficult and expensive to resolve. To the extent we or our commercial collaborators rely on single source contract manufacturers and suppliers, if disruptions occur in the operations of any one of those third parties, there may be immediate shortages of our products. If any such issues were to arise, we could lose sales and associated revenue, incur additional costs, delay commercial launch of new products or suffer harm to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See above: “Risks Related to Product Research &amp; Development and Regulatory Approval- Delays in the manufacture of our clinical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“Risks Related to Our Dependence on Third Parties- We do not have, and we do not have plans to establish, our own manufacturing capabilities and instead rely on third-party suppliers and manufacturers for clinical study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“Risks Related to Our Dependence on Third Parties- In some cases, we may be contractually required to obtain clinical or commercial product supplies from specific third parties or there may be a limited number of third-party suppliers of raw materials and other components of our product candidates or future products, which may heighten our dependence on those third parties and the risk of manufacturing disruptions.”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If competitors obtain approval for generic versions of XACIATO or any future products, our business may suffer.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XACIATO and any future product may face direct competition from generic products earlier or more aggressively than anticipated, depending upon the product's success in the market. In addition to creating the 505(b)(2) NDA pathway, the Hatch-Waxman Act amendments to the FDCA authorized the FDA to approve generic drugs that are the same as drugs previously approved for marketing under the NDA provisions of the statute pursuant to abbreviated new drug applications, or ANDAs. An ANDA relies on the nonclinical and clinical testing conducted for a previously approved reference listed drug, or RLD, and must demonstrate to the FDA that the generic drug product is identical to the RLD with respect to the active ingredients, the route of administration, the dosage form, and the strength of the drug and also that it is “bioequivalent” to the RLD. The FDA is prohibited by statute from approving an ANDA when certain marketing or data exclusivity protections apply to the RLD. If a third party is able to demonstrate bioequivalence without infringing our patents or if a data exclusivity period granted to a product under the FDCA is successfully challenged, a third party may be able to introduce a competing generic product onto the market before the expiration of the applicable patents or exclusivity period under the FDCA. Reduction or loss of periods of market exclusivity for our products could negatively affect our business, operating results and financial condition.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will need to obtain FDA approval of any proposed prescription medical product name, and any failure or delay associated with such approval may adversely affect our business.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Any name we intend to use for our current or future product candidates will require approval from the FDA regardless of whether we have secured a formal trademark registration from the U.S. Patent and Trademark Office, or USPTO. The FDA typically conducts a review of proposed new prescription medical product names, including an evaluation of the potential for confusion with other product names. The FDA may also object to a proposed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such as Ovaprene, as well as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or a commercial collaborator may be unable to build a successful brand identity for a new trademark in a timely manner or at all, which would limit our or our collaborator’s ability to commercialize our product candidates.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Even if we receive marketing approval from the FDA, we may fail to receive similar approvals outside the U.S., which could substantially limit the value of our products.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market any future product outside the U.S., we, or our commercial collaborators, must obtain separate marketing approvals from comparable regulatory authorities for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U.S., as well as other risks. Further, for approval in foreign jurisdictions, we may not have rights to reference the necessary clinical and nonclinical data that we do not own or have licensed rights to use, as we anticipate doing under the 505(b)(2) regulatory pathway in the U.S., and we, or our commercial collaborator, may have to conduct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nonclinical studies or clinical trials or develop other additional data to seek approvals in other jurisdictions. In addition, in many countries outside the U.S., a new product must receive pricing and reimbursement approval prior to commercialization. This can result in substantial delays in these countries. Additionally, the product labeling requirements outside the U.S. may be different and inconsistent with the U.S. labeling requirements, negatively affecting our ability to market our products in countries outside the U.S.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be subject to fines, suspension or withdrawal of marketing approvals, product recalls, seizure of products, operating restrictions and criminal prosecution if we, or our commercial collaborator, fail to comply with applicable foreign regulatory requirements. In such an event, our ability, or our commercial collaborator’s ability, to market to the full target market for our products will be reduced and the full market potential of our products may not be realized, which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u w:val="single"/>
        </w:rPr>
      </w:pPr>
      <w:r>
        <w:rPr>
          <w:rFonts w:ascii="Arial;sans-serif" w:hAnsi="Arial;sans-serif"/>
          <w:b/>
          <w:color w:val="000000"/>
          <w:sz w:val="20"/>
          <w:u w:val="single"/>
        </w:rPr>
        <w:t>Risks Related to Employee Matters and Managing Our Growth</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have a relatively small number of employees to manage and operate our business.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As of March 27, 2024, we had 26 employees, of which 24 were full-time and five were part-time. Our focus on limiting cash utilization requires us to manage and operate our business in a highly efficient manner, relying on consultants and other third-party service providers for product development and operational expertise we require, and to limit full-time personnel resources. With a small number of employees, our ability to supervise the service providers we engage, including our CMOs and CROs,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pStyle w:val="TextBody"/>
        <w:bidi w:val="0"/>
        <w:spacing w:lineRule="auto" w:line="288" w:before="0" w:after="120"/>
        <w:ind w:left="0" w:right="0" w:firstLine="720"/>
        <w:jc w:val="both"/>
        <w:rPr/>
      </w:pPr>
      <w:r>
        <w:rPr>
          <w:rFonts w:ascii="Arial;sans-serif" w:hAnsi="Arial;sans-serif"/>
          <w:b w:val="false"/>
          <w:color w:val="000000"/>
          <w:sz w:val="20"/>
          <w:shd w:fill="FFFFFF" w:val="clear"/>
        </w:rPr>
        <w:t xml:space="preserve">We generally allow for a hybrid work model. We instituted remote work policies in March 2020 in response to the COVID-19 pandemic and resulting government stay-at-home orders, which have evolved into our current policies generally permitting a hybrid work schedule. In addition, many consultants, collaborators and other third-party service providers on which we rely currently have a remote or hybrid workforce model. </w:t>
      </w:r>
      <w:r>
        <w:rPr>
          <w:rFonts w:ascii="Arial;sans-serif" w:hAnsi="Arial;sans-serif"/>
          <w:b w:val="false"/>
          <w:color w:val="000000"/>
          <w:sz w:val="20"/>
        </w:rPr>
        <w:t>The long-term impact of less frequent in-person meetings on our productivity and creativity is difficult to assess. Remote working arrangements for our personnel and that of third parties on which we rely may weaken our ability to effectively manage and operate our business and lead to delays in our anticipated development program timelines.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addition, due to our small workforce, if multiple employees were to become unable to work for a protracted period for any reason, or if they were to resign at roughly the same time, our business could suffer. Our ability to effectively manage and operate our business could become significantly impaired and our expenses could increase materially, including as a result of expenditures related to recruiting, hiring and training qualified new employees and engaging additional consultants and service providers to perform the job responsibilities of the employees on leave or who resign. If we or our collaborators or service providers experience staffing shortages, it may result in significant delays in our anticipated development program timelines.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If we fail to attract and retain management and other key personnel, we may not successfully complete development of, obtain regulatory approval for or commercialize our product candidates, or otherwise implement our business plan.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compete in the highly competitive biopharmaceutical industry depends upon our ability to attract and retain highly qualified managerial and key personnel. We depend highly on our senior management. Losing the services of our senior management, and our chief executive officer in particular, could impede, delay or prevent the development and commercialization of our product candidates, harm our ability to raise additional funds and negatively impact our ability to implement our business plan. If we lose the services of any of our senior management team, we might not find suitable replacements on a timely basis or at all, and our business could be materially harmed. We do not maintain “key man” insurance policies on the lives of any of our senior management employees.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might not attract or retain qualified management and other key personnel in the future due to the intense competition for qualified personnel among biopharmaceutical companies and other life sciences R&amp;D organizations,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Many of the other companies with whom we compete for qualified personnel have greater financial and other resources, different risk profiles and longer histories in the industry than we do. They also may provide more diverse opportunities and better opportunities for career advancement. If we cannot attract and retain the necessary personnel to accomplish our business objectives, we may experience constraints that will harm our ability to implement our business strategy and achieve our business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New legal precedent, laws and regulations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 xml:space="preserve">We may not be successful in our efforts to identify and acquire or in-license additional product candidates or technologies, which may limit our growth potential.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business development strategy involves identifying and acquiring or in-licensing potential product candidates or technologies. We assembled our current portfolio of product candidates through the acquisition of companies and assets and in-licensing transactions beginning in 2017. We may engage in strategic transactions that could cause us to incur additional liabilities, commitments or significant expense.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These efforts may not be successful, including for reasons discussed in elsewhere in this Risk Factors section and also: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we may fail to appropriately evaluate the potential risks and uncertainties associated with a transaction;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there may be intense competition to acquire or in-license promising product candidates and technologies and many of our competitors have considerably more financial, development and commercialization resources than we have;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may not effectively integrate the acquired or in-licensed assets, businesses, personnel, intellectual property or business relationships;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may underestimate the development and regulatory approval challenges, costs and timelines and overestimate the market opportunity for the potential product candidates and technologies;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during development, the acquired or in-licensed product candidates may not prove to be safe or effective in their targeted indications.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may fail to realize the anticipated value of any strategic transaction and the costs of a transaction may outweigh the benefits we realize from it. In addition, we have used shares of our common stock as consideration in strategic transactions and we may do so in the future, which may result in significant dilution to our stockholders. Any strategic transaction we pursue may not produce the outcomes and benefits we originally anticipated and may adversely impact our operating results and financial condition and be detrimental to our company in general.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u w:val="single"/>
        </w:rPr>
      </w:pPr>
      <w:r>
        <w:rPr>
          <w:rFonts w:ascii="Arial;sans-serif" w:hAnsi="Arial;sans-serif"/>
          <w:b/>
          <w:color w:val="000000"/>
          <w:sz w:val="20"/>
          <w:u w:val="single"/>
        </w:rPr>
        <w:t>Risks Related to Our Intellectual Property</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Our failure to adequately protect or enforce our and our licensors’ intellectual property rights could materially harm our proprietary position in the marketplace or prevent or impede the commercialization of our current and potential future products.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success depends in part on our ability, and the ability of our licensors, to obtain and maintain protection in the U.S. and other countries for the intellectual property covering or incorporated into our technologies and products. Many of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cannot be certain if any of the patents that cover our product candidates will be eligible to be listed in the Orange Book following a drug product marketing approval.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applicant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 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Other companies or individuals may independently develop similar or alternative technologies or duplicate our technologies. This could enable our competitors to develop a competing product that avoids infringing our patents. In such an event, our competitors might be able to enter the market, which could significantly harm the commercial opportunity for our product candidates.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products and product candidates are covered by valid and enforceable patents or are effectively maintained as trade secrets.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an example, the complexity and uncertainty of European laws have increased in recent years. In Europe, a new unitary patent system was launched on June 1, 2023, which significantly impacted European patents, including those granted before the introduction of such a system. Under the unitary patent system, European applications now have the option, upon grant of a patent, of becoming a Unitary Patent which are subject to the jurisdiction of the Unitary Patent Court (UPC). As the UPC is a new court system, there is no precedent for the court, increasing the uncertainty of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patent strategy for protecting Ovaprene includes in-licensing several patent families from ADVA-Tec. Patent prosecution for the intellectual property incorporated into Ovaprene is entirely controlled by ADVA-Tec and we have little, if any, influence or control over such patent prosecution.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patent strategy for protecting Sildenafil Cream includes in-licensing a patent family from SST, whose last U.S. claim expires in June 2029, but which could be eligible for three-year market exclusivity under the Hatch-Waxman Act in the U.S. However, if granted 3-year exclusivity, generic applicants can still submit an abbreviated application during the 3-year period and the FDA is required to review the application, but will defer any approval until the end of the 3-year period. Three-year exclusivity differs from 5-year exclusivity under the Hatch-Waxman Act, which bars the submission of a generic application during the 5-year period, with the exception that a generic application can be filed after 4 years if it contains a Paragraph IV certification challenging an Orange Book-listed patent for the brand drug.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patents related to Sildenafil Cream, SST has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implementing the patent strategy.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respect to patent rights related to our IVR product candidates, including DARE-HRT1 and DARE-FRT1, The General Hospital Corporation (also known as Massachusetts General Hospital or MGH) has the sole right to prosecute and maintain its patent rights, and we have the right to prosecute and maintain Catalent's patent rights.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will be responsible for the costs incurred by MGH to maintain and prosecute such patents and we will be kept informed of all strategies. However, we will have little, if any, influence or control over MGH’s implementation of the patent strategy.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patents related to DARE-VVA1, we have the right and obligation, at our expense, to prosecute and maintain the in-licensed patent rights in certain major markets, if possible.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patents rights related to our DARE-GML program, the University of Minnesota (UMN) has the sole right to prosecute and maintain its patent rights, and we have the right to prosecute and maintain patents licensed from Hennepin Life Sciences. We will be responsible for the costs incurred by UMN to maintain and prosecute such patents and we will be kept informed of all strategies. However, we will have little, if any, influence or control over UMN's implementation of the patent strategy.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patent rights licensed from Douglas and underlying patent rights from University of Manchester, Douglas has the sole right to prosecute and maintain those patent rights. We will be responsible for the costs incurred by Douglas to maintain and prosecute such patents and we will be kept informed of all strategies. However, we will have little, if any, influence or control over Douglas's implementation of the patent strategy.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There is a substantial backlog of patent applications at the USPTO that may lead to delays in having patent applications examined by the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enforcement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U.S. and enforcing our intellectual property rights against such persons may be difficult or not possible.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U.S. or foreign jurisdictions, our business prospects could be substantially harmed.</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pStyle w:val="TextBody"/>
        <w:bidi w:val="0"/>
        <w:spacing w:lineRule="auto" w:line="288" w:before="200" w:after="120"/>
        <w:jc w:val="both"/>
        <w:rPr/>
      </w:pPr>
      <w:r>
        <w:rPr>
          <w:rFonts w:ascii="Arial;sans-serif" w:hAnsi="Arial;sans-serif"/>
          <w:b/>
          <w:i/>
          <w:color w:val="000000"/>
          <w:sz w:val="20"/>
        </w:rPr>
        <w:t>The patents and the patent applications covering Sildenafil Cream and XACIATO are limited to specific</w:t>
      </w:r>
      <w:r>
        <w:rPr>
          <w:color w:val="FF0000"/>
        </w:rPr>
        <w:t xml:space="preserve"> </w:t>
      </w:r>
      <w:r>
        <w:rPr>
          <w:rFonts w:ascii="Arial;sans-serif" w:hAnsi="Arial;sans-serif"/>
          <w:b/>
          <w:i/>
          <w:color w:val="000000"/>
          <w:sz w:val="20"/>
        </w:rPr>
        <w:t xml:space="preserve">formulations, processes and uses of sildenafil and clindamycin, and our market opportunity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by the lack of patent protection for the active ingredient itself and other formulations and delivery technology and systems that may be developed by competitors.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active ingredient in our product candidate for FSAD, Sildenafil Cream, is sildenafil and the active ingredient in our FDA-approved product for the treatment of bacterial vaginosis, XACIATO, is clindamycin. Patent protection for these ingredients has expired and generic products are available. As a result, a competitor that obtains the requisite regulatory approvals could offer products with the same active ingredient in a different formulation so long as the competitor does not infringe any process, use or formulation patents that we have developed, or that may not be barred by any three-year Waxman-Hatch Act exclusivity, or any GAIN Act extension thereof, we might enjoy upon approval of our products.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Competitors may seek to develop and market competing formulations that may not be covered by our patents and patent applications. The commercial opportunity for Sildenafil Cream and XACIATO could be significantly harmed if competitors are able to develop and commercialize alternative formulations using these ingredients.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active ingredients in our IVR product candidates include bio-identical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including DARE-HRT1 for hormone therapy, could be significantly harmed if competitors develop and commercialize alternative formulations or better delivery approaches.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patents and the patent applications covering the use and delivery of DARE-VVA1 and our market opportunity may be limited by the lack of patent protection for the active ingredient itself and other formulations, delivery technology and systems that may be developed by competitors.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active ingredient in DARE-VVA1, tamoxifen, is not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 treatment of vulvar and vaginal atrophy could be significantly harmed if competitors develop and commercialize alternative formulations or better delivery approaches.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may become involved in patent litigation or other intellectual property proceedings relating to our future product approvals, which could result in liability for damages or delay or stop our development and commercialization efforts.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respect to XACIATO, we have the initial right to enforce patents we license from TriLogic and MilanaPharm against third parties whose activities infringe such patents in a manner that could affect our exercise of the licenses granted to us, and TriLogic and MilanaPharm must reasonably cooperate in any such suit, including,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necessary, by being joined as a party to any such suit. In some cases, MilanaPharm may assume the defense of a claim initiated by a third-party alleging infringement of a third party’s intellectual property rights as a result of the manufacture or sale of a product we develop under our license agreement with TriLogic/MilanaPharm. While our license agreement would require MilanaPharm to indemnify us for certain losses arising from these third-party claims, this indemnification may not be sufficient to adequately compensate us for any related losses or the potential loss of our ability to manufacture and sell XACIATO. Additionally, our license agreement with Organon requires that we indemnify Organon from and against all liabilities, damages, expenses, fines, penalties and losses as a result of any third-party claim arising out of or relating to the development, manufacture, commercialization or other exploitation of XACIATO or any licensed product by or on behalf of us or any affiliate or licensee of ours, except for in limited circumstances. As a result of our indemnification obligations to Organon and limitations on TriLogic's and MilanaPharm's obligations to indemnify us, any patent infringement litigation relating to XACIATO could subject us to significant liabilities that may have a material adverse effect on our business, results of operations and financial condition.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 Additionally, our license agreement with Bayer requires that we indemnify Bayer from and against all liabilities, damages, losses and expenses arising from or occurring as a result of development, manufacture, use or commercialization of Ovaprene by us or any licensee of ours, including without limitation, product liability claims, except in limited circumstances. As a result of our indemnification obligations to Bayer and limitations on ADVA-Tec’s obligations to indemnify us, any patent infringement litigation relating to Ovaprene could subject us to significant liabilities that may have a material adverse effect on our business, results of operations and financial condition.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Sildenafil Cream,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SST will provide us with reasonable assistance (excluding financial assistance), at our expense. We also have the initial right to defend any claim initiated by any third-party alleging that a licensed product developed or commercialized under the SST license agreement has infringed any third-party intellectual property rights. While the SST license agreement requires SST to indemnify us for certain losses arising from these claims, this indemnification may not be sufficient to adequately compensate us for any related losses or the potential loss of our ability to manufacture and develop Sildenafil Cream.</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our IVR product candidates, including DARE-HRT1, DARE-FRT1, and DARE-PTB1 we have the first right to enforce the applicable licensed patents against third party infringers in the fields of pharmaceutical, therapeutic, preventative, diagnostic and palliative uses.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DARE-VVA1, we have the first right to enforce the applicable licensed patents against third-party infringers in all fields.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cannot guarantee that we or any of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Europe and elsewhere that is relevant to or necessary for the commercialization of our product candidates in any jurisdiction. For example, in the U.S., applications filed before November 29, 2000 and certain applications filed after that date that will not be filed outside the U.S. remain confidential until patents issue. Patent applications in the U.S., EU and elsewhere are published approximately 18 months after the earliest filing for which priority is claimed, with such earliest filing date being commonly referred to as the priority date. Therefore, patent applications covering our future product candidates, or their manufacture or use may currently be unpublished.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or our licensors’ interpretation of the relevance or the scope of a patent or a pending application may be incorrect, which may negatively impact our ability to market our product candidates. We or our licensors may incorrectly determine that our product candidates are not covered by a third-party patent or may incorrectly predict whether a third party’s pending application will issue with claims of relevant scope. Our or our licensors’ determination of the expiration date of any patent in the U.S., the EU or elsewhere that we consider relevant may be incorrect, which may negatively impact our ability to develop and market our product candidates. Our licensors’ failure to identify and correctly interpret relevant patents may negatively impact our ability to develop and market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or our licensors may identify patents or applications in the same general area as our products and product candidates. We or our licensors may determine these third-party patents are irrelevant to our business based on various factors including our or our licensors’ interpretation of the scope of the patent claims and our or our licensors’ interpretation of when the patent expires. If the patents are asserted against us, however, a court may disagree with our or our licensors’ determinations. Further, while we or our licensors may determine that the scope of claims that will issue from a patent application does not present a risk, it is difficult to accurately predict the scope of claims that will issue from a patent application, our determination may be incorrect, and the issuing patent may be asserted against us or our licensors. We cannot guarantee that we or our licensors will be able to successfully settle or otherwise resolve such infringement claims. If we or our licensors fail in any such dispute, in addition to being forced to pay monetary damages, we may be temporarily or permanently prohibited from commercializing our product candidates. We or our licensors might, if possible, also be forced to redesign our product candidates so that we or our licensors no longer infringe on the third-party intellectual property rights. Any of these events, even if we or our licensors were ultimately to prevail, could require us to divert substantial financial and management resources that we would otherwise be able to devote to our business.</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We also rely upon trade secrets to protect our technology, product and product candidates, and trade secrets can be difficult to maintain and enforce.</w:t>
      </w:r>
    </w:p>
    <w:p>
      <w:pPr>
        <w:pStyle w:val="TextBody"/>
        <w:bidi w:val="0"/>
        <w:spacing w:lineRule="auto" w:line="288" w:before="0" w:after="120"/>
        <w:ind w:left="0" w:right="0" w:firstLine="720"/>
        <w:jc w:val="both"/>
        <w:rPr/>
      </w:pPr>
      <w:r>
        <w:rPr>
          <w:rFonts w:ascii="Arial;sans-serif" w:hAnsi="Arial;sans-serif"/>
          <w:b w:val="false"/>
          <w:color w:val="000000"/>
          <w:sz w:val="20"/>
        </w:rPr>
        <w:t>In addition to patent and trademark protection, we also rely on trade secrets, including unpatented know-how, technology and other proprietary information, to derive a competitive advantage for products we develop, especially where we believe patent protection is not appropriate or obtainable. However, trade secrets are difficult to maintain. Monitoring unauthorized uses and disclosures of our intellectual property is difficult, and we do not know whether the steps we have taken to protect our intellectual property will be effective. Moreover,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party illegally disclosed or obtained and is using trade secrets is difficult, expensive and time consuming and the outcome is unpredictable. In addition, foreign courts are sometimes less willing than U.S. courts to protect trade secrets. If our competitors independently develop equivalent knowledge, methods and know-how, we would not be able to assert our trade secrets against them and our business could be harmed.</w:t>
      </w:r>
      <w:r>
        <w:rPr>
          <w:color w:val="000000"/>
        </w:rPr>
        <w:t xml:space="preserv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competitors may independently develop knowledge, methods and know-how equivalent to our trade secrets. Competitors may be able to legally obtain products of ours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could be harmed.</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Confidentiality agreements with employees and others may not adequately prevent disclosure of our know-how, trade secrets and other proprietary information and may not adequately protect our intellectual property, which could limit our ability to compete.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confidentiality and nondisclosure agreements with our employees, CROs, CMOs, consultants, collaborators, sponsored researchers, and scientific and other advisors. These agreements generally require that the other party keep confidential and not disclose to third parties all confidential information developed by the party on our behalf or made known to the party by us during the course of the party’s relationship with us. We also enter into intellectual property assignment agreements with our employees, consultants and certain other service providers, which generally provide that inventions conceived by the party in the course of rendering services to us will be our exclusive property. However, these agreements may not be honored or may not effectively assign intellectual property rights to us. We have not entered into any non-compete agreements with any of our employees. We cannot guarantee that the confidential nature of our proprietary information will be maintained by our employees and others in the course of their future employment with or provision of services to a competitor. Enforcing a claim that a party illegally disclosed or obtained and is using our know-how, trade secrets or other proprietary information is difficult, expensive and time consuming and the outcome is unpredictable. If we are unable to prevent unauthorized material disclosure of our intellectual property to third parties, we will not be able to establish or maintain a competitive advantage for the products we develop, which could materially adversely affect our business, operating results and financial condition.</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Provisions in our agreements with governmental agencies and non-profit organizations may affect our intellectual property rights and the value of our development programs to our company.</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of our product development activities have been funded, are being funded and may in the future be funded, by the U.S. government and/or not-for-profit organizations. Our agreements for these sources of funding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federal agencies, in specified circumstances, to require the recipient of federal funding (the contractor) or successors in title to the patent to grant a nonexclusive, partially exclusive or exclusive license to a third party if it determines that (i) adequate steps have not been taken to achieve practical application of the invention, (ii) government action is necessary to meet public health or safety needs, (iii) government action is necessary to meet requirements for public use under federal regulations or (iv) unless the requirement has been waived, the contractor has failed to substantially manufacture in the U.S. any product embodying the subject invention that is intended for U.S. commerce. If the contractor or its successor refuses to do so, the government may grant the license itself. The federal government also has the right to take title to these inventions if the contractor or its successor fails to disclose the invention to the government or fails to file an application to register the intellectual property within specified time limits. To date, no federal agency has ever exercised march-in rights; however, the Biden administration has announced that it views march-in rights as a legitimate means for the government to address rising pharmaceutical costs and future use of march-in rights by the government is uncertain. Any exercise by the government of march-in rights could harm our competitive position, business, financial condition, results of operations and prospects.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Under the grant agreements supporting development of DARE-LARC1 and DARE-LBT, we agreed to make DARE-LARC1, DARE-LBT and any other products, services, processes, technologies, materials, software, data, other innovations, and intellectual property resulting from the respective projects funded by the respective grants (referred to as Funded Developments), available and accessible at an affordable price to people most in need within developing countries, and to promptly and broadly disseminate the knowledge and information gained from the project funded by the grant (referred to as the Global Access Commitment). In connection with the Global Access Commitment, under the agreement, we also granted the foundation that awarded the grant a nonexclusive, perpetual, irrevocable, worldwide, royalty-free, fully paid up, sublicensable license to make, use, sell, offer to sell, import, distribute, copy, create derivative works, publicly perform, and display Funded Developments and essential background technology (referred to as the Humanitarian License). We are required to ensure that the Humanitarian License survives the assignment or transfer of Funded Developments and essential background technology. Our obligations under the Global Access Commitment and the Humanitarian License may limit the value to us of DARE-LARC1 and other Funded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Arial;sans-serif" w:hAnsi="Arial;sans-serif"/>
          <w:b/>
          <w:color w:val="000000"/>
          <w:sz w:val="20"/>
          <w:u w:val="single"/>
        </w:rPr>
      </w:pPr>
      <w:r>
        <w:rPr>
          <w:rFonts w:ascii="Arial;sans-serif" w:hAnsi="Arial;sans-serif"/>
          <w:b/>
          <w:color w:val="000000"/>
          <w:sz w:val="20"/>
          <w:u w:val="single"/>
        </w:rPr>
        <w:t>Risks Related to Our Business Operations and Industry</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Business interruptions resulting from public health crises, natural disasters or telecommunication and electrical failures may materially and adversely affect our business, operating results and financial condition.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may experience significant business disruptions as a result of a public health emergency, natural or man made disaster, act of terrorism, war, or telecommunications or electrical failure that impacts our facilities or employees, or those of the third parties on which we rely for key business activities. The effects of such events or conditions may materially and adversely affect our product development activities in the future, including as a result of:</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difficulties and delays in clinical study site initiation, including due to diversion of healthcare resources away from conducting clinical studies;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difficulties and delays in recruiting and enrolling clinical study participants and conducting follow-up visits;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interruption of key clinical study activities, such as study site and data monitoring, due to limitations on travel or in-person gatherings;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staff disruptions and turnover internally or at our CMOs, CROs, clinical study sites, collaborators or other third parties on which we rely, either directly or indirectly as a result of reallocation of resources, illness, vaccine mandates or other changes in terms of employment;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receiving approval from regulatory authorities or IRBs to initiate our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difficulties and delays in production of clinical trial materials and commercial product, including due to supply chain disruptions or resource constraints or reallocation on the part of our CMOs and raw materials suppliers;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interruptions in U.S. or global shipping that may affect the transport and delivery of raw materials, clinical study materials and commercial product;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changes in local regulations in response to a public health emergency or other emergency situation that may require changes in the ways our clinical studies are conducted, require us to discontinue a clinical study, or make it more difficult for commercial and medical affairs field teams to call on or otherwise access healthcare providers;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patient delays in seeking or receiving treatment, either due to fear of infection or inaccessibility of healthcare providers;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delays in interactions with the FDA or a foreign regulatory authority necessary to advance clinical development of our product candidates, or delays in their review process and timing of potential approval of our product candidates, including delays in pre-approval manufacturing or clinical study site inspections;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difficulties and delays in establishing or maintaining strategic commercial or development collaborations due to the reallocation of resources or shifting business strategies of collaborators or potential collaborators away from the women’s health market in general or our areas of focus within women’s health in particular; or</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 xml:space="preserve">disruption and volatility in the financial markets which negatively impacts our access to additional capital or stock price.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example, in March 2020, the COVID-19 pandemic began to impact the global economy. Because of its size and breadth and the continued emergence of new variants, all of the direct and indirect consequences of the COVID-19 pandemic are not yet known and may not emerge for some time. The COVID-19 pandemic disrupted our product development activities and the business activities of third parties on which we rely. The COVID-19 pandemic contributed to a slower than anticipated pace of enrollment of participants in our exploratory Phase 2b RESPOND clinical study of Sildenafil Cream as a result of operational restrictions or closure of certain study sites due to their adherence to governmental guidelines intended to reduce the spread of COVID-19. The COVID-19 pandemic also caused us to prioritize advancement of certain of our development programs over others, or certain development activities within a program over others, due to anticipated or actual difficulties and delays in recruiting clinical study sites and participants and obtaining clinical trial materials and supplies.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strategies we implement designed to mitigate the effects or potential effects on our business of a public health emergency such as the COVID-19 pandemic, a natural or manmade disaster, act of terrorism, war or telecommunications or electrical failure that impacts our facilities or employees or those of third parties on which we rely may not be effective. The occurrence of such an event or condition could cause significant delays in the timelines for our clinical studies, our regulatory submissions or potential marketing approvals of our product candidates, substantially increase our development costs, and delay or contribute to delays in the commercial launch of any approved product or market acceptance of the product. The longer such an event or condition persists, the greater the potential for significant adverse impacts to our business operations and those of the CROs, CMOs, commercial collaborators, and other third-party service providers and vendors on which we depend to, among other things, conduct our clinical and nonclinical studies, supply our clinical trial materials, assist with regulatory affairs necessary to advance and seek regulatory approval for our programs, and market, sell and distribute our products, if approved.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Public health emergencies, natural or man made disasters, acts of terrorism, war or telecommunications or electrical failures may also have the effect of heightening many of the other risks and uncertainties described in this “Risk Factors” section.</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Product liability lawsuits against us could cause us to incur substantial liabilities.</w:t>
      </w:r>
    </w:p>
    <w:p>
      <w:pPr>
        <w:pStyle w:val="TextBody"/>
        <w:bidi w:val="0"/>
        <w:spacing w:lineRule="auto" w:line="288" w:before="0" w:after="120"/>
        <w:ind w:left="0" w:right="0" w:firstLine="720"/>
        <w:jc w:val="both"/>
        <w:rPr/>
      </w:pPr>
      <w:r>
        <w:rPr>
          <w:rFonts w:ascii="Arial;sans-serif" w:hAnsi="Arial;sans-serif"/>
          <w:b w:val="false"/>
          <w:color w:val="000000"/>
          <w:sz w:val="20"/>
        </w:rPr>
        <w:t>We face an inherent risk of product liability exposure as a result of testing of our product candidates in human clinical trials and will face an even greater risk following commercial launch of a product we develop. If we cannot successfully defend ourselves against claims that our products or product candidates caused injuries, we will incur substantial liabilities or be required to limit commercialization of our products. Regardless of merit or eventual outcome, liability claims may result in:</w:t>
      </w:r>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decreased demand for any marketed product;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recalls, withdrawals or labeling, marketing or promotional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termination of product development or commercial collaborations;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of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withdrawal of clinical study participants and delays in commencement or completion of clinical studies;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injury to our reputation and significant negative media attention;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significant costs to defend the related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substantial monetary awards to patients or clinical study participants;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diversion of our management’s time and other resources from pursuing our business strategy;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a decline in our stock price.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carry product liability insurance that we believe to be adequate for our clinical testing and product development programs and in connection with XACIATO. However, insurance coverage is increasingly expensive, and it may be difficult to obtain adequate product liability insurance in the future. Our inability to obtain and retain sufficient product liability insurance at an acceptable cost to protect against potential product liability claims could prevent or inhibit the commercialization of any of our product candidates, if approved. We also have indemnification obligations to our commercial and other collaborators.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Our current or future employees, clinical investigators, commercial collaborators or service providers may engage in misconduct or other improper activities, including non-compliance with regulatory standards.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become exposed to the risk of employees, clinical investigators, commercial collaborators, CMOs, CROs, consultants or other vendors engaging in fraud or other misconduct. Misconduct by our employees or third parties on which we rely for the development and commercialization of our products and product candidates could include intentional failures, such as failures to: (1) comply with FDA or other regulators’ requirements, (2) provide accurate information to such regulators, (3) comply with clinical and nonclinical research standards and manufacturing standards established by us and/or required by the FDA or other laws and regulations, or (4) 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clinical investigators, commercial collaborators, CROs, consultants or other vendors could also involve the improper use of information obtained in the course of clinical trials, which could result in regulatory or civil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our reputation.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 xml:space="preserve">The pharmaceutical and medical device industries are highly regulated and subject to various fraud and abuse laws, including, without limitation, the U.S. federal Anti-Kickback Statute, the U.S. federal False Claims Act and the U.S. Foreign Corrupt Practices Act.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Health care providers and third-party payors play a primary role in the recommendation and prescription of drug products and medical devices that are granted marketing approval. Our arrangements with health care providers, commercial collaborators, principal investigators, consultants, third-party payors, customers and other organizations may expose us to broadly applicable fraud and abuse and other health care laws and regulations in the U.S. Health care fraud and abuse regulations are complex, and even minor irregularities can give rise to claims that a statute or prohibition has been violated. The laws that may affect our operations include: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federal Anti-Kickback Statute (and comparable state laws), which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federal and state civil and criminal false claims laws, including the civil False Claims Act which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U.S.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federal, civil and criminal statues created under HIPAA (and similar state laws), which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Physician Payments Sunshine Act, enacted as part of the ACA, which, among other things, imposes reporting requirements on manufacturers of FDA-approved drugs, devices, biologics and medical supplies covered by Medicare or Medicaid to report to CMS, on an annual basis, information related to payments and other transfers of value to physicians (defined broadly to include doctors, dentists, optometrists, podiatrists, and chiropractors), certain advanced non-physician health care practitioners, and teaching hospitals, as well as ownership and investment interests held by physicians and their immediate family members in such manufacturers;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HIPAA, as amended by HITECH, and their respective implementing regulations, which impose specified requirements relating to the privacy, security and electronic exchange of individually identifiable health information, or "protected health information" when subject to HIPAA. Among other things, HITECH makes some of HIPAA’s privacy and all of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"Covered entity" or entities that must comply with HIPAA, include certain health care providers, health plans, and health care clearinghouses. HITECH also increased the civil and criminal penalties that may be imposed against covered entities, business associates and third parties unlawfully in possession of protected health information, and gave state attorneys general new authority to file civil actions for damages or injunctions in federal courts to enforce HIPAA and seek attorney’s fees and costs associated with pursuing federal civil actions;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U.S. Foreign Corrupt Practices Act, which prohibits U.S. organizations and their representatives from offering, promising, authorizing or making corrupt payments, gifts or transfers of value to non-U.S. officials, which in many countries, could include interactions with certain health care professionals.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scope and enforcement of these laws is uncertain and subject to rapid change in the current environment of health care reform, especially in light of the lack of applicable precedent and regulations.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risk of violation of, and subsequent investigation and prosecution for violations of, the laws described above may be mitigated through the implementation and maintenance of compliance programs by us and our commercial collaborators and other third parties on which we rely for important aspects of development or commercialization of our products and product candidates, but these risks cannot be eliminated entirely. Ensuring that our current and future business operations and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applicable fraud and abuse or other health care laws and regulations. If we or our operations, or those of a commercial collaborator or other third party on which we rely for development or commercialization of our products and product candidates, are found to be in violation of any of the laws described above or any other governmental regulations that apply to us or that third party, we may be subject to significant civil, criminal and administrative penalties, including monetary damages, fines, individual imprisonment, disgorgement, loss of eligibility to obtain approvals from the FDA, exclusion from participation in government contracting, health 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regulatory authorities challenge our activities, or those of a commercial collaborator or other third party on which we rely, under these laws, any such challenge could have a material adverse effect on our reputation, business, results of operations and financial condition. Any investigation of us or the third parties with whom we contract, including a commercial collaborator, regardless of the outcome, would be costly and time consuming, and may negatively affect our results of operations and financial condition.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Cyber-attacks, security breaches, loss of data and other disruptions to our information technology systems or those of our collaborators or third-party service providers could compromise sensitive information related to our business, delay or prevent us from accessing critical information, subject us to significant financial loss, and expose us to liability, any of which could adversely affect our business and our reputation.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utilize information technology systems and networks in the ordinary course of our business to process, transmit and store sensitive data, including confidential information, intellectual property, and personally identifiable information of our employees, consultants and others. As the use of digital technologies has increased, cyber incidents, including deliberate attacks (such as the deployment of harmful malware and other malicious code, ransomware, denial of service, social engineering, and other attempts to gain unauthorized access to computer systems and networks), have increased in frequency and sophistication, and have become increasingly difficult to detect. These threats pose a risk to the security of our systems and networks and those of our collaborators and third-party service providers, which store sensitive data of ours, and could compromise the confidentiality, availability and integrity of information stored there which is vital to our operations and business strategy. A successful cyber-attack could cause serious negative consequences for us, including, without limitation, the disruption of our operations, the misappropriation or destruction of our confidential information and sensitive data, including clinical trial data, corporate strategic plans and financial information, and the misappropriation of other assets, including our cash. Organizations and governmental bodies with far greater resources than ours dedicated to cybersecurity have proven vulnerable to cyber-attacks. There can be no assurance we will succeed in preventing cybersecurity breaches or successfully mitigate their effects. In March 2023, we became aware that we had been subject to a criminal fraud commonly referred to as “business email compromise fraud.” The incident involved unauthorized access to an employee’s email account by a third-party impersonator and resulted in an electronic payment of approximately $0.4 million intended for a vendor being fraudulently misdirected to unknown parties. We retained a third party to assist in our investigation of the incident and implementation of remedial measures, including enhancements to our controls relating to electronic payments to third parties. Approximately $0.2 million of the fraud loss was covered by insurance. We do not believe this incident had or will have a material impact on our business, financial condition or results of operations. However, cyber-related criminal activities continue to evolve and increase in frequency and sophistication, including as a result of advancements in generative artificial intelligence technology, and our security measures and controls may not be successful in preventing further cyber-related crimes.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Despite implementing security measures, any of the information technology systems belonging to us or our collaborators and third-party service providers and the sensitive and confidential information contained within them are vulnerable to damage or interruption from computer viruses and other malware, unauthorized access, including as a result of employee error (e.g., phishing or spoofing scams) or malfeasance, service interruptions, system malfunctions, natural disasters, terrorism, war, and telecommunication and electrical failure. We rely on third-party service providers and technologies for our data processing-related activities,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In addition, we do not have our own information technology department or personnel and rely on third-party consultants and other service providers to establish and maintain our information technology infrastructure and systems, and they may fail to perform as expected. Moreover, the shift to remote working arrangements and the prevalent use of mobile devices that access sensitive or confidential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information increases the risk of data security breaches. Technology security systems and other security measures in employees’ homes or other places they may work may not be as robust and more vulnerable to cybersecurity attacks. Any system failure, accident, security breach or data breach that causes interruptions in our own or in third-party collaborators’ or service providers’ operations could result in unauthorized, unlawful, or accidental acquisition, modification, destruction, loss, alteration, encryption, disclosure of, or access to our sensitive or confidential information. A security incident or other interruption could disrupt our ability (or that of third parties upon which we rely) to conduct our business operations and could divert significant resources to remedy or mitigate the damage caused. For example, if clinical or nonclinical study data is lost or becomes compromised, it could result in delays in our product development and regulatory approval efforts and significantly increase our costs due to additional time and resources necessary to recover and verify, or potentially reproduce, the data. In addition, a security breach or privacy violation that leads to disclosure of personally identifiable information or protected health information could require us to make notifications to the public as well as regulatory authorities, harm our reputation, subject us to audit, investigation, steep fines and administrative penalties and mandatory corrective action. A data breach could also require us to verify the correctness of database contents and subject us to litigation, including class action lawsuits, or other liability under laws and regulations that protect personal data, consumer protection and other laws.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the further development of our product candidates may be delayed, and the manufacture and sale of any approved products may be impaired.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costs related to significant security breaches or disruptions could be material, and, as was the case with the fraud discovered in March 2023, our insurance coverage may not cover all the losses arising from any such disruption in, or failure or security breach of, our systems or third-party systems where information important to our business operations and product development is stored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Moreover, if the information technology systems of our third-party collaborators, service providers or vendors become subject to disruptions or security breaches, we may have insufficient recourse against such third parties and we may have to expend significant resources to mitigate the impact of such an event.</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Our business may be adversely affected by unfavorable or unanticipated macroeconomic conditions and geopolitical events.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Various macroeconomic factors could adversely affect our business, our results of operations and financial condition, including a U.S. government shutdown, delay or failure of the U.S. government to raise the federal debt ceiling, an increased rate of inflation, rising interest rates, adverse developments affecting financial institutions or the financial services industry, recessionary concerns and overall unfavorable economic conditions and uncertainties, including those resulting from geopolitical events, including the wars in Ukraine and the Middle East and strained relations between the U.S. and a number of foreign countries; international economic sanctions, including those imposed on Russia; climate change concerns; or public health emergencies, including the COVID-19 pandemic. U.S. government actions to reduce the federal deficit, or its delay or failure to raise the federal debt ceiling, may result in reduced funding for government-funded or subsidized health programs or require the federal government to stop or delay making payments on its obligations under such programs, which could impact sales of our products covered under such programs, if any, and negatively affect our operating results. Interest rates and the ability to access credit markets could adversely affect the ability of patients, payors and distributors to purchase, pay for and effectively distribute our products, if and when approved. Similarly, unfavorable or uncertain macroeconomic factors could affect the ability of our current or potential future collaborators, third-party service providers or suppliers, including sole source or single source manufacturers or suppliers, licensors or licensees to remain in business, or otherwise manufacture or supply our clinical trial material and products or commercialize our products, if and when approved. Failure by any of them to remain in business or allocate adequate resources to our products and product candidates could have a material adverse effect on our efforts to develop and obtain regulatory approvals for our product candidates and generate revenue from any approved products.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expect to continue to incur substantial costs and demands on management time to comply with laws and regulations affecting public companies.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Generally, we will become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corporate governance, disclosure and other reporting requirements of being a public company, and our management and other personnel, of whom we have a small number, will need to continue to devote substantial time towards compliance matters and initiatives.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 an attestation report on our internal control over financial reporting by our independent registered public accounting firm, which may substantially increase compliance costs. Recent SEC rules and rulemaking initiatives, such as the new pay versus performance, cybersecurity, and climate-related disclosure requirements, may result in significant additional time and expense devoted to compliance initiatives. </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are a smaller reporting company and a non-accelerated filer and the reduced disclosure requirements available to us may make our common stock less attractive to investors.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an SRC, we will be permitted to and we intend to rely on some or all of the accommodations available to such companies. These accommodations include: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not being required to provide an auditor’s attestation of management’s assessment of internal control over financial reporting required by Section 404(b) of the Sarbanes-Oxley Act of 2002;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reduced non-financial disclosure obligations, including regarding the description of their business, management’s discussion and analysis of financial condition and results of operations, market risk, executive compensation, transactions with related persons, and corporate governance;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later deadlines for the filing of annual and quarterly reports compared to accelerated filers.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will continue to qualify as a SRC and non-accelerated filer for so long as (a) our public float is less than $75 million as of the last day of our most recently completed second fiscal quarter or (b) our public float is $75 million or more but less than $700 million and we reported annual revenues of less than $100 million for our most recently completed fiscal year.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Our ability to use net operating loss carryforwards and other tax attributes to offset taxable income may be limited.</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At December 31, 2023, we had substantial federal and state net operating loss, or NOL, carryforwards. However, our federal NOL carryforwards and other tax attributes may not be available to offset future taxable income because of restrictions under U.S. tax law, and similar limitations may apply under state tax laws. We have recorded a full valuation allowance related to our NOL carryforwards and other deferred tax assets due to the uncertainty of the ultimate realization of the future benefits of those assets. See Note 7 “Income Taxes” to the accompanying consolidated financial statements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about limitations on our ability to use our NOL carryforwards and other tax attributes. Such limitations could result in increased future income tax liability to us and our future cash flows could be adversely affected.</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 xml:space="preserve">An extended curtailment or halt of operations at the FDA, NIH, SEC and other government agencies, including due to a U.S. federal government shutdown, could delay or disrupt clinical and preclinical development and potential marketing approval of our product candidates and our ability to raise additional capital.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Twice in the past decade, the previous appropriations legislation deadline was reached and Congress failed to pass a new appropriations bill or continuing resolution to temporarily extend funding, resulting in U.S. government shutdowns that caused federal agencies to halt non-essential operations. The federal government came very close to another shutdown in late 2023. Political polarization among lawmakers may lead to a higher frequency and longer duration of government shutdowns in the future. A federal government shutdown could prevent staff at federal agencies from performing key functions that may adversely affect our business. For example, disruptions at the FDA may delay meetings and other communications with agency staff necessary to progress development of our product candidates and may slow the time necessary for acceptance, review and approval of applications to commence clinical studies or to market a new product in the U.S. By way of further example, disruptions at the NIH, including its various institutes and centers, such as NICHD, could delay processing of new grant awards to fund research and development of potential new therapies or the disrupt staff’s work and other activities or funding under active grant/cooperative agreements. If a prolonged government shutdown were to occur while our Phase 3 clinical study of Ovaprene is ongoing, depending on the amount of funds allocated and made available to the study before the shutdown begins, a federal government shutdown could adversely impact the ability of NICHD to carry out its responsibilities under our CRADA, including funding its share of the costs of the study, which could have a material adverse impact on our business and prospects. In addition, a government shutdown could prevent SEC staff from performing key functions, including, for example, granting acceleration requests for registration statements, declaring registration statements or amendments thereto effective and providing interpretive guidance or no-action letters. While we currently have an effective shelf registration statement on Form S-3, a shelf registration statement on Form S-3 typically can only be used for three years, subject to a limited extension, and that three-year period for our current shelf S-3 registration statement ends on April 7, 2024. If a federal government shutdown halts non-essential SEC operations for an extended period, it may negatively impact our ability to raise additional capital through registered offerings of our securities in the future. If a prolonged U.S. government shutdown or other event or condition occurs that prevents the FDA, NIH, SEC or other regulatory agencies from hiring and retaining personnel and conducting their regular activities, it could significantly impact the ability of these agencies to timely review and process our regulatory submissions and may impede our access to additional capital needed to maintain or expand our operations or to complete important acquisitions or other transactions, which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Arial;sans-serif" w:hAnsi="Arial;sans-serif"/>
          <w:b/>
          <w:color w:val="000000"/>
          <w:sz w:val="20"/>
          <w:u w:val="single"/>
        </w:rPr>
      </w:pPr>
      <w:r>
        <w:rPr>
          <w:rFonts w:ascii="Arial;sans-serif" w:hAnsi="Arial;sans-serif"/>
          <w:b/>
          <w:color w:val="000000"/>
          <w:sz w:val="20"/>
          <w:u w:val="single"/>
        </w:rPr>
        <w:t>Risks Related to Ownership of Our Common Stock</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price of our common stock may rise and fall rapidly, substantial price fluctuations may occur regardless of developments in our business or our operating performance, and you could lose all or part of your investment as a result.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stock market in general, and the market for biopharmaceutical companies in particular, have experienced significant volatility, which has often been unrelated to the operating performance of particular companies. The stocks of small cap and microcap biopharmaceutical companies like ours tend to be highly volatile. Our common stock has experienced extreme trading price and volume fluctuations in the past, including fluctuations that have been unrelated or disproportionate to developments in our business and our operating performance, and we expect that our stock price will continue to experience high volatility. The market price for our common stock may be influenced by a variety of factors, some of which are beyond our control or are related in complex ways, including: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significant developments with our product development programs, such as actual or anticipated changes to development and approval timelines, results from any clinical trial, unanticipated serious safety concerns, suspension or discontinuation of a program, initiation of new programs and communications or decisions from the FDA or other regulatory authorities relating to applications we submit for clinical trials or marketing approval of our product candidates, in each case particularly those related to our clinical-stage product candidates;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announcements of capital raising transactions, including sales of our common stock or securities convertible into or exercisable for shares of our common stock by us, or expectation of additional financing efforts;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amount of our unrestricted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the level of actual or anticipated expenses related to development of our product candidates, and in particular our clinical-stage development programs;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announcements relating to strategic collaborations or alliances or significant licenses, acquisitions or dispositions of assets by us or companies perceived to be comparable to 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announcements by us or our competitors of significant acquisitions, strategic collaborations, joint ventures and capital commitments;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additions or departures of key management or scientific personnel;</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significant developments with third-party products or product development programs perceived as competitive to ours, such as results of clinical trials, unanticipated serious safety concerns, suspension or discontinuation of a program, significant communications or decisions from the FDA or other regulatory authorities, introduction of new product candidates or new uses for existing products, commercial launch and product sales;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significant business disruptions, including as a result of cybersecurity incidents, geopolitical events, including military conflicts, war, terrorism or economic conflicts, or natural disasters such as earthquakes, typhoons, floods and fires or public health emergencies such as the COVID-19 pandemic;</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events or conditions that affect the financial markets or U.S. or global economy in general, including geopolitical conflicts, potential or actual U.S. government shutdown or failure to raise the federal debt ceiling, economic slowdown or recession, increased inflation, and rising interest rates;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regulatory or legal developments in the U.S. and other countries;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changes in the structure of health care payment systems;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developments or trends in the biopharmaceutical or women's health care industries;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period to period fluctuations in our financial results;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recommendations or reports issued by securities research analysts;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increased selling by our stockholders, as well as the overall trading volume of our common stock;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other factors described in this “Risk Factors” section.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listed on The Nasdaq Capital Market. As previously reported, on July 19, 2023, we received a letter from the Listing Qualifications Department (the “Nasdaq Staff”) of the Nasdaq Stock Market (“Nasdaq”) notifying us that, for the last 30 consecutive business days, the closing bid price for our common stock was below the minimum $1.00 per share requirement for continued listing on The Nasdaq Capital Market as set forth in Nasdaq Listing Rule 5550(a)(2) (the “Minimum Bid Price Requirement”). We were provided an initial period of 180 calendar days, or until January 16, 2024, to regain compliance with the Minimum Bid Price Requirement. On January 17, 2024, the Nasdaq Staff notified us that because we had not timely regained compliance with the Minimum Bid Price Requirement, our common stock was subject to delisting from The Nasdaq Capital Market unless we timely requested a hearing before Nasdaq’s Hearings Panel (the “Panel”) to appeal the Nasdaq Staff’s delisting determination. We submitted a timely request for a hearing before the Panel, which stayed the suspension and delisting of our common stock pending the decision of the Panel and the expiration of any extension period granted by the Panel.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27, 2024, the Panel notified us that, based on its review of the written record, which included our commitment to effect a reverse stock split if necessary to regain compliance with the Minimum Bid Price Requirement, it determined to grant us a temporary exception until July 15, 2024 (the “Exception Period”) to regain compliance with the Minimum Bid Price Requirement. The Panel granted the temporary exception subject to us obtaining board of directors and stockholder approval for and effecting the reverse stock split on or before specified dates that would enable us to demonstrate compliance with the Minimum Bid Price Requirement by evidencing a closing bid price of $1.00 or more per share for a minimum of ten consecutive trading sessions on or before July 15, 2024. The Panel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advised us that, during the Exception Period, we must provide Nasdaq with prompt notification of any significant events that may affect our compliance with Nasdaq listing requirements, including any event that may call into question our ability to meet the terms of the temporary exception. The Panel also advised us that should we fail to meet any of the terms of the temporary exception, our common stock will immediately be delisted.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the date of this report, we have not regained compliance with the Minimum Bid Price Requirement. If we seek stockholder approval of a reverse stock split, there can be no assurance that our stockholders will approve it or, if approved and implemented, that we would be able to regain compliance with the Minimum Bid Price Requirement. There are many factors that affect the trading price of our common stock, including those described in this “Risk Factors” section, and many of those factors are outside of our control. Even if we demonstrate compliance with the Minimum Bid Price Requirement within the Exception Period, a reverse stock split may not result in any sustained increase in the trading price of our common stock and, as a result, we may not be able to maintain compliance with the Minimum Bid Price Requirement longer term.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we will be able to satisfy all other continued listing requirements of the Nasdaq Capital Market and maintain the listing of our common stock on the Nasdaq Capital Market even if we regain compliance with the Minimum Bid Price Requirement. Other continued listing requirements include that we satisfy the requirements of at least one of the continued listing standards commonly referred to as the stockholders’ equity rule, the market value of listed securities rule and the net income rule. The stockholders’ equity rule requires that our stockholders’ equity be at least $2.5 million, the market value of listed securities rule requires that the market value of our common stock be at least $35 million, and the net income rule requires that we have net income from continuing operations of $500,000 in our most recently completed fiscal year or in two of our three most recently completed fiscal years. Based on our stockholders’ equity as of December 31, 2023 and our results of operations for our three most recently completed fiscal years, we do not satisfy the stockholders’ equity rule or the net income rule. As of March 27, 2024, we did satisfy the market value of listed securities rule.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suspension or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for whatever reason, may materially impair our stockholders’ ability to buy and sell shares of our common stock and could have an adverse effect on the market price of, and the efficiency of the trading market for, our common stock.</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 xml:space="preserve">A reverse stock split could lead to a decrease in the overall market value of our common stock and adversely affect the liquidity of our common stock.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reverse stock split, if implemented, would reduce the number of outstanding shares of our common stock in proportion to the reverse split ratio and would have the immediate effect of proportionately increasing the per share price of our common stock. A reverse stock split is often viewed negatively by the market and, consequently, could lead to a decrease in our overall market value. If the per share trading price of our common stock does not increase in proportion to the reverse stock split ratio after the reverse stock split is implemented, then our overall market value (measured as the product of our outstanding shares of common stock and the per share trading price) will be less than before the reverse stock split. In some cases, the per share stock price of companies that have effected reverse stock splits subsequently declined back to pre-reverse stock split levels. Accordingly, if we implement a reverse stock split, there can be no assurance that our overall market value will remain the same after the reverse stock split, or that the reverse stock split would not have an adverse effect on the trading price of our common stock due to the reduced number of shares that would be outstanding after the reverse stock split. Liquidity for our stockholders could be adversely affected by the reduced number of shares outstanding after a reverse stock split. A reduction in the number of outstanding shares may lead to reduced trading and a smaller number of market makers for our common stock. In addition, a reverse stock split may result in some stockholders owning “odd lots” of less than 100 shares. Odd lot shares may be more difficult to sell, and brokerage commissions and other costs of transactions in odd lots are generally somewhat higher than the costs of transactions in “round lots” of even multiples of 100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sale of our common stock in ATM offerings may cause substantial dilution to our existing stockholders, and such sales, or the anticipation of such sales, may cause the price of our common stock to decline.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used at-the-market, or ATM, offerings to fund a significant portion of our operations in recent years, and we may continue to use ATM offerings to raise additional capital in the future. For example, in 2021, we sold an aggregate of approximately 36.4 million shares of our common stock in ATM offerings. We sold substantially fewer shares in ATM offerings in 2022 and 2023, however, we may sell significant amounts of shares in ATM offerings again in the future. While sales of shares of our common stock in ATM offerings may enable us to raise capital at a lower cost compared with other types of equity financing transactions; such sales may result in substantial dilution to our existing stockholders, and such sales, or the anticipation of such sales, may cause the trading price of our common stock to decline.</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The exercise of our outstanding warrants and options as well as the issuance of shares pursuant to future equity awards under our stock incentive plan may result in significant dilution to our stockholders.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we had outstanding warrants to purchase up to approximately 15.0 million shares of our common stock at a weighted average exercise price of $0.63 per share, outstanding options to purchase up to approximately 9.5 million shares of our common stock at a weighted average exercise price of $1.46 per share and approximately 6.7 million shares of our common stock remained available for future issuance under our stock incentive plan. The exercise of a significant portion of our outstanding warrants and options and the issuance of shares of our common stock pursuant to future equity awards under our stock incentive plan may result in significant dilution to our stockholders.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Substantial future sales of our shares of common stock, or the perception that such sales could occur, may cause the price of our common stock to decline, even if our business is doing well.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Sales of substantial amounts of our common stock in the public market, or the perception that such sales could occur, may adversely affect the trading price of our common stock, and may make it more difficult for existing stockholders to sell their shares of our common stock at a time and price they deem appropriate. We are unable to predict the effect that such sales may have on the trading price of our common stock. These sales, or the possibility that these sales may occur, also might make it more difficult for us to sell equity or equity-linked securities in the future at a time and at a price that we deem appropriate.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Shares underlying outstanding warrants represent approximately 15.0% of the outstanding shares of our common stock as of March 27, 2024, and the underlying shares generally may be freely sold into the public market following exercise of the warrants by the warrant holders. In addition, pursuant to the terms of the royalty interest financing agreement we entered into in December 2023, we may issue additional warrants to purchase up to an additional 7.0 million shares of our common stock with an exercise price of $0.3467 per share. Further, the issuance of all of the approximately 9.5 million shares of our common stock underlying outstanding options and the approximately 6.7 million shares of our common stock that remained available for future issuance under our stock incentive plan as of December 31, 2023 have been registered under the Securities Act and such shares if, and when issued, can be freely sold in the public market, except to the extent they are held by an affiliate of ours, in which case such shares will become eligible for sale in the public market as permitted by Rule 144 under the Securities Act.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Almost all of our outstanding warrants have exercise periods that extend into December 2028 or March 2029 and, as of December 31, 2023, our outstanding options had a weighted average remaining contractual exercise period of approximately 7.5 years. Accordingly, the potential adverse market and price pressures resulting from these sales, or the perception that such sales could occur, may continue for an extended period of time and continued negative pressure on the trading price of our common stock could have a material adverse effect on our ability to raise additional capital through equity or equity-linked financings. If, in the future, we issue additional shares of common stock, warrants or other equity or equity-linked securities in one or more transactions, at prices and in a manner we determine from time to time, in connection with a financing, acquisition, litigation settlement, employee arrangements or otherwise, any such issuance could result in substantial dilution to our existing stockholders and could cause the price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We may issue preferred stock with terms that could dilute the voting power or reduce the value of our common stock.</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certificate of incorporation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pStyle w:val="TextBody"/>
        <w:bidi w:val="0"/>
        <w:spacing w:lineRule="auto" w:line="268" w:before="200" w:after="120"/>
        <w:jc w:val="both"/>
        <w:rPr>
          <w:rFonts w:ascii="Arial;sans-serif" w:hAnsi="Arial;sans-serif"/>
          <w:b/>
          <w:i/>
          <w:color w:val="000000"/>
          <w:sz w:val="20"/>
        </w:rPr>
      </w:pPr>
      <w:r>
        <w:rPr>
          <w:rFonts w:ascii="Arial;sans-serif" w:hAnsi="Arial;sans-serif"/>
          <w:b/>
          <w:i/>
          <w:color w:val="000000"/>
          <w:sz w:val="20"/>
        </w:rPr>
        <w:t>We do not anticipate paying any cash dividends on our common stock in the foreseeable future; capital appreciation, if any, will be your sole source of gain as a holder of our shares.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Provisions in our certificate of incorporation, our by-laws or Delaware law might discourage, delay or prevent a change in control of our company or changes in our management and, therefore, depress the trading price of our common stock.</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Restated Certificate of Incorporation, as amended, our Third Amended and Restated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establish a classified board of directors such that all members of the board are not elected at one time;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allow the authorized number of directors to be changed only by resolution of the board of directors;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limit the manner in which stockholders can remove directors from the board;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establish advance notice requirements for nominations for election to the board or for proposing matters that can be acted on at stockholder meetings;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require that stockholder actions must be effected at a duly called stockholder meeting and prohibit actions by stockholders by written consent;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limit who may call a special meeting of stockholders;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require the approval of the holders of at least 75% of the votes that all stockholders would be entitled to cast in any annual election of directors or class of directors to amend or repeal our by-laws or certain provisions of our charter.</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Provisions in our by-laws could limit our stockholders’ ability to obtain a favorable judicial forum for disputes with us or our directors, officers or employees.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Third Amended and Restated By-Laws provide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actions or suits brought to enforce any liability or duty created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Securities Act, the Exchange Act, or any other claim for which the federal courts have exclusive jurisdiction. If any action that is required under our by-laws to be brought against us in Delaware is filed by a stockholder in a court other than a court located within Delaware, the stockholder shall be deemed to have consented to (i) the personal jurisdiction of the state and federal courts located within Delaware in connection with any action brought in any such court to enforce our Delaware forum selection provision and (ii) having service of process made upon the stockholder in any such enforcement action by service upon that stockholder's counsel, as agent for the stockholder. In addition, our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these provisions.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Securities Act, federal and state courts have concurrent jurisdiction over all suits brought to enforce any duty or liability created by the Securities Act. We believe the forum selection provisions in our by-laws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If we fail to attract or maintain securities analysts to publish research on our business or if they publish or convey negative evaluations of our business, the price of our stock could decline.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As of the date of this report, to our knowledge, five analysts cover our company. If one or more of these analysts cease coverage or fail to regularly publish reports on our business, we could lose visibility in the financial markets, which in turn could cause our common stock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Risk Management and Strategy</w:t>
      </w:r>
    </w:p>
    <w:p>
      <w:pPr>
        <w:pStyle w:val="TextBody"/>
        <w:bidi w:val="0"/>
        <w:spacing w:lineRule="auto" w:line="276"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is the case for other companies in our industry, we may be the target of cyberattacks and other cyber incidents and, therefore, cybersecurity is an important element of our overall enterprise risk management, or ERM, program. Our management performs a semi-annual assessment of enterprise-wide risks to help assess, identify, and manage existing and emerging risks for our company, including cybersecurity risks. Through our ERM program we assess the characteristics and circumstances of the evolving business environment at the time and seek to identify the potential impacts to our company of a particular risk.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Primary responsibility for assessing, identifying, and managing our cybersecurity risks rests with our management. To assist our management with such responsibility, we engage and consult with an external third party information technology consultant who reports to our Chief Accounting Officer. We also perform an annual cybersecurity assessment designed to help improve the systems and processes we have implemented designed to safeguard our information assets and operational integrity from cyber threats, protect employee information from unauthorized access or attack, as well as secure our networks and systems. Network and information systems and other technologies, including those related to our network management, are important to our business activities. As a result, we have multiple layers of security designed to detect and deter cybersecurity incidents. As part of our overall ERM program, we monitor and test our safeguards and train our employees on these safeguards, in certain instances with the assistance of our external third party information technology consultant. Personnel at all levels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departments are made aware of our cybersecurity policies through trainings. We also maintain an incident response plan designed to respond to, mitigate and remediate cybersecurity incidents according to a defined set of severity ratings based on the potential impact to our business, information technology systems, network or data, including data held or information technology services provided by third-party vendors or other service providers.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As of the date of filing this report, we do not believe there are any risks from cybersecurity threats that have materially affected or are reasonably likely to materially affect us or our business strategy, results of operations or financial condition.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additional information regarding risks from cybersecurity threats, please refer to Item 1A, “Risk Factors,” in this annual report on Form 10-K.</w:t>
      </w:r>
    </w:p>
    <w:p>
      <w:pPr>
        <w:pStyle w:val="TextBody"/>
        <w:bidi w:val="0"/>
        <w:spacing w:lineRule="auto" w:line="276" w:before="0" w:after="200"/>
        <w:jc w:val="both"/>
        <w:rPr>
          <w:rFonts w:ascii="Arial;sans-serif" w:hAnsi="Arial;sans-serif"/>
          <w:b/>
          <w:color w:val="000000"/>
          <w:sz w:val="20"/>
        </w:rPr>
      </w:pPr>
      <w:r>
        <w:rPr>
          <w:rFonts w:ascii="Arial;sans-serif" w:hAnsi="Arial;sans-serif"/>
          <w:b/>
          <w:color w:val="000000"/>
          <w:sz w:val="20"/>
        </w:rPr>
        <w:t>Governance</w:t>
      </w:r>
    </w:p>
    <w:p>
      <w:pPr>
        <w:pStyle w:val="TextBody"/>
        <w:bidi w:val="0"/>
        <w:spacing w:lineRule="auto" w:line="26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board of directors administers its cybersecurity risk oversight function through its audit committee. The audit committee is responsible for overseeing our policies, practices and assessments with respect to cybersecurity, and provides periodic updates to our board of directors. The audit committee receives periodic updates from management and our external third party information technology consultant regarding the effectiveness of the systems and processes we have implemented designed to safeguard our information assets and operational integrity from cyber threats, protect employee information from unauthorized access or attack, as well as secure our networks and systems, and regarding other cybersecurity matters, including the results from cybersecurity systems testing and any recent cybersecurity incidents and related responses. Our audit committee is also notified between such updates as soon as practicable regarding significant new cybersecurity threats or incidents. The audit committee also receives a report on cybersecurity matters and related risk exposures at least semi-annually from our Chief Accounting Officer. Many of our board members have achieved the National Association of Corporate Directors Carnegie Mellon University CERT Certification in Cybersecurity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lease real property to support our business. We believe that the real property we lease is in good operating condition, meets our current needs and that we will be able to renew our lease when needed on acceptable terms or find alternative facilities. See Note 10 "Leased Properties" to the accompanying consolidated financial statements for more information about our real property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is listed on the Nasdaq Capital Market under the symbol “DARE.”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Holders of Common Stock</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27, 2024, we had approximately 34 stockholders of record.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number of stockholders of record is based upon the actual number of holders registered on our books at such date. A substantially greater number of holders of our common stock are "street name" or beneficial holders, whose shares are held by banks, brokers and other financial institutions.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Dividend Policy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sell any unregistered securities during the period covered by this report that were not previously reported in a Quarterly Report on Form 10-Q or Current Report on Form 8-K.</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The following discussion should be read in conjunction with our consolidated financial statements and the notes thereto included in Part II, Item 8 of this report. This following discussion includes forward-looking statements. See PART I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wholly-owned subsidiaries operate in one business segment.</w:t>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first FDA-approved product to emerge from our portfolio of women's health product candidates is XACIATO (clindamycin phosphate) vaginal gel 2%, or XACIATO (pronounced zah-she-AH-toe). XACIATO was approved by the FDA in December 2021 as a single-dose prescription medication for the treatment of bacterial vaginosis in females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Accordingly,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potential future revenue from the commercialization of XACIATO will consist of royalties based on net sales and milestone payments from Organon. Organon commenced U.S. marketing of XACIATO in the fourth quarter of 2023.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pipeline includes diverse programs that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also explore opportunities to expand our portfolio by leveraging assets to which we hold rights or obtaining rights to new assets, with continued focus solely on women's health.</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portfolio includes five product candidates in advanced clinical development (Phase 2-ready to Phase 3):</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Ovaprene®</w:t>
      </w:r>
      <w:r>
        <w:rPr>
          <w:rFonts w:ascii="Arial;sans-serif" w:hAnsi="Arial;sans-serif"/>
          <w:b w:val="false"/>
          <w:color w:val="000000"/>
          <w:sz w:val="20"/>
        </w:rPr>
        <w:t>, a hormone-free, monthly intravaginal contraceptive;</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Sildenafil Cream, 3.6%</w:t>
      </w:r>
      <w:r>
        <w:rPr>
          <w:rFonts w:ascii="Arial;sans-serif" w:hAnsi="Arial;sans-serif"/>
          <w:b w:val="false"/>
          <w:color w:val="000000"/>
          <w:sz w:val="20"/>
        </w:rPr>
        <w:t>, a proprietary cream formulation of sildenafil for topical administration to the female genitalia on demand for the treatment of female sexual arousal disorder (FSAD);</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DARE-HRT1</w:t>
      </w:r>
      <w:r>
        <w:rPr>
          <w:rFonts w:ascii="Arial;sans-serif" w:hAnsi="Arial;sans-serif"/>
          <w:b w:val="false"/>
          <w:color w:val="000000"/>
          <w:sz w:val="20"/>
        </w:rPr>
        <w:t xml:space="preserve">, an intravaginal ring designed to deliver both bio-identical estradiol and progesterone together, continuously over a 28-day period, for the treatment of moderate-to-severe vasomotor symptoms, as part of menopausal hormone therapy; </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DARE-VVA1</w:t>
      </w:r>
      <w:r>
        <w:rPr>
          <w:rFonts w:ascii="Arial;sans-serif" w:hAnsi="Arial;sans-serif"/>
          <w:b w:val="false"/>
          <w:color w:val="000000"/>
          <w:sz w:val="20"/>
        </w:rPr>
        <w:t>, a proprietary formulation of tamoxifen for intravaginal administration being developed as a hormone-free alternative to estrogen-based therapies for the treatment of moderate-to-severe dyspareunia, or pain during sexual intercourse, a symptom of vulvar and vaginal atrophy associated with menopause; and</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DARE-CIN</w:t>
      </w:r>
      <w:r>
        <w:rPr>
          <w:rFonts w:ascii="Arial;sans-serif" w:hAnsi="Arial;sans-serif"/>
          <w:b w:val="false"/>
          <w:color w:val="000000"/>
          <w:sz w:val="20"/>
        </w:rPr>
        <w:t>, a proprietary, fixed-dose formulation of lopinavir and ritonavir in a soft gel vaginal insert for the treatment of cervical intraepithelial neoplasia (CIN) and other human papillomavirus (HPV)-related pathologies.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portfolio also includes five product candidates in Phase 1 clinical development or that we believe are Phase 1-ready:</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 xml:space="preserve">DARE-PDM1, </w:t>
      </w:r>
      <w:r>
        <w:rPr>
          <w:rFonts w:ascii="Arial;sans-serif" w:hAnsi="Arial;sans-serif"/>
          <w:b w:val="false"/>
          <w:color w:val="000000"/>
          <w:sz w:val="20"/>
        </w:rPr>
        <w:t>a proprietary hydrogel formulation of diclofenac, a nonsteroidal anti-inflammatory drug, for vaginal administration as a treatment for primary dysmenorrhea;</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DARE-204</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DARE-214</w:t>
      </w:r>
      <w:r>
        <w:rPr>
          <w:rFonts w:ascii="Arial;sans-serif" w:hAnsi="Arial;sans-serif"/>
          <w:b w:val="false"/>
          <w:color w:val="000000"/>
          <w:sz w:val="20"/>
        </w:rPr>
        <w:t>, injectable formulations of etonogestrel designed to provide contraception over 6-month and 12-month periods, respectively;</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DARE-FRT1</w:t>
      </w:r>
      <w:r>
        <w:rPr>
          <w:rFonts w:ascii="Arial;sans-serif" w:hAnsi="Arial;sans-serif"/>
          <w:b w:val="false"/>
          <w:color w:val="000000"/>
          <w:sz w:val="20"/>
        </w:rPr>
        <w:t>, an intravaginal ring designed to deliver bio-identical progesterone continuously for up to 14 days for luteal phase support as part of an in vitro fertilization treatment plan; and</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DARE-PTB1</w:t>
      </w:r>
      <w:r>
        <w:rPr>
          <w:rFonts w:ascii="Arial;sans-serif" w:hAnsi="Arial;sans-serif"/>
          <w:b w:val="false"/>
          <w:color w:val="000000"/>
          <w:sz w:val="20"/>
        </w:rPr>
        <w:t>, an intravaginal ring designed to deliver bio-identical progesterone continuously for up to 14 days for the prevention of preterm birth.</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our portfolio includes five preclinical stage programs: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DARE-LARC1</w:t>
      </w:r>
      <w:r>
        <w:rPr>
          <w:rFonts w:ascii="Arial;sans-serif" w:hAnsi="Arial;sans-serif"/>
          <w:b w:val="false"/>
          <w:color w:val="000000"/>
          <w:sz w:val="20"/>
        </w:rPr>
        <w:t>, a contraceptive implant delivering levonorgestrel with a woman-centered design that has the potential to be a long-acting, yet convenient and user-controlled contraceptive option;</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DARE-LBT</w:t>
      </w:r>
      <w:r>
        <w:rPr>
          <w:rFonts w:ascii="Arial;sans-serif" w:hAnsi="Arial;sans-serif"/>
          <w:b w:val="false"/>
          <w:color w:val="000000"/>
          <w:sz w:val="20"/>
        </w:rPr>
        <w:t>, a novel hydrogel formulation for vaginal delivery of live biotherapeutics to support vaginal health;</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DARE-GML</w:t>
      </w:r>
      <w:r>
        <w:rPr>
          <w:rFonts w:ascii="Arial;sans-serif" w:hAnsi="Arial;sans-serif"/>
          <w:b w:val="false"/>
          <w:color w:val="000000"/>
          <w:sz w:val="20"/>
        </w:rPr>
        <w:t xml:space="preserve">, an intravaginally-delivered potential multi-target antimicrobial agent formulated with glycerol monolaurate (GML), which has shown broad antimicrobial activity, killing bacteria and viruses; </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non-hormonal contraception for both men and women by targeting the CatSper ion channel; and</w:t>
      </w:r>
    </w:p>
    <w:p>
      <w:pPr>
        <w:pStyle w:val="TextBody"/>
        <w:bidi w:val="0"/>
        <w:spacing w:lineRule="auto" w:line="288" w:before="200" w:after="283"/>
        <w:ind w:left="0" w:right="0" w:hanging="360"/>
        <w:jc w:val="both"/>
        <w:rPr/>
      </w:pPr>
      <w:r>
        <w:rPr>
          <w:color w:val="000000"/>
        </w:rPr>
        <w:t>•</w:t>
      </w:r>
      <w:r>
        <w:rPr>
          <w:rFonts w:ascii="Arial;sans-serif" w:hAnsi="Arial;sans-serif"/>
          <w:b/>
          <w:color w:val="000000"/>
          <w:sz w:val="20"/>
        </w:rPr>
        <w:t>DARE-PTB2</w:t>
      </w:r>
      <w:r>
        <w:rPr>
          <w:rFonts w:ascii="Arial;sans-serif" w:hAnsi="Arial;sans-serif"/>
          <w:b w:val="false"/>
          <w:color w:val="000000"/>
          <w:sz w:val="20"/>
        </w:rPr>
        <w:t>, a novel approach for the prevention and treatment of idiopathic preterm birth through inhibition of a stress response protein.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product candidates and potential product candidates in our portfolio will require review and approval from the FDA, or a comparable foreign regulatory authority, prior to being marketed or sold. See ITEM 1. "BUSINESS," in Part I of this report for additional information regarding our product and product candidates.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Until we secure additional capital to fund our operating needs, we will focus our resources primarily on advancement of Ovaprene and Sildenafil Cream.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below, we will need to raise substantial additional capital to continue to fund our operations and execute our current business strategy. We are also subject to a number of other risks common to biopharmaceutical companies, including, but not limited to, dependence on key employees, reliance on third-party collaborators, service providers and suppliers,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claims, and exposure to cybersecurity threats and incidents.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process of developing and obtaining regulatory approvals for prescription drug and drug/device products in the United States and in foreign jurisdictions is inherently uncertain and requires the expenditure of substantial financial resources without any guarantee of success. To the extent we receive regulatory approvals to market and sell our product candidates, the commercialization of any product and compliance with subsequently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Sildenafil Cream Positive End-of-Phase 2b Meeting with FDA</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discussed in ITEM 1. "BUSINESS" in Part I of this report, in January 2024, we announced the successful completion of an end-of-Phase 2 meeting with the FDA supporting advancement of Sildenafil Cream for the treatment of FSAD to Phase 3 clinical development.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Noncompliance with Nasdaq’s Minimum Bid Price Requirement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On January 17, 2024, the Nasdaq Staff notified us that because we had not timely regained compliance with the Minimum Bid Price Requirement, our common stock was subject to delisting from The Nasdaq Capital Market unless we timely requested a hearing before the Nasdaq Hearings Panel, or the Panel, to appeal the Nasdaq Staff’s delisting determination. We submitted a timely request for a hearing before the Panel, which stayed the suspension and delisting of our common stock pending the decision of the Panel and the expiration of any extension period granted by the Panel.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On February 27, 2024, the Panel notified us that, based on its review of the written record, which included our commitment to effect a reverse stock split if necessary to regain compliance with the Minimum Bid Price Requirement, it determined to grant us a temporary exception until July 15, 2024 (the “Exception Period”) to regain compliance with the Minimum Bid Price Requirement. The Panel granted the temporary exception subject to us obtaining board of directors and stockholder approval for and effecting the reverse stock split on or before specified dates that would enable us to demonstrate compliance with the Minimum Bid Price Requirement by evidencing a closing bid price of $1.00 or more per share for a minimum of ten consecutive trading sessions on or before July 15, 2024. The Panel advised us that, during the Exception Period, we must provide Nasdaq with prompt notification of any significant events that may affect our compliance with Nasdaq listing requirements, including any event that may call into question our ability to meet the terms of the temporary exception. The Panel also advised us that should we fail to meet any of the terms of the temporary exception, our common stock will immediately be delisted.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Receipt of Grant to Support Biotherapeutic Product Development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January 17, 2024, we entered into a grant agreement with the Bill &amp; Melinda Gates Foundation, or the Foundation, pursuant to which we received $750,000 in grant funding to gather and analyze data on the global bacterial biologic supply chain to help the Foundation identify potential contract manufacturing organization partners for manufacturing clinical and commercial supplies of bacteria-based biotherapeutic products. </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Royalty Interest Financing Agreement</w:t>
      </w:r>
    </w:p>
    <w:p>
      <w:pPr>
        <w:pStyle w:val="TextBody"/>
        <w:bidi w:val="0"/>
        <w:spacing w:lineRule="auto" w:line="26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On December 21, 2023, we entered into a royalty interest financing agreement with United in Endeavour, LLC, or United, pursuant to which we sold to United an interest in royalty and milestone payments we receive from Organon based on net sales of XACIATO for a purchase price of up to $12 million. We received a payment of $5.0 million from United on the date of the agreement, and until December 31, 2026, we may, in our sole discretion, elect to receive up to three additional payments from United of up to an aggregate of $7 million. Pursuant to the terms of the agreement, on December 21, 2023, we issued to United a warrant to purchase up to 5.0 million shares of our common stock. In addition, for every additional $1.0 million payment we elect to receive from United under the agreement, we agreed to issue warrants to purchase up to 1.0 million shares of our common stock, for an aggregate of warrants to purchase up to 7.0 million shares of our common stock. The initial warrant has, and each additional warrant, if any, will have, an exercise price of $0.3467 per share, subject to customary adjustments, and is or will be exercisable, in full or in part, at any time from the date of issuance on or prior to the fifth anniversary of the date of issuance of the particular warrant. For more information, see ITEM 1. “BUSINESS— Royalty Interest Financing Agreement” in Part I of this report and Note 11 “Sale of Future Royalties” to the accompanying consolidated financial statements.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Positive Topline Data from Phase 1 Clinical Study of DARE-PDM1</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in ITEM 1. "BUSINESS" in Part I of this report, on December 20, 2023, we announced positive topline data from our Phase 1 clinical study of DARE-PDM1.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To date we have generated approximately $12.8 million in revenue, all from payments received under our license agreement with Organon to commercialize XACIATO. In the future, we expect to continue to generate revenue from royalties based on the net sales of XACIATO and we may generate revenue from commercial milestones based on the net sales of XACIATO, from product sales of other approved products, if any, and from license fees, milestone payments, and research and development payments in connection with strategic collaborations.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XACIATO is not commercially successful or we fail to complete the development of our product candidates in a timely manner, or to receive regulatory approval for such product candidates, our ability to generate future revenue and our results of operations would be materially adversely affected.</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pStyle w:val="TextBody"/>
        <w:bidi w:val="0"/>
        <w:spacing w:lineRule="auto" w:line="288" w:before="120" w:after="60"/>
        <w:ind w:left="0" w:right="0" w:hanging="450"/>
        <w:jc w:val="left"/>
        <w:rPr/>
      </w:pPr>
      <w:r>
        <w:rPr>
          <w:color w:val="000000"/>
        </w:rPr>
        <w:t>•</w:t>
      </w:r>
      <w:r>
        <w:rPr>
          <w:rFonts w:ascii="Arial;sans-serif" w:hAnsi="Arial;sans-serif"/>
          <w:b w:val="false"/>
          <w:color w:val="000000"/>
          <w:sz w:val="20"/>
        </w:rPr>
        <w:t>expenses incurred under agreements with clinical trial sites and consultants that conduct research and development and regulatory affairs activities on our behalf;</w:t>
      </w:r>
    </w:p>
    <w:p>
      <w:pPr>
        <w:pStyle w:val="TextBody"/>
        <w:bidi w:val="0"/>
        <w:spacing w:lineRule="auto" w:line="288" w:before="120" w:after="60"/>
        <w:ind w:left="0" w:right="0" w:hanging="450"/>
        <w:jc w:val="left"/>
        <w:rPr/>
      </w:pPr>
      <w:r>
        <w:rPr>
          <w:color w:val="000000"/>
        </w:rPr>
        <w:t>•</w:t>
      </w:r>
      <w:r>
        <w:rPr>
          <w:rFonts w:ascii="Arial;sans-serif" w:hAnsi="Arial;sans-serif"/>
          <w:b w:val="false"/>
          <w:color w:val="000000"/>
          <w:sz w:val="20"/>
        </w:rPr>
        <w:t>laboratory and vendor expenses related to the execution of nonclinical studies and clinical trials;</w:t>
      </w:r>
    </w:p>
    <w:p>
      <w:pPr>
        <w:pStyle w:val="TextBody"/>
        <w:bidi w:val="0"/>
        <w:spacing w:lineRule="auto" w:line="288" w:before="120" w:after="60"/>
        <w:ind w:left="0" w:right="0" w:hanging="450"/>
        <w:jc w:val="left"/>
        <w:rPr/>
      </w:pPr>
      <w:r>
        <w:rPr>
          <w:color w:val="000000"/>
        </w:rPr>
        <w:t>•</w:t>
      </w:r>
      <w:r>
        <w:rPr>
          <w:rFonts w:ascii="Arial;sans-serif" w:hAnsi="Arial;sans-serif"/>
          <w:b w:val="false"/>
          <w:color w:val="000000"/>
          <w:sz w:val="20"/>
        </w:rPr>
        <w:t xml:space="preserve">contract manufacturing expenses, primarily for the production of clinical supplies; </w:t>
      </w:r>
    </w:p>
    <w:p>
      <w:pPr>
        <w:pStyle w:val="TextBody"/>
        <w:bidi w:val="0"/>
        <w:spacing w:lineRule="auto" w:line="288" w:before="120" w:after="60"/>
        <w:ind w:left="0" w:right="0" w:hanging="450"/>
        <w:jc w:val="left"/>
        <w:rPr/>
      </w:pPr>
      <w:r>
        <w:rPr>
          <w:color w:val="000000"/>
        </w:rPr>
        <w:t>•</w:t>
      </w:r>
      <w:r>
        <w:rPr>
          <w:rFonts w:ascii="Arial;sans-serif" w:hAnsi="Arial;sans-serif"/>
          <w:b w:val="false"/>
          <w:color w:val="000000"/>
          <w:sz w:val="20"/>
        </w:rPr>
        <w:t>transaction costs related to acquisitions of companies, technologies and related intellectual property, and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ind w:left="0" w:right="0" w:hanging="450"/>
        <w:jc w:val="left"/>
        <w:rPr/>
      </w:pPr>
      <w:r>
        <w:rPr>
          <w:color w:val="000000"/>
        </w:rPr>
        <w:t>•</w:t>
      </w:r>
      <w:r>
        <w:rPr>
          <w:rFonts w:ascii="Arial;sans-serif" w:hAnsi="Arial;sans-serif"/>
          <w:b w:val="false"/>
          <w:color w:val="000000"/>
          <w:sz w:val="20"/>
        </w:rPr>
        <w:t>milestone payments due to third parties under acquisition and in-licensing arrangements we incur, or the incurrence of which we deem probable; and</w:t>
      </w:r>
    </w:p>
    <w:p>
      <w:pPr>
        <w:pStyle w:val="TextBody"/>
        <w:bidi w:val="0"/>
        <w:spacing w:lineRule="auto" w:line="288" w:before="120" w:after="60"/>
        <w:ind w:left="0" w:right="0" w:hanging="450"/>
        <w:jc w:val="left"/>
        <w:rPr/>
      </w:pPr>
      <w:r>
        <w:rPr>
          <w:color w:val="000000"/>
        </w:rPr>
        <w:t>•</w:t>
      </w:r>
      <w:r>
        <w:rPr>
          <w:rFonts w:ascii="Arial;sans-serif" w:hAnsi="Arial;sans-serif"/>
          <w:b w:val="false"/>
          <w:color w:val="000000"/>
          <w:sz w:val="20"/>
        </w:rPr>
        <w:t>internal costs associated with activities performed by our research and development organization and generally benefit multiple programs.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research and development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the first commercial sale of XACIATO, we recognized contract manufacturing expenses associated with producing commercial supplies of XACIATO and costs of regulatory affairs activities related to XACIATO as research and development expenses. Following the first commercial sale of XACIATO, and during the interim period when we were the NDA holder of XACIATO and provided commercial supplies of XACIATO to Organon, those expenses are recognized as general and administrative expenses.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research and development expenses. The amounts are determined based on our eligible research and development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receive funding through grants that support activities related to the development of certain of our product candidates. As we incur eligible expenses under those grants, we recognize grant funding in the statements of operations as a reduction to research and development expenses (contra-research and development expense). For more information, see Note 2, Basis of Presentation and Summary of Significant Accounting Policies – Grant Funding, to our consolidated financial statements contained herein. For the years ended December 31, 2023 and 2022, we recognized contra-research and development expense of approximately $9.3 million and $5.6 million, respectively.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expenses consist of up-front license fees and annual license fees due under our in-licensing arrangements.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consist of personnel costs, facility expenses, expenses for outside professional services, including legal, audit and accounting services, commercial-readiness expenses, and royalty and milestone expenses. Personnel costs consist of salaries, benefits and stock-based compensation. Facility expenses consist of rent and other related costs. Commercial-readiness expenses consist of consultant and advisor costs. Royalty and milestone expenses consist of payments we owe under our in-license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Recently Issued Accounting Standards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From time to time, the Financial Accounting Standards board, or FASB, or other standard setting bodies issue new accounting pronouncements. Updates to the FASB Accounting Standards Codification, or ASC, are communicated through issuance of an Accounting Standards Update. We have implemented all new accounting pronouncements that are in effect and that may impact our financial statements. We have evaluated recently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accounting pronouncements and determined that there is no material impact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consolidated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our financial statements. While our significant account policies are described in more detail in Note 2 to our consolidated financial statements included herein, we believe that the following accounting policies are most important to the portrayal of our financial condition and results of operations and require management's most difficult, subjective and complex judgments.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Revenue Recognition </w:t>
      </w:r>
    </w:p>
    <w:p>
      <w:pPr>
        <w:pStyle w:val="TextBody"/>
        <w:bidi w:val="0"/>
        <w:spacing w:lineRule="auto" w:line="288" w:before="160" w:after="283"/>
        <w:ind w:left="0" w:right="0" w:firstLine="720"/>
        <w:jc w:val="both"/>
        <w:rPr/>
      </w:pPr>
      <w:r>
        <w:rPr>
          <w:rFonts w:ascii="Arial;sans-serif" w:hAnsi="Arial;sans-serif"/>
          <w:b w:val="false"/>
          <w:color w:val="000000"/>
          <w:sz w:val="20"/>
        </w:rPr>
        <w:t>Under ASC Topic 606, or ASC 606, we recognize revenue when promised goods or services are transferred to customers in an amount that reflects the consideration to which we expect to be entitled in exchange for those goods or services. To determine revenue recognition for contracts with customers, we perform five steps: (i) identify the contract(s) with a customer; (ii) identify the performance obligations in the contract; (iii) determine the transaction price; (iv) allocate the transaction price to the performance obligations in the contract; and (v) recognize revenue when (or as) we satisfy our performance obligations. At contract inception, we assess the goods or services agreed upon within each contract, assess whether each good or service is distinct, and determines those that are</w:t>
      </w:r>
      <w:r>
        <w:rPr>
          <w:color w:val="000000"/>
        </w:rPr>
        <w:t> </w:t>
      </w:r>
      <w:r>
        <w:rPr>
          <w:rFonts w:ascii="Arial;sans-serif" w:hAnsi="Arial;sans-serif"/>
          <w:b w:val="false"/>
          <w:color w:val="000000"/>
          <w:sz w:val="20"/>
        </w:rPr>
        <w:t>performance obligations. We then recognize as revenue the amount of the transaction price allocated to the respective performance obligation when (or as) the performance obligation is satisfied.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 contract with multiple performance obligations,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We evaluate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pStyle w:val="TextBody"/>
        <w:bidi w:val="0"/>
        <w:spacing w:lineRule="auto" w:line="288" w:before="160" w:after="283"/>
        <w:ind w:left="0" w:right="0" w:firstLine="720"/>
        <w:jc w:val="both"/>
        <w:rPr/>
      </w:pPr>
      <w:r>
        <w:rPr>
          <w:rFonts w:ascii="Arial;sans-serif" w:hAnsi="Arial;sans-serif"/>
          <w:b w:val="false"/>
          <w:i/>
          <w:color w:val="000000"/>
          <w:sz w:val="20"/>
        </w:rPr>
        <w:t>Collaboration Revenues</w:t>
      </w:r>
      <w:r>
        <w:rPr>
          <w:rFonts w:ascii="Arial;sans-serif" w:hAnsi="Arial;sans-serif"/>
          <w:b/>
          <w:i/>
          <w:color w:val="000000"/>
          <w:sz w:val="20"/>
        </w:rPr>
        <w:t xml:space="preserve">. </w:t>
      </w:r>
      <w:r>
        <w:rPr>
          <w:rFonts w:ascii="Arial;sans-serif" w:hAnsi="Arial;sans-serif"/>
          <w:b w:val="false"/>
          <w:color w:val="000000"/>
          <w:sz w:val="20"/>
        </w:rPr>
        <w:t>We enter into collaboration and licensing agreements under which we out-license certain rights to our products or product candidates to third parties. The terms of these arrangements typically include payment of one or more of the following to us: non-refundable, up-front license fees; development, regulatory and/or commercial milestone payments; and royalties on net sales of licensed products. To date, we have not recognized any collaboration revenues.</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License Fee Revenue. </w:t>
      </w:r>
      <w:r>
        <w:rPr>
          <w:rFonts w:ascii="Arial;sans-serif" w:hAnsi="Arial;sans-serif"/>
          <w:b w:val="false"/>
          <w:color w:val="000000"/>
          <w:sz w:val="20"/>
        </w:rPr>
        <w:t>If the license to our intellectual property is determined to be distinct from the other performance obligations identified in a contract, we recognize revenues from non-refundable, upfront fees allocated to the license when the license is transferred to the customer and the customer is able to use and benefit from the license. For licenses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 To date, we have recognized $11.0 million in license fee revenue, all from payments received under our license agreement with Organon to commercialize XACIATO.</w:t>
      </w:r>
    </w:p>
    <w:p>
      <w:pPr>
        <w:pStyle w:val="TextBody"/>
        <w:bidi w:val="0"/>
        <w:spacing w:lineRule="auto" w:line="288" w:before="160" w:after="283"/>
        <w:ind w:left="0" w:right="0" w:firstLine="720"/>
        <w:jc w:val="both"/>
        <w:rPr/>
      </w:pPr>
      <w:r>
        <w:rPr>
          <w:rFonts w:ascii="Arial;sans-serif" w:hAnsi="Arial;sans-serif"/>
          <w:b w:val="false"/>
          <w:i/>
          <w:color w:val="000000"/>
          <w:sz w:val="20"/>
        </w:rPr>
        <w:t>Milestones.</w:t>
      </w:r>
      <w:r>
        <w:rPr>
          <w:color w:val="000000"/>
        </w:rPr>
        <w:t xml:space="preserve"> </w:t>
      </w:r>
      <w:r>
        <w:rPr>
          <w:rFonts w:ascii="Arial;sans-serif" w:hAnsi="Arial;sans-serif"/>
          <w:b w:val="false"/>
          <w:color w:val="000000"/>
          <w:sz w:val="20"/>
        </w:rPr>
        <w:t xml:space="preserve">At the inception of each arrangement in which we are a licensor and that includes developmental, regulatory or commercial milestones, we evaluate whether achieving the milestones is considered probable and estimate the amount to be included in the transaction price using the most likely amount method. If it is probable that a significant revenue reversal would not occur, the associated milestone value is included in the transaction price. Milestone payments not within our control, such as where achievement of the specified milestone depends on activities of a third party or regulatory approval, are not considered probable of being achieved until the specified milestone occurs. To date, we have recognized $1.8 million of milestone revenue, which represents the $1.8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milestone payment we received under our license agreement with Organon in connection with the first commercial sale of XACIATO.</w:t>
      </w:r>
    </w:p>
    <w:p>
      <w:pPr>
        <w:pStyle w:val="TextBody"/>
        <w:bidi w:val="0"/>
        <w:spacing w:lineRule="auto" w:line="288" w:before="160" w:after="283"/>
        <w:ind w:left="0" w:right="0" w:firstLine="720"/>
        <w:jc w:val="both"/>
        <w:rPr/>
      </w:pPr>
      <w:r>
        <w:rPr>
          <w:rFonts w:ascii="Arial;sans-serif" w:hAnsi="Arial;sans-serif"/>
          <w:b w:val="false"/>
          <w:i/>
          <w:color w:val="000000"/>
          <w:sz w:val="20"/>
        </w:rPr>
        <w:t>Royalties.</w:t>
      </w:r>
      <w:r>
        <w:rPr>
          <w:color w:val="000000"/>
        </w:rPr>
        <w:t xml:space="preserve"> </w:t>
      </w:r>
      <w:r>
        <w:rPr>
          <w:rFonts w:ascii="Arial;sans-serif" w:hAnsi="Arial;sans-serif"/>
          <w:b w:val="false"/>
          <w:color w:val="000000"/>
          <w:sz w:val="20"/>
        </w:rPr>
        <w:t>For arrangements that include sales-based royalties, including milestone payments based on the level of sales,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recognized approximately $7,900 of royalty revenue.</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Product Supply. </w:t>
      </w:r>
      <w:r>
        <w:rPr>
          <w:rFonts w:ascii="Arial;sans-serif" w:hAnsi="Arial;sans-serif"/>
          <w:b w:val="false"/>
          <w:color w:val="000000"/>
          <w:sz w:val="20"/>
        </w:rPr>
        <w:t xml:space="preserve">Arrangements that include a promise for future supply of product for commercial supply at the licensee’s discretion are generally considered as options. We assess if these options provide a material right to the licensee and if so, they are accounted for as separate performance obligations. We evaluate whether we are the principal or agent in the arrangement based on the degree we control the specified product at any time before transfer to the customer. If we are in the capacity of a principal, revenues are recognized on a gross basis. If we are in the capacity of an agent, revenues are recognized on a net basis. To date, we have recognized approximately $205,000 in revenue (and $201,000 in other expense attributed to the cost of revenue) associated with our XACIATO product supply arrangement, which is recorded in other income in our consolidated statements of operations and comprehensive loss. In connection with the transfer of the NDA for XACIATO to Organon in December 2023, that arrangement was terminated and we will not recognize product supply revenue associated with that arrangement in the future.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compensation cost for all stock-based awards is measured at the grant date, based on the fair value of the award (determined using a Black-Scholes option pricing model), and is recognized as an expense over the requisite service period (generally the vesting period of the award). Determining the fair value of stock-based awards at the grant date requires significant estimates and judgments, including estimating the market price volatility of our common stock, future stock option exercise behavior and requisite service periods. Due to our limited history of stock option exercises we applied the simplified method prescribed by SEC Staff Accounting Bulletin 110, Share-Based Payment: Certain Assumptions Used in Valuation Methods - Expected Term, to estimate expected life.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Stock options or stock awards with performance conditions issued to non-employees who are not directors are measured on the grant date and recognized when the performance is complete. Refer to Note 9 to our consolidated financial statements included in this report for more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Grant Funding</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receive certain research and development funding under grants issued by the U.S. government and a not-for-profit foundation. In accordance with a policy we adopted in 2018, we recognize grant funding in the statements of operations as a reduction to research and development expense as the related costs are incurred to meet those obligations over the grant period. Grant funding payments received in advance of research and development expenses incurred are recorded as deferred grant funding liability in our consolidated balance sheets. For the years ended December 31, 2023 and December 31, 2022, there were no material adjustments to our prior period estimates of grant funded research and development expenses. Refer to Note 13 to our consolidated financial statements included in this report for more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Clinical Trial Expense Accruals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estimate expenses resulting from our obligations under contracts with vendors, CROs and consultants and under clinical site agreements in connection with conducting clinical trials. The financial terms of these contracts vary and may result in payment flows that do not match the periods over which materials or services are provided.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record clinical trial expenses in the period in which services are performed and efforts are expended. We accrue for these expenses according to the progress of the trial as measured by patient progression and the timing of various aspects of the trial. We estimate accruals through financial models taking into account discussion with applicable personnel and outside service providers as to the progress of trials. During the course of a clinical trial, we may adjust our clinical accruals if actual results differ from our estimates. We estimate accrued expenses as of each balance sheet date based on the facts and circumstances known at that time. Our clinical trial accruals are dependent upon accurate reporting by CROs and other third-party vendors. Although we do not expect our estimates to differ materially from amounts actually incurred, our understanding of the status and timing of services performed relative to the actual status and timing of services performed may vary and may result in reporting amounts that are too high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too low for any particular period. For the years ended December 31, 2023 and December 31, 2022 there were no material adjustments to our prior period estimates of accrued expenses for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Comparison of the Years ended December 31, 2023 and 2022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consolidated results of operations for the years ended December 31, 2023 and 2022, and the change in the applicable category in terms of dollars and percentage:</w:t>
      </w:r>
    </w:p>
    <w:tbl>
      <w:tblPr>
        <w:tblW w:w="8651" w:type="dxa"/>
        <w:jc w:val="center"/>
        <w:tblInd w:w="0" w:type="dxa"/>
        <w:tblLayout w:type="fixed"/>
        <w:tblCellMar>
          <w:top w:w="28" w:type="dxa"/>
          <w:left w:w="28" w:type="dxa"/>
          <w:bottom w:w="28" w:type="dxa"/>
          <w:right w:w="28" w:type="dxa"/>
        </w:tblCellMar>
      </w:tblPr>
      <w:tblGrid>
        <w:gridCol w:w="902"/>
        <w:gridCol w:w="792"/>
        <w:gridCol w:w="796"/>
        <w:gridCol w:w="211"/>
        <w:gridCol w:w="1186"/>
        <w:gridCol w:w="109"/>
        <w:gridCol w:w="109"/>
        <w:gridCol w:w="109"/>
        <w:gridCol w:w="109"/>
        <w:gridCol w:w="211"/>
        <w:gridCol w:w="1186"/>
        <w:gridCol w:w="109"/>
        <w:gridCol w:w="109"/>
        <w:gridCol w:w="109"/>
        <w:gridCol w:w="109"/>
        <w:gridCol w:w="211"/>
        <w:gridCol w:w="1081"/>
        <w:gridCol w:w="109"/>
        <w:gridCol w:w="109"/>
        <w:gridCol w:w="109"/>
        <w:gridCol w:w="109"/>
        <w:gridCol w:w="218"/>
        <w:gridCol w:w="218"/>
        <w:gridCol w:w="331"/>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Years Ended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Milestone revenue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Royalty revenue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(7,192,115)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12,109,691 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21,538,074 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(8,504,143)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33,747,765 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41,385,488 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(7,637,723)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(30,939,880)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(30,161,391)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(30,947,738)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Revenues for the years ended December 31, 2023 and 2022 related to our license agreement with Organon to commercialize XACIATO. For 2023, we recognized $1.0 million in license fee revenue upon execution of the amendment to the license agreement in July 2023, $1.8 million in milestone revenue in connection with the first commercial sale of XACIATO, and approximately $7,900 in royalties from net sales of XACIATO in the fourth quarter. For 2022, we recognized $10.0 million in license fee revenue related to the transfer of the license and related know-how to Organon upon effectiveness of the license agreement in June 2022.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$0.9 million in general and administrative expenses from 2022 to 2023 was primarily attributable to (i) a $0.5 million commercial milestone due under our license agreement for XACIATO, (ii) $0.4 million of commercial-readiness expenses related to XACIATO, (iii) a one-time fraud loss of approximately $0.2 million, net of proceeds we received under an insurance policy, related to criminal fraud commonly referred to as "business email compromise fraud" to which we were subject, and (iv) an increase in stock-based compensation expense of approximately $0.2 million. The foregoing were partially offset by decreases in personnel costs of approximately $0.6 million due to decreased bonus expense, and general corporate overhead, including rent and facilities expenses, of approximately $26,000.</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Research and development expenses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decrease of approximately $8.5 million in research and development expenses from 2022 to 2023 was primarily attributable to decreases in (i) costs related to development activities for Sildenafil Cream of approximately $6.4 million, (ii) costs related to manufacturing and regulatory affairs activities for Ovaprene of approximately $2.0 million, (iii) costs related to development activities for XACIATO of approximately $0.2 million, (iv) rent and facilities expenses of approximately $0.1 million, and (v) costs related to development activities for our preclinical programs and other development expenses of approximately $69,000. Such decreases were partially offset by increases in (a) costs related to development activities for our Phase 1 and Phase 1-ready programs of approximately $0.2 million, and (b) stock-based compensation expense of approximately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each of the years ended December 31, 2023 and December 31, 2022 we accrued or paid $100,000 of the annual license maintenance fee payable under our license agreement related to DARE-HRT1. For further discussion of this annual license maintenance fee, see Note 3 "Strategic Agreements— Strategic Agreements for Pipeline Development" to the accompanying consolidated financial statements.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$0.3 million in other income from 2022 to 2023 was primarily due to an increase in interest earned on cash balances in 2023 due to higher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417" w:before="20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December 31, 2023, our accumulated deficit was approximately $171.2 million, our cash and cash equivalents were approximately $10.5 million, and our working capital deficit was approximately $2.9 million. We incurred a loss of approximately $30.2 million and had negative cash flow from operations of approximately $38.9 million for the year ended December 31, 2023.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Our cash and cash equivalents at December 31, 2023 represented funds received under grant agreements related to DARE-LARC1 and DARE-LBT and such funds may be applied solely toward direct costs for the development of DARE-LARC1 and DARE-LBT, other than approximately 10% of such funds, which may be applied toward general overhead and administration expenses that support our entire operations. For additional information about these grant agreements, see "—Deferred Grant Funding" and "—Grant Agreements," below. We expect to incur significant losses from operations and negative cash flows from operations for the foreseeable future as we continue to develop and seek to bring to market our product candidates.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In large part, we can control the pace of advancement of our development programs and therefore, we can control the timing of when we incur most of our research and development expenses. 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third-party licensors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 and in particular, if we determine to engage in commercialization activities directly as opposed to through a third-party collaborator. We anticipate our general and administrative expenses for 2024 will be consistent with our general and administrative expenses for 2023.</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royalty interest financing agreement we entered into in December 2023, we may, in our sole discretion, elect to receive up to an additional aggregate amount of $7.0 million. Under our license agreement relating to XACIATO, we may receive royalty payments based on net sales of XACIATO, however, we do not expect such royalty payments for 2024 to materially impact our cash resources or requirements.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closely monitor our limited cash resources and we have implemented cost-savings measures, primarily by controlling our spend on research and development activities related to clinical-stage programs other than Ovaprene and Sildenafil Cream. Our research and development expenses for 2024, until we secure additional capital to fund our operating needs, will continue to be primarily associated with manufacturing activities in connection with our ongoing pivotal Phase 3 clinical study of Ovaprene and activities, including regulatory affairs activities, related to advancing Sildenafil Cream toward a Phase 3 clinical study. However, we plan to continue to advance preclinical development of DARE-LARC1, the costs of which are being supported by grant funding.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will need additional capital to fund our operating needs into the third quarter of 2024 and to meet our current obligations as they become due. We are in ongoing discussions with multiple potential third-party sources of additional capital, including non-dilutive sources of capital. Many aspects of our ability to obtain additional capital are not entirely within our control and there can be no assurance that we will receive additional capital when needed,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favorable terms, or at all.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Item 1A of Part I of this report titled, </w:t>
      </w:r>
      <w:r>
        <w:rPr>
          <w:rFonts w:ascii="Arial;sans-serif" w:hAnsi="Arial;sans-serif"/>
          <w:b w:val="false"/>
          <w:i/>
          <w:color w:val="000000"/>
          <w:sz w:val="20"/>
        </w:rPr>
        <w:t>We will need to raise substantial additional capital to continue our operations and execute our business strategy, and we may not be able to raise adequate capital on a timely basis, on favorable terms, or at all.</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and strategic collaborations. We will continue to evaluate and may pursue a variety of capital raising options on an on-going basis, including sales of equity (including sales of our common stock in ATM offerings), debt financings, government or other grant funding, collaborations, structured financings, and strategic alliances or other similar types of arrangements, to cover our operating expenses, and the cost of any license or other acquisition of new product candidates or technologies. There can be no assurance that capital will be available when needed or that, if available, it will be obtained on terms favorable to us and our stockholders. Our ability to raise capital through sales of our common stock will depend on a variety of factors including, among others, market conditions, the trading price and volume of our common stock, our clinical and commercial developments, and investor sentiment. In addition, macroeconomic factors and volatility in the financial market, which may be exacerbated in the short term by concerns over inflation, interest rates, economic recession, adverse developments affecting financial institutions or the financial services industry, impacts of the wars in Ukraine and the Middle East, strained relations between the U.S. and several other countries, and social and political discord and unrest in the U.S., among other things, may make equity or debt financings more difficult, more costly or more dilutive to our stockholders, and may increase competition for, or limit the availability of, funding from other potential third-party sources of capital, such as strategic collaborators and sources of grant funding.</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equity or debt financings may have a dilutive effect on the holdings of our existing stockholders, and debt financings may subject us to restrictive covenants, operational restrictions and security interests in our assets.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prepared the accompanying consolidated financial statements on a going concern basis, which assumes that we will realize our assets and satisfy our liabilities in the normal course of business. As discussed above, there is substantial doubt about our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Deferred Grant Funding</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have received substantial funding under grant agreements related to DARE-LARC1 and DARE-LBT. Under these agreements, and under the agreement we received from the Foundation in January 2024 to fund activities related to bacteria-based live biotherapeutic product development, we generally receive grant funds before we incur the eligible expenses. Funds received that have not been spent are recorded both as cash and cash equivalents and as a deferred grant funding liability in our consolidated balance sheets. Our deferred grant funding liability also includes grant funds spent but not yet expensed in accordance with GAAP. As of December 31, 2023, our deferred grant funding liability was approximately $13.7 million, which primarily consisted of unspent funds for the DARE-LARC1 program. The balance of our deferred grant funding liability at December 31, 2023 primarily consisted of funds for the DARE-LARC1 program that have been spent but not yet expensed in accordance with GAAP. For more information about these grant agreements, see "—Grant Agreements" below, and Note 2, Basis of Presentation and Summary of Significant Accounting Policies—Grant Funding, and Note 13, Grant Awards-Other Non-Dilutive Grant Funding to the accompanying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994" w:type="dxa"/>
        <w:jc w:val="center"/>
        <w:tblInd w:w="0" w:type="dxa"/>
        <w:tblLayout w:type="fixed"/>
        <w:tblCellMar>
          <w:top w:w="28" w:type="dxa"/>
          <w:left w:w="28" w:type="dxa"/>
          <w:bottom w:w="28" w:type="dxa"/>
          <w:right w:w="28" w:type="dxa"/>
        </w:tblCellMar>
      </w:tblPr>
      <w:tblGrid>
        <w:gridCol w:w="2034"/>
        <w:gridCol w:w="1781"/>
        <w:gridCol w:w="1795"/>
        <w:gridCol w:w="211"/>
        <w:gridCol w:w="1186"/>
        <w:gridCol w:w="109"/>
        <w:gridCol w:w="109"/>
        <w:gridCol w:w="109"/>
        <w:gridCol w:w="109"/>
        <w:gridCol w:w="211"/>
        <w:gridCol w:w="1186"/>
        <w:gridCol w:w="154"/>
      </w:tblGrid>
      <w:tr>
        <w:trPr/>
        <w:tc>
          <w:tcPr>
            <w:tcW w:w="203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Years Ended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(38,856,654)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(18,088,429)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decrease in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(23,858,549)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(17,004,482)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during the year ended December 31, 2023 included the net loss of $30.2 million, decreased by non-cash stock-based compensation expense of approximately $2.5 million. Components providing operating cash were an increase in accounts payable of approximately $1.4 million, a decrease in other receivables of approximately $0.8 million, and a decrease in prepaid expenses of approximately $0.5 million. Components reducing operating cash were a decrease in accrued expenses of approximately $8.3 million, a decrease in deferred grant funding of approximately $4.6 million, an increase in deposits of $1.2 million primarily related to deposits paid for the construction of capital equipment, and a decrease in other non-current assets of approximately $10,000.</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operating activities during the year ended December 31, 2022 included the net loss of $30.9 million, decreased by non-cash stock-based compensation expense of approximately $2.2 million. Components providing operating cash were an increase in accrued expenses of approximately $7.8 million, and an increase in deferred grant funding of approximately $7.8 million. Components reducing operating cash were an increase in prepaid expenses of approximately $4.2 million, an increase in other receivables of approximately $0.6 million, and a decrease in accounts payable of approximately $75,000.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investing activities during the years ended December 31, 2023 and December 31, 2022 was related to purchases of property and equipment of approximately $629,000 and $63,000, respectively.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Net cash provided by financing activities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during the year ended December 31, 2023 consisted of proceeds from (i) the sale of our common stock and warrants in the registered direct offering completed in September 2023 of approximately $7.0 million, (ii) the sale of future royalties of approximately $4.7 million, net, (iii) the sales of our common stock under our ATM sales agreement of approximately $2.3 million, net, (iv) the exercise of warrants of approximately $1.3 million, and (v) the financing of certain director and officer and other liability insurance premiums of approximately $0.6 million net of payments made of approximately $0.3 million.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provided by financing activities of during the year ended December 31, 2022 consisted primarily of net proceeds from sales of our common stock under our ATM sales agreement.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agreed to make royalty and milestone payments under the license and development agreements related to XACIATO, Ovaprene, and Sildenafil Cream, and under other agreements related to our other clinical and preclinical candidates. During 2024, based on our current expectations regarding the development of our product candidates and sales of XACIATO, we expect to pay approximately $2.8 million in royalty and milestone payments under the license and development agreements. For further discussion of these potential payments, see Note 3 "Strategic Agreements—Strategic Agreements for Pipeline Development" to the accompanying consolidated financial statements.</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received substantial funding under grant agreements related to DARE-LARC1 and DARE-LBT. In September 2023, following an assessment of our activities and the milestones we achieved to date, we received $4.5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million as the latest installment under the grant agreement to advance the preclinical development of DARE-LARC1. Grant funds under these agreements, and under the agreement we received from the Foundation in January 2024 to fund activities related to bacteria-based live biotherapeutic product development, generally are received before we incur the eligible expenses. Unspent grant funds are recorded as deferred grant funding liability in our consolidated balance sheets and our deferred grant funding liability as of December 31, 2023 primarily consisted of unspent grant funds for the DARE-LARC1 program. For more information, see Note 2, Basis of Presentation and Summary of Significant Accounting Policies—Grant Funding, and Note 13, Grant Awards-Other Non-Dilutive Grant Funding to the accompanying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consolidated financial statements required to be included in this Item 8 are set forth in a separate section of this report commencing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00" w:after="283"/>
        <w:ind w:left="0" w:right="0" w:firstLine="14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December 31, 2023 at the reasonable assurance level.</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management is responsible for establishing and maintaining adequate internal control over financial reporting (as such term is defined in Rule 13a-15(f) of the Exchange Act). Our internal control over financial reporting 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2023 to provide reasonable assurance regarding the reliability of financial reporting and the preparation of financial statements in accordance with generally accepted accounting principles in the United States.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fourth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(b) During the period from October 1, 2023 to December 31, 2023,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will be included in the Company's 2024 Proxy Statement and is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will be included in the Company's 2024 Proxy Statement and is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will be included in the Company's 2024 Proxy Statement and is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will be included in the Company's 2024 Proxy Statement and is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will be included in the Company's 2024 Proxy Statement and is incorporated in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 The following documents are filed as part of this annual report on Form 10-K:</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(1) Financial Statements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See “Index to Consolidated Financial Statements” on page F-1.</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(2) Financial Statement Schedules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(3) Exhibits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Exhibits not filed or furnished herewith are incorporated by reference to exhibits previously filed with the SEC, as reflected in the table below. We will furnish a copy of any exhibit to stockholders, without charge upon written request to Daré Bioscience, Inc., 3655 Nobel Drive, Suite 260, San Diego, CA 92122, or by calling 858-926-7655.</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294"/>
        <w:gridCol w:w="1124"/>
        <w:gridCol w:w="1009"/>
        <w:gridCol w:w="109"/>
        <w:gridCol w:w="109"/>
        <w:gridCol w:w="109"/>
        <w:gridCol w:w="200"/>
        <w:gridCol w:w="200"/>
        <w:gridCol w:w="201"/>
        <w:gridCol w:w="110"/>
        <w:gridCol w:w="110"/>
        <w:gridCol w:w="110"/>
        <w:gridCol w:w="280"/>
        <w:gridCol w:w="280"/>
        <w:gridCol w:w="281"/>
        <w:gridCol w:w="110"/>
        <w:gridCol w:w="110"/>
        <w:gridCol w:w="110"/>
        <w:gridCol w:w="229"/>
        <w:gridCol w:w="229"/>
        <w:gridCol w:w="230"/>
        <w:gridCol w:w="110"/>
        <w:gridCol w:w="110"/>
        <w:gridCol w:w="110"/>
        <w:gridCol w:w="266"/>
        <w:gridCol w:w="266"/>
        <w:gridCol w:w="268"/>
        <w:gridCol w:w="109"/>
        <w:gridCol w:w="109"/>
        <w:gridCol w:w="109"/>
        <w:gridCol w:w="295"/>
        <w:gridCol w:w="295"/>
        <w:gridCol w:w="4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 Date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PLANS OF ACQUISITION</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br/>
              <w:t>Δ</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Agreement and Plan of Merger, dated as of April 30, 2018, by and among Daré Bioscience, Inc., Daré Merger Sub, Inc., Pear Tree Pharmaceuticals, Inc., and Fred Mermelstein and Stephen C. Rocamboli, as Holders' Representatives</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Agreement and Plan of Merger, dated November 10, 2019, Dare Bioscience, Inc., MC Merger Sub, Inc., Microchips Biotech, Inc., and Shareholder Representative Services LLC, as the stockholders'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11/12/2019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ARTICLES OF INCORPORATION AND BYLAWS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Restated Certificate of Incorporation, as amended to date</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08/09/2022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Third Amended and Restated By-Laws (as amended through January 24,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8/10/2023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INSTRUMENTS DEFINING RIGHTS OF SECURITY HOLDERS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Specimen stock certificate evidencing the shares of common stock</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03/28/2018</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 xml:space="preserve">Warrant Agreement to purchase shares of common stock of the registrant with Aquilo Partners, L.P., entered into as of October 16,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03/31/2022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
        <w:gridCol w:w="191"/>
        <w:gridCol w:w="195"/>
        <w:gridCol w:w="109"/>
        <w:gridCol w:w="109"/>
        <w:gridCol w:w="109"/>
        <w:gridCol w:w="1972"/>
        <w:gridCol w:w="1495"/>
        <w:gridCol w:w="1500"/>
        <w:gridCol w:w="109"/>
        <w:gridCol w:w="109"/>
        <w:gridCol w:w="109"/>
        <w:gridCol w:w="151"/>
        <w:gridCol w:w="148"/>
        <w:gridCol w:w="129"/>
        <w:gridCol w:w="109"/>
        <w:gridCol w:w="109"/>
        <w:gridCol w:w="109"/>
        <w:gridCol w:w="236"/>
        <w:gridCol w:w="236"/>
        <w:gridCol w:w="237"/>
        <w:gridCol w:w="109"/>
        <w:gridCol w:w="109"/>
        <w:gridCol w:w="109"/>
        <w:gridCol w:w="204"/>
        <w:gridCol w:w="204"/>
        <w:gridCol w:w="205"/>
        <w:gridCol w:w="109"/>
        <w:gridCol w:w="109"/>
        <w:gridCol w:w="109"/>
        <w:gridCol w:w="159"/>
        <w:gridCol w:w="159"/>
        <w:gridCol w:w="163"/>
        <w:gridCol w:w="109"/>
        <w:gridCol w:w="109"/>
        <w:gridCol w:w="109"/>
        <w:gridCol w:w="109"/>
        <w:gridCol w:w="109"/>
        <w:gridCol w:w="161"/>
      </w:tblGrid>
      <w:tr>
        <w:trPr/>
        <w:tc>
          <w:tcPr>
            <w:tcW w:w="2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Form of common stock purchase warrants issued on September 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44.htm">
              <w:r>
                <w:rPr>
                  <w:rStyle w:val="InternetLink"/>
                  <w:rFonts w:ascii="Arial;sans-serif" w:hAnsi="Arial;sans-serif"/>
                  <w:b w:val="false"/>
                  <w:color w:val="0000FF"/>
                  <w:sz w:val="20"/>
                  <w:u w:val="single"/>
                </w:rPr>
                <w:t>Form of common stock purchase warrants issued on December 21,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Description of securities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COMMERCIAL AGREEMENTS</w:t>
            </w:r>
          </w:p>
        </w:tc>
      </w:tr>
      <w:tr>
        <w:trPr/>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Exclusive License Agreement dated March 31, 2022 between Organon International GmbH and Dare Bioscience, Inc., effective as of June 30, 2022</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05/12/2022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First Amendment to License Agreement by and between Organon International GmbH and Dare Bioscience, Inc. entered into as of July 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Consent, Waiver and Stand-By License Agreement, dated March 30, 2022, by and among TriLogic Pharma, LLC, and MilanaPharm LLC, Dare Bioscience, Inc., and Organon International GmbH.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05/12/2022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License and Collaboration Agreement dated February 11, 2018 between Daré Bioscience, Inc., Strategic Science and Technologies-D, LLC and Strategic Science Technologies,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04/30/2018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License Agreement dated March 19, 2017, between Daré Bioscience Operations, Inc. and ADVA-Tec,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11/13/2017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Exclusive License Agreement made as April 24, 2018 by and between Catalent JNP, Inc. (fka Juniper Pharmaceuticals, Inc.), and Daré Bioscience,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10.6(a)Δ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Amended and Restated Exclusive License Agreement for Atrophic Vaginitis Technology, effective as of July 14, 2006, dated August 15, 2007, by and between Fred Mermelstein, Ph.D., and Janet Chollet, M.D., and Pear Tree Women’s Health Care,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
        <w:gridCol w:w="193"/>
        <w:gridCol w:w="194"/>
        <w:gridCol w:w="109"/>
        <w:gridCol w:w="109"/>
        <w:gridCol w:w="109"/>
        <w:gridCol w:w="1625"/>
        <w:gridCol w:w="1625"/>
        <w:gridCol w:w="1628"/>
        <w:gridCol w:w="109"/>
        <w:gridCol w:w="109"/>
        <w:gridCol w:w="109"/>
        <w:gridCol w:w="133"/>
        <w:gridCol w:w="133"/>
        <w:gridCol w:w="134"/>
        <w:gridCol w:w="109"/>
        <w:gridCol w:w="109"/>
        <w:gridCol w:w="109"/>
        <w:gridCol w:w="230"/>
        <w:gridCol w:w="230"/>
        <w:gridCol w:w="232"/>
        <w:gridCol w:w="109"/>
        <w:gridCol w:w="109"/>
        <w:gridCol w:w="109"/>
        <w:gridCol w:w="205"/>
        <w:gridCol w:w="205"/>
        <w:gridCol w:w="206"/>
        <w:gridCol w:w="109"/>
        <w:gridCol w:w="109"/>
        <w:gridCol w:w="109"/>
        <w:gridCol w:w="238"/>
        <w:gridCol w:w="236"/>
        <w:gridCol w:w="198"/>
        <w:gridCol w:w="109"/>
        <w:gridCol w:w="109"/>
        <w:gridCol w:w="109"/>
        <w:gridCol w:w="109"/>
        <w:gridCol w:w="109"/>
        <w:gridCol w:w="161"/>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10.6(b)Δ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Amendment No. 1 to the Amended and Restated Exclusive License Agreement, dated as of October 10, 2007, by and among Fred Mermelstein, Ph.D. and Janet Chollet, M.D., and Pear Tree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10.6(c)Δ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Amendment No. 2 to the Amended and Restated Exclusive License Agreement, dated as of February 13, 2017, by and among Fred Mermelstein, Ph.D., and Janet Chollet, M.D., Pear Tree Pharmaceuticals, Inc. and Bernadette Klamerus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Amendment No. 3 to the Amended and Restated Exclusive License Agreement, effective as of February 13, 2017, by and among Fred Mermelstein, Ph.D., and Janet Chollet, M.D., Pear Tree Pharmaceuticals, Inc. and Bernadette Klamerus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10.6(e)Δ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Exclusive License Agreement, dated as of February 13, 2017, by and between GYN Holdings, Inc., a wholly-owned subsidiary of Pear Tree Pharmaceuticals, Inc. and Bernadette Klamerus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10.6(f)Δ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Exclusive License Agreement, effective as of September 15, 2017, by and between Fred Mermelstein, Ph.D., Janet Chollet, M.D., Pear Tree Pharmaceuticals, Inc., and Stephen C. Rocamboli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10.7(a)Δ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Assignment Agreement by and between Daré Bioscience, Inc. and Hammock Pharmaceuticals, Inc. effective as of December 5,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04/01/2019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10.7(b)Δ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First Amendment to the License Agreement effective as of December 5, 2018 by and among Daré Bioscience, Inc., TriLogic Pharma, LLC and MilanaPharm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04/01/2019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Amendment No. 1 to Assignment Agreement entered into as of December 4, 2019 between Daré Bioscience, Inc. and Hammock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Amendment No. 2 to the License Agreement entered into as of December 3, 2019 between Daré Bioscience, Inc., TriLogic Pharma, LLC and MilanaPharm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5"/>
        <w:gridCol w:w="199"/>
        <w:gridCol w:w="109"/>
        <w:gridCol w:w="109"/>
        <w:gridCol w:w="109"/>
        <w:gridCol w:w="1563"/>
        <w:gridCol w:w="1563"/>
        <w:gridCol w:w="1567"/>
        <w:gridCol w:w="109"/>
        <w:gridCol w:w="109"/>
        <w:gridCol w:w="109"/>
        <w:gridCol w:w="139"/>
        <w:gridCol w:w="139"/>
        <w:gridCol w:w="140"/>
        <w:gridCol w:w="109"/>
        <w:gridCol w:w="109"/>
        <w:gridCol w:w="109"/>
        <w:gridCol w:w="325"/>
        <w:gridCol w:w="241"/>
        <w:gridCol w:w="242"/>
        <w:gridCol w:w="109"/>
        <w:gridCol w:w="109"/>
        <w:gridCol w:w="109"/>
        <w:gridCol w:w="210"/>
        <w:gridCol w:w="210"/>
        <w:gridCol w:w="211"/>
        <w:gridCol w:w="109"/>
        <w:gridCol w:w="109"/>
        <w:gridCol w:w="109"/>
        <w:gridCol w:w="201"/>
        <w:gridCol w:w="201"/>
        <w:gridCol w:w="205"/>
        <w:gridCol w:w="109"/>
        <w:gridCol w:w="109"/>
        <w:gridCol w:w="109"/>
        <w:gridCol w:w="109"/>
        <w:gridCol w:w="109"/>
        <w:gridCol w:w="162"/>
      </w:tblGrid>
      <w:tr>
        <w:trPr/>
        <w:tc>
          <w:tcPr>
            <w:tcW w:w="2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Amendment to License Agreement effective as of September 21, 2021 by and among Daré Bioscience, Inc., TriLogic Pharma, LLC and MilanaPharm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License Agreement dated as of January 10, 2020 between Bayer HealthCare LLC and Daré Bioscience,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Grant Agreement between Daré Bioscience, Inc. and the Bill &amp; Melinda Gates Foundation effective as of June 30,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08/12/2021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Cooperative Research and Development Agreement entered into as of July 8, 2021 between Daré Bioscience, Inc. and the Eunice Kennedy Shriver National Institutes of Child Health and Human Development Institute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Form of Securities Purchase Agreement dated as of August 29, 2023, between Dare Bioscience, Inc. and each purchaser identified on the signature pages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1012.htm">
              <w:r>
                <w:rPr>
                  <w:rStyle w:val="InternetLink"/>
                  <w:rFonts w:ascii="Arial;sans-serif" w:hAnsi="Arial;sans-serif"/>
                  <w:b w:val="false"/>
                  <w:color w:val="0000FF"/>
                  <w:sz w:val="20"/>
                  <w:u w:val="single"/>
                </w:rPr>
                <w:t>Royalty Interest Financing Agreement entered into as of December 21, 2023 between Dare Bioscience, Inc. and United in Endeavor,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MANAGEMENT CONTRACTS AND COMPENSATORY PLANS</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10.13(a)*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Daré Bioscience, Inc. Amended and Restated 2014 Stock Incentive Plan</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7/12/2018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Form of Incentive Stock Option Agreement for grants under the Daré Bioscience, Inc. Amended and Restated 2014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Form of Nonstatutory Stock Option Agreement for grants under the Daré Bioscience, Inc. Amended and Restated 2014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2014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333-194442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3/31/2014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Daré Bioscience, Inc. 2022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u w:val="single"/>
                </w:rPr>
                <w:t>Form of Incentive Stock Option Agreement for Grants under the Daré Bioscience, Inc. 2022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0"/>
        <w:gridCol w:w="228"/>
        <w:gridCol w:w="230"/>
        <w:gridCol w:w="109"/>
        <w:gridCol w:w="109"/>
        <w:gridCol w:w="109"/>
        <w:gridCol w:w="1619"/>
        <w:gridCol w:w="1472"/>
        <w:gridCol w:w="1475"/>
        <w:gridCol w:w="109"/>
        <w:gridCol w:w="109"/>
        <w:gridCol w:w="109"/>
        <w:gridCol w:w="144"/>
        <w:gridCol w:w="142"/>
        <w:gridCol w:w="125"/>
        <w:gridCol w:w="109"/>
        <w:gridCol w:w="109"/>
        <w:gridCol w:w="109"/>
        <w:gridCol w:w="328"/>
        <w:gridCol w:w="248"/>
        <w:gridCol w:w="250"/>
        <w:gridCol w:w="109"/>
        <w:gridCol w:w="109"/>
        <w:gridCol w:w="109"/>
        <w:gridCol w:w="218"/>
        <w:gridCol w:w="218"/>
        <w:gridCol w:w="220"/>
        <w:gridCol w:w="109"/>
        <w:gridCol w:w="109"/>
        <w:gridCol w:w="109"/>
        <w:gridCol w:w="242"/>
        <w:gridCol w:w="240"/>
        <w:gridCol w:w="203"/>
        <w:gridCol w:w="109"/>
        <w:gridCol w:w="109"/>
        <w:gridCol w:w="109"/>
        <w:gridCol w:w="109"/>
        <w:gridCol w:w="109"/>
        <w:gridCol w:w="163"/>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10.15(c)*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u w:val="single"/>
                </w:rPr>
                <w:t>Form of Nonstatutory Stock Option Agreement for Grants under the Daré Bioscience, Inc. 2022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20"/>
                  <w:u w:val="single"/>
                </w:rPr>
                <w:t>Daré Bioscience, Inc. Performance Bonus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Form of indemnification agreement between the registrant and each of its executive officers and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333-194442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03/10/2014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Amended and Restated Non-Employee Director Compensation Policy (as amended through January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5/12/2022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Employment Agreement by and between Daré Bioscience, Inc. and Sabrina Martucci Johnson dated as of August 15,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08/18/2017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20"/>
                  <w:u w:val="single"/>
                </w:rPr>
                <w:t>Amendment No. 1 to Employment Agreement between Daré Bioscience, Inc. and Sabrina Martucci Johnson dated as of March 9,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05/14/2020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20"/>
                  <w:u w:val="single"/>
                </w:rPr>
                <w:t>Employment Agreement by and between Daré Bioscience, Inc. and Lisa Walters-Hoffert dated as of August 15,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08/18/2017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20"/>
                  <w:u w:val="single"/>
                </w:rPr>
                <w:t>Amendment No. 1 to Employment Agreement between Daré Bioscience, Inc. and Lisa Walters-Hoffert dated as of March 9,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05/14/2020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20"/>
                  <w:u w:val="single"/>
                </w:rPr>
                <w:t>Daré Bioscience, Inc. Employment Offer Letter to John Fair, dated April 24,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333-251599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01/05/2021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20"/>
                  <w:u w:val="single"/>
                </w:rPr>
                <w:t>Daré Bioscience, Inc. Change in Control Policy (effective October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333-251599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01/05/2021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EXHIBITS</w:t>
            </w:r>
          </w:p>
        </w:tc>
      </w:tr>
      <w:tr>
        <w:trPr/>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dare-20231231xex211.htm">
              <w:r>
                <w:rPr>
                  <w:rStyle w:val="InternetLink"/>
                  <w:rFonts w:ascii="Arial;sans-serif" w:hAnsi="Arial;sans-serif"/>
                  <w:b w:val="false"/>
                  <w:color w:val="0000FF"/>
                  <w:sz w:val="20"/>
                  <w:u w:val="single"/>
                </w:rPr>
                <w:t>Subsidiaries of the registrant</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231.htm">
              <w:r>
                <w:rPr>
                  <w:rStyle w:val="InternetLink"/>
                  <w:rFonts w:ascii="Arial;sans-serif" w:hAnsi="Arial;sans-serif"/>
                  <w:b w:val="false"/>
                  <w:color w:val="0000FF"/>
                  <w:sz w:val="20"/>
                  <w:u w:val="single"/>
                </w:rPr>
                <w:t>Consent of Haskell &amp; White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232.htm">
              <w:r>
                <w:rPr>
                  <w:rStyle w:val="InternetLink"/>
                  <w:rFonts w:ascii="Arial;sans-serif" w:hAnsi="Arial;sans-serif"/>
                  <w:b w:val="false"/>
                  <w:color w:val="0000FF"/>
                  <w:sz w:val="20"/>
                  <w:u w:val="single"/>
                </w:rPr>
                <w:t>Consent of Mayer Hoffman McCann P.C.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311.htm">
              <w:r>
                <w:rPr>
                  <w:rStyle w:val="InternetLink"/>
                  <w:rFonts w:ascii="Arial;sans-serif" w:hAnsi="Arial;sans-serif"/>
                  <w:b w:val="false"/>
                  <w:color w:val="0000FF"/>
                  <w:sz w:val="20"/>
                  <w:u w:val="single"/>
                </w:rPr>
                <w:t>Certification of Principal Executive Officer and Principal Financial Officer pursuant to Rule 13a-14(a)/15d-14(a)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5"/>
        <w:gridCol w:w="176"/>
        <w:gridCol w:w="177"/>
        <w:gridCol w:w="109"/>
        <w:gridCol w:w="109"/>
        <w:gridCol w:w="109"/>
        <w:gridCol w:w="1847"/>
        <w:gridCol w:w="1847"/>
        <w:gridCol w:w="1850"/>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23"/>
        <w:gridCol w:w="189"/>
      </w:tblGrid>
      <w:tr>
        <w:trPr/>
        <w:tc>
          <w:tcPr>
            <w:tcW w:w="2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321.htm">
              <w:r>
                <w:rPr>
                  <w:rStyle w:val="InternetLink"/>
                  <w:rFonts w:ascii="Arial;sans-serif" w:hAnsi="Arial;sans-serif"/>
                  <w:b w:val="false"/>
                  <w:color w:val="0000FF"/>
                  <w:sz w:val="20"/>
                  <w:u w:val="single"/>
                </w:rPr>
                <w:t>Certification of Principal Executive Officer and Principal Financial Officer pursuant to 18 U.S.C. §1350, as adopted pursuant to Section 906 of the Sarbanes-Oxley Act of 2002</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are-20231231xex97.htm">
              <w:r>
                <w:rPr>
                  <w:rStyle w:val="InternetLink"/>
                  <w:rFonts w:ascii="Arial;sans-serif" w:hAnsi="Arial;sans-serif"/>
                  <w:b w:val="false"/>
                  <w:color w:val="000080"/>
                  <w:sz w:val="20"/>
                  <w:u w:val="single"/>
                </w:rPr>
                <w:t>D</w:t>
              </w:r>
            </w:hyperlink>
            <w:hyperlink w:anchor="dare-20231231xex97.htm">
              <w:r>
                <w:rPr>
                  <w:rStyle w:val="InternetLink"/>
                  <w:rFonts w:ascii="Arial;sans-serif" w:hAnsi="Arial;sans-serif"/>
                  <w:b w:val="false"/>
                  <w:color w:val="000080"/>
                  <w:sz w:val="20"/>
                  <w:u w:val="single"/>
                </w:rPr>
                <w:t>are Bios</w:t>
              </w:r>
            </w:hyperlink>
            <w:hyperlink w:anchor="dare-20231231xex97.htm">
              <w:r>
                <w:rPr>
                  <w:rStyle w:val="InternetLink"/>
                  <w:rFonts w:ascii="Arial;sans-serif" w:hAnsi="Arial;sans-serif"/>
                  <w:b w:val="false"/>
                  <w:color w:val="000080"/>
                  <w:sz w:val="20"/>
                  <w:u w:val="single"/>
                </w:rPr>
                <w:t>cience, Inc. Policy on Recovery of Erroneously Awarded Compensation</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Calculation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Label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Presentation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schedules (or similar attachments) have been omitted from this filing pursuant to Item 601(b)(2) of Regulation S-K. The registrant will furnish copies of any schedules to the Securities and Exchange Commission upon request.</w:t>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Confidential treatment has been requested or granted to certain confidential information contained in this exhibit.</w:t>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Portions of this exhibit have been redacted in compliance with Regulation S-K Item 601(b)(10). The omitted information is not material and would likely cause competitive harm to the Company if publicly disclosed.</w:t>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r>
        <w:trPr/>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161"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109"/>
        <w:gridCol w:w="109"/>
        <w:gridCol w:w="109"/>
        <w:gridCol w:w="1006"/>
        <w:gridCol w:w="1006"/>
        <w:gridCol w:w="1423"/>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Daré Bioscience,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March 28,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173"/>
        <w:gridCol w:w="948"/>
        <w:gridCol w:w="956"/>
        <w:gridCol w:w="109"/>
        <w:gridCol w:w="109"/>
        <w:gridCol w:w="109"/>
        <w:gridCol w:w="1816"/>
        <w:gridCol w:w="1798"/>
        <w:gridCol w:w="1821"/>
        <w:gridCol w:w="396"/>
        <w:gridCol w:w="396"/>
        <w:gridCol w:w="574"/>
      </w:tblGrid>
      <w:tr>
        <w:trPr/>
        <w:tc>
          <w:tcPr>
            <w:tcW w:w="117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Signature</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Title</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Date</w:t>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 and Principal Financial Officer) and 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MARDEE HARING-LAYTON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MarDee Haring-Layton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H. RASTETTER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of the Board and 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H. Rastetter,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CHERYL R. BLANCHARD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Cheryl R. Blanchard,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D. GROSSMAN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D. Grossman,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SUSAN L. KELLEY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Susan L. Kelley,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GREGORY W. MATZ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Gregory W. Matz, CPA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SOPHIA ONONYE-ONYIA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Sophia Ononye-Onyia,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ROBIN STEELE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2024</w:t>
            </w:r>
          </w:p>
        </w:tc>
      </w:tr>
      <w:tr>
        <w:trPr/>
        <w:tc>
          <w:tcPr>
            <w:tcW w:w="3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Robin Steele, J.D., L.L.M.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518"/>
        <w:gridCol w:w="3072"/>
        <w:gridCol w:w="3088"/>
        <w:gridCol w:w="154"/>
        <w:gridCol w:w="154"/>
        <w:gridCol w:w="219"/>
      </w:tblGrid>
      <w:tr>
        <w:trPr/>
        <w:tc>
          <w:tcPr>
            <w:tcW w:w="3518"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81">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200)</w:t>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81">
              <w:r>
                <w:rPr>
                  <w:rStyle w:val="InternetLink"/>
                  <w:rFonts w:ascii="Arial;sans-serif" w:hAnsi="Arial;sans-serif"/>
                  <w:b w:val="false"/>
                  <w:color w:val="000080"/>
                  <w:sz w:val="20"/>
                  <w:u w:val="single"/>
                </w:rPr>
                <w:t>2</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918">
              <w:r>
                <w:rPr>
                  <w:rStyle w:val="InternetLink"/>
                  <w:rFonts w:ascii="Arial;sans-serif" w:hAnsi="Arial;sans-serif"/>
                  <w:b w:val="false"/>
                  <w:color w:val="0000FF"/>
                  <w:sz w:val="20"/>
                  <w:u w:val="single"/>
                </w:rPr>
                <w:t xml:space="preserve">Report of Independent Registered Public Accounting Firm </w:t>
              </w:r>
            </w:hyperlink>
            <w:r>
              <w:rPr>
                <w:rFonts w:ascii="Arial;sans-serif" w:hAnsi="Arial;sans-serif"/>
                <w:b w:val="false"/>
                <w:color w:val="000000"/>
                <w:sz w:val="20"/>
              </w:rPr>
              <w:t>(PCAOB ID 199)</w:t>
            </w:r>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918">
              <w:r>
                <w:rPr>
                  <w:rStyle w:val="InternetLink"/>
                  <w:rFonts w:ascii="Arial;sans-serif" w:hAnsi="Arial;sans-serif"/>
                  <w:b w:val="false"/>
                  <w:color w:val="000080"/>
                  <w:sz w:val="20"/>
                  <w:u w:val="single"/>
                </w:rPr>
                <w:t>3</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84">
              <w:r>
                <w:rPr>
                  <w:rStyle w:val="InternetLink"/>
                  <w:rFonts w:ascii="Arial;sans-serif" w:hAnsi="Arial;sans-serif"/>
                  <w:b w:val="false"/>
                  <w:color w:val="0000FF"/>
                  <w:sz w:val="20"/>
                  <w:u w:val="single"/>
                </w:rPr>
                <w:t>Consolidated Balance Sheets as of December 31, 2023 and 2022</w:t>
              </w:r>
            </w:hyperlink>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84">
              <w:r>
                <w:rPr>
                  <w:rStyle w:val="InternetLink"/>
                  <w:rFonts w:ascii="Arial;sans-serif" w:hAnsi="Arial;sans-serif"/>
                  <w:b w:val="false"/>
                  <w:color w:val="000080"/>
                  <w:sz w:val="20"/>
                  <w:u w:val="single"/>
                </w:rPr>
                <w:t>5</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87">
              <w:r>
                <w:rPr>
                  <w:rStyle w:val="InternetLink"/>
                  <w:rFonts w:ascii="Arial;sans-serif" w:hAnsi="Arial;sans-serif"/>
                  <w:b w:val="false"/>
                  <w:color w:val="0000FF"/>
                  <w:sz w:val="20"/>
                  <w:u w:val="single"/>
                </w:rPr>
                <w:t>Consolidated Statements of Operations and Comprehensive Loss for the years ended December 31, 2023 and 2022</w:t>
              </w:r>
            </w:hyperlink>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87">
              <w:r>
                <w:rPr>
                  <w:rStyle w:val="InternetLink"/>
                  <w:rFonts w:ascii="Arial;sans-serif" w:hAnsi="Arial;sans-serif"/>
                  <w:b w:val="false"/>
                  <w:color w:val="000080"/>
                  <w:sz w:val="20"/>
                  <w:u w:val="single"/>
                </w:rPr>
                <w:t>6</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90">
              <w:r>
                <w:rPr>
                  <w:rStyle w:val="InternetLink"/>
                  <w:rFonts w:ascii="Arial;sans-serif" w:hAnsi="Arial;sans-serif"/>
                  <w:b w:val="false"/>
                  <w:color w:val="0000FF"/>
                  <w:sz w:val="20"/>
                  <w:u w:val="single"/>
                </w:rPr>
                <w:t>Consolidated Statements of Stockholders’ Equity (Deficit) for the years ended December 31, 2023 and 2022</w:t>
              </w:r>
            </w:hyperlink>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90">
              <w:r>
                <w:rPr>
                  <w:rStyle w:val="InternetLink"/>
                  <w:rFonts w:ascii="Arial;sans-serif" w:hAnsi="Arial;sans-serif"/>
                  <w:b w:val="false"/>
                  <w:color w:val="000080"/>
                  <w:sz w:val="20"/>
                  <w:u w:val="single"/>
                </w:rPr>
                <w:t>7</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93">
              <w:r>
                <w:rPr>
                  <w:rStyle w:val="InternetLink"/>
                  <w:rFonts w:ascii="Arial;sans-serif" w:hAnsi="Arial;sans-serif"/>
                  <w:b w:val="false"/>
                  <w:color w:val="0000FF"/>
                  <w:sz w:val="20"/>
                  <w:u w:val="single"/>
                </w:rPr>
                <w:t>Consolidated Statements of Cash Flows for the years ended December 31, 2023 and 2022</w:t>
              </w:r>
            </w:hyperlink>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93">
              <w:r>
                <w:rPr>
                  <w:rStyle w:val="InternetLink"/>
                  <w:rFonts w:ascii="Arial;sans-serif" w:hAnsi="Arial;sans-serif"/>
                  <w:b w:val="false"/>
                  <w:color w:val="000080"/>
                  <w:sz w:val="20"/>
                  <w:u w:val="single"/>
                </w:rPr>
                <w:t>8</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c4ce5c2bd341b08c6cad3a94221276_196">
              <w:r>
                <w:rPr>
                  <w:rStyle w:val="InternetLink"/>
                  <w:rFonts w:ascii="Arial;sans-serif" w:hAnsi="Arial;sans-serif"/>
                  <w:b w:val="false"/>
                  <w:color w:val="0000FF"/>
                  <w:sz w:val="20"/>
                  <w:u w:val="single"/>
                </w:rPr>
                <w:t>Notes to Consolidated Financial Statements</w:t>
              </w:r>
            </w:hyperlink>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14c4ce5c2bd341b08c6cad3a94221276_196">
              <w:r>
                <w:rPr>
                  <w:rStyle w:val="InternetLink"/>
                  <w:rFonts w:ascii="Arial;sans-serif" w:hAnsi="Arial;sans-serif"/>
                  <w:b w:val="false"/>
                  <w:color w:val="000080"/>
                  <w:sz w:val="20"/>
                  <w:u w:val="single"/>
                </w:rPr>
                <w:t>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200" w:after="283"/>
        <w:jc w:val="both"/>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 the Board of Directors and Stockholders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Daré Bioscience, Inc.</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Opinion on the Consolidated Financial Statements</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We have audited the accompanying consolidated balance sheet of </w:t>
      </w:r>
      <w:r>
        <w:rPr>
          <w:rFonts w:ascii="Arial;sans-serif" w:hAnsi="Arial;sans-serif"/>
          <w:b/>
          <w:color w:val="000000"/>
          <w:sz w:val="20"/>
        </w:rPr>
        <w:t>Daré Bioscience, Inc.</w:t>
      </w:r>
      <w:r>
        <w:rPr>
          <w:color w:val="000000"/>
        </w:rPr>
        <w:t xml:space="preserve"> </w:t>
      </w:r>
      <w:r>
        <w:rPr>
          <w:rFonts w:ascii="Arial;sans-serif" w:hAnsi="Arial;sans-serif"/>
          <w:b w:val="false"/>
          <w:color w:val="000000"/>
          <w:sz w:val="20"/>
        </w:rPr>
        <w:t>and Subsidiaries (the “Company”) as of December 31, 2023, and the related consolidated statements of operations and comprehensive loss, stockholders’ equity (deficit), and cash flows for the year then ended December 31, 2023, and the related notes (collectively referred to as the “consolidated financial statements”). In our opinion, the consolidated financial statements referred to above present fairly, in all material respects, the consolidated financial position of the Company as of December 31, 2023, and the consolidated results of its operations and its cash flows for the year then ended December 31, 2023, in conformity with accounting principles generally accepted in the United States of America.</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The Company's Ability to Continue as a Going Concern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assuming that the Company will continue as a going concern. As discussed in Note 2 to the consolidated financial statements, the Company has recurring losses from operations, negative cash flow from operations and is dependent on additional financing to fund operations. These conditions raise substantial doubt about the Company’s ability to continue as a going concern. Management’s plans in regard to these matters are also described in Note 2 to the consolidated financial statements. The consolidated financial statements do not include any adjustments to reflect the possible future effects on the recoverability and classification of assets or the amounts and classification of liabilities that may result from the outcome of this uncertainty.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before="120" w:after="283"/>
        <w:ind w:left="0" w:right="0" w:firstLine="720"/>
        <w:jc w:val="both"/>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Report of Independent Registered Public Accounting Firm (Continued)</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20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Haskell &amp; White LLP</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HASKELL &amp; WHITE LLP</w:t>
      </w:r>
    </w:p>
    <w:p>
      <w:pPr>
        <w:pStyle w:val="TextBody"/>
        <w:bidi w:val="0"/>
        <w:spacing w:lineRule="auto" w:line="276" w:before="200" w:after="283"/>
        <w:jc w:val="both"/>
        <w:rPr>
          <w:rFonts w:ascii="Arial;sans-serif" w:hAnsi="Arial;sans-serif"/>
          <w:b w:val="false"/>
          <w:color w:val="000000"/>
          <w:sz w:val="20"/>
        </w:rPr>
      </w:pPr>
      <w:r>
        <w:rPr>
          <w:rFonts w:ascii="Arial;sans-serif" w:hAnsi="Arial;sans-serif"/>
          <w:b w:val="false"/>
          <w:color w:val="000000"/>
          <w:sz w:val="20"/>
        </w:rPr>
        <w:t>We have served as the Company's auditor since 2023.</w:t>
      </w:r>
    </w:p>
    <w:p>
      <w:pPr>
        <w:pStyle w:val="TextBody"/>
        <w:bidi w:val="0"/>
        <w:spacing w:lineRule="auto" w:line="276" w:before="200" w:after="283"/>
        <w:jc w:val="both"/>
        <w:rPr>
          <w:rFonts w:ascii="Arial;sans-serif" w:hAnsi="Arial;sans-serif"/>
          <w:b w:val="false"/>
          <w:color w:val="000000"/>
          <w:sz w:val="20"/>
        </w:rPr>
      </w:pPr>
      <w:r>
        <w:rPr>
          <w:rFonts w:ascii="Arial;sans-serif" w:hAnsi="Arial;sans-serif"/>
          <w:b w:val="false"/>
          <w:color w:val="000000"/>
          <w:sz w:val="20"/>
        </w:rPr>
        <w:t>Irvine, California</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March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200" w:after="283"/>
        <w:jc w:val="both"/>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 the Board of Directors and Stockholders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Daré Bioscience, Inc.</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We have audited the accompanying consolidated balance sheet of </w:t>
      </w:r>
      <w:r>
        <w:rPr>
          <w:rFonts w:ascii="Arial;sans-serif" w:hAnsi="Arial;sans-serif"/>
          <w:b/>
          <w:color w:val="000000"/>
          <w:sz w:val="20"/>
        </w:rPr>
        <w:t>Daré Bioscience, Inc.</w:t>
      </w:r>
      <w:r>
        <w:rPr>
          <w:color w:val="000000"/>
        </w:rPr>
        <w:t xml:space="preserve"> </w:t>
      </w:r>
      <w:r>
        <w:rPr>
          <w:rFonts w:ascii="Arial;sans-serif" w:hAnsi="Arial;sans-serif"/>
          <w:b w:val="false"/>
          <w:color w:val="000000"/>
          <w:sz w:val="20"/>
        </w:rPr>
        <w:t>and Subsidiaries (“Company”) as of December 31, 2022, and the related consolidated statements of operations and comprehensive loss, stockholders’ equity and cash flows for the year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The Company's Ability to Continue as a Going Concern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financial statements have been prepared assuming that the Company will continue as a going concern. As discussed in Note 2 to the financial statements, the Company had recurring losses from operations, negative cash flow from operations and is dependent on additional financing to fund operations. These conditions raise substantial doubt about the Company’s ability to continue as a going concern. Management’s plans in regard to these matters are also described in Note 2 to the financial statements. The financial statements do not include any adjustments to reflect the possible future effects on the recoverability and classification of assets or the amounts and classification of liabilities that may result from the outcome of this uncertainty.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audit included performing procedures to assess the risks of material misstatement of the financial statements, whether due to error or fraud, and performing procedures that respond to those risks. Such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5"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Audit Matters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76" w:before="200" w:after="283"/>
        <w:jc w:val="both"/>
        <w:rPr>
          <w:rFonts w:ascii="Arial;sans-serif" w:hAnsi="Arial;sans-serif"/>
          <w:b w:val="false"/>
          <w:color w:val="000000"/>
          <w:sz w:val="20"/>
        </w:rPr>
      </w:pPr>
      <w:r>
        <w:rPr>
          <w:rFonts w:ascii="Arial;sans-serif" w:hAnsi="Arial;sans-serif"/>
          <w:b w:val="false"/>
          <w:color w:val="000000"/>
          <w:sz w:val="20"/>
        </w:rPr>
        <w:t>We served as the Company's auditor from 2017 to 2023.</w:t>
      </w:r>
    </w:p>
    <w:p>
      <w:pPr>
        <w:pStyle w:val="TextBody"/>
        <w:bidi w:val="0"/>
        <w:spacing w:lineRule="auto" w:line="276" w:before="200" w:after="283"/>
        <w:jc w:val="both"/>
        <w:rPr>
          <w:rFonts w:ascii="Arial;sans-serif" w:hAnsi="Arial;sans-serif"/>
          <w:b w:val="false"/>
          <w:color w:val="000000"/>
          <w:sz w:val="20"/>
        </w:rPr>
      </w:pPr>
      <w:r>
        <w:rPr>
          <w:rFonts w:ascii="Arial;sans-serif" w:hAnsi="Arial;sans-serif"/>
          <w:b w:val="false"/>
          <w:color w:val="000000"/>
          <w:sz w:val="20"/>
        </w:rPr>
        <w:t>/s/ Mayer Hoffman McCann P.C.</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March 30, 2023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Diego,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6"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09"/>
        <w:gridCol w:w="2133"/>
        <w:gridCol w:w="2097"/>
        <w:gridCol w:w="211"/>
        <w:gridCol w:w="1126"/>
        <w:gridCol w:w="109"/>
        <w:gridCol w:w="109"/>
        <w:gridCol w:w="109"/>
        <w:gridCol w:w="109"/>
        <w:gridCol w:w="211"/>
        <w:gridCol w:w="1126"/>
        <w:gridCol w:w="156"/>
      </w:tblGrid>
      <w:tr>
        <w:trPr/>
        <w:tc>
          <w:tcPr>
            <w:tcW w:w="270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10,476,056 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17,543,539 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43,038,753 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21,282,215 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43,826,383 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 (deficit)</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10,894,016 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18,303,567 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20,480,436 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31,623,927 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non-current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long-term</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26,329,855 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32,714,273 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 (deficit)</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None issued and outstanding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99,973,932 and 84,825,481 shares issued and outstanding at December 31, 2023 and December 31, 2022,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166,539,290 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152,529,579 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(171,236,031)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(141,074,640)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 (deficit)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(5,047,640)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11,112,110 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43,826,383 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7"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 and Comprehensive Loss</w:t>
      </w:r>
    </w:p>
    <w:tbl>
      <w:tblPr>
        <w:tblW w:w="8901" w:type="dxa"/>
        <w:jc w:val="center"/>
        <w:tblInd w:w="0" w:type="dxa"/>
        <w:tblLayout w:type="fixed"/>
        <w:tblCellMar>
          <w:top w:w="28" w:type="dxa"/>
          <w:left w:w="28" w:type="dxa"/>
          <w:bottom w:w="28" w:type="dxa"/>
          <w:right w:w="28" w:type="dxa"/>
        </w:tblCellMar>
      </w:tblPr>
      <w:tblGrid>
        <w:gridCol w:w="1882"/>
        <w:gridCol w:w="1647"/>
        <w:gridCol w:w="1661"/>
        <w:gridCol w:w="109"/>
        <w:gridCol w:w="109"/>
        <w:gridCol w:w="109"/>
        <w:gridCol w:w="211"/>
        <w:gridCol w:w="1186"/>
        <w:gridCol w:w="109"/>
        <w:gridCol w:w="109"/>
        <w:gridCol w:w="109"/>
        <w:gridCol w:w="109"/>
        <w:gridCol w:w="211"/>
        <w:gridCol w:w="1186"/>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Milestone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12,109,691 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11,243,271 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21,538,074 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33,747,765 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41,385,488 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(30,939,880)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(31,385,488)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(30,161,391)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(30,947,738)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(30,161,391)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(30,947,738)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(196,338)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(30,170,976)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(31,144,076)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87,303,701 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84,571,805 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8"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 (Deficit)</w:t>
      </w:r>
    </w:p>
    <w:tbl>
      <w:tblPr>
        <w:tblW w:w="11193" w:type="dxa"/>
        <w:jc w:val="center"/>
        <w:tblInd w:w="0" w:type="dxa"/>
        <w:tblLayout w:type="fixed"/>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(deficit)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149,027,802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(154,973)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(110,126,902)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38,754,321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751,040 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(30,947,738)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84,825,481</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152,529,579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(351,311)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(141,074,640)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11,112,110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from the exercise of warrants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1,353,515 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13,794,936 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9,346,656 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warrants, net of issuance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(30,161,391)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99,973,932</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166,539,290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(360,896)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(171,236,031)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(5,047,640)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9"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848"/>
        <w:gridCol w:w="2008"/>
        <w:gridCol w:w="2020"/>
        <w:gridCol w:w="211"/>
        <w:gridCol w:w="1157"/>
        <w:gridCol w:w="109"/>
        <w:gridCol w:w="109"/>
        <w:gridCol w:w="109"/>
        <w:gridCol w:w="109"/>
        <w:gridCol w:w="211"/>
        <w:gridCol w:w="1157"/>
        <w:gridCol w:w="157"/>
      </w:tblGrid>
      <w:tr>
        <w:trPr/>
        <w:tc>
          <w:tcPr>
            <w:tcW w:w="284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6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(30,947,738)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early termination of lease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 expense on liability related to sale of future royalties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(4,189,376)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Deposits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7,757,774 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(4,566,413)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7,760,584 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(38,856,654)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(18,088,429)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(629,430)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(63,069)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common stock</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warrants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the sale of future royalties,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note payable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15,637,120 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(196,338)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(23,858,549)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(17,004,482)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year</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51,674,087 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consolidated balance sheets:</w:t>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10,476,056 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10,811,056 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cost recorded under additional-paid-in-capital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40"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Organization and business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biopharmaceutical company committed to advancing innovative products for women’s health. Daré Bioscience, Inc. and its wholly-owned subsidiaries operate one segment. In this report, the “Company” refers collectively to Daré Bioscience, Inc. and its wholly-owned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began assembling its diverse portfolio in 2017 through acquisitions, exclusive in-licenses and other collaborations. The Company's programs target unmet needs in women's health in the areas of contraception, vaginal health, reproductive health, menopause, sexual health, and fertility, and aim to expand treatment options, enhance outcomes and improve ease of use for women.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primary operations have consisted of, and are expected to continue to consist primarily of, research and development activities to advance its product candidates through clinical development and regulatory approval.</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includes drug and drug/device product candidates and potential product candidates in various stages of development.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U.S. Food and Drug Administration (FDA)-approved product to emerge from the Company's portfolio of women's health product candidates is XACIATO™ (clindamycin phosphate) vaginal gel 2%, or XACIATO. In March 2022, the Company entered into an exclusive global license agreement with an affiliate of Organon &amp; Co., Organon International GmbH, or Organon, to commercialize XACIATO, which became fully effective in June 2022. Under the license agreement, Organon (and/or its affiliates, agents or sublicensees) is solely responsible for the marketing, distribution and sale of XACIATO in the United States (and outside the U.S. if approved in non-U.S. jurisdictions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conformity with accounting principles generally accepted in the United States, or U.S. GAAP, as defined by the Financial Accounting Standards Board, or FASB.</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as of December 31, 2023,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consolidated balance sheet.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Going Concern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prepared its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seeks to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1"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December 31, 2023, the Company had an accumulated deficit of approximately $171.2 million, cash and cash equivalents of approximately $10.5 million, deferred grant funding liabilities under the Company's grant agreements related to DARE-LARC1 and DARE-LBT of approximately $13.7 million, and a working capital deficit of approximately $2.9 million. The Company's cash and cash equivalents at December 31, 2023 represented grant funds received under such grant agreements that may be applied solely toward direct costs for the development of DARE-LARC1 and DARE-LBT, other than approximately 10% of such funds, which may be applied toward general overhead and administration expenses that support the entire operations of the Company. For the year ended December 31, 2023, the Company incurred a net loss of $30.2 million and had negative cash flow from operations of approximately $38.9 million.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Based on the Company's current operating plan estimates, the Company does not have sufficient cash to satisfy its working capital needs and other liquidity requirements over at least the next 12 months from the date of issuance of the accompanying financial statements. The Company will need to raise substantial additional capital to continue to fund its operations and to successfully execute its current strategy.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Company's consolidated financial statements do not include any adjustments that might result from the outcome of these uncertainties.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consolidated financial statements of the Company are stated in U.S. dollars. These consolidated financial statements include the accounts of the Company and its wholly-owned subsidiaries. One wholly-owned subsidiary, Daré Bioscience Australia Pty LTD, operates primarily in Australia. The financial statements of the Company’s wholly-owned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Reclassification of Prior Year Presentation</w:t>
      </w:r>
    </w:p>
    <w:p>
      <w:pPr>
        <w:pStyle w:val="TextBody"/>
        <w:bidi w:val="0"/>
        <w:spacing w:lineRule="auto" w:line="288" w:before="3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Grant Funding</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The Company receives certain research and development funding through grants issued by a division of the National Institutes of Health and the Bill &amp; Melinda Gates Foundation, or the Foundation. Under the Foundation grant, which the Company considers to be a research and development contract under FASB Accounting Standards Codification, or ASC, Topic 730 </w:t>
      </w:r>
      <w:r>
        <w:rPr>
          <w:rFonts w:ascii="Arial;sans-serif" w:hAnsi="Arial;sans-serif"/>
          <w:b w:val="false"/>
          <w:i/>
          <w:color w:val="000000"/>
          <w:sz w:val="20"/>
        </w:rPr>
        <w:t>Research and Development</w:t>
      </w:r>
      <w:r>
        <w:rPr>
          <w:rFonts w:ascii="Arial;sans-serif" w:hAnsi="Arial;sans-serif"/>
          <w:b w:val="false"/>
          <w:color w:val="000000"/>
          <w:sz w:val="20"/>
        </w:rPr>
        <w:t xml:space="preserve">, the Company granted the Foundation a Humanitarian License which gives the Foundation the right to make the funded developments accessible at an affordable price to people within developing countries. Grants received by the Company that do not require the transfer of goods or services to a customer are accounted for by analogy to International Accounting Standards 20, </w:t>
      </w:r>
      <w:r>
        <w:rPr>
          <w:rFonts w:ascii="Arial;sans-serif" w:hAnsi="Arial;sans-serif"/>
          <w:b w:val="false"/>
          <w:i/>
          <w:color w:val="000000"/>
          <w:sz w:val="20"/>
        </w:rPr>
        <w:t>Accounting for Grants and Disclosure of Government Assistance</w:t>
      </w:r>
      <w:r>
        <w:rPr>
          <w:rFonts w:ascii="Arial;sans-serif" w:hAnsi="Arial;sans-serif"/>
          <w:b w:val="false"/>
          <w:color w:val="000000"/>
          <w:sz w:val="20"/>
        </w:rPr>
        <w:t>, or IAS 20. Under IAS 20, the Company recognizes grant funding in the statements of operations as a reduction to research and development expense as the related costs are incurred to meet those obligations over the grant period. The Company adopted this policy in 2018. For the years ended December 31, 2023 and December 31, 2022, the Company recognized approximately $9.3 million and $5.6 million, respectively, in the statements of operations as a reduction to research and development expense. Grant funding payments received in advance of research and development expenses incurred are recorded as deferred grant funding liability in the Company's consolidated balance sheets.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preparation of the consolidated financial statements requires management to make estimates and assumptions that affect the reported amounts of assets and liabilities and the disclosure of contingent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2"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liabilities at the date of the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 liability related to the sale of future royalties, valuation of stock-based awards and the accrual of research and development expenses.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Liability Related to the Sale of Future Royalties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entered into a royalty interest financing agreement with United in Endeavor, or United, pursuant to which the Company sold to United an interest in royalty and milestone payments the Company receives based on net sales of XACIATO. The Company received $5.0 million from United in connection with entering into the royalty interest financing agreement. The Company evaluated the terms of the royalty interest financing agreement and concluded that its features were similar to those of a debt instrument. The Company recognized the $5.0 million it received as a liability on its consolidated balance sheet because the Company agreed to make payments to United until such time that United has received aggregate payments equaling a 12% internal rate of return on the $5.0 million. Interest expense for the liability related to the sale of future royalties is recognized using the effective interest rate method over the expected term of the royalty interest financing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liability related to the sale of future royalties and related interest expense are based on current estimates of future royalties, which estimates are based on forecasts of XACIATO net sales. The Company periodically assesses the forecasted net sales and to the extent the amount or timing of estimated royalty payments are materially different than previous estimates, the Company will account for any such change by adjusting the liability related to the sale of future royalties and prospectively recognizing the related non-cash interest expense.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royalty investment financing agreement the Company entered into, the Company issued a warrant to purchase up to an aggregate of 5.0 million shares of the Company's common stock. The warrant was allocated a relative fair value of approximately $0.8 million using a Black-Scholes option pricing model. The $0.8 million relative fair value of the warrant was recorded as a debt discount with an offset to additional paid in capital on the 2023 consolidated balance sheet as the warrants were deemed to be equity classified.</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will require approvals from the FDA, or foreign regulatory agencies prior to being able to sell any products. The Company received approval from the FDA for XACIATO in December 2021.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 subject to a number of risks similar to other life science companies, including, but not limited to, risks related to the ability to license product candidates, successfully develop product candidates, successfully commercialize approved products or enter into strategic relationships with third parties who are able to successfully commercialize approved products, raise additional capital, compete with other products, and protect proprietary technology. As a result of these and other factors and the related uncertainties, there can be no assurance of the Company’s future success.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Concentration of Credit Risk</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3"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observable inputs, where available. The three-level hierarchy of valuation techniques established to measure fair value is defined as follows: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76" w:before="12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 xml:space="preserve">following tables present the classification within the fair value hierarchy of financial assets and liabilities that are remeasured on a recurring basis as of </w:t>
      </w:r>
      <w:r>
        <w:rPr>
          <w:rFonts w:ascii="Arial;sans-serif" w:hAnsi="Arial;sans-serif"/>
          <w:b w:val="false"/>
          <w:color w:val="000000"/>
          <w:sz w:val="20"/>
        </w:rPr>
        <w:t>December 31, 2023</w:t>
      </w:r>
      <w:r>
        <w:rPr>
          <w:color w:val="191C1F"/>
        </w:rPr>
        <w:t xml:space="preserve"> </w:t>
      </w:r>
      <w:r>
        <w:rPr>
          <w:rFonts w:ascii="Arial;sans-serif" w:hAnsi="Arial;sans-serif"/>
          <w:b w:val="false"/>
          <w:color w:val="191C1F"/>
          <w:sz w:val="20"/>
        </w:rPr>
        <w:t xml:space="preserve">and December 31, 2022. There were no financial assets or liabilities that were remeasured using a quoted price in active markets for identical assets (Level 2) as of </w:t>
      </w:r>
      <w:r>
        <w:rPr>
          <w:rFonts w:ascii="Arial;sans-serif" w:hAnsi="Arial;sans-serif"/>
          <w:b w:val="false"/>
          <w:color w:val="000000"/>
          <w:sz w:val="20"/>
        </w:rPr>
        <w:t>December 31, 2023</w:t>
      </w:r>
      <w:r>
        <w:rPr>
          <w:rFonts w:ascii="Arial;sans-serif" w:hAnsi="Arial;sans-serif"/>
          <w:b w:val="false"/>
          <w:color w:val="191C1F"/>
          <w:sz w:val="20"/>
        </w:rPr>
        <w:t>.</w:t>
      </w:r>
    </w:p>
    <w:tbl>
      <w:tblPr>
        <w:tblW w:w="8250" w:type="dxa"/>
        <w:jc w:val="center"/>
        <w:tblInd w:w="0" w:type="dxa"/>
        <w:tblLayout w:type="fixed"/>
        <w:tblCellMar>
          <w:top w:w="28" w:type="dxa"/>
          <w:left w:w="28" w:type="dxa"/>
          <w:bottom w:w="28" w:type="dxa"/>
          <w:right w:w="28" w:type="dxa"/>
        </w:tblCellMar>
      </w:tblPr>
      <w:tblGrid>
        <w:gridCol w:w="1044"/>
        <w:gridCol w:w="915"/>
        <w:gridCol w:w="921"/>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33,238,658 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33,238,658 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Represents cash held in money market funds.</w:t>
            </w:r>
          </w:p>
        </w:tc>
      </w:tr>
    </w:tbl>
    <w:p>
      <w:pPr>
        <w:pStyle w:val="TextBody"/>
        <w:bidi w:val="0"/>
        <w:spacing w:lineRule="auto" w:line="276" w:before="240" w:after="283"/>
        <w:ind w:left="0" w:right="0" w:firstLine="72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60" w:after="283"/>
        <w:ind w:left="0" w:right="0" w:firstLine="720"/>
        <w:jc w:val="both"/>
        <w:rPr/>
      </w:pPr>
      <w:r>
        <w:rPr>
          <w:rFonts w:ascii="Arial;sans-serif" w:hAnsi="Arial;sans-serif"/>
          <w:b w:val="false"/>
          <w:color w:val="000000"/>
          <w:sz w:val="20"/>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w:t>
      </w:r>
      <w:r>
        <w:rPr>
          <w:color w:val="000000"/>
        </w:rPr>
        <w:t> </w:t>
      </w:r>
      <w:r>
        <w:rPr>
          <w:rFonts w:ascii="Arial;sans-serif" w:hAnsi="Arial;sans-serif"/>
          <w:b w:val="false"/>
          <w:color w:val="000000"/>
          <w:sz w:val="20"/>
        </w:rPr>
        <w:t>performance obligations. The Company then recognizes as revenue the amount of the transaction price allocated to the respective performance obligation when (or as) the performance obligation is satisfied.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pStyle w:val="TextBody"/>
        <w:bidi w:val="0"/>
        <w:spacing w:lineRule="auto" w:line="288" w:before="160" w:after="283"/>
        <w:ind w:left="0" w:right="0" w:firstLine="720"/>
        <w:jc w:val="both"/>
        <w:rPr/>
      </w:pPr>
      <w:r>
        <w:rPr>
          <w:rFonts w:ascii="Arial;sans-serif" w:hAnsi="Arial;sans-serif"/>
          <w:b w:val="false"/>
          <w:i/>
          <w:color w:val="000000"/>
          <w:sz w:val="20"/>
        </w:rPr>
        <w:t>Collaboration Revenues</w:t>
      </w:r>
      <w:r>
        <w:rPr>
          <w:rFonts w:ascii="Arial;sans-serif" w:hAnsi="Arial;sans-serif"/>
          <w:b/>
          <w:i/>
          <w:color w:val="000000"/>
          <w:sz w:val="20"/>
        </w:rPr>
        <w:t xml:space="preserve">. </w:t>
      </w:r>
      <w:r>
        <w:rPr>
          <w:rFonts w:ascii="Arial;sans-serif" w:hAnsi="Arial;sans-serif"/>
          <w:b w:val="false"/>
          <w:color w:val="000000"/>
          <w:sz w:val="20"/>
        </w:rPr>
        <w:t>The Company enters into collaboration and licensing agreements under which it out-licenses certain rights to its products or product candidates to third parties. The terms of these arrangements typically include payment of one or more of the following to the Company: non-refundable, up-front license fees; development, regulatory and/or commercial milestone payments; and royalties on net sales of licensed products. To date, the Company has not recognized any collaboration revenues.</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License Fee Revenue. </w:t>
      </w:r>
      <w:r>
        <w:rPr>
          <w:rFonts w:ascii="Arial;sans-serif" w:hAnsi="Arial;sans-serif"/>
          <w:b w:val="false"/>
          <w:color w:val="000000"/>
          <w:sz w:val="20"/>
        </w:rPr>
        <w:t xml:space="preserve">If the license to the Company’s intellectual property is determined to be distinct from the other performance obligations identified in a contract, the Company recognizes revenues from non-refundable, upfront fees allocated to the license when the license is transferred to the customer and the customer is able to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4"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$11.0 million in license fee revenue, $10.0 million of which represents the upfront payment under its license agreement for XACIATO and $1.0 million of which represents the payment required by the first amendment to such license agreement entered into in July 2023.</w:t>
      </w:r>
    </w:p>
    <w:p>
      <w:pPr>
        <w:pStyle w:val="TextBody"/>
        <w:bidi w:val="0"/>
        <w:spacing w:lineRule="auto" w:line="288" w:before="160" w:after="283"/>
        <w:ind w:left="0" w:right="0" w:firstLine="720"/>
        <w:jc w:val="both"/>
        <w:rPr/>
      </w:pPr>
      <w:r>
        <w:rPr>
          <w:rFonts w:ascii="Arial;sans-serif" w:hAnsi="Arial;sans-serif"/>
          <w:b w:val="false"/>
          <w:i/>
          <w:color w:val="000000"/>
          <w:sz w:val="20"/>
        </w:rPr>
        <w:t>Royalties.</w:t>
      </w:r>
      <w:r>
        <w:rPr>
          <w:color w:val="000000"/>
        </w:rPr>
        <w:t xml:space="preserve"> </w:t>
      </w:r>
      <w:r>
        <w:rPr>
          <w:rFonts w:ascii="Arial;sans-serif" w:hAnsi="Arial;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recognized approximately $7,900 in royalty revenue.</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Product Supply. </w:t>
      </w:r>
      <w:r>
        <w:rPr>
          <w:rFonts w:ascii="Arial;sans-serif" w:hAnsi="Arial;sans-serif"/>
          <w:b w:val="false"/>
          <w:color w:val="000000"/>
          <w:sz w:val="20"/>
        </w:rPr>
        <w:t>Arrangements that include a promise for future supply of product for commercial supply at the licensee’s discretion are generally considered as options. The 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To date, the Company has recognized approximately $205,000 in revenue along with $201,000 in other expense attributed to the cost of revenue associated with its product supply arrangement for XACIATO, which is recorded in other income in the Company's 2023 consolidated statement of operations and comprehensive loss. That arrangement was terminated effective December 14, 2023 and the Company will not recognize product supply revenue associated with that agreement in the future.</w:t>
      </w:r>
    </w:p>
    <w:p>
      <w:pPr>
        <w:pStyle w:val="TextBody"/>
        <w:bidi w:val="0"/>
        <w:spacing w:lineRule="auto" w:line="288" w:before="160" w:after="283"/>
        <w:ind w:left="0" w:right="0" w:firstLine="720"/>
        <w:jc w:val="both"/>
        <w:rPr/>
      </w:pPr>
      <w:r>
        <w:rPr>
          <w:rFonts w:ascii="Arial;sans-serif" w:hAnsi="Arial;sans-serif"/>
          <w:b w:val="false"/>
          <w:i/>
          <w:color w:val="000000"/>
          <w:sz w:val="20"/>
        </w:rPr>
        <w:t>Bayer License</w:t>
      </w:r>
      <w:r>
        <w:rPr>
          <w:rFonts w:ascii="Arial;sans-serif" w:hAnsi="Arial;sans-serif"/>
          <w:b w:val="false"/>
          <w:color w:val="000000"/>
          <w:sz w:val="20"/>
        </w:rPr>
        <w:t>. In 2020, the Company entered into a license agreement with Bayer Healthcare LLC, or Bayer, regarding the further development and commercialization of Ovaprene in the U.S. and received a $1.0 million upfront non-refundable license fee payment from Bayer (See Note 3, Strategic Agreements). The $1.0 million upfront payment is recorded as deferred license revenue in the Company's consolidated balance sheets at December 31, 2023 and December 31, 2022.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To date, neither of the foregoing has occurred.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its license agreement with Bayer, 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pStyle w:val="TextBody"/>
        <w:bidi w:val="0"/>
        <w:spacing w:lineRule="auto" w:line="288" w:before="16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 xml:space="preserve">At the inception of each arrangement in which the Company is a licensor and that includes developmental, regulatory or 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Potential future milestone payments not within the Company's control, such as where achievement of the specified milestone depends on activities of a third party or regulatory approval, are not considered probable of being achieved until the specified milestone occurs. As of December 31, 2023, the Company has recognized $1.8 million of milestone payment revenues.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Strategic Agreements).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Operating leases are included in other non-current assets as right-of-use, or ROU, lease assets, current portion of lease liabilities, and long-term lease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5"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10, Leased Properties).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Segment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Its chief operating decision maker is the chief executive officer. The Company has one operating segment, women’s health.</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Australian Research and Development Tax Incentive Program</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is eligible under the Australian Research and Development Tax Incentive Program, or the Tax Incentive, to receive a cash refund from the Australian Taxation Office for eligible research and development expenditures. To be eligible, the Company must have revenue of less than AUD $20.0 million during the reimbursable period and cannot be controlled by income tax exempt entities. Grants received by the Company that do not require the transfer of goods or services to a customer are accounted for by analogy to IAS 20. Under IAS 20, the Company recognizes the Tax Incentive as a reduction to research and development expense when there is reasonable assurance that the Tax Incentive will be received, the relevant expenditure has been incurred, and the amount can be reliably measured. The Company classifies its estimate for the Tax Incentive as other current assets on its consolidated balance sheets. For the years ended December 31, 2023 and 2022, the Company recognized approximately $0.6 million and approximately $1.6 million, respectively, as a reduction to research and development expense for expenses incurred that it believes are eligible for the Tax Incentive. At December 31, 2023 and 2022, the Company recorded a receivable for the estimated Tax Incentive of approximately $0.6 million and $1.6 million, respectively, in other receivables on the accompanying consolidated balance sheets.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contract research organizations, or CROs, and investigative sites, transaction expenses incurred in connection with the expansion of the product portfolio through acquisitions and license and option agreements, milestone payments incurred or probable to be incurred for the Company's in-licensing arrangements,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 xml:space="preserve">Patent Costs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were stock options exercisable into 9,463,556 and 6,612,554 shares of common stock outstanding at December 31, 2023 and 2022, respectively. There were warrants exercisable into 15,006,500 and 1,381,015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6"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of common stock outstanding at December 31, 2023 and 2022, respectively. These securities were not included in the computation of diluted loss per share because they are antidilutive, but they could potentially dilute earnings (loss) per share in future years.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records compensation expense for all stock-based awards granted based on the fair value of the award at the time of grant. The Company uses the Black-Scholes Pricing Model to determine the fair value of each of the awards which considers factors such as expected term, the volatility of the Company's common stock, risk free interest rate, and dividend yield. Due to the limited history of the Company, the simplified method was utilized in order to determine the expected term of the awards. The Company compared U.S. Treasury Bills in determining the risk-free interest rate appropriate given the expected term. The Company has not established and has no plans to establish, a dividend policy, and the Company has not declared, and has no plans to declare dividends in the foreseeable future and thus no dividend yield was determined necessary in the calculation of fair value.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160" w:after="283"/>
        <w:ind w:left="0" w:right="0" w:firstLine="720"/>
        <w:jc w:val="both"/>
        <w:rPr/>
      </w:pPr>
      <w:r>
        <w:rPr>
          <w:rFonts w:ascii="Arial;sans-serif" w:hAnsi="Arial;sans-serif"/>
          <w:b w:val="false"/>
          <w:color w:val="000000"/>
          <w:sz w:val="20"/>
        </w:rPr>
        <w:t xml:space="preserve">The Company accounts for income taxes using the asset and liability method in accordance with FASB ASC 740, </w:t>
      </w:r>
      <w:r>
        <w:rPr>
          <w:rFonts w:ascii="Arial;sans-serif" w:hAnsi="Arial;sans-serif"/>
          <w:b w:val="false"/>
          <w:i/>
          <w:color w:val="000000"/>
          <w:sz w:val="20"/>
        </w:rPr>
        <w:t>Income Taxes</w:t>
      </w:r>
      <w:r>
        <w:rPr>
          <w:rFonts w:ascii="Arial;sans-serif" w:hAnsi="Arial;sans-serif"/>
          <w:b w:val="false"/>
          <w:color w:val="000000"/>
          <w:sz w:val="20"/>
        </w:rPr>
        <w:t>.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each of December 31, 2023 and 2022, the Company did not record any liabilities for uncertain tax positions.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each of 2023 and 2022, the Company recorded no provision for income taxes. Management evaluated the Company’s tax positions and, as of December 31, 2023 and 2022, the Company had approximately $2.6 million and $2.3 million of unrecognized benefits, respectively. The tax years 2020 to 2022 and 2019 to 2022 remain open to examination by federal and state taxing authorities, respectively, while the statute of limitations for U.S. net operating losses generated remain open beginning in the year of utilization.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Indemnification Obligations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permitted under Delaware law, the Company has entered into indemnification agreements with its officers and directors that provide that the Company will indemnify its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2023,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2023 and 2022, no amounts have been accrued related to such indemnification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a $10.0 million non-refundable and non-creditable payment from Organon, which was recorded as license fee revenue. In July 2023, the Company received a $1.0 million payment from Organon in connection with the amendment to the license agreement the parties entered into, which was also recorded as license fee revenue. In the fourth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7"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2023, in connection with the first commercial sale in the U.S. of XACIATO in accordance with the license agreement, as amended, the Company received the $1.8 million milestone payment from Organon.</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For the year ended December 31, 2023, the transaction price was updated to $11.0 million.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 million fee. After payment of the $20 million fee, Bayer will be responsible for the commercialization of Ovaprene for human contraception in the U.S. Such license would be exclusive as to the commercialization of Ovaprene for human contraception in the U.S. and co-exclusive with the Company with regard to development.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December 31, 2023, neither of the foregoing had occurred. The $1.0 million payment is recorded as long-term deferred license revenue in the Company's consolidated balance sheets at December 31, 2023 and 2022.</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initial term of the agreement, which is subject to automatic renewal terms, continues until the later of the expiration of any valid claim covering the manufacture, use, sale or import of Ovaprene in the U.S. or 15 years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8"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Strategic Agreements for Pipeline Development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(CIN)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The Company is entitled to sublicense the rights granted to it under the agreement. </w:t>
      </w:r>
    </w:p>
    <w:p>
      <w:pPr>
        <w:pStyle w:val="TextBody"/>
        <w:bidi w:val="0"/>
        <w:spacing w:lineRule="auto" w:line="288" w:before="24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w:t>
      </w:r>
      <w:r>
        <w:rPr>
          <w:color w:val="000000"/>
        </w:rPr>
        <w:t xml:space="preserve"> </w:t>
      </w:r>
      <w:r>
        <w:rPr>
          <w:rFonts w:ascii="Arial;sans-serif" w:hAnsi="Arial;sans-serif"/>
          <w:b w:val="false"/>
          <w:color w:val="000000"/>
          <w:sz w:val="20"/>
        </w:rPr>
        <w:t>Additionally, Douglas is eligible to receive tiered royalties in low single-digit to low double-digit percentages based on annual net sales of products and processes covered by the licenses granted under the agreement.</w:t>
      </w:r>
      <w:r>
        <w:rPr>
          <w:color w:val="000000"/>
        </w:rPr>
        <w:t xml:space="preserve"> </w:t>
      </w:r>
      <w:r>
        <w:rPr>
          <w:rFonts w:ascii="Arial;sans-serif" w:hAnsi="Arial;sans-serif"/>
          <w:b w:val="false"/>
          <w:color w:val="000000"/>
          <w:sz w:val="20"/>
        </w:rPr>
        <w:t>As of December 31, 2023, no payments had been made under the Douglas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December 31, 2023,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or MBI, to secure the rights to develop a long-acting reversible contraception method, that a woman can turn on or off herself, according to her own needs. This candidate is now known as DARE-LARC1.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9"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700,000 shares of its common stock to former stockholders of MBI and paid $75,000 in cash to the stockholders’ representative in satisfaction of the $1.25 million in milestone payments associated with milestones achieved in June 2021.</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TriLogic 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has been paid as of December 31, 2023.</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50"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 xml:space="preserve">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w:t>
      </w:r>
    </w:p>
    <w:p>
      <w:pPr>
        <w:pStyle w:val="TextBody"/>
        <w:bidi w:val="0"/>
        <w:spacing w:lineRule="auto" w:line="288" w:before="240" w:after="283"/>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has been paid as of December 31, 2023;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is eligible to receive tiered royalties based on percentages of annual net sales of licensed products in the single-digit to mid double-digits subject to customary royalty reductions and offsets, and a percentage of sublicense revenue.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4.    PREPAID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Prepaid expenses consisted of the following:</w:t>
      </w:r>
    </w:p>
    <w:tbl>
      <w:tblPr>
        <w:tblW w:w="6683" w:type="dxa"/>
        <w:jc w:val="center"/>
        <w:tblInd w:w="0" w:type="dxa"/>
        <w:tblLayout w:type="fixed"/>
        <w:tblCellMar>
          <w:top w:w="28" w:type="dxa"/>
          <w:left w:w="28" w:type="dxa"/>
          <w:bottom w:w="28" w:type="dxa"/>
          <w:right w:w="28" w:type="dxa"/>
        </w:tblCellMar>
      </w:tblPr>
      <w:tblGrid>
        <w:gridCol w:w="1315"/>
        <w:gridCol w:w="1153"/>
        <w:gridCol w:w="1161"/>
        <w:gridCol w:w="211"/>
        <w:gridCol w:w="1021"/>
        <w:gridCol w:w="109"/>
        <w:gridCol w:w="109"/>
        <w:gridCol w:w="109"/>
        <w:gridCol w:w="109"/>
        <w:gridCol w:w="211"/>
        <w:gridCol w:w="1021"/>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clinical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5,023,140 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5,702,657 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development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insurance expense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legal and professional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5.    ACCRUED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Accrued expenses consisted of the following:</w:t>
      </w:r>
    </w:p>
    <w:tbl>
      <w:tblPr>
        <w:tblW w:w="6399" w:type="dxa"/>
        <w:jc w:val="center"/>
        <w:tblInd w:w="0" w:type="dxa"/>
        <w:tblLayout w:type="fixed"/>
        <w:tblCellMar>
          <w:top w:w="28" w:type="dxa"/>
          <w:left w:w="28" w:type="dxa"/>
          <w:bottom w:w="28" w:type="dxa"/>
          <w:right w:w="28" w:type="dxa"/>
        </w:tblCellMar>
      </w:tblPr>
      <w:tblGrid>
        <w:gridCol w:w="1174"/>
        <w:gridCol w:w="1029"/>
        <w:gridCol w:w="1037"/>
        <w:gridCol w:w="211"/>
        <w:gridCol w:w="1021"/>
        <w:gridCol w:w="109"/>
        <w:gridCol w:w="109"/>
        <w:gridCol w:w="109"/>
        <w:gridCol w:w="109"/>
        <w:gridCol w:w="211"/>
        <w:gridCol w:w="112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clinical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 and benefits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development expense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royalties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legal and professional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financing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accruals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license fee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10,894,016 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900"/>
        <w:jc w:val="both"/>
        <w:rPr/>
      </w:pPr>
      <w:r>
        <w:rPr/>
      </w: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 xml:space="preserve">6.    VENDOR CONCENTRATION </w:t>
      </w:r>
    </w:p>
    <w:p>
      <w:pPr>
        <w:pStyle w:val="TextBody"/>
        <w:bidi w:val="0"/>
        <w:spacing w:lineRule="auto" w:line="288" w:before="3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had one major vendor that accounted for approximately 21% and 10% of the Company's research and development expenditures for the years ended December 31, 2023 and 2022, respectively. The same vendor also accounted for approximately 0% and 17% of the Company's total accounts payable and accrued expenses as of December 31, 2023 and 2022, respectively. The Company continues to maintain its relationship with this vendor and anticipates incurring significant expenses with this vendor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7.    INCOME TAXES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components of loss from continuing operations before provision for income taxes consists of the following (in thousands):</w:t>
      </w:r>
    </w:p>
    <w:tbl>
      <w:tblPr>
        <w:tblW w:w="4193" w:type="dxa"/>
        <w:jc w:val="center"/>
        <w:tblInd w:w="0" w:type="dxa"/>
        <w:tblLayout w:type="fixed"/>
        <w:tblCellMar>
          <w:top w:w="28" w:type="dxa"/>
          <w:left w:w="28" w:type="dxa"/>
          <w:bottom w:w="28" w:type="dxa"/>
          <w:right w:w="28" w:type="dxa"/>
        </w:tblCellMar>
      </w:tblPr>
      <w:tblGrid>
        <w:gridCol w:w="607"/>
        <w:gridCol w:w="534"/>
        <w:gridCol w:w="538"/>
        <w:gridCol w:w="211"/>
        <w:gridCol w:w="751"/>
        <w:gridCol w:w="109"/>
        <w:gridCol w:w="109"/>
        <w:gridCol w:w="109"/>
        <w:gridCol w:w="109"/>
        <w:gridCol w:w="211"/>
        <w:gridCol w:w="75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30,159 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difference between the provision for income taxes (benefit) and the amount computed by applying the U.S. federal income tax rate for the years ended December 31, 2023 and 2022 are as follows:</w:t>
      </w:r>
    </w:p>
    <w:tbl>
      <w:tblPr>
        <w:tblW w:w="6456" w:type="dxa"/>
        <w:jc w:val="center"/>
        <w:tblInd w:w="0" w:type="dxa"/>
        <w:tblLayout w:type="fixed"/>
        <w:tblCellMar>
          <w:top w:w="28" w:type="dxa"/>
          <w:left w:w="28" w:type="dxa"/>
          <w:bottom w:w="28" w:type="dxa"/>
          <w:right w:w="28" w:type="dxa"/>
        </w:tblCellMar>
      </w:tblPr>
      <w:tblGrid>
        <w:gridCol w:w="1272"/>
        <w:gridCol w:w="1117"/>
        <w:gridCol w:w="1121"/>
        <w:gridCol w:w="351"/>
        <w:gridCol w:w="354"/>
        <w:gridCol w:w="466"/>
        <w:gridCol w:w="177"/>
        <w:gridCol w:w="177"/>
        <w:gridCol w:w="177"/>
        <w:gridCol w:w="351"/>
        <w:gridCol w:w="354"/>
        <w:gridCol w:w="539"/>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statutory rate</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 net of federal benefit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tax rate change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Permanent differences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credit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(0.74)</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major components of the Company’s deferred tax assets as of December 31, 2023 and 2022 are shown below (in thousands).</w:t>
      </w:r>
    </w:p>
    <w:tbl>
      <w:tblPr>
        <w:tblW w:w="6773" w:type="dxa"/>
        <w:jc w:val="center"/>
        <w:tblInd w:w="0" w:type="dxa"/>
        <w:tblLayout w:type="fixed"/>
        <w:tblCellMar>
          <w:top w:w="28" w:type="dxa"/>
          <w:left w:w="28" w:type="dxa"/>
          <w:bottom w:w="28" w:type="dxa"/>
          <w:right w:w="28" w:type="dxa"/>
        </w:tblCellMar>
      </w:tblPr>
      <w:tblGrid>
        <w:gridCol w:w="1544"/>
        <w:gridCol w:w="1356"/>
        <w:gridCol w:w="1359"/>
        <w:gridCol w:w="211"/>
        <w:gridCol w:w="751"/>
        <w:gridCol w:w="109"/>
        <w:gridCol w:w="109"/>
        <w:gridCol w:w="109"/>
        <w:gridCol w:w="109"/>
        <w:gridCol w:w="211"/>
        <w:gridCol w:w="75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carryforwards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81,761 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credit carryforwards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research and development costs</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(104,241)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$112.3 million and $104.2 million was established at December 31, 2023 and 2022, respectively, to offset the net deferred tax assets. When and if management determines that it is more likely than not that the Company will be able to utilize the deferred tax assets prior to their expiration, the valuation allowance may be reduced or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in valuation allowance of approximately $8.0 million and $4.5 million for the years ending December 31, 2023 and 2022, respectively, is primarily related to an increase in net operating losses generated during the year.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U.S. federal net operating loss, or NOL, carryforwards available at December 31, 2023 of approximately $314.9 million of which $1.2 million begin expiring in 2024 unless previously utilized and $117.7 million that do not expire. The Company has state NOL carryforwards of $294.1 million that begin expiring in 2031 unless previously utilized. The Company has U.S. federal research credit carryforwards available at December 31, 2023 of approximately $10.4 million that begin expiring in 2027 unless previously utilized. The Company has state research credit carryforwards of $2.7 million of which $0.2 million begin expiring in 2024 unless previously utilized. These federal and state research and development credits are subject to a 20% reserve under FASB ASC 740. The difference between federal and state NOL carryforwards is primarily due to previously expired state NOL carryforwards.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yet completed an evaluation of ownership changes. To the extent an ownership change occurs, the NOL and credit carryforwards and other deferred tax assets may be subject to limitations.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the beginning and ending amount of uncertain tax benefits is as follows (in thousands):</w:t>
      </w:r>
    </w:p>
    <w:tbl>
      <w:tblPr>
        <w:tblW w:w="5213" w:type="dxa"/>
        <w:jc w:val="center"/>
        <w:tblInd w:w="0" w:type="dxa"/>
        <w:tblLayout w:type="fixed"/>
        <w:tblCellMar>
          <w:top w:w="28" w:type="dxa"/>
          <w:left w:w="28" w:type="dxa"/>
          <w:bottom w:w="28" w:type="dxa"/>
          <w:right w:w="28" w:type="dxa"/>
        </w:tblCellMar>
      </w:tblPr>
      <w:tblGrid>
        <w:gridCol w:w="1052"/>
        <w:gridCol w:w="927"/>
        <w:gridCol w:w="930"/>
        <w:gridCol w:w="211"/>
        <w:gridCol w:w="646"/>
        <w:gridCol w:w="109"/>
        <w:gridCol w:w="109"/>
        <w:gridCol w:w="109"/>
        <w:gridCol w:w="109"/>
        <w:gridCol w:w="211"/>
        <w:gridCol w:w="64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9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uncertain tax benefits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 - increases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year - reductions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uncertain tax benefits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Arial;sans-serif" w:hAnsi="Arial;sans-serif"/>
          <w:b w:val="false"/>
          <w:color w:val="000000"/>
          <w:sz w:val="20"/>
        </w:rPr>
        <w:t>Included in the balance of uncertain tax benefits at December 31, 2023 are $2.6 million of tax benefits that, if recognized, would result in a reduction of the gross deferred tax asset, offset fully by valuation allowance and have no net impact on the financial statements. The Company anticipates that no material amounts of unrecognized tax benefits will be settled within 12 months of the reporting date.</w:t>
      </w:r>
      <w:r>
        <w:rPr>
          <w:color w:val="000000"/>
        </w:rPr>
        <w:t xml:space="preserve">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policy is to record estimated interest and penalties related to uncertain tax benefits as income tax expense. As of December 31, 2023 and 2022, the Company had no accrued interest or penalties recorded related to uncertain tax positions.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tax years 2019 through 2023 remain open to examination by major taxing jurisdictions to which the Company is subject, which are primarily in the U.S. The statute of limitations for U.S. net operating losses utilized in future years will remain open beginning in the year of utilization.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 additional provision has been made for U.S. income taxes related to undistributed foreign earnings of the Company’s wholly-owned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8.    STOCKHOLDERS’ EQUITY</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Increase in Authorized Shares of Common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2022, following the approval of the Company's stockholders at its annual meeting of stockholders, the Company amended its restated certificate of incorporation to increase the Company's authorized shares of common stock to 240.0 million. </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September 2023 Registered Direct Offering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securities purchase agreement with an institutional investor and an investor affiliated with Douglas for the purchase and sale of 10,000,000 shares of the Company's common stock and warrants to purchase an aggregate of 10,000,000 shares of the Company's common stock in a registered direct offering priced at-the-market under Nasdaq rules. The offering closed on September 1, 2023. Each warrant is exercisable for one share of the Company's common stock. The terms of the warrants are further described below in this Note 8. The offering price was $0.70 per share of common stock and accompanying warrant. The aggregate gross proceeds to the Company from the offering were $7.0 million, and net proceeds were approximately $7.0 million. The offering was made pursuant to the Company's registration statement on Form S-3 (File No. 333-254862), filed with the SEC on March 30, 2021, and declared effective by the SEC on April 7, 2021, and a prospectus supplement thereunder. </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agents. The Company agreed to pay a commission equal to 3% of the gross proceeds of any common stock sold under the agreement or such lower amount as the Company and Stifel and Cantor agree, plus certain legal expenses. Shares of the Company's common stock sold under the agreement will be issued pursuant to the Company's shelf registration statement on Form S-3 (File No. 333-254862), the base prospectus included therein, originally filed with the SEC on March 30, 2021 and declared effective by the SEC on April 7, 2021, the prospectus supplement dated March 31, 2023 relating to the offering of up to $50.0 million of shares of the Company's common stock under the sales agreement, and any subsequent prospectus supplement related to the offering of shares of the Company's common stock under the sales agreement. During the year ended December 31, 2023, the Company sold 3,794,936 shares of common stock under this agreement and received aggregate gross proceeds of approximately $2.4 million and incurred sales agent commissions and fees of approximately $55,000.</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October 2021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2021, the Company entered into a sales agreement with SVB Securities LLC (formerly known as SVB Leerink LLC) to sell shares of its common stock from time to time through an ATM equity offering program under which SVB Securities acted as the Company's agent. The Company sold no shares of its common stock under the agreement during year ended December 31, 2023. During the year ended December 31, 2022, the Company sold 751,040 shares of its common stock under the agreement for gross proceeds of approximately $1.3 million and incurred offering expenses of approximately $42,000. The Company terminated the agreement in March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December 2023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royalty interest financing agreement the Company entered into in December 2023, the Company issued a warrant to purchase up to an aggregate of 5,000,000 shares of the Company's common stock. The warrant has a term of five years from the date of issuance and an exercise price of $0.3467 per share, subject to customary adjustment for stock splits and similar transactions. A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warrant was allocated a value of $0.8 million using a Black-Scholes option pricing model based on the relative fair value method as they were issued with common stock. The Black-Scholes model used the following assumptions: expected volatility: 85.91%; risk-free interest rate: 4.05%; expected dividend yield: 0%; and expected term: 5 years. The warrant was deemed to be classified as equity and recorded within additional paid in capital on the 2023 consolidated balance sheet. As of December 31, 2023, no portion of the warrant has been exercised.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September 2023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registered direct offering completed in September 2023, the Company issued warrants to purchase up to an aggregate of 10,000,000 shares of the Company's common stock. The warrants became exercisable on March 1, 2024, expire March 1, 2029 and have an exercise price of $0.77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warrants were allocated a value of $2.9 million using a Black-Scholes option pricing model based on the relative fair value method as they were issued with common stock. The Black-Scholes model used the following assumptions: expected volatility: 87.77%; risk-free interest rate: 4.29%; expected dividend yield: 0%; and expected term: 5.5 years. The warrants were deemed to be classified as equity and recorded within additional paid in capital on the 2023 consolidated balance sheet. As of December 31, 2023, none of the warrants have been exercised.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February 2018 Warrants</w:t>
      </w:r>
    </w:p>
    <w:p>
      <w:pPr>
        <w:pStyle w:val="TextBody"/>
        <w:bidi w:val="0"/>
        <w:spacing w:lineRule="auto" w:line="288" w:before="120" w:after="283"/>
        <w:ind w:left="0" w:right="0" w:firstLine="720"/>
        <w:jc w:val="both"/>
        <w:rPr/>
      </w:pPr>
      <w:r>
        <w:rPr>
          <w:rFonts w:ascii="Arial;sans-serif" w:hAnsi="Arial;sans-serif"/>
          <w:b w:val="false"/>
          <w:color w:val="000000"/>
          <w:sz w:val="20"/>
        </w:rPr>
        <w:t>In connection with an underwritten public offering in February 2018, the Company issued to the investors in that offering, warrants exercisable through February 15, 2023 with an initial exercise price of $3.00 per share.</w:t>
      </w:r>
      <w:r>
        <w:rPr>
          <w:color w:val="000000"/>
        </w:rPr>
        <w:t xml:space="preserve"> </w:t>
      </w:r>
      <w:r>
        <w:rPr>
          <w:rFonts w:ascii="Arial;sans-serif" w:hAnsi="Arial;sans-serif"/>
          <w:b w:val="false"/>
          <w:color w:val="000000"/>
          <w:sz w:val="20"/>
        </w:rPr>
        <w:t xml:space="preserve">The Company estimated the fair value of the warrants as of February 15, 2018 to be approximately $3.0 million which was recorded in equity as of the grant date. The warrants included a price-based anti-dilution provision, which resulted in automatic reductions to the exercise price of the warrants in April 2019 and July 2020 to $0.98 per share and to $0.96 per share, respectively. </w:t>
      </w:r>
    </w:p>
    <w:p>
      <w:pPr>
        <w:pStyle w:val="TextBody"/>
        <w:bidi w:val="0"/>
        <w:spacing w:before="120" w:after="283"/>
        <w:jc w:val="both"/>
        <w:rPr/>
      </w:pPr>
      <w:r>
        <w:rPr/>
      </w:r>
    </w:p>
    <w:p>
      <w:pPr>
        <w:pStyle w:val="TextBody"/>
        <w:bidi w:val="0"/>
        <w:spacing w:lineRule="auto" w:line="288" w:before="1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summary of warrant activity during the years ended December 31, 2023 and 2022 is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6"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10"/>
        <w:gridCol w:w="800"/>
        <w:gridCol w:w="802"/>
        <w:gridCol w:w="907"/>
        <w:gridCol w:w="623"/>
        <w:gridCol w:w="624"/>
        <w:gridCol w:w="109"/>
        <w:gridCol w:w="109"/>
        <w:gridCol w:w="109"/>
        <w:gridCol w:w="391"/>
        <w:gridCol w:w="1003"/>
        <w:gridCol w:w="202"/>
        <w:gridCol w:w="109"/>
        <w:gridCol w:w="109"/>
        <w:gridCol w:w="109"/>
        <w:gridCol w:w="656"/>
        <w:gridCol w:w="656"/>
        <w:gridCol w:w="658"/>
        <w:gridCol w:w="109"/>
        <w:gridCol w:w="109"/>
        <w:gridCol w:w="109"/>
        <w:gridCol w:w="269"/>
        <w:gridCol w:w="520"/>
        <w:gridCol w:w="203"/>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Underlying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December 31, 2021</w:t>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1,381,015 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December 31, 2022</w:t>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1,381,015 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15,000,000 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(1,353,515)</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(21,000)</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and exercisable, December 31, 2023</w:t>
            </w:r>
          </w:p>
        </w:tc>
        <w:tc>
          <w:tcPr>
            <w:tcW w:w="1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15,006,500 </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authorized capital of the Company consists of 240,000,000 shares of common stock with a par value of $0.0001 per share and 5,000,000 shares of preferred stock with a par value of $0.01 per share. The issued and outstanding common stock of the Company consisted of 99,973,932 and 84,825,481 shares of common stock as of December 31, 2023 and 2022, respectively. There were no shares of preferred stock outstanding as of December 31, 2023 or 2022.</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Common Stock Reserved for Future Issuance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common stock reserved for future issuance at December 31, 2023:</w:t>
      </w:r>
    </w:p>
    <w:tbl>
      <w:tblPr>
        <w:tblW w:w="8014" w:type="dxa"/>
        <w:jc w:val="center"/>
        <w:tblInd w:w="0" w:type="dxa"/>
        <w:tblLayout w:type="fixed"/>
        <w:tblCellMar>
          <w:top w:w="28" w:type="dxa"/>
          <w:left w:w="28" w:type="dxa"/>
          <w:bottom w:w="28" w:type="dxa"/>
          <w:right w:w="28" w:type="dxa"/>
        </w:tblCellMar>
      </w:tblPr>
      <w:tblGrid>
        <w:gridCol w:w="2440"/>
        <w:gridCol w:w="2141"/>
        <w:gridCol w:w="2153"/>
        <w:gridCol w:w="563"/>
        <w:gridCol w:w="563"/>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reserved for issuance upon exercise of warrants outstanding</w:t>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15,006,500 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reserved for issuance upon exercise of options outstanding</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reserved for future equity awards</w:t>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6,725,579 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31,195,635 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9.    STOCK-BASED COMPENSATION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and there was no stock-based compensation related to the ESPP for the years ended December 31, 2023 or December 31, 2022.</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stock-based awards to employees, directors, consultants and advisors. There were 2,046,885 shares of common stock authorized for issuance under the Amended 2014 Plan when it was approved by the Company's stockholders in July 2018. The number of authorized shares increased annually on the first day of each fiscal year by the least of (i) 2,000,000, (ii) 4% of the number of outstanding shares of common stock on such date, or (iii) an amount determined by the Company’s board of directors. On January 1, 2022, the number of available shares increased by 2,000,000 to 2,201,855. As a result of the approval of the 2022 Plan (as defined below) by the Company's stockholders on June 23, 2022, no further awards have been or will be granted under the Amended 2014 Plan. Outstanding awards previously granted under the Amended 2014 Plan continue to remain outstanding in accordance with their terms.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on June 23, 2022,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7"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became effective as of that date. The 2022 Plan provides for the grant of stock-based incentive awards to employees, directors, consultants, and advisors.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Company's stock incentive plans and related information for the years ended December 31, 2023 and 2022. The exercise price of all options granted during the years ended December 31, 2023 and 2022 was equal to the market value of the Company’s common stock on the date of grant. As of December 31, 2023, unamortized stock-based compensation expense of approximately $4.3 million will be amortized over the weighted average period of 2.1 years. The number of shares of common stock available for future awards granted under the 2022 Plan as of December 31, 2023 was 6,725,579.</w:t>
      </w:r>
    </w:p>
    <w:tbl>
      <w:tblPr>
        <w:tblW w:w="10205" w:type="dxa"/>
        <w:jc w:val="center"/>
        <w:tblInd w:w="0" w:type="dxa"/>
        <w:tblLayout w:type="fixed"/>
        <w:tblCellMar>
          <w:top w:w="28" w:type="dxa"/>
          <w:left w:w="28" w:type="dxa"/>
          <w:bottom w:w="28" w:type="dxa"/>
          <w:right w:w="28" w:type="dxa"/>
        </w:tblCellMar>
      </w:tblPr>
      <w:tblGrid>
        <w:gridCol w:w="1800"/>
        <w:gridCol w:w="1583"/>
        <w:gridCol w:w="1587"/>
        <w:gridCol w:w="510"/>
        <w:gridCol w:w="511"/>
        <w:gridCol w:w="310"/>
        <w:gridCol w:w="109"/>
        <w:gridCol w:w="109"/>
        <w:gridCol w:w="109"/>
        <w:gridCol w:w="222"/>
        <w:gridCol w:w="572"/>
        <w:gridCol w:w="114"/>
        <w:gridCol w:w="109"/>
        <w:gridCol w:w="109"/>
        <w:gridCol w:w="109"/>
        <w:gridCol w:w="345"/>
        <w:gridCol w:w="345"/>
        <w:gridCol w:w="346"/>
        <w:gridCol w:w="109"/>
        <w:gridCol w:w="109"/>
        <w:gridCol w:w="109"/>
        <w:gridCol w:w="267"/>
        <w:gridCol w:w="513"/>
        <w:gridCol w:w="199"/>
      </w:tblGrid>
      <w:tr>
        <w:trPr/>
        <w:tc>
          <w:tcPr>
            <w:tcW w:w="180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Remaining</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Contractual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Intrinsic</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Value</w:t>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2021</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4,717,602 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2,346,692 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(130,322)</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(321,418)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6,612,554 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2,857,665 </w:t>
            </w:r>
          </w:p>
        </w:tc>
        <w:tc>
          <w:tcPr>
            <w:tcW w:w="3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9,463,556 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exercisable at December 31, 2023</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5,634,731 </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vested and expected to vest at December 31, 2023</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9,463,556 </w:t>
            </w:r>
          </w:p>
        </w:tc>
        <w:tc>
          <w:tcPr>
            <w:tcW w:w="3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Compensation Expense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consolidated statements of operations is as follows:</w:t>
      </w:r>
    </w:p>
    <w:tbl>
      <w:tblPr>
        <w:tblW w:w="5604" w:type="dxa"/>
        <w:jc w:val="center"/>
        <w:tblInd w:w="0" w:type="dxa"/>
        <w:tblLayout w:type="fixed"/>
        <w:tblCellMar>
          <w:top w:w="28" w:type="dxa"/>
          <w:left w:w="28" w:type="dxa"/>
          <w:bottom w:w="28" w:type="dxa"/>
          <w:right w:w="28" w:type="dxa"/>
        </w:tblCellMar>
      </w:tblPr>
      <w:tblGrid>
        <w:gridCol w:w="924"/>
        <w:gridCol w:w="812"/>
        <w:gridCol w:w="814"/>
        <w:gridCol w:w="211"/>
        <w:gridCol w:w="1021"/>
        <w:gridCol w:w="109"/>
        <w:gridCol w:w="109"/>
        <w:gridCol w:w="109"/>
        <w:gridCol w:w="109"/>
        <w:gridCol w:w="211"/>
        <w:gridCol w:w="10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assumptions used in the Black-Scholes option-pricing model for stock options granted to employees and to directors in respect of board services during the years ended December 31, 2023 and 2022 is as follows:</w:t>
      </w:r>
    </w:p>
    <w:tbl>
      <w:tblPr>
        <w:tblW w:w="6603" w:type="dxa"/>
        <w:jc w:val="center"/>
        <w:tblInd w:w="0" w:type="dxa"/>
        <w:tblLayout w:type="fixed"/>
        <w:tblCellMar>
          <w:top w:w="28" w:type="dxa"/>
          <w:left w:w="28" w:type="dxa"/>
          <w:bottom w:w="28" w:type="dxa"/>
          <w:right w:w="28" w:type="dxa"/>
        </w:tblCellMar>
      </w:tblPr>
      <w:tblGrid>
        <w:gridCol w:w="1503"/>
        <w:gridCol w:w="1321"/>
        <w:gridCol w:w="1331"/>
        <w:gridCol w:w="211"/>
        <w:gridCol w:w="541"/>
        <w:gridCol w:w="286"/>
        <w:gridCol w:w="109"/>
        <w:gridCol w:w="109"/>
        <w:gridCol w:w="109"/>
        <w:gridCol w:w="211"/>
        <w:gridCol w:w="541"/>
        <w:gridCol w:w="331"/>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of options granted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10.     LEASED PROPERTIES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lease for its corporate headquarters (3,169 square feet of office space) commenced on July 1, 2018. In February 2022, the Company entered into an amendment to extend the term of the lease for two years such that the term now expires on August 31, 2024.</w:t>
      </w:r>
    </w:p>
    <w:p>
      <w:pPr>
        <w:pStyle w:val="TextBody"/>
        <w:bidi w:val="0"/>
        <w:spacing w:lineRule="auto" w:line="288" w:before="30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wholly-owned subsidiary the Company acquired in November 2019, leases general office and laboratory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The extension of the lease in February 2022 resulted in an increase in operating lease liabilities and ROU assets of approximately $1.0 million. In September 2022, the landlord exercised its option to terminate the lease, resulting in the new lease term ending on December 31, 2023. The termination of the lease resulted in a reduction of operating lease liabilities and ROU assets of approximately $0.5 million and $0.5 million, respectively, and a $46,000 gain on the modification of the lease which was included as a reduction to research and development expense for the year ended December 31, 2022. MBI entered into a new lease for general office space and laboratory space in June 2023 that commenced on November 1, 2023 for three years, expiring on December 31, 2026, and resulted in an increase in operating lease liabilities and ROU assets of approximately $1.3 million.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previously leased warehouse space in Billerica, Massachusetts, under a lease that commenced on October 1, 2016 and terminated on March 31, 2022.</w:t>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December 31, 2023, the Company reported operating lease ROU assets of approximately $1.3 million in other non-current assets, approximately $0.5 million in current portion of lease liabilities, and approximately $0.9 million in lease liabilities long-term in the consolidated balance sheets.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operating lease costs were approximately $0.6 million and $0.6 million for the years ended December 31, 2023 and 2022, respectively. Operating lease costs consist of monthly lease payments expense, common area maintenance and other repair and maintenance costs and are included in general and administrative expenses in the consolidated statements of operations.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 was approximately $0.4 million and $0.3 million for the years ended December 31, 2023 and 2022, respectively, and these amounts are included in operating activities in the consolidated statements of cash flows. At December 31, 2023, operating leases had a weighted average remaining lease term of 1.83 years and a weighted average interest rate of 10.27%.</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At December 31, 2023, future minimum lease payments under the Company's operating leases are as follows:</w:t>
      </w:r>
    </w:p>
    <w:tbl>
      <w:tblPr>
        <w:tblW w:w="5030" w:type="dxa"/>
        <w:jc w:val="center"/>
        <w:tblInd w:w="0" w:type="dxa"/>
        <w:tblLayout w:type="fixed"/>
        <w:tblCellMar>
          <w:top w:w="28" w:type="dxa"/>
          <w:left w:w="28" w:type="dxa"/>
          <w:bottom w:w="28" w:type="dxa"/>
          <w:right w:w="28" w:type="dxa"/>
        </w:tblCellMar>
      </w:tblPr>
      <w:tblGrid>
        <w:gridCol w:w="1318"/>
        <w:gridCol w:w="1159"/>
        <w:gridCol w:w="1167"/>
        <w:gridCol w:w="211"/>
        <w:gridCol w:w="1021"/>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future minimum lease payments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accreted interest</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1,405,000 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9"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ind w:left="0" w:right="0" w:hanging="900"/>
        <w:jc w:val="left"/>
        <w:rPr>
          <w:rFonts w:ascii="Arial;sans-serif" w:hAnsi="Arial;sans-serif"/>
          <w:b/>
          <w:color w:val="000000"/>
          <w:sz w:val="20"/>
        </w:rPr>
      </w:pPr>
      <w:r>
        <w:rPr>
          <w:rFonts w:ascii="Arial;sans-serif" w:hAnsi="Arial;sans-serif"/>
          <w:b/>
          <w:color w:val="000000"/>
          <w:sz w:val="20"/>
        </w:rPr>
        <w:t>11.     SALE OF FUTURE ROYALTIES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December 21, 2023, the Company entered into a royalty interest financing agreement, or the Royalty Agreement, with United in Endeavour, LLC, or United, under which United acquired a portion of the Company's royalty interest in XACIATO. The Company received $5.0 million from United when the parties entered into the Royalty Agreement (the "Initial Investment"), and between January 1, 2024 and December 31, 2026, the Company may, in its sole discretion, elect to receive three additional payments (each a "Supplemental Investment") from United of up to an aggregate of $7.0 million, for a total of up to $12.0 million.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Agreement, the Company agreed to make the following payments to United, until such time when United has received aggregate payments equaling a 12% internal rate of return (the “IRR”) on the Initial Investment and each Supplemental Investment, if any (the "Hard Cap"):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United to the extent United has not received payments equaling the Hard Cap by December 31, 2029, December 31, 2033, and December 31, 2034, respectively. In addition, if United has not received payments equaling the Hard Cap by December 31, 2035 and the Company has other sources of assets or income besides XACIATO sufficient to complete such payments, the Company has agreed to pay United quarterly payments evenly divided over a two-year term, such that United will have obtained the IRR, taking into account all other payments received by United from the Company under the Royalty Agreement. United’s right to receive payments will terminate when United has received the Hard Cap.</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evaluated the terms of the Royalty Agreement and concluded that the features of the Royalty Agreement were similar to those of a debt instrument. As a result, the Company applied the debt recognition guidance under ASC 470, Debt, and recorded the Initial Investment as a liability related to the sale of future royalties (“Royalty Obligation”) on the Company's 2023 consolidated balance sheet, which will be amortized under the effective interest method over the estimated term of the Royalty Agreement.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term of the Royalty Agreement. In addition, in accordance with ASC 470, Debt, the Company will account for any royalties received in the future as non-cash royalty revenue in the consolidated statements of operations as a reduction to the debt balance.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royalties and milestone payments are received by the Company from Organon and the Company subsequently pays the amounts due to United in respect thereof in accordance with the Royalty Agreement, the Royalty Obligation will be effectively repaid during the term of the Royalty Agreement. In order to determine the amortization of the Royalty Obligation, the Company is required to estimate the total amount of future payments to United during the term of the Royalty Agreement. </w:t>
      </w:r>
    </w:p>
    <w:p>
      <w:pPr>
        <w:pStyle w:val="TextBody"/>
        <w:bidi w:val="0"/>
        <w:spacing w:lineRule="auto" w:line="288" w:before="120" w:after="283"/>
        <w:ind w:left="0" w:right="0" w:firstLine="720"/>
        <w:jc w:val="both"/>
        <w:rPr/>
      </w:pPr>
      <w:r>
        <w:rPr>
          <w:rFonts w:ascii="Arial;sans-serif" w:hAnsi="Arial;sans-serif"/>
          <w:b w:val="false"/>
          <w:color w:val="000000"/>
          <w:sz w:val="20"/>
        </w:rPr>
        <w:t>At execution of the Royalty Agreement, the Company’s estimate of this total interest expense resulted in an effective annual interest rate of approximately 22.48%. This estimate contains significant assumptions that impact both the amount recorded at execution and the interest expense that will be recognized over the royalty period. The Company will periodically assess the estimated amounts due and payable to United and to the extent the amount</w:t>
      </w:r>
      <w:r>
        <w:rPr>
          <w:color w:val="000000"/>
        </w:rPr>
        <w:t xml:space="preserve"> </w:t>
      </w:r>
      <w:r>
        <w:rPr>
          <w:rFonts w:ascii="Arial;sans-serif" w:hAnsi="Arial;sans-serif"/>
          <w:b w:val="false"/>
          <w:color w:val="000000"/>
          <w:sz w:val="20"/>
        </w:rPr>
        <w:t xml:space="preserve">or timing of such payments is materially different than the original estimates, an adjustment will be recorded prospectively to increase or decrease interest expense. There are a number of factors that could materially affect XACIATO's commercial success, and therefore the amount and timing of the Company's payments to United, and correspondingly, the amount of interest expense recorded by the Company, most of which are not within the Company’s control. Such factors include, but are not limited to, the capabilities of Organon and its commitment of sufficient resources to market, distribute and sell the product; timely and adequate commercial supply of the finished product and its components; perceived superiority of its cure rates compared to other available treatments; patient satisfaction and willingness to use it again and refer it to others; price pressure given the high level of generic treatments and changes in health care laws and regulations; adequate coverage, pricing and reimbursement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60"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third-party payors; and approval of new entrants, including alternative, non-antibiotic treatment options. These factors could result in increases or decreases to both royalty revenues and interest expense. </w:t>
      </w:r>
    </w:p>
    <w:p>
      <w:pPr>
        <w:pStyle w:val="TextBody"/>
        <w:bidi w:val="0"/>
        <w:spacing w:lineRule="auto" w:line="288" w:before="120" w:after="283"/>
        <w:ind w:left="0" w:right="0" w:firstLine="72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Royalty Agreement, the Company issued to United a warrant (the “Initial Royalty Warrant”) to purchase up to 5,000,000 shares of the Company’s common stock. In addition, for every $1,000,000 of Supplemental Investment, the Company will issue a warrant to purchase 1,000,000 shares of common stock, for an aggregate of warrants to purchase up to 7,000,000 shares of common stock (collectively the “Additional Royalty Warrants,” and together with the Initial Royalty Warrant, the “Royalty Agreement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Royalty Agreement Warrants are exercisable, in full or in part, at any time on or prior to the fifth anniversary of their issuance date at an exercise price of $0.3467 per share, subject to customary anti-dilution adjustments. The Royalty Agreement Warrants may be exercised for cash, or if at the time of exercise there is no effective registration statement registering for resale the shares underlying the Royalty Agreement Warrants, then in lieu of paying the exercise price in cash, the holders may elect to exercise on a cashless basis.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Royalty Agreement Warrants were deemed to be equity classified warrants and recorded under additional paid in capital. The fair value of the Initial Royalty Warrant was determined to be $0.8 million (Note 8) and was recorded as a debt discount against the Initial Investment.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 shows the activity of the Royalty Obligation since the transaction inception through the period indicated: </w:t>
      </w:r>
    </w:p>
    <w:tbl>
      <w:tblPr>
        <w:tblW w:w="8069" w:type="dxa"/>
        <w:jc w:val="center"/>
        <w:tblInd w:w="0" w:type="dxa"/>
        <w:tblLayout w:type="fixed"/>
        <w:tblCellMar>
          <w:top w:w="28" w:type="dxa"/>
          <w:left w:w="28" w:type="dxa"/>
          <w:bottom w:w="28" w:type="dxa"/>
          <w:right w:w="28" w:type="dxa"/>
        </w:tblCellMar>
      </w:tblPr>
      <w:tblGrid>
        <w:gridCol w:w="2236"/>
        <w:gridCol w:w="1965"/>
        <w:gridCol w:w="1979"/>
        <w:gridCol w:w="272"/>
        <w:gridCol w:w="1319"/>
        <w:gridCol w:w="298"/>
      </w:tblGrid>
      <w:tr>
        <w:trPr/>
        <w:tc>
          <w:tcPr>
            <w:tcW w:w="223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Upfront payment from the sale of future royalties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(276,101)</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Relative fair value of Initial Royalty Warrant</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(834,512)</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payments</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Non-cash interest expense associated with the sale of future royalties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24,289 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w:t>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3,913,676 </w:t>
            </w:r>
          </w:p>
        </w:tc>
        <w:tc>
          <w:tcPr>
            <w:tcW w:w="2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Insurance Financing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2023, the Company obtained financing for director and officer and other insurance premiums. The agreement for such financing assigns to the lender a first priority lien on and a security interest in the financed insurance policies and any additional premium required in the financed insurance policies including (a) all returned or unearned premiums, (b) all additional cash contributions or collateral amounts assessed by the insurance companies in relation to the financed insurance policies and financed by the lender, (c) any credits generated by the financed insurance policies, (d) dividend payments, and (e) loss payments which reduce unearned premiums. If any circumstances exist in which premiums related to any financed insurance policy could become fully earned in the event of loss, the lender will be named a loss-payee with respect to such policy.</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total premiums, taxes and fees financed was approximately $0.6 million with an annual interest rate of approximately 8.0%. In consideration of the premium payment by the lender to the insurance companies or the agent or broker, the Company promised to pay the lender the amount financed plus interest and other charges permitted under the agreement. The Company will make monthly installment payments on the financed amount through April 20, 2024. The financed amount is recognized as an insurance financing cost included in other current assets and accrued expenses in the Company's consolidated balance sheets. As of December 31, 2023, the Company's remaining obligation under the agreement was approximately $0.3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CRADA with NICHD for the Pivotal Phase 3 Study of Ovaprene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contract research organization providing clinical coordination and data collection and management services for the Ovaprene Phase 3. The Company and NICHD will each provide medical oversight and final data review and analysis for the Ovaprene Phase 3 and will 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1"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In accordance with the payment schedule under the CRADA, the Company has made aggregate payments of $5.0 million to NICHD, $3.5 million of which was paid in 2022. The Company's remaining obligation under the CRADA at December 31, 2023 is $0.5 million.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Employment Agreements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executive officers of the Company are entitled to payments if their employment is terminated by the Company without cause, if they resign for good reason, if their employment agreements are not renewed, or if their employment is terminated by the Company without cause or if they resign for good reason, in each case, within three months prior to or 12 months following a change in control of the Company. Upon termination by the Company without cause, if they resign for good reason, if their employment agreements are not renewed, such executives are entitled to receive a payment of an amount equal to either nine or twelve months of base salary and to receive continuing health benefits coverage for periods equal to either nine or twelve months following the termination of employment or until such officer is covered under a separate plan from another employer. If their employment is terminated by the Company without cause or if they resign for good reason, in each case, within three months prior to or 12 months following a change in control of the Company, such executives will be entitled to receive a payment of an amount equal to either twelve or eighteen months of base salary and target bonus and to receive continuing health benefits coverage for periods ranging between twelve and eighteen months following the termination of employment. In addition, upon a change in control of the Company, each officer’s outstanding unvested options will fully vest and accelerate subject to the conditions outlined in such officer’s employment agreement.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Employee Benefit – 401(k) Plan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The Company made matching contributions of approximately $213,000 and $200,000 during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13.    GRANT AWARDS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NICHD Non-Dilutive Grant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non-dilutive grant funding from NICHD to support the development of several of its product candidates.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2020, the Company received a notice of award of a grant from NICHD to support the development of DARE-PTB1. The award of approximately $300,000 was to be used for what is referred to as the "Phase I" segment of the project outlined in the Company's grant application. The Phase I segment ended in July 2023. The Company recorded credits to research and development expense for costs related to the NICHD award of approximately $1,000 and $20,000 for the year ended December 31, 2023 and 2022. The Company received aggregate reimbursements under the award of approximately $216,000 during the grant period which ended in July 2023. No further funds are available under this award for the Phase I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2"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received a notice of award of approximately $2.0 million for the "Phase II" segment of the project. The Company recorded no credits to research and development expense for costs related to the NICHD award for the year ended December 31, 2023. </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DARE-LARC1</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September 2021, the Company received a notice of award of a grant from NICHD to support the development of DARE-LARC1. The award in the amount of approximately $300,000 is to be used to explore device insertion and removal in nonclinical studies.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$32,000 and $239,000 for costs related to the NICHD award for the year ended December 31, 2023 and 2022, respectively. The Company recorded receivables of approximately $0 and $33,000 for expenses incurred through such date that it believes is eligible for reimbursement under the grant at December 31, 2023 and 2022, respectively. The Company received aggregate reimbursements under the NICHD award of approximately $278,000 during the grant period, which ended in June 2023. No further funds are available under this award.</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DARE-204 and DARE-214</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DARE-204 and DARE-214.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recorded credits to research and development expense of approximately $134,000 and $116,000 for costs related to the NICHD award for the year ended December 31, 2023 and 2022. The Company received aggregate reimbursements under the NICHD award of approximately $249,000 during the grant period, which ended in September 2023. No further funds are available under this award. </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DARE-PTB2</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2023, the Company received a notice of award of a grant from NICHD of approximately $385,000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which are to occur over a 12-month period.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$100,000 for costs related to the NICHD award for the year ended December 31, 2023. The Company recorded a receivable of approximately $100,000 at December 31, 2023 for expenses incurred through such date that it believes are eligible for reimbursement under the grant.</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funding to support the preclinical development of DARE-LARC1 and DARE-LBT under grant agreements it entered into with the Foundation in June 2021 and November 2022, respectively. The Company is required to apply the funds it receives under the agreements solely toward direct costs for the applicable funded projects, other than approximately 10% of such funds, which it may apply toward general overhead and administrative expenses that support the entire operations of the Company. The Company receives funding in advance and tracks and reports eligible expenses incurred to the Foundation. Funds received that have not been spent are recorded as cash and cash equivalents and as a deferred grant funding liability in the Company’s consolidated balance sheets. The deferred grant funding liability also includes grant funds spent but not yet expensed in accordance with GAAP. The grant agreements include the Foundation's standard discretionary termination provisions. Any grant funds that have not been used or committed to the funded project must be returned promptly to the Foundation upon expiration or termination of the agreement. </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approximately $49.0 million to support the development of DARE-LARC1. The agreement supports technology development and preclinical activities over the period of June 30, 2021 to November 1, 2026, to advance DARE-LARC1 through nonclinical proof-of-principle studies and other IND-enabling work to allow for the submission of an IND application with the FDA, approval of which will be required to commence testing in humans.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December 31, 2023, the Company has received a cumulative total of approximately $28.4 million in non-dilutive funding under the agreement: approximately $11.5 million in 2021, approximately $12.4 million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63"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$4.5 million in 2023. Additional payments are contingent upon the DARE-LARC1 program’s achievement of specified development and reporting milestones. The Company recorded credits to research and development expense of approximately $8.7 million and $5.2 million for costs related to the Foundation award for the year ended December 31, 2023 and 2022. As of December 31, 2023, the Company recorded a deferred grant funding liability of approximately $13.5 million in the Company's consolidated balance sheets.</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2022 DARE-LBT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2022, the Company entered into an agreement with the Foundation under which the Company was awarded $585,000 to support the development of DARE-LBT over the period of November 11, 2022 to February 29, 2024. Under the agreement, the Company receives funding in advance and tracks and reports eligible expenses incurred to the Foundation. Any unspent funds are recorded as a deferred grant funding liability in the Company's consolidated balance sheets.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received the full amount of the award in November 2022. The Company recorded credits to research and development expense of approximately $0.3 million and $12,000 for costs related to the Foundation award for the year ended December 31, 2023 and 2022. As of December 31, 2023, the Company has recorded approximately $246,000 of deferred grant funding in the Company's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14.    SUBSEQUENT EVENTS</w:t>
      </w:r>
    </w:p>
    <w:p>
      <w:pPr>
        <w:pStyle w:val="TextBody"/>
        <w:bidi w:val="0"/>
        <w:spacing w:lineRule="auto" w:line="288" w:before="160" w:after="200"/>
        <w:jc w:val="both"/>
        <w:rPr>
          <w:rFonts w:ascii="Arial;sans-serif" w:hAnsi="Arial;sans-serif"/>
          <w:b/>
          <w:i/>
          <w:color w:val="000000"/>
          <w:sz w:val="20"/>
        </w:rPr>
      </w:pPr>
      <w:r>
        <w:rPr>
          <w:rFonts w:ascii="Arial;sans-serif" w:hAnsi="Arial;sans-serif"/>
          <w:b/>
          <w:i/>
          <w:color w:val="000000"/>
          <w:sz w:val="20"/>
        </w:rPr>
        <w:t>Leased Property</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March 8, 2024, the Company entered into an amendment to extend the term of the lease for its corporate headquarters in San Diego, California for three years. The extended term begins September 1, 2024 and expires October 31, 2027. </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2024 Biotherapeutic Product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On January 17, 2024, the Company entered into an agreement with the Foundation under which the Company was awarded $750,000 to support the development of bacteria-based live biotherapeutic products designed to benefit women and newborns. The Company received the full amount of the award in January 2024. The Company will track and report eligible expenses incurred to the Foundation. Funds received but not yet spent will be recorded as cash and cash equivalents and as a deferred grant funding liability in the Company's consolidated balance sheets.</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Related Party Transaction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On January 26, 2024, the Company entered into a consulting agreement with its former Chief Financial Officer, Lisa Walters-Hoffert, to assist in transition matters subsequent to her retirement. Pursuant to the agreement, for a nine month period commencing on January 26, 2024, the Company will pay Ms. Walters-Hoffert $31,667 per month and up to $500 per month for her health insurance premiums.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ATM Sales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January 2024, the Company sold an aggregate of 607,968 shares of common stock under its ATM equity offering program and received aggregate gross proceeds of approximately $220,000 and incurred sales agent commissions and fees of approximately $5,000. For a discussion of the ATM program, see Note 8, Stockholders' Equity.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4.4</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64"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5.9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Form of Warrant</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DARÉ BIOSCIENCE,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Warrant To Purchase Common Stock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Warrant No.: [        ]</w:t>
      </w:r>
    </w:p>
    <w:p>
      <w:pPr>
        <w:pStyle w:val="TextBody"/>
        <w:bidi w:val="0"/>
        <w:spacing w:lineRule="auto" w:line="288" w:before="0" w:after="240"/>
        <w:jc w:val="both"/>
        <w:rPr/>
      </w:pPr>
      <w:r>
        <w:rPr>
          <w:rFonts w:ascii="Arial;sans-serif" w:hAnsi="Arial;sans-serif"/>
          <w:b w:val="false"/>
          <w:color w:val="000000"/>
          <w:sz w:val="20"/>
        </w:rPr>
        <w:t>Date of Issuance: [ ] (“</w:t>
      </w:r>
      <w:r>
        <w:rPr>
          <w:rFonts w:ascii="Arial;sans-serif" w:hAnsi="Arial;sans-serif"/>
          <w:b/>
          <w:color w:val="000000"/>
          <w:sz w:val="20"/>
        </w:rPr>
        <w:t>Issuance Date</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THIS COMMON STOCK PURCHASE WARRANT (the “</w:t>
      </w:r>
      <w:r>
        <w:rPr>
          <w:rFonts w:ascii="Arial;sans-serif" w:hAnsi="Arial;sans-serif"/>
          <w:b w:val="false"/>
          <w:color w:val="000000"/>
          <w:sz w:val="20"/>
          <w:u w:val="single"/>
        </w:rPr>
        <w:t>Warrant</w:t>
      </w:r>
      <w:r>
        <w:rPr>
          <w:color w:val="000000"/>
        </w:rPr>
        <w:t>”</w:t>
      </w:r>
      <w:r>
        <w:rPr>
          <w:rFonts w:ascii="Arial;sans-serif" w:hAnsi="Arial;sans-serif"/>
          <w:b w:val="false"/>
          <w:color w:val="000000"/>
          <w:sz w:val="20"/>
        </w:rPr>
        <w:t>) certifies that, for value received, _____________ or its assigns (the “</w:t>
      </w:r>
      <w:r>
        <w:rPr>
          <w:rFonts w:ascii="Arial;sans-serif" w:hAnsi="Arial;sans-serif"/>
          <w:b w:val="false"/>
          <w:color w:val="000000"/>
          <w:sz w:val="20"/>
          <w:u w:val="single"/>
        </w:rPr>
        <w:t>Holder</w:t>
      </w:r>
      <w:r>
        <w:rPr>
          <w:color w:val="000000"/>
        </w:rPr>
        <w:t>”</w:t>
      </w:r>
      <w:r>
        <w:rPr>
          <w:rFonts w:ascii="Arial;sans-serif" w:hAnsi="Arial;sans-serif"/>
          <w:b w:val="false"/>
          <w:color w:val="000000"/>
          <w:sz w:val="20"/>
        </w:rPr>
        <w:t>) is entitled, upon the terms and subject to the limitations on exercise and the conditions hereinafter set forth, at any time on or after [ ]</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w:t>
      </w:r>
      <w:r>
        <w:rPr>
          <w:rFonts w:ascii="Arial;sans-serif" w:hAnsi="Arial;sans-serif"/>
          <w:b w:val="false"/>
          <w:color w:val="000000"/>
          <w:sz w:val="20"/>
          <w:u w:val="single"/>
        </w:rPr>
        <w:t>Initial Exercise Date</w:t>
      </w:r>
      <w:r>
        <w:rPr>
          <w:color w:val="000000"/>
        </w:rPr>
        <w:t>”</w:t>
      </w:r>
      <w:r>
        <w:rPr>
          <w:rFonts w:ascii="Arial;sans-serif" w:hAnsi="Arial;sans-serif"/>
          <w:b w:val="false"/>
          <w:color w:val="000000"/>
          <w:sz w:val="20"/>
        </w:rPr>
        <w:t>) and on or prior to 5:00 p.m. (New York City time) on [ ]</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(the “</w:t>
      </w:r>
      <w:r>
        <w:rPr>
          <w:rFonts w:ascii="Arial;sans-serif" w:hAnsi="Arial;sans-serif"/>
          <w:b w:val="false"/>
          <w:color w:val="000000"/>
          <w:sz w:val="20"/>
          <w:u w:val="single"/>
        </w:rPr>
        <w:t>Termination Date</w:t>
      </w:r>
      <w:r>
        <w:rPr>
          <w:color w:val="000000"/>
        </w:rPr>
        <w:t>”</w:t>
      </w:r>
      <w:r>
        <w:rPr>
          <w:rFonts w:ascii="Arial;sans-serif" w:hAnsi="Arial;sans-serif"/>
          <w:b w:val="false"/>
          <w:color w:val="000000"/>
          <w:sz w:val="20"/>
        </w:rPr>
        <w:t>) but not thereafter, to subscribe for and purchase from Daré Bioscience, Inc., a Delaware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up to [ ]</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shares (as subject to adjustment hereunder, the “</w:t>
      </w:r>
      <w:r>
        <w:rPr>
          <w:rFonts w:ascii="Arial;sans-serif" w:hAnsi="Arial;sans-serif"/>
          <w:b w:val="false"/>
          <w:color w:val="000000"/>
          <w:sz w:val="20"/>
          <w:u w:val="single"/>
        </w:rPr>
        <w:t>Warrant Shares</w:t>
      </w:r>
      <w:r>
        <w:rPr>
          <w:color w:val="000000"/>
        </w:rPr>
        <w:t>”</w:t>
      </w:r>
      <w:r>
        <w:rPr>
          <w:rFonts w:ascii="Arial;sans-serif" w:hAnsi="Arial;sans-serif"/>
          <w:b w:val="false"/>
          <w:color w:val="000000"/>
          <w:sz w:val="20"/>
        </w:rPr>
        <w:t xml:space="preserve">) of Common Stock. The purchase price of one share of Common Stock under this Warrant shall be equal to the Exercise Price, as defined in Section 2(b). </w:t>
      </w:r>
    </w:p>
    <w:p>
      <w:pPr>
        <w:pStyle w:val="TextBody"/>
        <w:bidi w:val="0"/>
        <w:spacing w:lineRule="auto" w:line="288" w:before="0" w:after="240"/>
        <w:ind w:left="0" w:right="0" w:firstLine="720"/>
        <w:jc w:val="both"/>
        <w:rPr/>
      </w:pPr>
      <w:r>
        <w:rPr>
          <w:rFonts w:ascii="Arial;sans-serif" w:hAnsi="Arial;sans-serif"/>
          <w:b w:val="false"/>
          <w:color w:val="000000"/>
          <w:sz w:val="20"/>
          <w:u w:val="single"/>
        </w:rPr>
        <w:t>Section 1</w:t>
      </w:r>
      <w:r>
        <w:rPr>
          <w:rFonts w:ascii="Arial;sans-serif" w:hAnsi="Arial;sans-serif"/>
          <w:b w:val="false"/>
          <w:color w:val="000000"/>
          <w:sz w:val="20"/>
        </w:rPr>
        <w:t>.    </w:t>
      </w:r>
      <w:r>
        <w:rPr>
          <w:rFonts w:ascii="Arial;sans-serif" w:hAnsi="Arial;sans-serif"/>
          <w:b w:val="false"/>
          <w:color w:val="000000"/>
          <w:sz w:val="20"/>
          <w:u w:val="single"/>
        </w:rPr>
        <w:t>Definitions</w:t>
      </w:r>
      <w:r>
        <w:rPr>
          <w:rFonts w:ascii="Arial;sans-serif" w:hAnsi="Arial;sans-serif"/>
          <w:b w:val="false"/>
          <w:color w:val="000000"/>
          <w:sz w:val="20"/>
        </w:rPr>
        <w:t>. Capitalized terms used and not otherwise defined herein shall have the meanings set forth in that certain Royalty Interest Financing Agreement, dated as of [ ] (the "</w:t>
      </w:r>
      <w:r>
        <w:rPr>
          <w:rFonts w:ascii="Arial;sans-serif" w:hAnsi="Arial;sans-serif"/>
          <w:b w:val="false"/>
          <w:color w:val="000000"/>
          <w:sz w:val="20"/>
          <w:u w:val="single"/>
        </w:rPr>
        <w:t>Effective Date</w:t>
      </w:r>
      <w:r>
        <w:rPr>
          <w:rFonts w:ascii="Arial;sans-serif" w:hAnsi="Arial;sans-serif"/>
          <w:b w:val="false"/>
          <w:color w:val="000000"/>
          <w:sz w:val="20"/>
        </w:rPr>
        <w:t>") between the Company and United in Endeavour, LLC, a limited liability company organized under the laws of the State of Georgia (the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u w:val="single"/>
        </w:rPr>
        <w:t>Section 2</w:t>
      </w:r>
      <w:r>
        <w:rPr>
          <w:rFonts w:ascii="Arial;sans-serif" w:hAnsi="Arial;sans-serif"/>
          <w:b w:val="false"/>
          <w:color w:val="000000"/>
          <w:sz w:val="20"/>
        </w:rPr>
        <w:t>.    </w:t>
      </w:r>
      <w:r>
        <w:rPr>
          <w:rFonts w:ascii="Arial;sans-serif" w:hAnsi="Arial;sans-serif"/>
          <w:b w:val="false"/>
          <w:color w:val="000000"/>
          <w:sz w:val="20"/>
          <w:u w:val="single"/>
        </w:rPr>
        <w:t>Exercise</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u w:val="single"/>
        </w:rPr>
        <w:t>Exercise of Warrant</w:t>
      </w:r>
      <w:r>
        <w:rPr>
          <w:rFonts w:ascii="Arial;sans-serif" w:hAnsi="Arial;sans-serif"/>
          <w:b w:val="false"/>
          <w:color w:val="000000"/>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sans-serif" w:hAnsi="Arial;sans-serif"/>
          <w:b w:val="false"/>
          <w:color w:val="000000"/>
          <w:sz w:val="20"/>
          <w:u w:val="single"/>
        </w:rPr>
        <w:t>Notice of Exercise</w:t>
      </w:r>
      <w:r>
        <w:rPr>
          <w:color w:val="000000"/>
        </w:rPr>
        <w:t>”</w:t>
      </w:r>
      <w:r>
        <w:rPr>
          <w:rFonts w:ascii="Arial;sans-serif" w:hAnsi="Arial;sans-serif"/>
          <w:b w:val="false"/>
          <w:color w:val="000000"/>
          <w:sz w:val="20"/>
        </w:rPr>
        <w:t>).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Arial;sans-serif" w:hAnsi="Arial;sans-serif"/>
          <w:b w:val="false"/>
          <w:color w:val="000000"/>
          <w:sz w:val="20"/>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w:t>
      </w:r>
    </w:p>
    <w:p>
      <w:pPr>
        <w:pStyle w:val="TextBody"/>
        <w:bidi w:val="0"/>
        <w:spacing w:lineRule="auto" w:line="240" w:before="0" w:after="0"/>
        <w:jc w:val="both"/>
        <w:rPr/>
      </w:pPr>
      <w:r>
        <w:rPr>
          <w:rFonts w:ascii="Times New Roman;sans-serif" w:hAnsi="Times New Roman;sans-serif"/>
          <w:b w:val="false"/>
          <w:color w:val="000000"/>
          <w:sz w:val="10"/>
        </w:rPr>
        <w:t>1</w:t>
      </w:r>
      <w:r>
        <w:rPr>
          <w:color w:val="000000"/>
        </w:rPr>
        <w:t xml:space="preserve"> </w:t>
      </w:r>
      <w:r>
        <w:rPr>
          <w:rFonts w:ascii="Arial;sans-serif" w:hAnsi="Arial;sans-serif"/>
          <w:b w:val="false"/>
          <w:color w:val="000000"/>
          <w:sz w:val="16"/>
        </w:rPr>
        <w:t>In the case of the initial warrant, to be the Effective Date as defined in the Agreement. In the case of subsequent warrants, if any, to be the date on which Supplemental Discretionary Investment Amount 1, Supplemental Discretionary Investment Amount 2 or Supplemental Discretionary Investment Amount 3, as applicable, is made by UiE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10"/>
        </w:rPr>
        <w:t>2</w:t>
      </w:r>
      <w:r>
        <w:rPr>
          <w:color w:val="000000"/>
        </w:rPr>
        <w:t xml:space="preserve"> </w:t>
      </w:r>
      <w:r>
        <w:rPr>
          <w:rFonts w:ascii="Arial;sans-serif" w:hAnsi="Arial;sans-serif"/>
          <w:b w:val="false"/>
          <w:color w:val="000000"/>
          <w:sz w:val="16"/>
        </w:rPr>
        <w:t>In the case of the initial warrant, to be the date five years from the Effective Date. In the case of subsequent warrants, if any, to be five years from the date on which Supplemental Discretionary Investment Amount 1, Supplemental Discretionary Investment Amount 2 or Supplemental Discretionary Investment Amount 3, as applicable, is made by UiE to the Company.</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10"/>
        </w:rPr>
        <w:t>3</w:t>
      </w:r>
      <w:r>
        <w:rPr>
          <w:color w:val="000000"/>
        </w:rPr>
        <w:t xml:space="preserve"> </w:t>
      </w:r>
      <w:r>
        <w:rPr>
          <w:rFonts w:ascii="Arial;sans-serif" w:hAnsi="Arial;sans-serif"/>
          <w:b w:val="false"/>
          <w:color w:val="000000"/>
          <w:sz w:val="16"/>
        </w:rPr>
        <w:t>The number of share for the initial warrant will be 5,000,000, assuming an initial upfront payment of $5M. The number of shares issuable for each Supplemental Discretionary Investment Amount payment will be 1,000,000 shares (as adjusted consistent with Section 3(a) below) for each $1M paid by UiE to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65" name="Frame1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 xml:space="preserve">records showing the number of Warrant Shares purchased and the date of such purchases. The Company shall deliver any objection to any Notice of Exercise within one (1) Business Day of receipt of such notice. </w:t>
      </w:r>
      <w:r>
        <w:rPr>
          <w:rFonts w:ascii="Arial;sans-serif" w:hAnsi="Arial;sans-serif"/>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u w:val="single"/>
        </w:rPr>
        <w:t>Exercise Price</w:t>
      </w:r>
      <w:r>
        <w:rPr>
          <w:rFonts w:ascii="Arial;sans-serif" w:hAnsi="Arial;sans-serif"/>
          <w:b w:val="false"/>
          <w:color w:val="000000"/>
          <w:sz w:val="20"/>
        </w:rPr>
        <w:t>. The exercise price per share of Common Stock under this Warrant shall be [$ ]</w:t>
      </w:r>
      <w:r>
        <w:rPr>
          <w:rFonts w:ascii="Arial;sans-serif" w:hAnsi="Arial;sans-serif"/>
          <w:b w:val="false"/>
          <w:color w:val="000000"/>
          <w:sz w:val="13"/>
        </w:rPr>
        <w:t>4</w:t>
      </w:r>
      <w:r>
        <w:rPr>
          <w:rFonts w:ascii="Arial;sans-serif" w:hAnsi="Arial;sans-serif"/>
          <w:b w:val="false"/>
          <w:color w:val="000000"/>
          <w:sz w:val="20"/>
        </w:rPr>
        <w:t>, subject to adjustment hereunder (the “</w:t>
      </w:r>
      <w:r>
        <w:rPr>
          <w:rFonts w:ascii="Arial;sans-serif" w:hAnsi="Arial;sans-serif"/>
          <w:b w:val="false"/>
          <w:color w:val="000000"/>
          <w:sz w:val="20"/>
          <w:u w:val="single"/>
        </w:rPr>
        <w:t>Exercise Price</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u w:val="single"/>
        </w:rPr>
        <w:t>Cashless Exercise</w:t>
      </w:r>
      <w:r>
        <w:rPr>
          <w:rFonts w:ascii="Arial;sans-serif" w:hAnsi="Arial;sans-serif"/>
          <w:b w:val="false"/>
          <w:color w:val="000000"/>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lineRule="auto" w:line="288" w:before="0" w:after="0"/>
        <w:ind w:left="0" w:right="0" w:hanging="630"/>
        <w:jc w:val="both"/>
        <w:rPr/>
      </w:pPr>
      <w:r>
        <w:rPr>
          <w:rFonts w:ascii="Arial;sans-serif" w:hAnsi="Arial;sans-serif"/>
          <w:b w:val="false"/>
          <w:color w:val="000000"/>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Nasdaq Capital Market (the “</w:t>
      </w:r>
      <w:r>
        <w:rPr>
          <w:rFonts w:ascii="Arial;sans-serif" w:hAnsi="Arial;sans-serif"/>
          <w:b w:val="false"/>
          <w:color w:val="000000"/>
          <w:sz w:val="20"/>
          <w:u w:val="single"/>
        </w:rPr>
        <w:t>Principal Market</w:t>
      </w:r>
      <w:r>
        <w:rPr>
          <w:color w:val="000000"/>
        </w:rPr>
        <w:t>”</w:t>
      </w:r>
      <w:r>
        <w:rPr>
          <w:rFonts w:ascii="Arial;sans-serif" w:hAnsi="Arial;sans-serif"/>
          <w:b w:val="false"/>
          <w:color w:val="000000"/>
          <w:sz w:val="20"/>
        </w:rPr>
        <w:t>) as reported by Bloomberg L.P. (“</w:t>
      </w:r>
      <w:r>
        <w:rPr>
          <w:rFonts w:ascii="Arial;sans-serif" w:hAnsi="Arial;sans-serif"/>
          <w:b w:val="false"/>
          <w:color w:val="000000"/>
          <w:sz w:val="20"/>
          <w:u w:val="single"/>
        </w:rPr>
        <w:t>Bloomberg</w:t>
      </w:r>
      <w:r>
        <w:rPr>
          <w:color w:val="000000"/>
        </w:rPr>
        <w:t>”</w:t>
      </w:r>
      <w:r>
        <w:rPr>
          <w:rFonts w:ascii="Arial;sans-serif" w:hAnsi="Arial;sans-serif"/>
          <w:b w:val="false"/>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 xml:space="preserve">(B) = the Exercise Price of this Warrant, as adjusted hereunder; and </w:t>
      </w:r>
    </w:p>
    <w:p>
      <w:pPr>
        <w:pStyle w:val="TextBody"/>
        <w:bidi w:val="0"/>
        <w:spacing w:before="0" w:after="0"/>
        <w:ind w:left="0" w:right="0" w:hanging="720"/>
        <w:jc w:val="both"/>
        <w:rPr/>
      </w:pPr>
      <w:r>
        <w:rPr/>
      </w:r>
    </w:p>
    <w:p>
      <w:pPr>
        <w:pStyle w:val="TextBody"/>
        <w:bidi w:val="0"/>
        <w:spacing w:lineRule="auto" w:line="288" w:before="0" w:after="0"/>
        <w:ind w:left="0" w:right="0" w:hanging="630"/>
        <w:jc w:val="both"/>
        <w:rPr>
          <w:rFonts w:ascii="Arial;sans-serif" w:hAnsi="Arial;sans-serif"/>
          <w:b w:val="false"/>
          <w:color w:val="000000"/>
          <w:sz w:val="20"/>
        </w:rPr>
      </w:pPr>
      <w:r>
        <w:rPr>
          <w:rFonts w:ascii="Arial;sans-serif" w:hAnsi="Arial;sans-serif"/>
          <w:b w:val="false"/>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63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For purposes of Rule 144(d) promulgated under the 1933 Act, as in effect on the Effective Date, it is intended that the Warrant Shares issued in a Cashless Exercise shall be deemed to have been acquired by the Holder, and the holding period for the Warrant Shares shall be deemed to have commenced, on the date this Warrant was originally issued pursuant to the Agreement</w:t>
      </w:r>
      <w:r>
        <w:rPr>
          <w:rFonts w:ascii="Arial;sans-serif" w:hAnsi="Arial;sans-serif"/>
          <w:b w:val="false"/>
          <w:color w:val="000000"/>
          <w:sz w:val="20"/>
          <w:shd w:fill="FFFFFF" w:val="clear"/>
        </w:rPr>
        <w:t>.</w:t>
      </w:r>
    </w:p>
    <w:p>
      <w:pPr>
        <w:pStyle w:val="TextBody"/>
        <w:bidi w:val="0"/>
        <w:spacing w:lineRule="auto" w:line="288" w:before="0" w:after="240"/>
        <w:ind w:left="0" w:right="0" w:firstLine="720"/>
        <w:jc w:val="both"/>
        <w:rPr/>
      </w:pPr>
      <w:r>
        <w:rPr>
          <w:color w:val="000000"/>
        </w:rPr>
        <w:t>“</w:t>
      </w:r>
      <w:r>
        <w:rPr>
          <w:rFonts w:ascii="Arial;sans-serif" w:hAnsi="Arial;sans-serif"/>
          <w:b w:val="false"/>
          <w:color w:val="000000"/>
          <w:sz w:val="20"/>
          <w:u w:val="single"/>
        </w:rPr>
        <w:t>Bid Price</w:t>
      </w:r>
      <w:r>
        <w:rPr>
          <w:color w:val="000000"/>
        </w:rPr>
        <w:t xml:space="preserve">” </w:t>
      </w:r>
      <w:r>
        <w:rPr>
          <w:rFonts w:ascii="Arial;sans-serif" w:hAnsi="Arial;sans-serif"/>
          <w:b w:val="false"/>
          <w:color w:val="000000"/>
          <w:sz w:val="20"/>
        </w:rPr>
        <w:t xml:space="preserve">means, as applicable: (i) the Closing Sale Price of the Common Stock on the Trading Day immediately preceding the date of the applicable Exercise Notice if such Exercise Notice is (1) both executed and delivered pursuant to Section 1(a) hereof on a day that is not a </w:t>
      </w:r>
    </w:p>
    <w:p>
      <w:pPr>
        <w:pStyle w:val="TextBody"/>
        <w:bidi w:val="0"/>
        <w:spacing w:lineRule="auto" w:line="240"/>
        <w:jc w:val="both"/>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To be 110% of the closing sale price on the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6" name="Frame1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 </w:t>
      </w:r>
    </w:p>
    <w:p>
      <w:pPr>
        <w:pStyle w:val="TextBody"/>
        <w:bidi w:val="0"/>
        <w:spacing w:lineRule="auto" w:line="288" w:before="0" w:after="240"/>
        <w:ind w:left="0" w:right="0" w:firstLine="720"/>
        <w:jc w:val="both"/>
        <w:rPr/>
      </w:pPr>
      <w:r>
        <w:rPr>
          <w:color w:val="000000"/>
        </w:rPr>
        <w:t>“</w:t>
      </w:r>
      <w:r>
        <w:rPr>
          <w:rFonts w:ascii="Arial;sans-serif" w:hAnsi="Arial;sans-serif"/>
          <w:b w:val="false"/>
          <w:color w:val="000000"/>
          <w:sz w:val="20"/>
          <w:u w:val="single"/>
        </w:rPr>
        <w:t>Trading Day</w:t>
      </w:r>
      <w:r>
        <w:rPr>
          <w:color w:val="000000"/>
        </w:rPr>
        <w:t xml:space="preserve">” </w:t>
      </w:r>
      <w:r>
        <w:rPr>
          <w:rFonts w:ascii="Arial;sans-serif" w:hAnsi="Arial;sans-serif"/>
          <w:b w:val="false"/>
          <w:color w:val="000000"/>
          <w:sz w:val="20"/>
        </w:rPr>
        <w:t>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pStyle w:val="TextBody"/>
        <w:bidi w:val="0"/>
        <w:spacing w:lineRule="auto" w:line="288" w:before="0" w:after="240"/>
        <w:ind w:left="0" w:right="0" w:firstLine="720"/>
        <w:jc w:val="both"/>
        <w:rPr/>
      </w:pPr>
      <w:r>
        <w:rPr>
          <w:color w:val="000000"/>
        </w:rPr>
        <w:t>“</w:t>
      </w:r>
      <w:r>
        <w:rPr>
          <w:rFonts w:ascii="Arial;sans-serif" w:hAnsi="Arial;sans-serif"/>
          <w:b w:val="false"/>
          <w:color w:val="000000"/>
          <w:sz w:val="20"/>
          <w:u w:val="single"/>
        </w:rPr>
        <w:t>VWAP</w:t>
      </w:r>
      <w:r>
        <w:rPr>
          <w:color w:val="000000"/>
        </w:rPr>
        <w:t xml:space="preserve">” </w:t>
      </w:r>
      <w:r>
        <w:rPr>
          <w:rFonts w:ascii="Arial;sans-serif" w:hAnsi="Arial;sans-serif"/>
          <w:b w:val="false"/>
          <w:color w:val="000000"/>
          <w:sz w:val="20"/>
        </w:rPr>
        <w:t xml:space="preserve">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Holder. All such determinations shall be appropriately adjusted for any stock dividend, stock split, stock combination, recapitalization or other similar transaction during such period.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Notwithstanding anything herein to the contrary, on the Termination Date, this Warrant shall be automatically exercised via cashless exercise pursuant to this Section 2(c).</w:t>
      </w:r>
    </w:p>
    <w:p>
      <w:pPr>
        <w:pStyle w:val="TextBody"/>
        <w:bidi w:val="0"/>
        <w:spacing w:before="0" w:after="0"/>
        <w:ind w:left="0" w:right="0" w:hanging="63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d)</w:t>
      </w:r>
      <w:r>
        <w:rPr>
          <w:rFonts w:ascii="Arial;sans-serif" w:hAnsi="Arial;sans-serif"/>
          <w:b w:val="false"/>
          <w:color w:val="000000"/>
          <w:sz w:val="20"/>
          <w:u w:val="single"/>
        </w:rPr>
        <w:t>Mechanics of Exercise</w:t>
      </w:r>
      <w:r>
        <w:rPr>
          <w:rFonts w:ascii="Arial;sans-serif" w:hAnsi="Arial;sans-serif"/>
          <w:b w:val="false"/>
          <w:color w:val="000000"/>
          <w:sz w:val="20"/>
        </w:rPr>
        <w:t xml:space="preserve">. </w:t>
      </w:r>
    </w:p>
    <w:p>
      <w:pPr>
        <w:pStyle w:val="TextBody"/>
        <w:bidi w:val="0"/>
        <w:spacing w:lineRule="auto" w:line="288" w:before="0" w:after="24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Delivery of Warrant Shares Upon Exercise</w:t>
      </w:r>
      <w:r>
        <w:rPr>
          <w:rFonts w:ascii="Arial;sans-serif" w:hAnsi="Arial;sans-serif"/>
          <w:b w:val="false"/>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sans-serif" w:hAnsi="Arial;sans-serif"/>
          <w:b w:val="false"/>
          <w:color w:val="000000"/>
          <w:sz w:val="20"/>
          <w:u w:val="single"/>
        </w:rPr>
        <w:t>DWAC</w:t>
      </w:r>
      <w:r>
        <w:rPr>
          <w:color w:val="000000"/>
        </w:rPr>
        <w:t>”</w:t>
      </w:r>
      <w:r>
        <w:rPr>
          <w:rFonts w:ascii="Arial;sans-serif" w:hAnsi="Arial;sans-serif"/>
          <w:b w:val="false"/>
          <w:color w:val="000000"/>
          <w:sz w:val="20"/>
        </w:rPr>
        <w:t xml:space="preserve">) if the Company is then a participant in such system and either (A) there is an effective registration statement permitting the issuance of the Warrant Shares to or resale of the Warrant Shares by Holder or (B) this Warrant is being exercised via cashless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7"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sans-serif" w:hAnsi="Arial;sans-serif"/>
          <w:b w:val="false"/>
          <w:color w:val="000000"/>
          <w:sz w:val="20"/>
          <w:u w:val="single"/>
        </w:rPr>
        <w:t>Warrant Share Delivery Date</w:t>
      </w:r>
      <w:r>
        <w:rPr>
          <w:color w:val="000000"/>
        </w:rPr>
        <w:t>”</w:t>
      </w:r>
      <w:r>
        <w:rPr>
          <w:rFonts w:ascii="Arial;sans-serif" w:hAnsi="Arial;sans-serif"/>
          <w:b w:val="false"/>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Arial;sans-serif" w:hAnsi="Arial;sans-serif"/>
          <w:b w:val="false"/>
          <w:color w:val="000000"/>
          <w:sz w:val="20"/>
          <w:u w:val="single"/>
        </w:rPr>
        <w:t>Standard Settlement Period</w:t>
      </w:r>
      <w:r>
        <w:rPr>
          <w:color w:val="000000"/>
        </w:rPr>
        <w:t xml:space="preserve">” </w:t>
      </w:r>
      <w:r>
        <w:rPr>
          <w:rFonts w:ascii="Arial;sans-serif" w:hAnsi="Arial;sans-serif"/>
          <w:b w:val="false"/>
          <w:color w:val="000000"/>
          <w:sz w:val="20"/>
        </w:rPr>
        <w:t xml:space="preserve">means the standard settlement period, expressed in a number of Trading Days, on the Company’s primary Trading Market with respect to the Common Stock as in effect on the date of delivery of the Notice of Exercise. </w:t>
      </w:r>
    </w:p>
    <w:p>
      <w:pPr>
        <w:pStyle w:val="TextBody"/>
        <w:bidi w:val="0"/>
        <w:spacing w:lineRule="auto" w:line="288" w:before="0" w:after="240"/>
        <w:ind w:left="0" w:right="0" w:firstLine="720"/>
        <w:jc w:val="both"/>
        <w:rPr/>
      </w:pPr>
      <w:r>
        <w:rPr>
          <w:rFonts w:ascii="Arial;sans-serif" w:hAnsi="Arial;sans-serif"/>
          <w:b w:val="false"/>
          <w:color w:val="000000"/>
          <w:sz w:val="20"/>
        </w:rPr>
        <w:t>ii.</w:t>
      </w:r>
      <w:r>
        <w:rPr>
          <w:rFonts w:ascii="Arial;sans-serif" w:hAnsi="Arial;sans-serif"/>
          <w:b w:val="false"/>
          <w:color w:val="000000"/>
          <w:sz w:val="20"/>
          <w:u w:val="single"/>
        </w:rPr>
        <w:t>Delivery of New Warrants Upon Exercise</w:t>
      </w:r>
      <w:r>
        <w:rPr>
          <w:rFonts w:ascii="Arial;sans-serif" w:hAnsi="Arial;sans-serif"/>
          <w:b w:val="false"/>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288" w:before="0" w:after="240"/>
        <w:ind w:left="0" w:right="0" w:firstLine="720"/>
        <w:jc w:val="both"/>
        <w:rPr/>
      </w:pPr>
      <w:r>
        <w:rPr>
          <w:rFonts w:ascii="Arial;sans-serif" w:hAnsi="Arial;sans-serif"/>
          <w:b w:val="false"/>
          <w:color w:val="000000"/>
          <w:sz w:val="20"/>
        </w:rPr>
        <w:t>iii.</w:t>
      </w:r>
      <w:r>
        <w:rPr>
          <w:rFonts w:ascii="Arial;sans-serif" w:hAnsi="Arial;sans-serif"/>
          <w:b w:val="false"/>
          <w:color w:val="000000"/>
          <w:sz w:val="20"/>
          <w:u w:val="single"/>
        </w:rPr>
        <w:t>Rescission Rights</w:t>
      </w:r>
      <w:r>
        <w:rPr>
          <w:rFonts w:ascii="Arial;sans-serif" w:hAnsi="Arial;sans-serif"/>
          <w:b w:val="false"/>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288" w:before="0" w:after="240"/>
        <w:ind w:left="0" w:right="0" w:firstLine="720"/>
        <w:jc w:val="both"/>
        <w:rPr/>
      </w:pPr>
      <w:r>
        <w:rPr>
          <w:rFonts w:ascii="Arial;sans-serif" w:hAnsi="Arial;sans-serif"/>
          <w:b w:val="false"/>
          <w:color w:val="000000"/>
          <w:sz w:val="20"/>
        </w:rPr>
        <w:t>iv.</w:t>
      </w:r>
      <w:r>
        <w:rPr>
          <w:rFonts w:ascii="Arial;sans-serif" w:hAnsi="Arial;sans-serif"/>
          <w:b w:val="false"/>
          <w:color w:val="000000"/>
          <w:sz w:val="20"/>
          <w:u w:val="single"/>
        </w:rPr>
        <w:t>Compensation for Buy-In on Failure to Timely Deliver Warrant Shares Upon Exercise</w:t>
      </w:r>
      <w:r>
        <w:rPr>
          <w:rFonts w:ascii="Arial;sans-serif" w:hAnsi="Arial;sans-serif"/>
          <w:b w:val="false"/>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sans-serif" w:hAnsi="Arial;sans-serif"/>
          <w:b w:val="false"/>
          <w:color w:val="000000"/>
          <w:sz w:val="20"/>
          <w:u w:val="single"/>
        </w:rPr>
        <w:t>Buy-In</w:t>
      </w:r>
      <w:r>
        <w:rPr>
          <w:color w:val="000000"/>
        </w:rPr>
        <w:t>”</w:t>
      </w:r>
      <w:r>
        <w:rPr>
          <w:rFonts w:ascii="Arial;sans-serif" w:hAnsi="Arial;sans-serif"/>
          <w:b w:val="false"/>
          <w:color w:val="000000"/>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8"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lineRule="auto" w:line="288" w:before="0" w:after="240"/>
        <w:ind w:left="0" w:right="0" w:firstLine="720"/>
        <w:jc w:val="both"/>
        <w:rPr/>
      </w:pPr>
      <w:r>
        <w:rPr>
          <w:rFonts w:ascii="Arial;sans-serif" w:hAnsi="Arial;sans-serif"/>
          <w:b w:val="false"/>
          <w:color w:val="000000"/>
          <w:sz w:val="20"/>
        </w:rPr>
        <w:t>v.</w:t>
      </w:r>
      <w:r>
        <w:rPr>
          <w:rFonts w:ascii="Arial;sans-serif" w:hAnsi="Arial;sans-serif"/>
          <w:b w:val="false"/>
          <w:color w:val="000000"/>
          <w:sz w:val="20"/>
          <w:u w:val="single"/>
        </w:rPr>
        <w:t>No Fractional Shares or Scrip</w:t>
      </w:r>
      <w:r>
        <w:rPr>
          <w:rFonts w:ascii="Arial;sans-serif" w:hAnsi="Arial;sans-serif"/>
          <w:b w:val="false"/>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lineRule="auto" w:line="288" w:before="0" w:after="240"/>
        <w:ind w:left="0" w:right="0" w:firstLine="720"/>
        <w:jc w:val="both"/>
        <w:rPr/>
      </w:pPr>
      <w:r>
        <w:rPr>
          <w:rFonts w:ascii="Arial;sans-serif" w:hAnsi="Arial;sans-serif"/>
          <w:b w:val="false"/>
          <w:color w:val="000000"/>
          <w:sz w:val="20"/>
        </w:rPr>
        <w:t>vi.</w:t>
      </w:r>
      <w:r>
        <w:rPr>
          <w:rFonts w:ascii="Arial;sans-serif" w:hAnsi="Arial;sans-serif"/>
          <w:b w:val="false"/>
          <w:color w:val="000000"/>
          <w:sz w:val="20"/>
          <w:u w:val="single"/>
        </w:rPr>
        <w:t>Charges, Taxes and Expenses</w:t>
      </w:r>
      <w:r>
        <w:rPr>
          <w:rFonts w:ascii="Arial;sans-serif" w:hAnsi="Arial;sans-serif"/>
          <w:b w:val="false"/>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lineRule="auto" w:line="288" w:before="0" w:after="240"/>
        <w:ind w:left="0" w:right="0" w:firstLine="720"/>
        <w:jc w:val="both"/>
        <w:rPr/>
      </w:pPr>
      <w:r>
        <w:rPr>
          <w:rFonts w:ascii="Arial;sans-serif" w:hAnsi="Arial;sans-serif"/>
          <w:b w:val="false"/>
          <w:color w:val="000000"/>
          <w:sz w:val="20"/>
        </w:rPr>
        <w:t>vii.</w:t>
      </w:r>
      <w:r>
        <w:rPr>
          <w:rFonts w:ascii="Arial;sans-serif" w:hAnsi="Arial;sans-serif"/>
          <w:b w:val="false"/>
          <w:color w:val="000000"/>
          <w:sz w:val="20"/>
          <w:u w:val="single"/>
        </w:rPr>
        <w:t>Closing of Books</w:t>
      </w:r>
      <w:r>
        <w:rPr>
          <w:rFonts w:ascii="Arial;sans-serif" w:hAnsi="Arial;sans-serif"/>
          <w:b w:val="false"/>
          <w:color w:val="000000"/>
          <w:sz w:val="20"/>
        </w:rPr>
        <w:t>. The Company will not close its stockholder books or records in any manner which prevents the timely exercise of this Warrant, pursuant to the terms hereof.</w:t>
      </w:r>
    </w:p>
    <w:p>
      <w:pPr>
        <w:pStyle w:val="TextBody"/>
        <w:bidi w:val="0"/>
        <w:spacing w:lineRule="auto" w:line="288" w:before="0" w:after="240"/>
        <w:ind w:left="0" w:right="0" w:firstLine="720"/>
        <w:jc w:val="both"/>
        <w:rPr/>
      </w:pPr>
      <w:r>
        <w:rPr>
          <w:rFonts w:ascii="Arial;sans-serif" w:hAnsi="Arial;sans-serif"/>
          <w:b w:val="false"/>
          <w:color w:val="000000"/>
          <w:sz w:val="20"/>
        </w:rPr>
        <w:t>e)</w:t>
      </w:r>
      <w:r>
        <w:rPr>
          <w:rFonts w:ascii="Arial;sans-serif" w:hAnsi="Arial;sans-serif"/>
          <w:b w:val="false"/>
          <w:color w:val="000000"/>
          <w:sz w:val="20"/>
          <w:u w:val="single"/>
        </w:rPr>
        <w:t>Holder’s Exercise Limitations</w:t>
      </w:r>
      <w:r>
        <w:rPr>
          <w:rFonts w:ascii="Arial;sans-serif" w:hAnsi="Arial;sans-serif"/>
          <w:b w:val="false"/>
          <w:color w:val="000000"/>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sans-serif" w:hAnsi="Arial;sans-serif"/>
          <w:b w:val="false"/>
          <w:color w:val="000000"/>
          <w:sz w:val="20"/>
          <w:u w:val="single"/>
        </w:rPr>
        <w:t>Attribution Parties</w:t>
      </w:r>
      <w:r>
        <w:rPr>
          <w:color w:val="000000"/>
        </w:rPr>
        <w:t>”</w:t>
      </w:r>
      <w:r>
        <w:rPr>
          <w:rFonts w:ascii="Arial;sans-serif" w:hAnsi="Arial;sans-serif"/>
          <w:b w:val="false"/>
          <w:color w:val="000000"/>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9"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Securities Exchange Act of 1934, as amended (the “</w:t>
      </w:r>
      <w:r>
        <w:rPr>
          <w:rFonts w:ascii="Arial;sans-serif" w:hAnsi="Arial;sans-serif"/>
          <w:b w:val="false"/>
          <w:color w:val="000000"/>
          <w:sz w:val="20"/>
          <w:u w:val="single"/>
        </w:rPr>
        <w:t>Exchange Act</w:t>
      </w:r>
      <w:r>
        <w:rPr>
          <w:color w:val="000000"/>
        </w:rPr>
        <w:t>”</w:t>
      </w:r>
      <w:r>
        <w:rPr>
          <w:rFonts w:ascii="Arial;sans-serif" w:hAnsi="Arial;sans-serif"/>
          <w:b w:val="false"/>
          <w:color w:val="000000"/>
          <w:sz w:val="20"/>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U.S. Securities and Exchange Commission (the “</w:t>
      </w:r>
      <w:r>
        <w:rPr>
          <w:rFonts w:ascii="Arial;sans-serif" w:hAnsi="Arial;sans-serif"/>
          <w:b w:val="false"/>
          <w:color w:val="000000"/>
          <w:sz w:val="20"/>
          <w:u w:val="single"/>
        </w:rPr>
        <w:t>Commission</w:t>
      </w:r>
      <w:r>
        <w:rPr>
          <w:color w:val="000000"/>
        </w:rPr>
        <w:t>”</w:t>
      </w:r>
      <w:r>
        <w:rPr>
          <w:rFonts w:ascii="Arial;sans-serif" w:hAnsi="Arial;sans-serif"/>
          <w:b w:val="false"/>
          <w:color w:val="000000"/>
          <w:sz w:val="20"/>
        </w:rPr>
        <w:t>),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sans-serif" w:hAnsi="Arial;sans-serif"/>
          <w:b w:val="false"/>
          <w:color w:val="000000"/>
          <w:sz w:val="20"/>
          <w:u w:val="single"/>
        </w:rPr>
        <w:t>Beneficial Ownership Limitation</w:t>
      </w:r>
      <w:r>
        <w:rPr>
          <w:color w:val="000000"/>
        </w:rPr>
        <w:t xml:space="preserve">” </w:t>
      </w:r>
      <w:r>
        <w:rPr>
          <w:rFonts w:ascii="Arial;sans-serif" w:hAnsi="Arial;sans-serif"/>
          <w:b w:val="false"/>
          <w:color w:val="000000"/>
          <w:sz w:val="20"/>
        </w:rPr>
        <w:t>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r>
        <w:rPr>
          <w:rFonts w:ascii="Arial;sans-serif" w:hAnsi="Arial;sans-serif"/>
          <w:b w:val="false"/>
          <w:color w:val="000000"/>
          <w:sz w:val="20"/>
          <w:u w:val="single"/>
        </w:rPr>
        <w:t>Affiliate</w:t>
      </w:r>
      <w:r>
        <w:rPr>
          <w:color w:val="000000"/>
        </w:rPr>
        <w:t xml:space="preserve">” </w:t>
      </w:r>
      <w:r>
        <w:rPr>
          <w:rFonts w:ascii="Arial;sans-serif" w:hAnsi="Arial;sans-serif"/>
          <w:b w:val="false"/>
          <w:color w:val="000000"/>
          <w:sz w:val="20"/>
        </w:rPr>
        <w:t>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 “</w:t>
      </w:r>
      <w:r>
        <w:rPr>
          <w:rFonts w:ascii="Arial;sans-serif" w:hAnsi="Arial;sans-serif"/>
          <w:b w:val="false"/>
          <w:color w:val="000000"/>
          <w:sz w:val="20"/>
          <w:u w:val="single"/>
        </w:rPr>
        <w:t>Person</w:t>
      </w:r>
      <w:r>
        <w:rPr>
          <w:color w:val="000000"/>
        </w:rPr>
        <w:t xml:space="preserve">” </w:t>
      </w:r>
      <w:r>
        <w:rPr>
          <w:rFonts w:ascii="Arial;sans-serif" w:hAnsi="Arial;sans-serif"/>
          <w:b w:val="false"/>
          <w:color w:val="000000"/>
          <w:sz w:val="20"/>
        </w:rPr>
        <w:t>means an individual, a limited liability company, a partnership, a joint venture, a corporation, a trust, an unincorporated organization, any other entity or a government or any department or agency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70"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0"/>
          <w:u w:val="single"/>
        </w:rPr>
        <w:t>Section 3</w:t>
      </w:r>
      <w:r>
        <w:rPr>
          <w:rFonts w:ascii="Arial;sans-serif" w:hAnsi="Arial;sans-serif"/>
          <w:b w:val="false"/>
          <w:color w:val="000000"/>
          <w:sz w:val="20"/>
        </w:rPr>
        <w:t>.    </w:t>
      </w:r>
      <w:r>
        <w:rPr>
          <w:rFonts w:ascii="Arial;sans-serif" w:hAnsi="Arial;sans-serif"/>
          <w:b w:val="false"/>
          <w:color w:val="000000"/>
          <w:sz w:val="20"/>
          <w:u w:val="single"/>
        </w:rPr>
        <w:t>Certain Adjustments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u w:val="single"/>
        </w:rPr>
        <w:t>Stock Dividends and Splits</w:t>
      </w:r>
      <w:r>
        <w:rPr>
          <w:rFonts w:ascii="Arial;sans-serif" w:hAnsi="Arial;sans-serif"/>
          <w:b w:val="false"/>
          <w:color w:val="000000"/>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u w:val="single"/>
        </w:rPr>
        <w:t>Subsequent Rights Offerings</w:t>
      </w:r>
      <w:r>
        <w:rPr>
          <w:rFonts w:ascii="Arial;sans-serif" w:hAnsi="Arial;sans-serif"/>
          <w:b w:val="false"/>
          <w:color w:val="000000"/>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sans-serif" w:hAnsi="Arial;sans-serif"/>
          <w:b w:val="false"/>
          <w:color w:val="000000"/>
          <w:sz w:val="20"/>
          <w:u w:val="single"/>
        </w:rPr>
        <w:t>Purchase Rights</w:t>
      </w:r>
      <w:r>
        <w:rPr>
          <w:color w:val="000000"/>
        </w:rPr>
        <w:t>”</w:t>
      </w:r>
      <w:r>
        <w:rPr>
          <w:rFonts w:ascii="Arial;sans-serif" w:hAnsi="Arial;sans-serif"/>
          <w:b w:val="false"/>
          <w:color w:val="000000"/>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u w:val="single"/>
        </w:rPr>
        <w:t>Pro Rata Distributions</w:t>
      </w:r>
      <w:r>
        <w:rPr>
          <w:rFonts w:ascii="Arial;sans-serif" w:hAnsi="Arial;sans-serif"/>
          <w:b w:val="false"/>
          <w:color w:val="000000"/>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sans-serif" w:hAnsi="Arial;sans-serif"/>
          <w:b w:val="false"/>
          <w:color w:val="000000"/>
          <w:sz w:val="20"/>
          <w:u w:val="single"/>
        </w:rPr>
        <w:t>Distribution</w:t>
      </w:r>
      <w:r>
        <w:rPr>
          <w:color w:val="000000"/>
        </w:rPr>
        <w:t>”</w:t>
      </w:r>
      <w:r>
        <w:rPr>
          <w:rFonts w:ascii="Arial;sans-serif" w:hAnsi="Arial;sans-serif"/>
          <w:b w:val="false"/>
          <w:color w:val="000000"/>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71"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lineRule="auto" w:line="288" w:before="0" w:after="240"/>
        <w:ind w:left="0" w:right="0" w:firstLine="720"/>
        <w:jc w:val="both"/>
        <w:rPr/>
      </w:pPr>
      <w:r>
        <w:rPr>
          <w:rFonts w:ascii="Arial;sans-serif" w:hAnsi="Arial;sans-serif"/>
          <w:b w:val="false"/>
          <w:color w:val="000000"/>
          <w:sz w:val="20"/>
        </w:rPr>
        <w:t>d)</w:t>
      </w:r>
      <w:r>
        <w:rPr>
          <w:rFonts w:ascii="Arial;sans-serif" w:hAnsi="Arial;sans-serif"/>
          <w:b w:val="false"/>
          <w:color w:val="000000"/>
          <w:sz w:val="20"/>
          <w:u w:val="single"/>
        </w:rPr>
        <w:t>Fundamental Transaction</w:t>
      </w:r>
      <w:r>
        <w:rPr>
          <w:rFonts w:ascii="Arial;sans-serif" w:hAnsi="Arial;sans-serif"/>
          <w:b w:val="false"/>
          <w:color w:val="000000"/>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sans-serif" w:hAnsi="Arial;sans-serif"/>
          <w:b w:val="false"/>
          <w:color w:val="000000"/>
          <w:sz w:val="20"/>
          <w:u w:val="single"/>
        </w:rPr>
        <w:t>Fundamental Transaction</w:t>
      </w:r>
      <w:r>
        <w:rPr>
          <w:color w:val="000000"/>
        </w:rPr>
        <w:t>”</w:t>
      </w:r>
      <w:r>
        <w:rPr>
          <w:rFonts w:ascii="Arial;sans-serif" w:hAnsi="Arial;sans-serif"/>
          <w:b w:val="false"/>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sans-serif" w:hAnsi="Arial;sans-serif"/>
          <w:b w:val="false"/>
          <w:color w:val="000000"/>
          <w:sz w:val="20"/>
          <w:u w:val="single"/>
        </w:rPr>
        <w:t>Alternate Consideration</w:t>
      </w:r>
      <w:r>
        <w:rPr>
          <w:color w:val="000000"/>
        </w:rPr>
        <w:t>”</w:t>
      </w:r>
      <w:r>
        <w:rPr>
          <w:rFonts w:ascii="Arial;sans-serif" w:hAnsi="Arial;sans-serif"/>
          <w:b w:val="false"/>
          <w:color w:val="000000"/>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sans-serif" w:hAnsi="Arial;sans-serif"/>
          <w:b w:val="false"/>
          <w:color w:val="000000"/>
          <w:sz w:val="20"/>
          <w:u w:val="single"/>
        </w:rPr>
        <w:t>Successor Entity</w:t>
      </w:r>
      <w:r>
        <w:rPr>
          <w:color w:val="000000"/>
        </w:rPr>
        <w:t>”</w:t>
      </w:r>
      <w:r>
        <w:rPr>
          <w:rFonts w:ascii="Arial;sans-serif" w:hAnsi="Arial;sans-serif"/>
          <w:b w:val="false"/>
          <w:color w:val="000000"/>
          <w:sz w:val="20"/>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2"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w:t>
      </w:r>
    </w:p>
    <w:p>
      <w:pPr>
        <w:pStyle w:val="TextBody"/>
        <w:bidi w:val="0"/>
        <w:spacing w:lineRule="auto" w:line="288" w:before="0" w:after="240"/>
        <w:ind w:left="0" w:right="0" w:firstLine="720"/>
        <w:jc w:val="both"/>
        <w:rPr/>
      </w:pPr>
      <w:r>
        <w:rPr>
          <w:rFonts w:ascii="Arial;sans-serif" w:hAnsi="Arial;sans-serif"/>
          <w:b w:val="false"/>
          <w:color w:val="000000"/>
          <w:sz w:val="20"/>
        </w:rPr>
        <w:t>e)</w:t>
      </w:r>
      <w:r>
        <w:rPr>
          <w:rFonts w:ascii="Arial;sans-serif" w:hAnsi="Arial;sans-serif"/>
          <w:b w:val="false"/>
          <w:color w:val="000000"/>
          <w:sz w:val="20"/>
          <w:u w:val="single"/>
        </w:rPr>
        <w:t>Calculations</w:t>
      </w:r>
      <w:r>
        <w:rPr>
          <w:rFonts w:ascii="Arial;sans-serif" w:hAnsi="Arial;sans-serif"/>
          <w:b w:val="false"/>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lineRule="auto" w:line="288" w:before="0" w:after="240"/>
        <w:ind w:left="0" w:right="0" w:hanging="360"/>
        <w:jc w:val="both"/>
        <w:rPr/>
      </w:pPr>
      <w:r>
        <w:rPr>
          <w:rFonts w:ascii="Arial;sans-serif" w:hAnsi="Arial;sans-serif"/>
          <w:b w:val="false"/>
          <w:color w:val="000000"/>
          <w:sz w:val="20"/>
        </w:rPr>
        <w:t>f)</w:t>
      </w:r>
      <w:r>
        <w:rPr>
          <w:rFonts w:ascii="Arial;sans-serif" w:hAnsi="Arial;sans-serif"/>
          <w:b w:val="false"/>
          <w:color w:val="000000"/>
          <w:sz w:val="20"/>
          <w:u w:val="single"/>
        </w:rPr>
        <w:t>Notice to Holder</w:t>
      </w:r>
      <w:r>
        <w:rPr>
          <w:rFonts w:ascii="Arial;sans-serif" w:hAnsi="Arial;sans-serif"/>
          <w:b w:val="false"/>
          <w:color w:val="000000"/>
          <w:sz w:val="20"/>
        </w:rPr>
        <w:t xml:space="preserve">. </w:t>
      </w:r>
    </w:p>
    <w:p>
      <w:pPr>
        <w:pStyle w:val="TextBody"/>
        <w:bidi w:val="0"/>
        <w:spacing w:lineRule="auto" w:line="288" w:before="0" w:after="24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Adjustment to Exercise Price</w:t>
      </w:r>
      <w:r>
        <w:rPr>
          <w:rFonts w:ascii="Arial;sans-serif" w:hAnsi="Arial;sans-serif"/>
          <w:b w:val="false"/>
          <w:color w:val="000000"/>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lineRule="auto" w:line="288" w:before="0" w:after="240"/>
        <w:ind w:left="0" w:right="0" w:firstLine="720"/>
        <w:jc w:val="both"/>
        <w:rPr/>
      </w:pPr>
      <w:r>
        <w:rPr>
          <w:rFonts w:ascii="Arial;sans-serif" w:hAnsi="Arial;sans-serif"/>
          <w:b w:val="false"/>
          <w:color w:val="000000"/>
          <w:sz w:val="20"/>
        </w:rPr>
        <w:t>ii.</w:t>
      </w:r>
      <w:r>
        <w:rPr>
          <w:rFonts w:ascii="Arial;sans-serif" w:hAnsi="Arial;sans-serif"/>
          <w:b w:val="false"/>
          <w:color w:val="000000"/>
          <w:sz w:val="20"/>
          <w:u w:val="single"/>
        </w:rPr>
        <w:t>Notice to Allow Exercise by Holder</w:t>
      </w:r>
      <w:r>
        <w:rPr>
          <w:rFonts w:ascii="Arial;sans-serif" w:hAnsi="Arial;sans-serif"/>
          <w:b w:val="false"/>
          <w:color w:val="000000"/>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173"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lineRule="auto" w:line="288" w:before="0" w:after="240"/>
        <w:ind w:left="0" w:right="0" w:firstLine="720"/>
        <w:jc w:val="both"/>
        <w:rPr/>
      </w:pPr>
      <w:r>
        <w:rPr>
          <w:rFonts w:ascii="Arial;sans-serif" w:hAnsi="Arial;sans-serif"/>
          <w:b w:val="false"/>
          <w:color w:val="000000"/>
          <w:sz w:val="20"/>
          <w:u w:val="single"/>
        </w:rPr>
        <w:t>Section 4</w:t>
      </w:r>
      <w:r>
        <w:rPr>
          <w:rFonts w:ascii="Arial;sans-serif" w:hAnsi="Arial;sans-serif"/>
          <w:b w:val="false"/>
          <w:color w:val="000000"/>
          <w:sz w:val="20"/>
        </w:rPr>
        <w:t>.    </w:t>
      </w:r>
      <w:r>
        <w:rPr>
          <w:rFonts w:ascii="Arial;sans-serif" w:hAnsi="Arial;sans-serif"/>
          <w:b w:val="false"/>
          <w:color w:val="000000"/>
          <w:sz w:val="20"/>
          <w:u w:val="single"/>
        </w:rPr>
        <w:t>Transfer of Warrant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u w:val="single"/>
        </w:rPr>
        <w:t>Transferability</w:t>
      </w:r>
      <w:r>
        <w:rPr>
          <w:rFonts w:ascii="Arial;sans-serif" w:hAnsi="Arial;sans-serif"/>
          <w:b w:val="false"/>
          <w:color w:val="000000"/>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u w:val="single"/>
        </w:rPr>
        <w:t>New Warrants</w:t>
      </w:r>
      <w:r>
        <w:rPr>
          <w:rFonts w:ascii="Arial;sans-serif" w:hAnsi="Arial;sans-serif"/>
          <w:b w:val="false"/>
          <w:color w:val="000000"/>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of this Warrant and shall be identical with this Warrant except as to the number of Warrant Shares issuable pursuant thereto. </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u w:val="single"/>
        </w:rPr>
        <w:t>Warrant Register</w:t>
      </w:r>
      <w:r>
        <w:rPr>
          <w:rFonts w:ascii="Arial;sans-serif" w:hAnsi="Arial;sans-serif"/>
          <w:b w:val="false"/>
          <w:color w:val="000000"/>
          <w:sz w:val="20"/>
        </w:rPr>
        <w:t>. The Company shall register this Warrant, upon records to be maintained by the Company for that purpose (the “</w:t>
      </w:r>
      <w:r>
        <w:rPr>
          <w:rFonts w:ascii="Arial;sans-serif" w:hAnsi="Arial;sans-serif"/>
          <w:b w:val="false"/>
          <w:color w:val="000000"/>
          <w:sz w:val="20"/>
          <w:u w:val="single"/>
        </w:rPr>
        <w:t>Warrant Register</w:t>
      </w:r>
      <w:r>
        <w:rPr>
          <w:color w:val="000000"/>
        </w:rPr>
        <w:t>”</w:t>
      </w:r>
      <w:r>
        <w:rPr>
          <w:rFonts w:ascii="Arial;sans-serif" w:hAnsi="Arial;sans-serif"/>
          <w:b w:val="false"/>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uto" w:line="288" w:before="0" w:after="240"/>
        <w:ind w:left="0" w:right="0" w:firstLine="720"/>
        <w:jc w:val="both"/>
        <w:rPr/>
      </w:pPr>
      <w:r>
        <w:rPr>
          <w:rFonts w:ascii="Arial;sans-serif" w:hAnsi="Arial;sans-serif"/>
          <w:b w:val="false"/>
          <w:color w:val="000000"/>
          <w:sz w:val="20"/>
          <w:u w:val="single"/>
        </w:rPr>
        <w:t>Section 5</w:t>
      </w:r>
      <w:r>
        <w:rPr>
          <w:rFonts w:ascii="Arial;sans-serif" w:hAnsi="Arial;sans-serif"/>
          <w:b w:val="false"/>
          <w:color w:val="000000"/>
          <w:sz w:val="20"/>
        </w:rPr>
        <w:t>.    </w:t>
      </w:r>
      <w:r>
        <w:rPr>
          <w:rFonts w:ascii="Arial;sans-serif" w:hAnsi="Arial;sans-serif"/>
          <w:b w:val="false"/>
          <w:color w:val="000000"/>
          <w:sz w:val="20"/>
          <w:u w:val="single"/>
        </w:rPr>
        <w:t>Miscellaneous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u w:val="single"/>
        </w:rPr>
        <w:t>No Rights as Stockholder Until Exercise; No Settlement in Cash</w:t>
      </w:r>
      <w:r>
        <w:rPr>
          <w:rFonts w:ascii="Arial;sans-serif" w:hAnsi="Arial;sans-serif"/>
          <w:b w:val="false"/>
          <w:color w:val="000000"/>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u w:val="single"/>
        </w:rPr>
        <w:t>Loss, Theft, Destruction or Mutilation of Warrant</w:t>
      </w:r>
      <w:r>
        <w:rPr>
          <w:rFonts w:ascii="Arial;sans-serif" w:hAnsi="Arial;sans-serif"/>
          <w:b w:val="false"/>
          <w:color w:val="000000"/>
          <w:sz w:val="20"/>
        </w:rPr>
        <w:t xml:space="preserve">. The Company covenants that upon receipt by the Company of evidence reasonably satisfactory to it of the loss, theft,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174" name="Frame1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u w:val="single"/>
        </w:rPr>
        <w:t>Saturdays, Sundays, Holidays, etc</w:t>
      </w:r>
      <w:r>
        <w:rPr>
          <w:rFonts w:ascii="Arial;sans-serif" w:hAnsi="Arial;sans-serif"/>
          <w:b w:val="false"/>
          <w:color w:val="000000"/>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lineRule="auto" w:line="288" w:before="0" w:after="240"/>
        <w:ind w:left="0" w:right="0" w:firstLine="720"/>
        <w:jc w:val="both"/>
        <w:rPr/>
      </w:pPr>
      <w:r>
        <w:rPr>
          <w:rFonts w:ascii="Arial;sans-serif" w:hAnsi="Arial;sans-serif"/>
          <w:b w:val="false"/>
          <w:color w:val="000000"/>
          <w:sz w:val="20"/>
        </w:rPr>
        <w:t>d)</w:t>
      </w:r>
      <w:r>
        <w:rPr>
          <w:rFonts w:ascii="Arial;sans-serif" w:hAnsi="Arial;sans-serif"/>
          <w:b w:val="false"/>
          <w:color w:val="000000"/>
          <w:sz w:val="20"/>
          <w:u w:val="single"/>
        </w:rPr>
        <w:t>Authorized Shares</w:t>
      </w:r>
      <w:r>
        <w:rPr>
          <w:rFonts w:ascii="Arial;sans-serif" w:hAnsi="Arial;sans-serif"/>
          <w:b w:val="false"/>
          <w:color w:val="000000"/>
          <w:sz w:val="20"/>
        </w:rPr>
        <w:t xml:space="preserve">. </w:t>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175" name="Frame1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0"/>
        </w:rPr>
        <w:t>e)</w:t>
      </w:r>
      <w:r>
        <w:rPr>
          <w:rFonts w:ascii="Arial;sans-serif" w:hAnsi="Arial;sans-serif"/>
          <w:b w:val="false"/>
          <w:color w:val="000000"/>
          <w:sz w:val="20"/>
          <w:u w:val="single"/>
        </w:rPr>
        <w:t>Jurisdiction</w:t>
      </w:r>
      <w:r>
        <w:rPr>
          <w:rFonts w:ascii="Arial;sans-serif" w:hAnsi="Arial;sans-serif"/>
          <w:b w:val="false"/>
          <w:color w:val="000000"/>
          <w:sz w:val="20"/>
        </w:rPr>
        <w:t>. All questions concerning the construction, validity, enforcement and interpretation of this Warrant shall be determined in accordance with the provisions of the Agreement.</w:t>
      </w:r>
    </w:p>
    <w:p>
      <w:pPr>
        <w:pStyle w:val="TextBody"/>
        <w:bidi w:val="0"/>
        <w:spacing w:lineRule="auto" w:line="288" w:before="0" w:after="240"/>
        <w:ind w:left="0" w:right="0" w:firstLine="720"/>
        <w:jc w:val="both"/>
        <w:rPr/>
      </w:pPr>
      <w:r>
        <w:rPr>
          <w:rFonts w:ascii="Arial;sans-serif" w:hAnsi="Arial;sans-serif"/>
          <w:b w:val="false"/>
          <w:color w:val="000000"/>
          <w:sz w:val="20"/>
        </w:rPr>
        <w:t>f)</w:t>
      </w:r>
      <w:r>
        <w:rPr>
          <w:rFonts w:ascii="Arial;sans-serif" w:hAnsi="Arial;sans-serif"/>
          <w:b w:val="false"/>
          <w:color w:val="000000"/>
          <w:sz w:val="20"/>
          <w:u w:val="single"/>
        </w:rPr>
        <w:t>Restrictions</w:t>
      </w:r>
      <w:r>
        <w:rPr>
          <w:rFonts w:ascii="Arial;sans-serif" w:hAnsi="Arial;sans-serif"/>
          <w:b w:val="false"/>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288" w:before="0" w:after="240"/>
        <w:ind w:left="0" w:right="0" w:firstLine="720"/>
        <w:jc w:val="both"/>
        <w:rPr/>
      </w:pPr>
      <w:r>
        <w:rPr>
          <w:rFonts w:ascii="Arial;sans-serif" w:hAnsi="Arial;sans-serif"/>
          <w:b w:val="false"/>
          <w:color w:val="000000"/>
          <w:sz w:val="20"/>
        </w:rPr>
        <w:t>g)</w:t>
      </w:r>
      <w:r>
        <w:rPr>
          <w:rFonts w:ascii="Arial;sans-serif" w:hAnsi="Arial;sans-serif"/>
          <w:b w:val="false"/>
          <w:color w:val="000000"/>
          <w:sz w:val="20"/>
          <w:u w:val="single"/>
        </w:rPr>
        <w:t>Nonwaiver and Expenses</w:t>
      </w:r>
      <w:r>
        <w:rPr>
          <w:rFonts w:ascii="Arial;sans-serif" w:hAnsi="Arial;sans-serif"/>
          <w:b w:val="false"/>
          <w:color w:val="000000"/>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288" w:before="0" w:after="240"/>
        <w:ind w:left="0" w:right="0" w:firstLine="720"/>
        <w:jc w:val="both"/>
        <w:rPr/>
      </w:pPr>
      <w:r>
        <w:rPr>
          <w:rFonts w:ascii="Arial;sans-serif" w:hAnsi="Arial;sans-serif"/>
          <w:b w:val="false"/>
          <w:color w:val="000000"/>
          <w:sz w:val="20"/>
        </w:rPr>
        <w:t>h)</w:t>
      </w:r>
      <w:r>
        <w:rPr>
          <w:rFonts w:ascii="Arial;sans-serif" w:hAnsi="Arial;sans-serif"/>
          <w:b w:val="false"/>
          <w:color w:val="000000"/>
          <w:sz w:val="20"/>
          <w:u w:val="single"/>
        </w:rPr>
        <w:t>Notices</w:t>
      </w:r>
      <w:r>
        <w:rPr>
          <w:rFonts w:ascii="Arial;sans-serif" w:hAnsi="Arial;sans-serif"/>
          <w:b w:val="false"/>
          <w:color w:val="000000"/>
          <w:sz w:val="20"/>
        </w:rPr>
        <w:t>. Any notice, request or other document required or permitted to be given or delivered to the Holder by the Company shall be delivered in accordance with the notice provisions of the Agreement.</w:t>
      </w:r>
    </w:p>
    <w:p>
      <w:pPr>
        <w:pStyle w:val="TextBody"/>
        <w:bidi w:val="0"/>
        <w:spacing w:lineRule="auto" w:line="288" w:before="0" w:after="24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Limitation of Liability</w:t>
      </w:r>
      <w:r>
        <w:rPr>
          <w:rFonts w:ascii="Arial;sans-serif" w:hAnsi="Arial;sans-serif"/>
          <w:b w:val="false"/>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lineRule="auto" w:line="288" w:before="0" w:after="240"/>
        <w:ind w:left="0" w:right="0" w:firstLine="720"/>
        <w:jc w:val="both"/>
        <w:rPr/>
      </w:pPr>
      <w:r>
        <w:rPr>
          <w:rFonts w:ascii="Arial;sans-serif" w:hAnsi="Arial;sans-serif"/>
          <w:b w:val="false"/>
          <w:color w:val="000000"/>
          <w:sz w:val="20"/>
        </w:rPr>
        <w:t>j)</w:t>
      </w:r>
      <w:r>
        <w:rPr>
          <w:rFonts w:ascii="Arial;sans-serif" w:hAnsi="Arial;sans-serif"/>
          <w:b w:val="false"/>
          <w:color w:val="000000"/>
          <w:sz w:val="20"/>
          <w:u w:val="single"/>
        </w:rPr>
        <w:t>Remedies</w:t>
      </w:r>
      <w:r>
        <w:rPr>
          <w:rFonts w:ascii="Arial;sans-serif" w:hAnsi="Arial;sans-serif"/>
          <w:b w:val="false"/>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288" w:before="0" w:after="240"/>
        <w:ind w:left="0" w:right="0" w:firstLine="720"/>
        <w:jc w:val="both"/>
        <w:rPr/>
      </w:pPr>
      <w:r>
        <w:rPr>
          <w:rFonts w:ascii="Arial;sans-serif" w:hAnsi="Arial;sans-serif"/>
          <w:b w:val="false"/>
          <w:color w:val="000000"/>
          <w:sz w:val="20"/>
        </w:rPr>
        <w:t>k)</w:t>
      </w:r>
      <w:r>
        <w:rPr>
          <w:rFonts w:ascii="Arial;sans-serif" w:hAnsi="Arial;sans-serif"/>
          <w:b w:val="false"/>
          <w:color w:val="000000"/>
          <w:sz w:val="20"/>
          <w:u w:val="single"/>
        </w:rPr>
        <w:t>Successors and Assigns</w:t>
      </w:r>
      <w:r>
        <w:rPr>
          <w:rFonts w:ascii="Arial;sans-serif" w:hAnsi="Arial;sans-serif"/>
          <w:b w:val="false"/>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lineRule="auto" w:line="288" w:before="0" w:after="240"/>
        <w:ind w:left="0" w:right="0" w:firstLine="720"/>
        <w:jc w:val="both"/>
        <w:rPr/>
      </w:pPr>
      <w:r>
        <w:rPr>
          <w:rFonts w:ascii="Arial;sans-serif" w:hAnsi="Arial;sans-serif"/>
          <w:b w:val="false"/>
          <w:color w:val="000000"/>
          <w:sz w:val="20"/>
        </w:rPr>
        <w:t>l)</w:t>
      </w:r>
      <w:r>
        <w:rPr>
          <w:rFonts w:ascii="Arial;sans-serif" w:hAnsi="Arial;sans-serif"/>
          <w:b w:val="false"/>
          <w:color w:val="000000"/>
          <w:sz w:val="20"/>
          <w:u w:val="single"/>
        </w:rPr>
        <w:t>Amendment</w:t>
      </w:r>
      <w:r>
        <w:rPr>
          <w:rFonts w:ascii="Arial;sans-serif" w:hAnsi="Arial;sans-serif"/>
          <w:b w:val="false"/>
          <w:color w:val="000000"/>
          <w:sz w:val="20"/>
        </w:rPr>
        <w:t>. This Warrant may be modified or amended or the provisions hereof waived with the written consent of the Company and the Holder.</w:t>
      </w:r>
    </w:p>
    <w:p>
      <w:pPr>
        <w:pStyle w:val="TextBody"/>
        <w:bidi w:val="0"/>
        <w:spacing w:lineRule="auto" w:line="288" w:before="0" w:after="240"/>
        <w:ind w:left="0" w:right="0" w:firstLine="720"/>
        <w:jc w:val="both"/>
        <w:rPr/>
      </w:pPr>
      <w:r>
        <w:rPr>
          <w:rFonts w:ascii="Arial;sans-serif" w:hAnsi="Arial;sans-serif"/>
          <w:b w:val="false"/>
          <w:color w:val="000000"/>
          <w:sz w:val="20"/>
        </w:rPr>
        <w:t>m)</w:t>
      </w:r>
      <w:r>
        <w:rPr>
          <w:rFonts w:ascii="Arial;sans-serif" w:hAnsi="Arial;sans-serif"/>
          <w:b w:val="false"/>
          <w:color w:val="000000"/>
          <w:sz w:val="20"/>
          <w:u w:val="single"/>
        </w:rPr>
        <w:t>Severability</w:t>
      </w:r>
      <w:r>
        <w:rPr>
          <w:rFonts w:ascii="Arial;sans-serif" w:hAnsi="Arial;sans-serif"/>
          <w:b w:val="false"/>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288" w:before="0" w:after="240"/>
        <w:ind w:left="0" w:right="0" w:firstLine="720"/>
        <w:jc w:val="both"/>
        <w:rPr/>
      </w:pPr>
      <w:r>
        <w:rPr>
          <w:rFonts w:ascii="Arial;sans-serif" w:hAnsi="Arial;sans-serif"/>
          <w:b w:val="false"/>
          <w:color w:val="000000"/>
          <w:sz w:val="20"/>
        </w:rPr>
        <w:t>n)</w:t>
      </w:r>
      <w:r>
        <w:rPr>
          <w:rFonts w:ascii="Arial;sans-serif" w:hAnsi="Arial;sans-serif"/>
          <w:b w:val="false"/>
          <w:color w:val="000000"/>
          <w:sz w:val="20"/>
          <w:u w:val="single"/>
        </w:rPr>
        <w:t>Headings</w:t>
      </w:r>
      <w:r>
        <w:rPr>
          <w:rFonts w:ascii="Arial;sans-serif" w:hAnsi="Arial;sans-serif"/>
          <w:b w:val="false"/>
          <w:color w:val="000000"/>
          <w:sz w:val="20"/>
        </w:rPr>
        <w:t>. The headings used in this Warrant are for the convenience of reference only and shall not, for any purpose, be deemed a part of this Warrant.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6" name="Frame1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jc w:val="center"/>
        <w:rPr/>
      </w:pPr>
      <w:r>
        <w:rPr/>
      </w:r>
    </w:p>
    <w:p>
      <w:pPr>
        <w:pStyle w:val="TextBody"/>
        <w:bidi w:val="0"/>
        <w:spacing w:lineRule="auto" w:line="288"/>
        <w:jc w:val="center"/>
        <w:rPr>
          <w:rFonts w:ascii="Arial;sans-serif" w:hAnsi="Arial;sans-serif"/>
          <w:b w:val="false"/>
          <w:i/>
          <w:color w:val="000000"/>
          <w:sz w:val="20"/>
        </w:rPr>
      </w:pPr>
      <w:r>
        <w:rPr>
          <w:rFonts w:ascii="Arial;sans-serif" w:hAnsi="Arial;sans-serif"/>
          <w:b w:val="false"/>
          <w:i/>
          <w:color w:val="000000"/>
          <w:sz w:val="20"/>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7" name="Frame1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Arial;sans-serif" w:hAnsi="Arial;sans-serif"/>
          <w:b/>
          <w:color w:val="000000"/>
          <w:sz w:val="20"/>
        </w:rPr>
        <w:t>IN WITNESS WHEREOF,</w:t>
      </w:r>
      <w:r>
        <w:rPr>
          <w:color w:val="000000"/>
        </w:rPr>
        <w:t xml:space="preserve"> </w:t>
      </w:r>
      <w:r>
        <w:rPr>
          <w:rFonts w:ascii="Arial;sans-serif" w:hAnsi="Arial;sans-serif"/>
          <w:b w:val="false"/>
          <w:color w:val="000000"/>
          <w:sz w:val="20"/>
        </w:rPr>
        <w:t>the Company has caused this Warrant to Purchase Common Stock to be duly executed as of the Issuance Date set out above.</w:t>
      </w:r>
    </w:p>
    <w:p>
      <w:pPr>
        <w:pStyle w:val="TextBody"/>
        <w:bidi w:val="0"/>
        <w:spacing w:before="0" w:after="240"/>
        <w:ind w:left="0" w:right="0" w:firstLine="720"/>
        <w:jc w:val="both"/>
        <w:rPr/>
      </w:pPr>
      <w:r>
        <w:rPr/>
      </w:r>
    </w:p>
    <w:tbl>
      <w:tblPr>
        <w:tblW w:w="322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724"/>
        <w:gridCol w:w="724"/>
        <w:gridCol w:w="102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DARE BIOSCIENCE,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8" name="Frame1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NOTICE OF EXERCISE</w:t>
      </w:r>
    </w:p>
    <w:p>
      <w:pPr>
        <w:pStyle w:val="TextBody"/>
        <w:bidi w:val="0"/>
        <w:spacing w:before="0" w:after="0"/>
        <w:jc w:val="both"/>
        <w:rPr/>
      </w:pPr>
      <w:r>
        <w:rPr/>
      </w:r>
    </w:p>
    <w:p>
      <w:pPr>
        <w:pStyle w:val="TextBody"/>
        <w:bidi w:val="0"/>
        <w:spacing w:lineRule="auto" w:line="240" w:before="0" w:after="240"/>
        <w:jc w:val="left"/>
        <w:rPr>
          <w:rFonts w:ascii="Arial;sans-serif" w:hAnsi="Arial;sans-serif"/>
          <w:b w:val="false"/>
          <w:color w:val="000000"/>
          <w:sz w:val="20"/>
        </w:rPr>
      </w:pPr>
      <w:r>
        <w:rPr>
          <w:rFonts w:ascii="Arial;sans-serif" w:hAnsi="Arial;sans-serif"/>
          <w:b w:val="false"/>
          <w:color w:val="000000"/>
          <w:sz w:val="20"/>
        </w:rPr>
        <w:t>To:    Daré Bioscience, Inc.</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Arial;sans-serif" w:hAnsi="Arial;sans-serif"/>
          <w:b w:val="false"/>
          <w:color w:val="000000"/>
          <w:sz w:val="20"/>
        </w:rPr>
        <w:t>(1)</w:t>
      </w:r>
      <w:r>
        <w:rPr>
          <w:rFonts w:ascii="Arial;sans-serif" w:hAnsi="Arial;sans-serif"/>
          <w:b w:val="false"/>
          <w:color w:val="000000"/>
          <w:sz w:val="20"/>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lineRule="auto" w:line="240" w:before="0" w:after="240"/>
        <w:ind w:left="0" w:right="0" w:firstLine="1440"/>
        <w:jc w:val="both"/>
        <w:rPr/>
      </w:pPr>
      <w:r>
        <w:rPr>
          <w:rFonts w:ascii="Arial;sans-serif" w:hAnsi="Arial;sans-serif"/>
          <w:b w:val="false"/>
          <w:color w:val="000000"/>
          <w:sz w:val="20"/>
        </w:rPr>
        <w:t>(2)</w:t>
      </w:r>
      <w:r>
        <w:rPr>
          <w:rFonts w:ascii="Arial;sans-serif" w:hAnsi="Arial;sans-serif"/>
          <w:b w:val="false"/>
          <w:color w:val="000000"/>
          <w:sz w:val="20"/>
        </w:rPr>
        <w:t>Payment shall take the form of (check applicable box):</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 ] in lawful money of the United States; or</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uto" w:line="240" w:before="0" w:after="240"/>
        <w:ind w:left="0" w:right="0" w:firstLine="1440"/>
        <w:jc w:val="both"/>
        <w:rPr/>
      </w:pPr>
      <w:r>
        <w:rPr>
          <w:rFonts w:ascii="Arial;sans-serif" w:hAnsi="Arial;sans-serif"/>
          <w:b w:val="false"/>
          <w:color w:val="000000"/>
          <w:sz w:val="20"/>
        </w:rPr>
        <w:t>(3)</w:t>
      </w:r>
      <w:r>
        <w:rPr>
          <w:rFonts w:ascii="Arial;sans-serif" w:hAnsi="Arial;sans-serif"/>
          <w:b w:val="false"/>
          <w:color w:val="000000"/>
          <w:sz w:val="20"/>
        </w:rPr>
        <w:t>Please issue said Warrant Shares in the name of the undersigned or in such other name as is specified below:</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Warrant Shares shall be delivered to the following DWAC Account Number:</w:t>
      </w:r>
    </w:p>
    <w:p>
      <w:pPr>
        <w:pStyle w:val="TextBody"/>
        <w:bidi w:val="0"/>
        <w:spacing w:before="0" w:after="0"/>
        <w:jc w:val="both"/>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[SIGNATURE OF HOLDER]</w:t>
      </w:r>
    </w:p>
    <w:p>
      <w:pPr>
        <w:pStyle w:val="TextBody"/>
        <w:bidi w:val="0"/>
        <w:spacing w:lineRule="auto" w:line="240"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of Investing Entity: ________________________________________________________________________</w:t>
      </w:r>
    </w:p>
    <w:p>
      <w:pPr>
        <w:pStyle w:val="TextBody"/>
        <w:bidi w:val="0"/>
        <w:spacing w:lineRule="auto" w:line="288" w:before="0" w:after="0"/>
        <w:jc w:val="both"/>
        <w:rPr/>
      </w:pPr>
      <w:r>
        <w:rPr>
          <w:rFonts w:ascii="Arial;sans-serif" w:hAnsi="Arial;sans-serif"/>
          <w:b w:val="false"/>
          <w:i/>
          <w:color w:val="000000"/>
          <w:sz w:val="20"/>
        </w:rPr>
        <w:t>Signature of Authorized Signatory of Investing Entity</w:t>
      </w:r>
      <w:r>
        <w:rPr>
          <w:rFonts w:ascii="Arial;sans-serif" w:hAnsi="Arial;sans-serif"/>
          <w:b w:val="false"/>
          <w:color w:val="000000"/>
          <w:sz w:val="20"/>
        </w:rPr>
        <w:t>: _________________________________________________</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of Authorized Signatory: ___________________________________________________________________</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Title of Authorized Signatory: ____________________________________________________________________</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Date: ________________________________________________________________________________________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B</w:t>
      </w:r>
    </w:p>
    <w:p>
      <w:pPr>
        <w:pStyle w:val="TextBody"/>
        <w:bidi w:val="0"/>
        <w:spacing w:before="0" w:after="0"/>
        <w:jc w:val="both"/>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ASSIGNMENT FORM</w:t>
      </w:r>
    </w:p>
    <w:p>
      <w:pPr>
        <w:pStyle w:val="TextBody"/>
        <w:bidi w:val="0"/>
        <w:spacing w:lineRule="auto" w:line="240" w:before="0" w:after="120"/>
        <w:ind w:left="0" w:right="0" w:firstLine="210"/>
        <w:jc w:val="center"/>
        <w:rPr>
          <w:rFonts w:ascii="Arial;sans-serif" w:hAnsi="Arial;sans-serif"/>
          <w:b w:val="false"/>
          <w:i/>
          <w:color w:val="000000"/>
          <w:sz w:val="20"/>
        </w:rPr>
      </w:pPr>
      <w:r>
        <w:rPr>
          <w:rFonts w:ascii="Arial;sans-serif" w:hAnsi="Arial;sans-serif"/>
          <w:b w:val="false"/>
          <w:i/>
          <w:color w:val="000000"/>
          <w:sz w:val="20"/>
        </w:rPr>
        <w:t>(To assign the foregoing Warrant, execute this form and supply required information. Do not use this form to purchase shares.)</w:t>
      </w:r>
    </w:p>
    <w:p>
      <w:pPr>
        <w:pStyle w:val="TextBody"/>
        <w:bidi w:val="0"/>
        <w:spacing w:lineRule="auto" w:line="240" w:before="0" w:after="120"/>
        <w:ind w:left="0" w:right="0" w:firstLine="210"/>
        <w:jc w:val="both"/>
        <w:rPr>
          <w:rFonts w:ascii="Arial;sans-serif" w:hAnsi="Arial;sans-serif"/>
          <w:b w:val="false"/>
          <w:color w:val="000000"/>
          <w:sz w:val="20"/>
        </w:rPr>
      </w:pPr>
      <w:r>
        <w:rPr>
          <w:rFonts w:ascii="Arial;sans-serif" w:hAnsi="Arial;sans-serif"/>
          <w:b w:val="false"/>
          <w:color w:val="000000"/>
          <w:sz w:val="20"/>
        </w:rPr>
        <w:t>FOR VALUE RECEIVED, the foregoing Warrant and all rights evidenced thereby are hereby assigned to</w:t>
      </w:r>
    </w:p>
    <w:tbl>
      <w:tblPr>
        <w:tblW w:w="6657" w:type="dxa"/>
        <w:jc w:val="center"/>
        <w:tblInd w:w="0" w:type="dxa"/>
        <w:tblLayout w:type="fixed"/>
        <w:tblCellMar>
          <w:top w:w="28" w:type="dxa"/>
          <w:left w:w="28" w:type="dxa"/>
          <w:bottom w:w="28" w:type="dxa"/>
          <w:right w:w="28" w:type="dxa"/>
        </w:tblCellMar>
      </w:tblPr>
      <w:tblGrid>
        <w:gridCol w:w="637"/>
        <w:gridCol w:w="563"/>
        <w:gridCol w:w="570"/>
        <w:gridCol w:w="1075"/>
        <w:gridCol w:w="1075"/>
        <w:gridCol w:w="1075"/>
        <w:gridCol w:w="109"/>
        <w:gridCol w:w="109"/>
        <w:gridCol w:w="109"/>
        <w:gridCol w:w="390"/>
        <w:gridCol w:w="390"/>
        <w:gridCol w:w="555"/>
      </w:tblGrid>
      <w:tr>
        <w:trPr/>
        <w:tc>
          <w:tcPr>
            <w:tcW w:w="63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Name:</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(Please Print)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Address:</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Phone Number:</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(Please Print)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Email Address:</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Dated: </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__________________ ___, 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Holder’s Signature:</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Holder’s Address:</w:t>
            </w:r>
          </w:p>
        </w:tc>
        <w:tc>
          <w:tcPr>
            <w:tcW w:w="32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left"/>
        <w:rPr>
          <w:rFonts w:ascii="Times New Roman;sans-serif" w:hAnsi="Times New Roman;sans-serif"/>
          <w:b w:val="false"/>
          <w:color w:val="000000"/>
          <w:sz w:val="18"/>
        </w:rPr>
      </w:pPr>
      <w:r>
        <w:rPr>
          <w:rFonts w:ascii="Times New Roman;sans-serif" w:hAnsi="Times New Roman;sans-serif"/>
          <w:b w:val="false"/>
          <w:color w:val="000000"/>
          <w:sz w:val="18"/>
        </w:rPr>
        <w:t>512267972v.2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Arial;sans-serif" w:hAnsi="Arial;sans-serif"/>
          <w:b/>
          <w:color w:val="000000"/>
          <w:sz w:val="20"/>
        </w:rPr>
      </w:pPr>
      <w:r>
        <w:rPr>
          <w:rFonts w:ascii="Arial;sans-serif" w:hAnsi="Arial;sans-serif"/>
          <w:b/>
          <w:color w:val="000000"/>
          <w:sz w:val="20"/>
        </w:rPr>
        <w:t>Exhibit 10.12</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720"/>
        <w:jc w:val="center"/>
        <w:rPr/>
      </w:pPr>
      <w:r>
        <w:rPr/>
      </w:r>
    </w:p>
    <w:p>
      <w:pPr>
        <w:pStyle w:val="TextBody"/>
        <w:bidi w:val="0"/>
        <w:spacing w:before="0" w:after="720"/>
        <w:jc w:val="center"/>
        <w:rPr/>
      </w:pPr>
      <w:r>
        <w:rPr/>
      </w:r>
    </w:p>
    <w:p>
      <w:pPr>
        <w:pStyle w:val="TextBody"/>
        <w:bidi w:val="0"/>
        <w:spacing w:lineRule="auto" w:line="240" w:before="0" w:after="720"/>
        <w:jc w:val="center"/>
        <w:rPr>
          <w:rFonts w:ascii="Times New Roman;sans-serif" w:hAnsi="Times New Roman;sans-serif"/>
          <w:b w:val="false"/>
          <w:color w:val="000000"/>
          <w:sz w:val="24"/>
        </w:rPr>
      </w:pPr>
      <w:r>
        <w:rPr>
          <w:rFonts w:ascii="Times New Roman;sans-serif" w:hAnsi="Times New Roman;sans-serif"/>
          <w:b w:val="false"/>
          <w:color w:val="000000"/>
          <w:sz w:val="24"/>
        </w:rPr>
        <w:t>ROYALTY INTEREST FINANCING AGREEMENT</w:t>
      </w:r>
    </w:p>
    <w:p>
      <w:pPr>
        <w:pStyle w:val="TextBody"/>
        <w:bidi w:val="0"/>
        <w:spacing w:lineRule="auto" w:line="240" w:before="0" w:after="72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December 21, 2023</w:t>
      </w:r>
    </w:p>
    <w:p>
      <w:pPr>
        <w:pStyle w:val="TextBody"/>
        <w:bidi w:val="0"/>
        <w:spacing w:lineRule="auto" w:line="240" w:before="0" w:after="720"/>
        <w:jc w:val="center"/>
        <w:rPr>
          <w:rFonts w:ascii="Times New Roman;sans-serif" w:hAnsi="Times New Roman;sans-serif"/>
          <w:b w:val="false"/>
          <w:color w:val="000000"/>
          <w:sz w:val="24"/>
        </w:rPr>
      </w:pPr>
      <w:r>
        <w:rPr>
          <w:rFonts w:ascii="Times New Roman;sans-serif" w:hAnsi="Times New Roman;sans-serif"/>
          <w:b w:val="false"/>
          <w:color w:val="000000"/>
          <w:sz w:val="24"/>
        </w:rPr>
        <w:t>between</w:t>
      </w:r>
    </w:p>
    <w:p>
      <w:pPr>
        <w:pStyle w:val="TextBody"/>
        <w:bidi w:val="0"/>
        <w:spacing w:lineRule="auto" w:line="240" w:before="0" w:after="720"/>
        <w:jc w:val="center"/>
        <w:rPr>
          <w:rFonts w:ascii="Times New Roman;sans-serif" w:hAnsi="Times New Roman;sans-serif"/>
          <w:b w:val="false"/>
          <w:color w:val="000000"/>
          <w:sz w:val="24"/>
        </w:rPr>
      </w:pPr>
      <w:r>
        <w:rPr>
          <w:rFonts w:ascii="Times New Roman;sans-serif" w:hAnsi="Times New Roman;sans-serif"/>
          <w:b w:val="false"/>
          <w:color w:val="000000"/>
          <w:sz w:val="24"/>
        </w:rPr>
        <w:t>UNITED IN ENDEAVOUR, LLC.</w:t>
      </w:r>
    </w:p>
    <w:p>
      <w:pPr>
        <w:pStyle w:val="TextBody"/>
        <w:bidi w:val="0"/>
        <w:spacing w:lineRule="auto" w:line="240" w:before="0" w:after="72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DARÉ BIOSCIENCE,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06705"/>
                <wp:effectExtent l="0" t="0" r="0" b="0"/>
                <wp:wrapNone/>
                <wp:docPr id="181" name="Frame17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tbl>
      <w:tblPr>
        <w:tblW w:w="9330" w:type="dxa"/>
        <w:jc w:val="center"/>
        <w:tblInd w:w="0" w:type="dxa"/>
        <w:tblLayout w:type="fixed"/>
        <w:tblCellMar>
          <w:top w:w="28" w:type="dxa"/>
          <w:left w:w="28" w:type="dxa"/>
          <w:bottom w:w="28" w:type="dxa"/>
          <w:right w:w="28" w:type="dxa"/>
        </w:tblCellMar>
      </w:tblPr>
      <w:tblGrid>
        <w:gridCol w:w="3147"/>
        <w:gridCol w:w="2769"/>
        <w:gridCol w:w="2769"/>
        <w:gridCol w:w="189"/>
        <w:gridCol w:w="189"/>
        <w:gridCol w:w="267"/>
      </w:tblGrid>
      <w:tr>
        <w:trPr/>
        <w:tc>
          <w:tcPr>
            <w:tcW w:w="3147"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ans-serif" w:hAnsi="Times New Roman;sans-serif"/>
                <w:b/>
                <w:color w:val="000000"/>
                <w:sz w:val="24"/>
              </w:rPr>
            </w:pPr>
            <w:r>
              <w:rPr>
                <w:rFonts w:ascii="Times New Roman;sans-serif" w:hAnsi="Times New Roman;sans-serif"/>
                <w:b/>
                <w:color w:val="000000"/>
                <w:sz w:val="24"/>
              </w:rPr>
              <w:t>Table of Contents</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ans-serif" w:hAnsi="Times New Roman;sans-serif"/>
                <w:b/>
                <w:color w:val="000000"/>
                <w:sz w:val="24"/>
              </w:rPr>
            </w:pPr>
            <w:r>
              <w:rPr>
                <w:rFonts w:ascii="Times New Roman;sans-serif" w:hAnsi="Times New Roman;sans-serif"/>
                <w:b/>
                <w:color w:val="000000"/>
                <w:sz w:val="24"/>
              </w:rPr>
              <w:t>Page</w:t>
            </w:r>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06db9e77220746f6a46747e7a34b1b5d">
              <w:r>
                <w:rPr>
                  <w:rStyle w:val="InternetLink"/>
                  <w:rFonts w:ascii="Times New Roman;sans-serif" w:hAnsi="Times New Roman;sans-serif"/>
                  <w:b/>
                  <w:strike w:val="false"/>
                  <w:dstrike w:val="false"/>
                  <w:color w:val="000000"/>
                  <w:sz w:val="24"/>
                  <w:u w:val="none"/>
                  <w:effect w:val="none"/>
                </w:rPr>
                <w:t>Article I.    </w:t>
                <w:br/>
                <w:t>DEFINITIONS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db9e77220746f6a46747e7a34b1b5d">
              <w:r>
                <w:rPr>
                  <w:rStyle w:val="InternetLink"/>
                  <w:rFonts w:ascii="Times New Roman;sans-serif" w:hAnsi="Times New Roman;sans-serif"/>
                  <w:b/>
                  <w:strike w:val="false"/>
                  <w:dstrike w:val="false"/>
                  <w:color w:val="000000"/>
                  <w:sz w:val="24"/>
                  <w:u w:val="none"/>
                  <w:effect w:val="none"/>
                </w:rPr>
                <w:t>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0ea6d5b30214a25b095659a2d7db9e2">
              <w:r>
                <w:rPr>
                  <w:rStyle w:val="InternetLink"/>
                  <w:rFonts w:ascii="Times New Roman;sans-serif" w:hAnsi="Times New Roman;sans-serif"/>
                  <w:b w:val="false"/>
                  <w:strike w:val="false"/>
                  <w:dstrike w:val="false"/>
                  <w:color w:val="000000"/>
                  <w:sz w:val="24"/>
                  <w:u w:val="none"/>
                  <w:effect w:val="none"/>
                </w:rPr>
                <w:t>Section 1.01    Definitions.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ea6d5b30214a25b095659a2d7db9e2">
              <w:r>
                <w:rPr>
                  <w:rStyle w:val="InternetLink"/>
                  <w:rFonts w:ascii="Times New Roman;sans-serif" w:hAnsi="Times New Roman;sans-serif"/>
                  <w:b w:val="false"/>
                  <w:strike w:val="false"/>
                  <w:dstrike w:val="false"/>
                  <w:color w:val="000000"/>
                  <w:sz w:val="24"/>
                  <w:u w:val="none"/>
                  <w:effect w:val="none"/>
                </w:rPr>
                <w:t>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e19ed9b00534872a201f86c836a9d4e">
              <w:r>
                <w:rPr>
                  <w:rStyle w:val="InternetLink"/>
                  <w:rFonts w:ascii="Times New Roman;sans-serif" w:hAnsi="Times New Roman;sans-serif"/>
                  <w:b/>
                  <w:strike w:val="false"/>
                  <w:dstrike w:val="false"/>
                  <w:color w:val="000000"/>
                  <w:sz w:val="24"/>
                  <w:u w:val="none"/>
                  <w:effect w:val="none"/>
                </w:rPr>
                <w:t>Article II.    </w:t>
                <w:br/>
                <w:t>PURCHASE AND SALE OF THE PURCHASED INTEREST</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19ed9b00534872a201f86c836a9d4e">
              <w:r>
                <w:rPr>
                  <w:rStyle w:val="InternetLink"/>
                  <w:rFonts w:ascii="Times New Roman;sans-serif" w:hAnsi="Times New Roman;sans-serif"/>
                  <w:b/>
                  <w:strike w:val="false"/>
                  <w:dstrike w:val="false"/>
                  <w:color w:val="000000"/>
                  <w:sz w:val="24"/>
                  <w:u w:val="none"/>
                  <w:effect w:val="none"/>
                </w:rPr>
                <w:t>11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d95c5da650c40d49b1b75d8b6614903">
              <w:r>
                <w:rPr>
                  <w:rStyle w:val="InternetLink"/>
                  <w:rFonts w:ascii="Times New Roman;sans-serif" w:hAnsi="Times New Roman;sans-serif"/>
                  <w:b w:val="false"/>
                  <w:strike w:val="false"/>
                  <w:dstrike w:val="false"/>
                  <w:color w:val="000000"/>
                  <w:sz w:val="24"/>
                  <w:u w:val="none"/>
                  <w:effect w:val="none"/>
                </w:rPr>
                <w:t>Section 1.01    Purchase and Sale.</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5c5da650c40d49b1b75d8b6614903">
              <w:r>
                <w:rPr>
                  <w:rStyle w:val="InternetLink"/>
                  <w:rFonts w:ascii="Times New Roman;sans-serif" w:hAnsi="Times New Roman;sans-serif"/>
                  <w:b w:val="false"/>
                  <w:strike w:val="false"/>
                  <w:dstrike w:val="false"/>
                  <w:color w:val="000000"/>
                  <w:sz w:val="24"/>
                  <w:u w:val="none"/>
                  <w:effect w:val="none"/>
                </w:rPr>
                <w:t>11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b33945e1c304aa48a46e97deca17be9">
              <w:r>
                <w:rPr>
                  <w:rStyle w:val="InternetLink"/>
                  <w:rFonts w:ascii="Times New Roman;sans-serif" w:hAnsi="Times New Roman;sans-serif"/>
                  <w:b w:val="false"/>
                  <w:strike w:val="false"/>
                  <w:dstrike w:val="false"/>
                  <w:color w:val="000000"/>
                  <w:sz w:val="24"/>
                  <w:u w:val="none"/>
                  <w:effect w:val="none"/>
                </w:rPr>
                <w:t>Section 1.02    Payments to Investor.</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33945e1c304aa48a46e97deca17be9">
              <w:r>
                <w:rPr>
                  <w:rStyle w:val="InternetLink"/>
                  <w:rFonts w:ascii="Times New Roman;sans-serif" w:hAnsi="Times New Roman;sans-serif"/>
                  <w:b w:val="false"/>
                  <w:strike w:val="false"/>
                  <w:dstrike w:val="false"/>
                  <w:color w:val="000000"/>
                  <w:sz w:val="24"/>
                  <w:u w:val="none"/>
                  <w:effect w:val="none"/>
                </w:rPr>
                <w:t>11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92d8b87b79545759e261e5737619095">
              <w:r>
                <w:rPr>
                  <w:rStyle w:val="InternetLink"/>
                  <w:rFonts w:ascii="Times New Roman;sans-serif" w:hAnsi="Times New Roman;sans-serif"/>
                  <w:b w:val="false"/>
                  <w:strike w:val="false"/>
                  <w:dstrike w:val="false"/>
                  <w:color w:val="000000"/>
                  <w:sz w:val="24"/>
                  <w:u w:val="none"/>
                  <w:effect w:val="none"/>
                </w:rPr>
                <w:t>Section 1.03    Payments to Company.</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2d8b87b79545759e261e5737619095">
              <w:r>
                <w:rPr>
                  <w:rStyle w:val="InternetLink"/>
                  <w:rFonts w:ascii="Times New Roman;sans-serif" w:hAnsi="Times New Roman;sans-serif"/>
                  <w:b w:val="false"/>
                  <w:strike w:val="false"/>
                  <w:dstrike w:val="false"/>
                  <w:color w:val="000000"/>
                  <w:sz w:val="24"/>
                  <w:u w:val="none"/>
                  <w:effect w:val="none"/>
                </w:rPr>
                <w:t>12</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50cf68d4fcb4162ae5330bc9d369f1a">
              <w:r>
                <w:rPr>
                  <w:rStyle w:val="InternetLink"/>
                  <w:rFonts w:ascii="Times New Roman;sans-serif" w:hAnsi="Times New Roman;sans-serif"/>
                  <w:b w:val="false"/>
                  <w:strike w:val="false"/>
                  <w:dstrike w:val="false"/>
                  <w:color w:val="000000"/>
                  <w:sz w:val="24"/>
                  <w:u w:val="none"/>
                  <w:effect w:val="none"/>
                </w:rPr>
                <w:t>Section 1.04    No Assumed Obligations.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0cf68d4fcb4162ae5330bc9d369f1a">
              <w:r>
                <w:rPr>
                  <w:rStyle w:val="InternetLink"/>
                  <w:rFonts w:ascii="Times New Roman;sans-serif" w:hAnsi="Times New Roman;sans-serif"/>
                  <w:b w:val="false"/>
                  <w:strike w:val="false"/>
                  <w:dstrike w:val="false"/>
                  <w:color w:val="000000"/>
                  <w:sz w:val="24"/>
                  <w:u w:val="none"/>
                  <w:effect w:val="none"/>
                </w:rPr>
                <w:t>13</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4021930b7eb43b8b30689796dc760cc">
              <w:r>
                <w:rPr>
                  <w:rStyle w:val="InternetLink"/>
                  <w:rFonts w:ascii="Times New Roman;sans-serif" w:hAnsi="Times New Roman;sans-serif"/>
                  <w:b/>
                  <w:strike w:val="false"/>
                  <w:dstrike w:val="false"/>
                  <w:color w:val="000000"/>
                  <w:sz w:val="24"/>
                  <w:u w:val="none"/>
                  <w:effect w:val="none"/>
                </w:rPr>
                <w:t>Article III.    </w:t>
                <w:br/>
                <w:t>REPRESENTATIONS AND WARRANTIES OF COMPANY</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021930b7eb43b8b30689796dc760cc">
              <w:r>
                <w:rPr>
                  <w:rStyle w:val="InternetLink"/>
                  <w:rFonts w:ascii="Times New Roman;sans-serif" w:hAnsi="Times New Roman;sans-serif"/>
                  <w:b/>
                  <w:strike w:val="false"/>
                  <w:dstrike w:val="false"/>
                  <w:color w:val="000000"/>
                  <w:sz w:val="24"/>
                  <w:u w:val="none"/>
                  <w:effect w:val="none"/>
                </w:rPr>
                <w:t>14</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5d7d0589e594387b885ac0c6d4879c7">
              <w:r>
                <w:rPr>
                  <w:rStyle w:val="InternetLink"/>
                  <w:rFonts w:ascii="Times New Roman;sans-serif" w:hAnsi="Times New Roman;sans-serif"/>
                  <w:b w:val="false"/>
                  <w:strike w:val="false"/>
                  <w:dstrike w:val="false"/>
                  <w:color w:val="000000"/>
                  <w:sz w:val="24"/>
                  <w:u w:val="none"/>
                  <w:effect w:val="none"/>
                </w:rPr>
                <w:t>Section 1.01    Organization.</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d7d0589e594387b885ac0c6d4879c7">
              <w:r>
                <w:rPr>
                  <w:rStyle w:val="InternetLink"/>
                  <w:rFonts w:ascii="Times New Roman;sans-serif" w:hAnsi="Times New Roman;sans-serif"/>
                  <w:b w:val="false"/>
                  <w:strike w:val="false"/>
                  <w:dstrike w:val="false"/>
                  <w:color w:val="000000"/>
                  <w:sz w:val="24"/>
                  <w:u w:val="none"/>
                  <w:effect w:val="none"/>
                </w:rPr>
                <w:t>14</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8e06817f1fc4e6fa7d673e18a33503b">
              <w:r>
                <w:rPr>
                  <w:rStyle w:val="InternetLink"/>
                  <w:rFonts w:ascii="Times New Roman;sans-serif" w:hAnsi="Times New Roman;sans-serif"/>
                  <w:b w:val="false"/>
                  <w:strike w:val="false"/>
                  <w:dstrike w:val="false"/>
                  <w:color w:val="000000"/>
                  <w:sz w:val="24"/>
                  <w:u w:val="none"/>
                  <w:effect w:val="none"/>
                </w:rPr>
                <w:t>Section 1.02    Entity Authorization.</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e06817f1fc4e6fa7d673e18a33503b">
              <w:r>
                <w:rPr>
                  <w:rStyle w:val="InternetLink"/>
                  <w:rFonts w:ascii="Times New Roman;sans-serif" w:hAnsi="Times New Roman;sans-serif"/>
                  <w:b w:val="false"/>
                  <w:strike w:val="false"/>
                  <w:dstrike w:val="false"/>
                  <w:color w:val="000000"/>
                  <w:sz w:val="24"/>
                  <w:u w:val="none"/>
                  <w:effect w:val="none"/>
                </w:rPr>
                <w:t>14</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a057de6608d4ce299c78f31c93c8da8">
              <w:r>
                <w:rPr>
                  <w:rStyle w:val="InternetLink"/>
                  <w:rFonts w:ascii="Times New Roman;sans-serif" w:hAnsi="Times New Roman;sans-serif"/>
                  <w:b w:val="false"/>
                  <w:strike w:val="false"/>
                  <w:dstrike w:val="false"/>
                  <w:color w:val="000000"/>
                  <w:sz w:val="24"/>
                  <w:u w:val="none"/>
                  <w:effect w:val="none"/>
                </w:rPr>
                <w:t>Section 1.03    Governmental Authorization.</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57de6608d4ce299c78f31c93c8da8">
              <w:r>
                <w:rPr>
                  <w:rStyle w:val="InternetLink"/>
                  <w:rFonts w:ascii="Times New Roman;sans-serif" w:hAnsi="Times New Roman;sans-serif"/>
                  <w:b w:val="false"/>
                  <w:strike w:val="false"/>
                  <w:dstrike w:val="false"/>
                  <w:color w:val="000000"/>
                  <w:sz w:val="24"/>
                  <w:u w:val="none"/>
                  <w:effect w:val="none"/>
                </w:rPr>
                <w:t>14</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43a5c131d43423cb0d99ca6dce4473a">
              <w:r>
                <w:rPr>
                  <w:rStyle w:val="InternetLink"/>
                  <w:rFonts w:ascii="Times New Roman;sans-serif" w:hAnsi="Times New Roman;sans-serif"/>
                  <w:b w:val="false"/>
                  <w:strike w:val="false"/>
                  <w:dstrike w:val="false"/>
                  <w:color w:val="000000"/>
                  <w:sz w:val="24"/>
                  <w:u w:val="none"/>
                  <w:effect w:val="none"/>
                </w:rPr>
                <w:t>Section 1.04    Ownership Intellectual Property Related to the Purchased Interest.</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3a5c131d43423cb0d99ca6dce4473a">
              <w:r>
                <w:rPr>
                  <w:rStyle w:val="InternetLink"/>
                  <w:rFonts w:ascii="Times New Roman;sans-serif" w:hAnsi="Times New Roman;sans-serif"/>
                  <w:b w:val="false"/>
                  <w:strike w:val="false"/>
                  <w:dstrike w:val="false"/>
                  <w:color w:val="000000"/>
                  <w:sz w:val="24"/>
                  <w:u w:val="none"/>
                  <w:effect w:val="none"/>
                </w:rPr>
                <w:t>14</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6320184f5774dc0b099ed0692a3afd3">
              <w:r>
                <w:rPr>
                  <w:rStyle w:val="InternetLink"/>
                  <w:rFonts w:ascii="Times New Roman;sans-serif" w:hAnsi="Times New Roman;sans-serif"/>
                  <w:b w:val="false"/>
                  <w:strike w:val="false"/>
                  <w:dstrike w:val="false"/>
                  <w:color w:val="000000"/>
                  <w:sz w:val="24"/>
                  <w:u w:val="none"/>
                  <w:effect w:val="none"/>
                </w:rPr>
                <w:t>Section 1.05    Financial Statements.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320184f5774dc0b099ed0692a3afd3">
              <w:r>
                <w:rPr>
                  <w:rStyle w:val="InternetLink"/>
                  <w:rFonts w:ascii="Times New Roman;sans-serif" w:hAnsi="Times New Roman;sans-serif"/>
                  <w:b w:val="false"/>
                  <w:strike w:val="false"/>
                  <w:dstrike w:val="false"/>
                  <w:color w:val="000000"/>
                  <w:sz w:val="24"/>
                  <w:u w:val="none"/>
                  <w:effect w:val="none"/>
                </w:rPr>
                <w:t>15</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0e69c314f52c4822a7b8f8c0cf61bf3e">
              <w:r>
                <w:rPr>
                  <w:rStyle w:val="InternetLink"/>
                  <w:rFonts w:ascii="Times New Roman;sans-serif" w:hAnsi="Times New Roman;sans-serif"/>
                  <w:b w:val="false"/>
                  <w:strike w:val="false"/>
                  <w:dstrike w:val="false"/>
                  <w:color w:val="000000"/>
                  <w:sz w:val="24"/>
                  <w:u w:val="none"/>
                  <w:effect w:val="none"/>
                </w:rPr>
                <w:t xml:space="preserve">Section 1.06    No Undisclosed Liabilities. </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69c314f52c4822a7b8f8c0cf61bf3e">
              <w:r>
                <w:rPr>
                  <w:rStyle w:val="InternetLink"/>
                  <w:rFonts w:ascii="Times New Roman;sans-serif" w:hAnsi="Times New Roman;sans-serif"/>
                  <w:b w:val="false"/>
                  <w:strike w:val="false"/>
                  <w:dstrike w:val="false"/>
                  <w:color w:val="000000"/>
                  <w:sz w:val="24"/>
                  <w:u w:val="none"/>
                  <w:effect w:val="none"/>
                </w:rPr>
                <w:t>15</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8b5f78501e948e88b93f80e6a71ebab">
              <w:r>
                <w:rPr>
                  <w:rStyle w:val="InternetLink"/>
                  <w:rFonts w:ascii="Times New Roman;sans-serif" w:hAnsi="Times New Roman;sans-serif"/>
                  <w:b w:val="false"/>
                  <w:strike w:val="false"/>
                  <w:dstrike w:val="false"/>
                  <w:color w:val="000000"/>
                  <w:sz w:val="24"/>
                  <w:u w:val="none"/>
                  <w:effect w:val="none"/>
                </w:rPr>
                <w:t>Section 1.07    Solvency.</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b5f78501e948e88b93f80e6a71ebab">
              <w:r>
                <w:rPr>
                  <w:rStyle w:val="InternetLink"/>
                  <w:rFonts w:ascii="Times New Roman;sans-serif" w:hAnsi="Times New Roman;sans-serif"/>
                  <w:b w:val="false"/>
                  <w:strike w:val="false"/>
                  <w:dstrike w:val="false"/>
                  <w:color w:val="000000"/>
                  <w:sz w:val="24"/>
                  <w:u w:val="none"/>
                  <w:effect w:val="none"/>
                </w:rPr>
                <w:t>15</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5b79fa711974e04a3078761dfccd421">
              <w:r>
                <w:rPr>
                  <w:rStyle w:val="InternetLink"/>
                  <w:rFonts w:ascii="Times New Roman;sans-serif" w:hAnsi="Times New Roman;sans-serif"/>
                  <w:b w:val="false"/>
                  <w:strike w:val="false"/>
                  <w:dstrike w:val="false"/>
                  <w:color w:val="000000"/>
                  <w:sz w:val="24"/>
                  <w:u w:val="none"/>
                  <w:effect w:val="none"/>
                </w:rPr>
                <w:t>Section 1.08    Litigation.</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b79fa711974e04a3078761dfccd421">
              <w:r>
                <w:rPr>
                  <w:rStyle w:val="InternetLink"/>
                  <w:rFonts w:ascii="Times New Roman;sans-serif" w:hAnsi="Times New Roman;sans-serif"/>
                  <w:b w:val="false"/>
                  <w:strike w:val="false"/>
                  <w:dstrike w:val="false"/>
                  <w:color w:val="000000"/>
                  <w:sz w:val="24"/>
                  <w:u w:val="none"/>
                  <w:effect w:val="none"/>
                </w:rPr>
                <w:t>15</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1f8a392f4094dc78999620889a8f5ba">
              <w:r>
                <w:rPr>
                  <w:rStyle w:val="InternetLink"/>
                  <w:rFonts w:ascii="Times New Roman;sans-serif" w:hAnsi="Times New Roman;sans-serif"/>
                  <w:b w:val="false"/>
                  <w:strike w:val="false"/>
                  <w:dstrike w:val="false"/>
                  <w:color w:val="000000"/>
                  <w:sz w:val="24"/>
                  <w:u w:val="none"/>
                  <w:effect w:val="none"/>
                </w:rPr>
                <w:t>Section 1.09    Compliance with Laws.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f8a392f4094dc78999620889a8f5ba">
              <w:r>
                <w:rPr>
                  <w:rStyle w:val="InternetLink"/>
                  <w:rFonts w:ascii="Times New Roman;sans-serif" w:hAnsi="Times New Roman;sans-serif"/>
                  <w:b w:val="false"/>
                  <w:strike w:val="false"/>
                  <w:dstrike w:val="false"/>
                  <w:color w:val="000000"/>
                  <w:sz w:val="24"/>
                  <w:u w:val="none"/>
                  <w:effect w:val="none"/>
                </w:rPr>
                <w:t>15</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212d7cbea3a420facb1151ede78fb4d">
              <w:r>
                <w:rPr>
                  <w:rStyle w:val="InternetLink"/>
                  <w:rFonts w:ascii="Times New Roman;sans-serif" w:hAnsi="Times New Roman;sans-serif"/>
                  <w:b w:val="false"/>
                  <w:strike w:val="false"/>
                  <w:dstrike w:val="false"/>
                  <w:color w:val="000000"/>
                  <w:sz w:val="24"/>
                  <w:u w:val="none"/>
                  <w:effect w:val="none"/>
                </w:rPr>
                <w:t>Section 1.10    Conflicts.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12d7cbea3a420facb1151ede78fb4d">
              <w:r>
                <w:rPr>
                  <w:rStyle w:val="InternetLink"/>
                  <w:rFonts w:ascii="Times New Roman;sans-serif" w:hAnsi="Times New Roman;sans-serif"/>
                  <w:b w:val="false"/>
                  <w:strike w:val="false"/>
                  <w:dstrike w:val="false"/>
                  <w:color w:val="000000"/>
                  <w:sz w:val="24"/>
                  <w:u w:val="none"/>
                  <w:effect w:val="none"/>
                </w:rPr>
                <w:t>16</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6e20b5601854c69934212bf7855ea9d">
              <w:r>
                <w:rPr>
                  <w:rStyle w:val="InternetLink"/>
                  <w:rFonts w:ascii="Times New Roman;sans-serif" w:hAnsi="Times New Roman;sans-serif"/>
                  <w:b w:val="false"/>
                  <w:strike w:val="false"/>
                  <w:dstrike w:val="false"/>
                  <w:color w:val="000000"/>
                  <w:sz w:val="24"/>
                  <w:u w:val="none"/>
                  <w:effect w:val="none"/>
                </w:rPr>
                <w:t xml:space="preserve">Section 1.11    [Reserved]. </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20b5601854c69934212bf7855ea9d">
              <w:r>
                <w:rPr>
                  <w:rStyle w:val="InternetLink"/>
                  <w:rFonts w:ascii="Times New Roman;sans-serif" w:hAnsi="Times New Roman;sans-serif"/>
                  <w:b w:val="false"/>
                  <w:strike w:val="false"/>
                  <w:dstrike w:val="false"/>
                  <w:color w:val="000000"/>
                  <w:sz w:val="24"/>
                  <w:u w:val="none"/>
                  <w:effect w:val="none"/>
                </w:rPr>
                <w:t>16</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060d3fb347a4cf9a8e483687cdc1ce8">
              <w:r>
                <w:rPr>
                  <w:rStyle w:val="InternetLink"/>
                  <w:rFonts w:ascii="Times New Roman;sans-serif" w:hAnsi="Times New Roman;sans-serif"/>
                  <w:b w:val="false"/>
                  <w:strike w:val="false"/>
                  <w:dstrike w:val="false"/>
                  <w:color w:val="000000"/>
                  <w:sz w:val="24"/>
                  <w:u w:val="none"/>
                  <w:effect w:val="none"/>
                </w:rPr>
                <w:t xml:space="preserve">Section 1.12    Intellectual Property. </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60d3fb347a4cf9a8e483687cdc1ce8">
              <w:r>
                <w:rPr>
                  <w:rStyle w:val="InternetLink"/>
                  <w:rFonts w:ascii="Times New Roman;sans-serif" w:hAnsi="Times New Roman;sans-serif"/>
                  <w:b w:val="false"/>
                  <w:strike w:val="false"/>
                  <w:dstrike w:val="false"/>
                  <w:color w:val="000000"/>
                  <w:sz w:val="24"/>
                  <w:u w:val="none"/>
                  <w:effect w:val="none"/>
                </w:rPr>
                <w:t>16</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23d7ec356054b61bbd9851aaad6a721">
              <w:r>
                <w:rPr>
                  <w:rStyle w:val="InternetLink"/>
                  <w:rFonts w:ascii="Times New Roman;sans-serif" w:hAnsi="Times New Roman;sans-serif"/>
                  <w:b w:val="false"/>
                  <w:strike w:val="false"/>
                  <w:dstrike w:val="false"/>
                  <w:color w:val="000000"/>
                  <w:sz w:val="24"/>
                  <w:u w:val="none"/>
                  <w:effect w:val="none"/>
                </w:rPr>
                <w:t>Section 1.13    Regulatory Approval.</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d7ec356054b61bbd9851aaad6a721">
              <w:r>
                <w:rPr>
                  <w:rStyle w:val="InternetLink"/>
                  <w:rFonts w:ascii="Times New Roman;sans-serif" w:hAnsi="Times New Roman;sans-serif"/>
                  <w:b w:val="false"/>
                  <w:strike w:val="false"/>
                  <w:dstrike w:val="false"/>
                  <w:color w:val="000000"/>
                  <w:sz w:val="24"/>
                  <w:u w:val="none"/>
                  <w:effect w:val="none"/>
                </w:rPr>
                <w:t>18</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d4f551d38c84a1ca0a41af6b82082e9">
              <w:r>
                <w:rPr>
                  <w:rStyle w:val="InternetLink"/>
                  <w:rFonts w:ascii="Times New Roman;sans-serif" w:hAnsi="Times New Roman;sans-serif"/>
                  <w:b w:val="false"/>
                  <w:strike w:val="false"/>
                  <w:dstrike w:val="false"/>
                  <w:color w:val="000000"/>
                  <w:sz w:val="24"/>
                  <w:u w:val="none"/>
                  <w:effect w:val="none"/>
                </w:rPr>
                <w:t>Section 1.14    Material Contracts.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4f551d38c84a1ca0a41af6b82082e9">
              <w:r>
                <w:rPr>
                  <w:rStyle w:val="InternetLink"/>
                  <w:rFonts w:ascii="Times New Roman;sans-serif" w:hAnsi="Times New Roman;sans-serif"/>
                  <w:b w:val="false"/>
                  <w:strike w:val="false"/>
                  <w:dstrike w:val="false"/>
                  <w:color w:val="000000"/>
                  <w:sz w:val="24"/>
                  <w:u w:val="none"/>
                  <w:effect w:val="none"/>
                </w:rPr>
                <w:t>18</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bd0968259f84e1cbe696c437d5c23b9">
              <w:r>
                <w:rPr>
                  <w:rStyle w:val="InternetLink"/>
                  <w:rFonts w:ascii="Times New Roman;sans-serif" w:hAnsi="Times New Roman;sans-serif"/>
                  <w:b w:val="false"/>
                  <w:strike w:val="false"/>
                  <w:dstrike w:val="false"/>
                  <w:color w:val="000000"/>
                  <w:sz w:val="24"/>
                  <w:u w:val="none"/>
                  <w:effect w:val="none"/>
                </w:rPr>
                <w:t>Section 1.15    Name, State of Formation or Organization, and Principal Place of Business.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d0968259f84e1cbe696c437d5c23b9">
              <w:r>
                <w:rPr>
                  <w:rStyle w:val="InternetLink"/>
                  <w:rFonts w:ascii="Times New Roman;sans-serif" w:hAnsi="Times New Roman;sans-serif"/>
                  <w:b w:val="false"/>
                  <w:strike w:val="false"/>
                  <w:dstrike w:val="false"/>
                  <w:color w:val="000000"/>
                  <w:sz w:val="24"/>
                  <w:u w:val="none"/>
                  <w:effect w:val="none"/>
                </w:rPr>
                <w:t>20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ac8770a5055481fb08094e3bc93bbd3">
              <w:r>
                <w:rPr>
                  <w:rStyle w:val="InternetLink"/>
                  <w:rFonts w:ascii="Times New Roman;sans-serif" w:hAnsi="Times New Roman;sans-serif"/>
                  <w:b w:val="false"/>
                  <w:strike w:val="false"/>
                  <w:dstrike w:val="false"/>
                  <w:color w:val="000000"/>
                  <w:sz w:val="24"/>
                  <w:u w:val="none"/>
                  <w:effect w:val="none"/>
                </w:rPr>
                <w:t>Section 1.16    Broker’s Fees.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c8770a5055481fb08094e3bc93bbd3">
              <w:r>
                <w:rPr>
                  <w:rStyle w:val="InternetLink"/>
                  <w:rFonts w:ascii="Times New Roman;sans-serif" w:hAnsi="Times New Roman;sans-serif"/>
                  <w:b w:val="false"/>
                  <w:strike w:val="false"/>
                  <w:dstrike w:val="false"/>
                  <w:color w:val="000000"/>
                  <w:sz w:val="24"/>
                  <w:u w:val="none"/>
                  <w:effect w:val="none"/>
                </w:rPr>
                <w:t>20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46d29f9055d415d96de78bb86a4f039">
              <w:r>
                <w:rPr>
                  <w:rStyle w:val="InternetLink"/>
                  <w:rFonts w:ascii="Times New Roman;sans-serif" w:hAnsi="Times New Roman;sans-serif"/>
                  <w:b w:val="false"/>
                  <w:strike w:val="false"/>
                  <w:dstrike w:val="false"/>
                  <w:color w:val="000000"/>
                  <w:sz w:val="24"/>
                  <w:u w:val="none"/>
                  <w:effect w:val="none"/>
                </w:rPr>
                <w:t>Section 1.17    Taxes.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6d29f9055d415d96de78bb86a4f039">
              <w:r>
                <w:rPr>
                  <w:rStyle w:val="InternetLink"/>
                  <w:rFonts w:ascii="Times New Roman;sans-serif" w:hAnsi="Times New Roman;sans-serif"/>
                  <w:b w:val="false"/>
                  <w:strike w:val="false"/>
                  <w:dstrike w:val="false"/>
                  <w:color w:val="000000"/>
                  <w:sz w:val="24"/>
                  <w:u w:val="none"/>
                  <w:effect w:val="none"/>
                </w:rPr>
                <w:t>20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fca3e1f0d1246e3bb729131b39c5bd3">
              <w:r>
                <w:rPr>
                  <w:rStyle w:val="InternetLink"/>
                  <w:rFonts w:ascii="Times New Roman;sans-serif" w:hAnsi="Times New Roman;sans-serif"/>
                  <w:b w:val="false"/>
                  <w:strike w:val="false"/>
                  <w:dstrike w:val="false"/>
                  <w:color w:val="000000"/>
                  <w:sz w:val="24"/>
                  <w:u w:val="none"/>
                  <w:effect w:val="none"/>
                </w:rPr>
                <w:t>Section 1.18    Bankruptcy Event.</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ca3e1f0d1246e3bb729131b39c5bd3">
              <w:r>
                <w:rPr>
                  <w:rStyle w:val="InternetLink"/>
                  <w:rFonts w:ascii="Times New Roman;sans-serif" w:hAnsi="Times New Roman;sans-serif"/>
                  <w:b w:val="false"/>
                  <w:strike w:val="false"/>
                  <w:dstrike w:val="false"/>
                  <w:color w:val="000000"/>
                  <w:sz w:val="24"/>
                  <w:u w:val="none"/>
                  <w:effect w:val="none"/>
                </w:rPr>
                <w:t>20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1d46dd349ff40f6adcd2c7c86b653d5">
              <w:r>
                <w:rPr>
                  <w:rStyle w:val="InternetLink"/>
                  <w:rFonts w:ascii="Times New Roman;sans-serif" w:hAnsi="Times New Roman;sans-serif"/>
                  <w:b w:val="false"/>
                  <w:strike w:val="false"/>
                  <w:dstrike w:val="false"/>
                  <w:color w:val="000000"/>
                  <w:sz w:val="24"/>
                  <w:u w:val="none"/>
                  <w:effect w:val="none"/>
                </w:rPr>
                <w:t>Section 1.19    Material Adverse Effect.</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d46dd349ff40f6adcd2c7c86b653d5">
              <w:r>
                <w:rPr>
                  <w:rStyle w:val="InternetLink"/>
                  <w:rFonts w:ascii="Times New Roman;sans-serif" w:hAnsi="Times New Roman;sans-serif"/>
                  <w:b w:val="false"/>
                  <w:strike w:val="false"/>
                  <w:dstrike w:val="false"/>
                  <w:color w:val="000000"/>
                  <w:sz w:val="24"/>
                  <w:u w:val="none"/>
                  <w:effect w:val="none"/>
                </w:rPr>
                <w:t>20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fa0bfa457b74a56a7aa549337493250">
              <w:r>
                <w:rPr>
                  <w:rStyle w:val="InternetLink"/>
                  <w:rFonts w:ascii="Times New Roman;sans-serif" w:hAnsi="Times New Roman;sans-serif"/>
                  <w:b/>
                  <w:strike w:val="false"/>
                  <w:dstrike w:val="false"/>
                  <w:color w:val="000000"/>
                  <w:sz w:val="24"/>
                  <w:u w:val="none"/>
                  <w:effect w:val="none"/>
                </w:rPr>
                <w:t>Article IV.    </w:t>
                <w:br/>
                <w:t>REPRESENTATIONS AND WARRANTIES OF INVESTOR</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a0bfa457b74a56a7aa549337493250">
              <w:r>
                <w:rPr>
                  <w:rStyle w:val="InternetLink"/>
                  <w:rFonts w:ascii="Times New Roman;sans-serif" w:hAnsi="Times New Roman;sans-serif"/>
                  <w:b/>
                  <w:strike w:val="false"/>
                  <w:dstrike w:val="false"/>
                  <w:color w:val="000000"/>
                  <w:sz w:val="24"/>
                  <w:u w:val="none"/>
                  <w:effect w:val="none"/>
                </w:rPr>
                <w:t>20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2b584045ee6a42fbac3296e8ebd76d14">
              <w:r>
                <w:rPr>
                  <w:rStyle w:val="InternetLink"/>
                  <w:rFonts w:ascii="Times New Roman;sans-serif" w:hAnsi="Times New Roman;sans-serif"/>
                  <w:b w:val="false"/>
                  <w:strike w:val="false"/>
                  <w:dstrike w:val="false"/>
                  <w:color w:val="000000"/>
                  <w:sz w:val="24"/>
                  <w:u w:val="none"/>
                  <w:effect w:val="none"/>
                </w:rPr>
                <w:t>Section 1.01    Organization.</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584045ee6a42fbac3296e8ebd76d14">
              <w:r>
                <w:rPr>
                  <w:rStyle w:val="InternetLink"/>
                  <w:rFonts w:ascii="Times New Roman;sans-serif" w:hAnsi="Times New Roman;sans-serif"/>
                  <w:b w:val="false"/>
                  <w:strike w:val="false"/>
                  <w:dstrike w:val="false"/>
                  <w:color w:val="000000"/>
                  <w:sz w:val="24"/>
                  <w:u w:val="none"/>
                  <w:effect w:val="none"/>
                </w:rPr>
                <w:t>21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7fc32b61f4c43d79fbbf94cf0339dc0">
              <w:r>
                <w:rPr>
                  <w:rStyle w:val="InternetLink"/>
                  <w:rFonts w:ascii="Times New Roman;sans-serif" w:hAnsi="Times New Roman;sans-serif"/>
                  <w:b w:val="false"/>
                  <w:strike w:val="false"/>
                  <w:dstrike w:val="false"/>
                  <w:color w:val="000000"/>
                  <w:sz w:val="24"/>
                  <w:u w:val="none"/>
                  <w:effect w:val="none"/>
                </w:rPr>
                <w:t>Section 1.02    Authorization.</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fc32b61f4c43d79fbbf94cf0339dc0">
              <w:r>
                <w:rPr>
                  <w:rStyle w:val="InternetLink"/>
                  <w:rFonts w:ascii="Times New Roman;sans-serif" w:hAnsi="Times New Roman;sans-serif"/>
                  <w:b w:val="false"/>
                  <w:strike w:val="false"/>
                  <w:dstrike w:val="false"/>
                  <w:color w:val="000000"/>
                  <w:sz w:val="24"/>
                  <w:u w:val="none"/>
                  <w:effect w:val="none"/>
                </w:rPr>
                <w:t>21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2da345dbbda45dfbd5078b01417e38b">
              <w:r>
                <w:rPr>
                  <w:rStyle w:val="InternetLink"/>
                  <w:rFonts w:ascii="Times New Roman;sans-serif" w:hAnsi="Times New Roman;sans-serif"/>
                  <w:b w:val="false"/>
                  <w:strike w:val="false"/>
                  <w:dstrike w:val="false"/>
                  <w:color w:val="000000"/>
                  <w:sz w:val="24"/>
                  <w:u w:val="none"/>
                  <w:effect w:val="none"/>
                </w:rPr>
                <w:t>Section 1.03    Broker’s Fees.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da345dbbda45dfbd5078b01417e38b">
              <w:r>
                <w:rPr>
                  <w:rStyle w:val="InternetLink"/>
                  <w:rFonts w:ascii="Times New Roman;sans-serif" w:hAnsi="Times New Roman;sans-serif"/>
                  <w:b w:val="false"/>
                  <w:strike w:val="false"/>
                  <w:dstrike w:val="false"/>
                  <w:color w:val="000000"/>
                  <w:sz w:val="24"/>
                  <w:u w:val="none"/>
                  <w:effect w:val="none"/>
                </w:rPr>
                <w:t>21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a1fa167728d4115bac8b0fa24146276">
              <w:r>
                <w:rPr>
                  <w:rStyle w:val="InternetLink"/>
                  <w:rFonts w:ascii="Times New Roman;sans-serif" w:hAnsi="Times New Roman;sans-serif"/>
                  <w:b w:val="false"/>
                  <w:strike w:val="false"/>
                  <w:dstrike w:val="false"/>
                  <w:color w:val="000000"/>
                  <w:sz w:val="24"/>
                  <w:u w:val="none"/>
                  <w:effect w:val="none"/>
                </w:rPr>
                <w:t>Section 1.04    Conflicts.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1fa167728d4115bac8b0fa24146276">
              <w:r>
                <w:rPr>
                  <w:rStyle w:val="InternetLink"/>
                  <w:rFonts w:ascii="Times New Roman;sans-serif" w:hAnsi="Times New Roman;sans-serif"/>
                  <w:b w:val="false"/>
                  <w:strike w:val="false"/>
                  <w:dstrike w:val="false"/>
                  <w:color w:val="000000"/>
                  <w:sz w:val="24"/>
                  <w:u w:val="none"/>
                  <w:effect w:val="none"/>
                </w:rPr>
                <w:t>21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e6e4c17196c422dbe9e438d41fa631e">
              <w:r>
                <w:rPr>
                  <w:rStyle w:val="InternetLink"/>
                  <w:rFonts w:ascii="Times New Roman;sans-serif" w:hAnsi="Times New Roman;sans-serif"/>
                  <w:b w:val="false"/>
                  <w:strike w:val="false"/>
                  <w:dstrike w:val="false"/>
                  <w:color w:val="000000"/>
                  <w:sz w:val="24"/>
                  <w:u w:val="none"/>
                  <w:effect w:val="none"/>
                </w:rPr>
                <w:t>Section 1.05    Tax Status.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6e4c17196c422dbe9e438d41fa631e">
              <w:r>
                <w:rPr>
                  <w:rStyle w:val="InternetLink"/>
                  <w:rFonts w:ascii="Times New Roman;sans-serif" w:hAnsi="Times New Roman;sans-serif"/>
                  <w:b w:val="false"/>
                  <w:strike w:val="false"/>
                  <w:dstrike w:val="false"/>
                  <w:color w:val="000000"/>
                  <w:sz w:val="24"/>
                  <w:u w:val="none"/>
                  <w:effect w:val="none"/>
                </w:rPr>
                <w:t>21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72c8c4caed24458bf727791dc724e78">
              <w:r>
                <w:rPr>
                  <w:rStyle w:val="InternetLink"/>
                  <w:rFonts w:ascii="Times New Roman;sans-serif" w:hAnsi="Times New Roman;sans-serif"/>
                  <w:b w:val="false"/>
                  <w:strike w:val="false"/>
                  <w:dstrike w:val="false"/>
                  <w:color w:val="000000"/>
                  <w:sz w:val="24"/>
                  <w:u w:val="none"/>
                  <w:effect w:val="none"/>
                </w:rPr>
                <w:t xml:space="preserve">Section 1.06    Access to Information. </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2c8c4caed24458bf727791dc724e78">
              <w:r>
                <w:rPr>
                  <w:rStyle w:val="InternetLink"/>
                  <w:rFonts w:ascii="Times New Roman;sans-serif" w:hAnsi="Times New Roman;sans-serif"/>
                  <w:b w:val="false"/>
                  <w:strike w:val="false"/>
                  <w:dstrike w:val="false"/>
                  <w:color w:val="000000"/>
                  <w:sz w:val="24"/>
                  <w:u w:val="none"/>
                  <w:effect w:val="none"/>
                </w:rPr>
                <w:t>21</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bb941f1db324fc4b7f3b8a10ad272eb">
              <w:r>
                <w:rPr>
                  <w:rStyle w:val="InternetLink"/>
                  <w:rFonts w:ascii="Times New Roman;sans-serif" w:hAnsi="Times New Roman;sans-serif"/>
                  <w:b/>
                  <w:strike w:val="false"/>
                  <w:dstrike w:val="false"/>
                  <w:color w:val="000000"/>
                  <w:sz w:val="24"/>
                  <w:u w:val="none"/>
                  <w:effect w:val="none"/>
                </w:rPr>
                <w:t>Article V.    </w:t>
                <w:br/>
                <w:t>COVENANTS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b941f1db324fc4b7f3b8a10ad272eb">
              <w:r>
                <w:rPr>
                  <w:rStyle w:val="InternetLink"/>
                  <w:rFonts w:ascii="Times New Roman;sans-serif" w:hAnsi="Times New Roman;sans-serif"/>
                  <w:b/>
                  <w:strike w:val="false"/>
                  <w:dstrike w:val="false"/>
                  <w:color w:val="000000"/>
                  <w:sz w:val="24"/>
                  <w:u w:val="none"/>
                  <w:effect w:val="none"/>
                </w:rPr>
                <w:t>22</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25045f096f14009bb26868e627ac401">
              <w:r>
                <w:rPr>
                  <w:rStyle w:val="InternetLink"/>
                  <w:rFonts w:ascii="Times New Roman;sans-serif" w:hAnsi="Times New Roman;sans-serif"/>
                  <w:b w:val="false"/>
                  <w:strike w:val="false"/>
                  <w:dstrike w:val="false"/>
                  <w:color w:val="000000"/>
                  <w:sz w:val="24"/>
                  <w:u w:val="none"/>
                  <w:effect w:val="none"/>
                </w:rPr>
                <w:t>Section 1.01    Consents and Waivers.</w:t>
              </w:r>
            </w:hyperlink>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5045f096f14009bb26868e627ac401">
              <w:r>
                <w:rPr>
                  <w:rStyle w:val="InternetLink"/>
                  <w:rFonts w:ascii="Times New Roman;sans-serif" w:hAnsi="Times New Roman;sans-serif"/>
                  <w:b w:val="false"/>
                  <w:strike w:val="false"/>
                  <w:dstrike w:val="false"/>
                  <w:color w:val="000000"/>
                  <w:sz w:val="24"/>
                  <w:u w:val="none"/>
                  <w:effect w:val="none"/>
                </w:rPr>
                <w:t>22</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06705"/>
                <wp:effectExtent l="0" t="0" r="0" b="0"/>
                <wp:wrapNone/>
                <wp:docPr id="182" name="Frame17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 –</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 –</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tbl>
      <w:tblPr>
        <w:tblW w:w="6795" w:type="dxa"/>
        <w:jc w:val="center"/>
        <w:tblInd w:w="0" w:type="dxa"/>
        <w:tblLayout w:type="fixed"/>
        <w:tblCellMar>
          <w:top w:w="28" w:type="dxa"/>
          <w:left w:w="28" w:type="dxa"/>
          <w:bottom w:w="28" w:type="dxa"/>
          <w:right w:w="28" w:type="dxa"/>
        </w:tblCellMar>
      </w:tblPr>
      <w:tblGrid>
        <w:gridCol w:w="2322"/>
        <w:gridCol w:w="2041"/>
        <w:gridCol w:w="2041"/>
        <w:gridCol w:w="114"/>
        <w:gridCol w:w="114"/>
        <w:gridCol w:w="163"/>
      </w:tblGrid>
      <w:tr>
        <w:trPr/>
        <w:tc>
          <w:tcPr>
            <w:tcW w:w="232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f15029b11f448b59b8e3a4b7e7381aa">
              <w:r>
                <w:rPr>
                  <w:rStyle w:val="InternetLink"/>
                  <w:rFonts w:ascii="Times New Roman;sans-serif" w:hAnsi="Times New Roman;sans-serif"/>
                  <w:b w:val="false"/>
                  <w:strike w:val="false"/>
                  <w:dstrike w:val="false"/>
                  <w:color w:val="000000"/>
                  <w:sz w:val="24"/>
                  <w:u w:val="none"/>
                  <w:effect w:val="none"/>
                </w:rPr>
                <w:t xml:space="preserve">Section 1.02    Access; Information.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15029b11f448b59b8e3a4b7e7381aa">
              <w:r>
                <w:rPr>
                  <w:rStyle w:val="InternetLink"/>
                  <w:rFonts w:ascii="Times New Roman;sans-serif" w:hAnsi="Times New Roman;sans-serif"/>
                  <w:b w:val="false"/>
                  <w:strike w:val="false"/>
                  <w:dstrike w:val="false"/>
                  <w:color w:val="000000"/>
                  <w:sz w:val="24"/>
                  <w:u w:val="none"/>
                  <w:effect w:val="none"/>
                </w:rPr>
                <w:t>22</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3814365eea443d7be5c7ff87b68ef9e">
              <w:r>
                <w:rPr>
                  <w:rStyle w:val="InternetLink"/>
                  <w:rFonts w:ascii="Times New Roman;sans-serif" w:hAnsi="Times New Roman;sans-serif"/>
                  <w:b w:val="false"/>
                  <w:strike w:val="false"/>
                  <w:dstrike w:val="false"/>
                  <w:color w:val="000000"/>
                  <w:sz w:val="24"/>
                  <w:u w:val="none"/>
                  <w:effect w:val="none"/>
                </w:rPr>
                <w:t>Section 1.03    Material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14365eea443d7be5c7ff87b68ef9e">
              <w:r>
                <w:rPr>
                  <w:rStyle w:val="InternetLink"/>
                  <w:rFonts w:ascii="Times New Roman;sans-serif" w:hAnsi="Times New Roman;sans-serif"/>
                  <w:b w:val="false"/>
                  <w:strike w:val="false"/>
                  <w:dstrike w:val="false"/>
                  <w:color w:val="000000"/>
                  <w:sz w:val="24"/>
                  <w:u w:val="none"/>
                  <w:effect w:val="none"/>
                </w:rPr>
                <w:t>23</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067984e43134f4dadf9bcbc87686430">
              <w:r>
                <w:rPr>
                  <w:rStyle w:val="InternetLink"/>
                  <w:rFonts w:ascii="Times New Roman;sans-serif" w:hAnsi="Times New Roman;sans-serif"/>
                  <w:b w:val="false"/>
                  <w:strike w:val="false"/>
                  <w:dstrike w:val="false"/>
                  <w:color w:val="000000"/>
                  <w:sz w:val="24"/>
                  <w:u w:val="none"/>
                  <w:effect w:val="none"/>
                </w:rPr>
                <w:t>Section 1.04    Confidentiality; Public Announcement.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7984e43134f4dadf9bcbc87686430">
              <w:r>
                <w:rPr>
                  <w:rStyle w:val="InternetLink"/>
                  <w:rFonts w:ascii="Times New Roman;sans-serif" w:hAnsi="Times New Roman;sans-serif"/>
                  <w:b w:val="false"/>
                  <w:strike w:val="false"/>
                  <w:dstrike w:val="false"/>
                  <w:color w:val="000000"/>
                  <w:sz w:val="24"/>
                  <w:u w:val="none"/>
                  <w:effect w:val="none"/>
                </w:rPr>
                <w:t>24</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8969f317d6845b086ae2ca9818041ad">
              <w:r>
                <w:rPr>
                  <w:rStyle w:val="InternetLink"/>
                  <w:rFonts w:ascii="Times New Roman;sans-serif" w:hAnsi="Times New Roman;sans-serif"/>
                  <w:b w:val="false"/>
                  <w:strike w:val="false"/>
                  <w:dstrike w:val="false"/>
                  <w:color w:val="000000"/>
                  <w:sz w:val="24"/>
                  <w:u w:val="none"/>
                  <w:effect w:val="none"/>
                </w:rPr>
                <w:t>Section 1.05    Further Assurance.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969f317d6845b086ae2ca9818041ad">
              <w:r>
                <w:rPr>
                  <w:rStyle w:val="InternetLink"/>
                  <w:rFonts w:ascii="Times New Roman;sans-serif" w:hAnsi="Times New Roman;sans-serif"/>
                  <w:b w:val="false"/>
                  <w:strike w:val="false"/>
                  <w:dstrike w:val="false"/>
                  <w:color w:val="000000"/>
                  <w:sz w:val="24"/>
                  <w:u w:val="none"/>
                  <w:effect w:val="none"/>
                </w:rPr>
                <w:t>26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231bbb4e3354cf2a426bbff0b4d4d64">
              <w:r>
                <w:rPr>
                  <w:rStyle w:val="InternetLink"/>
                  <w:rFonts w:ascii="Times New Roman;sans-serif" w:hAnsi="Times New Roman;sans-serif"/>
                  <w:b w:val="false"/>
                  <w:strike w:val="false"/>
                  <w:dstrike w:val="false"/>
                  <w:color w:val="000000"/>
                  <w:sz w:val="24"/>
                  <w:u w:val="none"/>
                  <w:effect w:val="none"/>
                </w:rPr>
                <w:t>Section 1.06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bbb4e3354cf2a426bbff0b4d4d64">
              <w:r>
                <w:rPr>
                  <w:rStyle w:val="InternetLink"/>
                  <w:rFonts w:ascii="Times New Roman;sans-serif" w:hAnsi="Times New Roman;sans-serif"/>
                  <w:b w:val="false"/>
                  <w:strike w:val="false"/>
                  <w:dstrike w:val="false"/>
                  <w:color w:val="000000"/>
                  <w:sz w:val="24"/>
                  <w:u w:val="none"/>
                  <w:effect w:val="none"/>
                </w:rPr>
                <w:t>26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d7daf82c3314504a17c304ef57a55ea">
              <w:r>
                <w:rPr>
                  <w:rStyle w:val="InternetLink"/>
                  <w:rFonts w:ascii="Times New Roman;sans-serif" w:hAnsi="Times New Roman;sans-serif"/>
                  <w:b w:val="false"/>
                  <w:strike w:val="false"/>
                  <w:dstrike w:val="false"/>
                  <w:color w:val="000000"/>
                  <w:sz w:val="24"/>
                  <w:u w:val="none"/>
                  <w:effect w:val="none"/>
                </w:rPr>
                <w:t>Section 1.07    Intellectual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7daf82c3314504a17c304ef57a55ea">
              <w:r>
                <w:rPr>
                  <w:rStyle w:val="InternetLink"/>
                  <w:rFonts w:ascii="Times New Roman;sans-serif" w:hAnsi="Times New Roman;sans-serif"/>
                  <w:b w:val="false"/>
                  <w:strike w:val="false"/>
                  <w:dstrike w:val="false"/>
                  <w:color w:val="000000"/>
                  <w:sz w:val="24"/>
                  <w:u w:val="none"/>
                  <w:effect w:val="none"/>
                </w:rPr>
                <w:t>26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6c83f8b9cd34f0f9050972aa05b3beb">
              <w:r>
                <w:rPr>
                  <w:rStyle w:val="InternetLink"/>
                  <w:rFonts w:ascii="Times New Roman;sans-serif" w:hAnsi="Times New Roman;sans-serif"/>
                  <w:b w:val="false"/>
                  <w:strike w:val="false"/>
                  <w:dstrike w:val="false"/>
                  <w:color w:val="000000"/>
                  <w:sz w:val="24"/>
                  <w:u w:val="none"/>
                  <w:effect w:val="none"/>
                </w:rPr>
                <w:t>Section 1.08    Negative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c83f8b9cd34f0f9050972aa05b3beb">
              <w:r>
                <w:rPr>
                  <w:rStyle w:val="InternetLink"/>
                  <w:rFonts w:ascii="Times New Roman;sans-serif" w:hAnsi="Times New Roman;sans-serif"/>
                  <w:b w:val="false"/>
                  <w:strike w:val="false"/>
                  <w:dstrike w:val="false"/>
                  <w:color w:val="000000"/>
                  <w:sz w:val="24"/>
                  <w:u w:val="none"/>
                  <w:effect w:val="none"/>
                </w:rPr>
                <w:t>27</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4930909a3064c1085e71f26c4779268">
              <w:r>
                <w:rPr>
                  <w:rStyle w:val="InternetLink"/>
                  <w:rFonts w:ascii="Times New Roman;sans-serif" w:hAnsi="Times New Roman;sans-serif"/>
                  <w:b w:val="false"/>
                  <w:strike w:val="false"/>
                  <w:dstrike w:val="false"/>
                  <w:color w:val="000000"/>
                  <w:sz w:val="24"/>
                  <w:u w:val="none"/>
                  <w:effect w:val="none"/>
                </w:rPr>
                <w:t>Section 1.09    Future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930909a3064c1085e71f26c4779268">
              <w:r>
                <w:rPr>
                  <w:rStyle w:val="InternetLink"/>
                  <w:rFonts w:ascii="Times New Roman;sans-serif" w:hAnsi="Times New Roman;sans-serif"/>
                  <w:b w:val="false"/>
                  <w:strike w:val="false"/>
                  <w:dstrike w:val="false"/>
                  <w:color w:val="000000"/>
                  <w:sz w:val="24"/>
                  <w:u w:val="none"/>
                  <w:effect w:val="none"/>
                </w:rPr>
                <w:t>28</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efc377ecf3d499780ad999c996e55e4">
              <w:r>
                <w:rPr>
                  <w:rStyle w:val="InternetLink"/>
                  <w:rFonts w:ascii="Times New Roman;sans-serif" w:hAnsi="Times New Roman;sans-serif"/>
                  <w:b w:val="false"/>
                  <w:strike w:val="false"/>
                  <w:dstrike w:val="false"/>
                  <w:color w:val="000000"/>
                  <w:sz w:val="24"/>
                  <w:u w:val="none"/>
                  <w:effect w:val="none"/>
                </w:rPr>
                <w:t>Section 1.10    Notice.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fc377ecf3d499780ad999c996e55e4">
              <w:r>
                <w:rPr>
                  <w:rStyle w:val="InternetLink"/>
                  <w:rFonts w:ascii="Times New Roman;sans-serif" w:hAnsi="Times New Roman;sans-serif"/>
                  <w:b w:val="false"/>
                  <w:strike w:val="false"/>
                  <w:dstrike w:val="false"/>
                  <w:color w:val="000000"/>
                  <w:sz w:val="24"/>
                  <w:u w:val="none"/>
                  <w:effect w:val="none"/>
                </w:rPr>
                <w:t>28</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43322c982b44b46a2e1781898ed91c5">
              <w:r>
                <w:rPr>
                  <w:rStyle w:val="InternetLink"/>
                  <w:rFonts w:ascii="Times New Roman;sans-serif" w:hAnsi="Times New Roman;sans-serif"/>
                  <w:b w:val="false"/>
                  <w:strike w:val="false"/>
                  <w:dstrike w:val="false"/>
                  <w:color w:val="000000"/>
                  <w:sz w:val="24"/>
                  <w:u w:val="none"/>
                  <w:effect w:val="none"/>
                </w:rPr>
                <w:t>Section 1.11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322c982b44b46a2e1781898ed91c5">
              <w:r>
                <w:rPr>
                  <w:rStyle w:val="InternetLink"/>
                  <w:rFonts w:ascii="Times New Roman;sans-serif" w:hAnsi="Times New Roman;sans-serif"/>
                  <w:b w:val="false"/>
                  <w:strike w:val="false"/>
                  <w:dstrike w:val="false"/>
                  <w:color w:val="000000"/>
                  <w:sz w:val="24"/>
                  <w:u w:val="none"/>
                  <w:effect w:val="none"/>
                </w:rPr>
                <w:t>28</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d43b7bc88bb492bad602a280165838d">
              <w:r>
                <w:rPr>
                  <w:rStyle w:val="InternetLink"/>
                  <w:rFonts w:ascii="Times New Roman;sans-serif" w:hAnsi="Times New Roman;sans-serif"/>
                  <w:b/>
                  <w:strike w:val="false"/>
                  <w:dstrike w:val="false"/>
                  <w:color w:val="000000"/>
                  <w:sz w:val="24"/>
                  <w:u w:val="none"/>
                  <w:effect w:val="none"/>
                </w:rPr>
                <w:t>Article VI.    </w:t>
                <w:br/>
                <w:t>EFFECTIVE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43b7bc88bb492bad602a280165838d">
              <w:r>
                <w:rPr>
                  <w:rStyle w:val="InternetLink"/>
                  <w:rFonts w:ascii="Times New Roman;sans-serif" w:hAnsi="Times New Roman;sans-serif"/>
                  <w:b/>
                  <w:strike w:val="false"/>
                  <w:dstrike w:val="false"/>
                  <w:color w:val="000000"/>
                  <w:sz w:val="24"/>
                  <w:u w:val="none"/>
                  <w:effect w:val="none"/>
                </w:rPr>
                <w:t>28</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be404a8c19a4a62a48eb73c855b6d89">
              <w:r>
                <w:rPr>
                  <w:rStyle w:val="InternetLink"/>
                  <w:rFonts w:ascii="Times New Roman;sans-serif" w:hAnsi="Times New Roman;sans-serif"/>
                  <w:b w:val="false"/>
                  <w:strike w:val="false"/>
                  <w:dstrike w:val="false"/>
                  <w:color w:val="000000"/>
                  <w:sz w:val="24"/>
                  <w:u w:val="none"/>
                  <w:effect w:val="none"/>
                </w:rPr>
                <w:t>Section 1.01    Effective Date Deliverables. On the Effective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e404a8c19a4a62a48eb73c855b6d89">
              <w:r>
                <w:rPr>
                  <w:rStyle w:val="InternetLink"/>
                  <w:rFonts w:ascii="Times New Roman;sans-serif" w:hAnsi="Times New Roman;sans-serif"/>
                  <w:b w:val="false"/>
                  <w:strike w:val="false"/>
                  <w:dstrike w:val="false"/>
                  <w:color w:val="000000"/>
                  <w:sz w:val="24"/>
                  <w:u w:val="none"/>
                  <w:effect w:val="none"/>
                </w:rPr>
                <w:t>28</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61e0a8853d442fd9787ac7a6b1fb46a">
              <w:r>
                <w:rPr>
                  <w:rStyle w:val="InternetLink"/>
                  <w:rFonts w:ascii="Times New Roman;sans-serif" w:hAnsi="Times New Roman;sans-serif"/>
                  <w:b/>
                  <w:strike w:val="false"/>
                  <w:dstrike w:val="false"/>
                  <w:color w:val="000000"/>
                  <w:sz w:val="24"/>
                  <w:u w:val="none"/>
                  <w:effect w:val="none"/>
                </w:rPr>
                <w:t>Article VII.    </w:t>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1e0a8853d442fd9787ac7a6b1fb46a">
              <w:r>
                <w:rPr>
                  <w:rStyle w:val="InternetLink"/>
                  <w:rFonts w:ascii="Times New Roman;sans-serif" w:hAnsi="Times New Roman;sans-serif"/>
                  <w:b/>
                  <w:strike w:val="false"/>
                  <w:dstrike w:val="false"/>
                  <w:color w:val="000000"/>
                  <w:sz w:val="24"/>
                  <w:u w:val="none"/>
                  <w:effect w:val="none"/>
                </w:rPr>
                <w:t>29</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cff9bb5ab6c479eba38b9fda128dbb8">
              <w:r>
                <w:rPr>
                  <w:rStyle w:val="InternetLink"/>
                  <w:rFonts w:ascii="Times New Roman;sans-serif" w:hAnsi="Times New Roman;sans-serif"/>
                  <w:b w:val="false"/>
                  <w:strike w:val="false"/>
                  <w:dstrike w:val="false"/>
                  <w:color w:val="000000"/>
                  <w:sz w:val="24"/>
                  <w:u w:val="none"/>
                  <w:effect w:val="none"/>
                </w:rPr>
                <w:t>Section 1.01    Termination;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ff9bb5ab6c479eba38b9fda128dbb8">
              <w:r>
                <w:rPr>
                  <w:rStyle w:val="InternetLink"/>
                  <w:rFonts w:ascii="Times New Roman;sans-serif" w:hAnsi="Times New Roman;sans-serif"/>
                  <w:b w:val="false"/>
                  <w:strike w:val="false"/>
                  <w:dstrike w:val="false"/>
                  <w:color w:val="000000"/>
                  <w:sz w:val="24"/>
                  <w:u w:val="none"/>
                  <w:effect w:val="none"/>
                </w:rPr>
                <w:t>29</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3939c36bf3d43d4a219d46bab733130">
              <w:r>
                <w:rPr>
                  <w:rStyle w:val="InternetLink"/>
                  <w:rFonts w:ascii="Times New Roman;sans-serif" w:hAnsi="Times New Roman;sans-serif"/>
                  <w:b w:val="false"/>
                  <w:strike w:val="false"/>
                  <w:dstrike w:val="false"/>
                  <w:color w:val="000000"/>
                  <w:sz w:val="24"/>
                  <w:u w:val="none"/>
                  <w:effect w:val="none"/>
                </w:rPr>
                <w:t>Section 1.02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939c36bf3d43d4a219d46bab733130">
              <w:r>
                <w:rPr>
                  <w:rStyle w:val="InternetLink"/>
                  <w:rFonts w:ascii="Times New Roman;sans-serif" w:hAnsi="Times New Roman;sans-serif"/>
                  <w:b w:val="false"/>
                  <w:strike w:val="false"/>
                  <w:dstrike w:val="false"/>
                  <w:color w:val="000000"/>
                  <w:sz w:val="24"/>
                  <w:u w:val="none"/>
                  <w:effect w:val="none"/>
                </w:rPr>
                <w:t>29</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f95604f6b824450b3b63f35641cd2f4">
              <w:r>
                <w:rPr>
                  <w:rStyle w:val="InternetLink"/>
                  <w:rFonts w:ascii="Times New Roman;sans-serif" w:hAnsi="Times New Roman;sans-serif"/>
                  <w:b w:val="false"/>
                  <w:strike w:val="false"/>
                  <w:dstrike w:val="false"/>
                  <w:color w:val="000000"/>
                  <w:sz w:val="24"/>
                  <w:u w:val="none"/>
                  <w:effect w:val="none"/>
                </w:rPr>
                <w:t>Section 1.03    Specific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95604f6b824450b3b63f35641cd2f4">
              <w:r>
                <w:rPr>
                  <w:rStyle w:val="InternetLink"/>
                  <w:rFonts w:ascii="Times New Roman;sans-serif" w:hAnsi="Times New Roman;sans-serif"/>
                  <w:b w:val="false"/>
                  <w:strike w:val="false"/>
                  <w:dstrike w:val="false"/>
                  <w:color w:val="000000"/>
                  <w:sz w:val="24"/>
                  <w:u w:val="none"/>
                  <w:effect w:val="none"/>
                </w:rPr>
                <w:t>30</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74c787a44b747278d419e25db5b2e7b">
              <w:r>
                <w:rPr>
                  <w:rStyle w:val="InternetLink"/>
                  <w:rFonts w:ascii="Times New Roman;sans-serif" w:hAnsi="Times New Roman;sans-serif"/>
                  <w:b w:val="false"/>
                  <w:strike w:val="false"/>
                  <w:dstrike w:val="false"/>
                  <w:color w:val="000000"/>
                  <w:sz w:val="24"/>
                  <w:u w:val="none"/>
                  <w:effect w:val="none"/>
                </w:rPr>
                <w:t>Section 1.04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c787a44b747278d419e25db5b2e7b">
              <w:r>
                <w:rPr>
                  <w:rStyle w:val="InternetLink"/>
                  <w:rFonts w:ascii="Times New Roman;sans-serif" w:hAnsi="Times New Roman;sans-serif"/>
                  <w:b w:val="false"/>
                  <w:strike w:val="false"/>
                  <w:dstrike w:val="false"/>
                  <w:color w:val="000000"/>
                  <w:sz w:val="24"/>
                  <w:u w:val="none"/>
                  <w:effect w:val="none"/>
                </w:rPr>
                <w:t>30</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465f032ef4d452cae37ed982c612ee2">
              <w:r>
                <w:rPr>
                  <w:rStyle w:val="InternetLink"/>
                  <w:rFonts w:ascii="Times New Roman;sans-serif" w:hAnsi="Times New Roman;sans-serif"/>
                  <w:b w:val="false"/>
                  <w:strike w:val="false"/>
                  <w:dstrike w:val="false"/>
                  <w:color w:val="000000"/>
                  <w:sz w:val="24"/>
                  <w:u w:val="none"/>
                  <w:effect w:val="none"/>
                </w:rPr>
                <w:t>Section 1.05    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65f032ef4d452cae37ed982c612ee2">
              <w:r>
                <w:rPr>
                  <w:rStyle w:val="InternetLink"/>
                  <w:rFonts w:ascii="Times New Roman;sans-serif" w:hAnsi="Times New Roman;sans-serif"/>
                  <w:b w:val="false"/>
                  <w:strike w:val="false"/>
                  <w:dstrike w:val="false"/>
                  <w:color w:val="000000"/>
                  <w:sz w:val="24"/>
                  <w:u w:val="none"/>
                  <w:effect w:val="none"/>
                </w:rPr>
                <w:t>31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0d6ed20ffd5415abafe6d8822257601">
              <w:r>
                <w:rPr>
                  <w:rStyle w:val="InternetLink"/>
                  <w:rFonts w:ascii="Times New Roman;sans-serif" w:hAnsi="Times New Roman;sans-serif"/>
                  <w:b w:val="false"/>
                  <w:strike w:val="false"/>
                  <w:dstrike w:val="false"/>
                  <w:color w:val="000000"/>
                  <w:sz w:val="24"/>
                  <w:u w:val="none"/>
                  <w:effect w:val="none"/>
                </w:rPr>
                <w:t>Section 1.06    Indemnification; Dispute Resolution.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d6ed20ffd5415abafe6d8822257601">
              <w:r>
                <w:rPr>
                  <w:rStyle w:val="InternetLink"/>
                  <w:rFonts w:ascii="Times New Roman;sans-serif" w:hAnsi="Times New Roman;sans-serif"/>
                  <w:b w:val="false"/>
                  <w:strike w:val="false"/>
                  <w:dstrike w:val="false"/>
                  <w:color w:val="000000"/>
                  <w:sz w:val="24"/>
                  <w:u w:val="none"/>
                  <w:effect w:val="none"/>
                </w:rPr>
                <w:t>31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cca7a333116487894d604b290f011b4">
              <w:r>
                <w:rPr>
                  <w:rStyle w:val="InternetLink"/>
                  <w:rFonts w:ascii="Times New Roman;sans-serif" w:hAnsi="Times New Roman;sans-serif"/>
                  <w:b w:val="false"/>
                  <w:strike w:val="false"/>
                  <w:dstrike w:val="false"/>
                  <w:color w:val="000000"/>
                  <w:sz w:val="24"/>
                  <w:u w:val="none"/>
                  <w:effect w:val="none"/>
                </w:rPr>
                <w:t>Section 1.07    Independent Nature of Relationship.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ca7a333116487894d604b290f011b4">
              <w:r>
                <w:rPr>
                  <w:rStyle w:val="InternetLink"/>
                  <w:rFonts w:ascii="Times New Roman;sans-serif" w:hAnsi="Times New Roman;sans-serif"/>
                  <w:b w:val="false"/>
                  <w:strike w:val="false"/>
                  <w:dstrike w:val="false"/>
                  <w:color w:val="000000"/>
                  <w:sz w:val="24"/>
                  <w:u w:val="none"/>
                  <w:effect w:val="none"/>
                </w:rPr>
                <w:t>34</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98c26ede16a4a92a2fd3dc9fa09d283">
              <w:r>
                <w:rPr>
                  <w:rStyle w:val="InternetLink"/>
                  <w:rFonts w:ascii="Times New Roman;sans-serif" w:hAnsi="Times New Roman;sans-serif"/>
                  <w:b w:val="false"/>
                  <w:strike w:val="false"/>
                  <w:dstrike w:val="false"/>
                  <w:color w:val="000000"/>
                  <w:sz w:val="24"/>
                  <w:u w:val="none"/>
                  <w:effect w:val="none"/>
                </w:rPr>
                <w:t>Section 1.08    Tax.</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8c26ede16a4a92a2fd3dc9fa09d283">
              <w:r>
                <w:rPr>
                  <w:rStyle w:val="InternetLink"/>
                  <w:rFonts w:ascii="Times New Roman;sans-serif" w:hAnsi="Times New Roman;sans-serif"/>
                  <w:b w:val="false"/>
                  <w:strike w:val="false"/>
                  <w:dstrike w:val="false"/>
                  <w:color w:val="000000"/>
                  <w:sz w:val="24"/>
                  <w:u w:val="none"/>
                  <w:effect w:val="none"/>
                </w:rPr>
                <w:t>34</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5c42e66ac5141d7a6cb6553292427f0">
              <w:r>
                <w:rPr>
                  <w:rStyle w:val="InternetLink"/>
                  <w:rFonts w:ascii="Times New Roman;sans-serif" w:hAnsi="Times New Roman;sans-serif"/>
                  <w:b w:val="false"/>
                  <w:strike w:val="false"/>
                  <w:dstrike w:val="false"/>
                  <w:color w:val="000000"/>
                  <w:sz w:val="24"/>
                  <w:u w:val="none"/>
                  <w:effect w:val="none"/>
                </w:rPr>
                <w:t>Section 1.12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c42e66ac5141d7a6cb6553292427f0">
              <w:r>
                <w:rPr>
                  <w:rStyle w:val="InternetLink"/>
                  <w:rFonts w:ascii="Times New Roman;sans-serif" w:hAnsi="Times New Roman;sans-serif"/>
                  <w:b w:val="false"/>
                  <w:strike w:val="false"/>
                  <w:dstrike w:val="false"/>
                  <w:color w:val="000000"/>
                  <w:sz w:val="24"/>
                  <w:u w:val="none"/>
                  <w:effect w:val="none"/>
                </w:rPr>
                <w:t>35</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ab3313769404bee874bb93fea4bc9dd">
              <w:r>
                <w:rPr>
                  <w:rStyle w:val="InternetLink"/>
                  <w:rFonts w:ascii="Times New Roman;sans-serif" w:hAnsi="Times New Roman;sans-serif"/>
                  <w:b w:val="false"/>
                  <w:strike w:val="false"/>
                  <w:dstrike w:val="false"/>
                  <w:color w:val="000000"/>
                  <w:sz w:val="24"/>
                  <w:u w:val="none"/>
                  <w:effect w:val="none"/>
                </w:rPr>
                <w:t>Section 1.10    Amendments; No Waivers.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3313769404bee874bb93fea4bc9dd">
              <w:r>
                <w:rPr>
                  <w:rStyle w:val="InternetLink"/>
                  <w:rFonts w:ascii="Times New Roman;sans-serif" w:hAnsi="Times New Roman;sans-serif"/>
                  <w:b w:val="false"/>
                  <w:strike w:val="false"/>
                  <w:dstrike w:val="false"/>
                  <w:color w:val="000000"/>
                  <w:sz w:val="24"/>
                  <w:u w:val="none"/>
                  <w:effect w:val="none"/>
                </w:rPr>
                <w:t>35</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792858182604c319a242c9afadd9f91">
              <w:r>
                <w:rPr>
                  <w:rStyle w:val="InternetLink"/>
                  <w:rFonts w:ascii="Times New Roman;sans-serif" w:hAnsi="Times New Roman;sans-serif"/>
                  <w:b w:val="false"/>
                  <w:strike w:val="false"/>
                  <w:dstrike w:val="false"/>
                  <w:color w:val="000000"/>
                  <w:sz w:val="24"/>
                  <w:u w:val="none"/>
                  <w:effect w:val="none"/>
                </w:rPr>
                <w:t>Section 1.11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92858182604c319a242c9afadd9f91">
              <w:r>
                <w:rPr>
                  <w:rStyle w:val="InternetLink"/>
                  <w:rFonts w:ascii="Times New Roman;sans-serif" w:hAnsi="Times New Roman;sans-serif"/>
                  <w:b w:val="false"/>
                  <w:strike w:val="false"/>
                  <w:dstrike w:val="false"/>
                  <w:color w:val="000000"/>
                  <w:sz w:val="24"/>
                  <w:u w:val="none"/>
                  <w:effect w:val="none"/>
                </w:rPr>
                <w:t>35</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2874bcf0044441f92bf150066e973f3">
              <w:r>
                <w:rPr>
                  <w:rStyle w:val="InternetLink"/>
                  <w:rFonts w:ascii="Times New Roman;sans-serif" w:hAnsi="Times New Roman;sans-serif"/>
                  <w:b w:val="false"/>
                  <w:strike w:val="false"/>
                  <w:dstrike w:val="false"/>
                  <w:color w:val="000000"/>
                  <w:sz w:val="24"/>
                  <w:u w:val="none"/>
                  <w:effect w:val="none"/>
                </w:rPr>
                <w:t>Section 1.12    Headings and Captions.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874bcf0044441f92bf150066e973f3">
              <w:r>
                <w:rPr>
                  <w:rStyle w:val="InternetLink"/>
                  <w:rFonts w:ascii="Times New Roman;sans-serif" w:hAnsi="Times New Roman;sans-serif"/>
                  <w:b w:val="false"/>
                  <w:strike w:val="false"/>
                  <w:dstrike w:val="false"/>
                  <w:color w:val="000000"/>
                  <w:sz w:val="24"/>
                  <w:u w:val="none"/>
                  <w:effect w:val="none"/>
                </w:rPr>
                <w:t>35</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50459bd7ba0437aa1de429a82b2cf68">
              <w:r>
                <w:rPr>
                  <w:rStyle w:val="InternetLink"/>
                  <w:rFonts w:ascii="Times New Roman;sans-serif" w:hAnsi="Times New Roman;sans-serif"/>
                  <w:b w:val="false"/>
                  <w:strike w:val="false"/>
                  <w:dstrike w:val="false"/>
                  <w:color w:val="000000"/>
                  <w:sz w:val="24"/>
                  <w:u w:val="none"/>
                  <w:effect w:val="none"/>
                </w:rPr>
                <w:t>Section 1.13    Counterparts; Effectiveness.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0459bd7ba0437aa1de429a82b2cf68">
              <w:r>
                <w:rPr>
                  <w:rStyle w:val="InternetLink"/>
                  <w:rFonts w:ascii="Times New Roman;sans-serif" w:hAnsi="Times New Roman;sans-serif"/>
                  <w:b w:val="false"/>
                  <w:strike w:val="false"/>
                  <w:dstrike w:val="false"/>
                  <w:color w:val="000000"/>
                  <w:sz w:val="24"/>
                  <w:u w:val="none"/>
                  <w:effect w:val="none"/>
                </w:rPr>
                <w:t>36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b4283f06cc148b5808fc1721be6043c">
              <w:r>
                <w:rPr>
                  <w:rStyle w:val="InternetLink"/>
                  <w:rFonts w:ascii="Times New Roman;sans-serif" w:hAnsi="Times New Roman;sans-serif"/>
                  <w:b w:val="false"/>
                  <w:strike w:val="false"/>
                  <w:dstrike w:val="false"/>
                  <w:color w:val="000000"/>
                  <w:sz w:val="24"/>
                  <w:u w:val="none"/>
                  <w:effect w:val="none"/>
                </w:rPr>
                <w:t>Section 1.14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283f06cc148b5808fc1721be6043c">
              <w:r>
                <w:rPr>
                  <w:rStyle w:val="InternetLink"/>
                  <w:rFonts w:ascii="Times New Roman;sans-serif" w:hAnsi="Times New Roman;sans-serif"/>
                  <w:b w:val="false"/>
                  <w:strike w:val="false"/>
                  <w:dstrike w:val="false"/>
                  <w:color w:val="000000"/>
                  <w:sz w:val="24"/>
                  <w:u w:val="none"/>
                  <w:effect w:val="none"/>
                </w:rPr>
                <w:t>36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25623684e6f7438494a56ca59eaa19a0">
              <w:r>
                <w:rPr>
                  <w:rStyle w:val="InternetLink"/>
                  <w:rFonts w:ascii="Times New Roman;sans-serif" w:hAnsi="Times New Roman;sans-serif"/>
                  <w:b w:val="false"/>
                  <w:strike w:val="false"/>
                  <w:dstrike w:val="false"/>
                  <w:color w:val="000000"/>
                  <w:sz w:val="24"/>
                  <w:u w:val="none"/>
                  <w:effect w:val="none"/>
                </w:rPr>
                <w:t>Section 1.15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623684e6f7438494a56ca59eaa19a0">
              <w:r>
                <w:rPr>
                  <w:rStyle w:val="InternetLink"/>
                  <w:rFonts w:ascii="Times New Roman;sans-serif" w:hAnsi="Times New Roman;sans-serif"/>
                  <w:b w:val="false"/>
                  <w:strike w:val="false"/>
                  <w:dstrike w:val="false"/>
                  <w:color w:val="000000"/>
                  <w:sz w:val="24"/>
                  <w:u w:val="none"/>
                  <w:effect w:val="none"/>
                </w:rPr>
                <w:t>36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d314e9abd8644f7bc04be2db53adcff">
              <w:r>
                <w:rPr>
                  <w:rStyle w:val="InternetLink"/>
                  <w:rFonts w:ascii="Times New Roman;sans-serif" w:hAnsi="Times New Roman;sans-serif"/>
                  <w:b w:val="false"/>
                  <w:strike w:val="false"/>
                  <w:dstrike w:val="false"/>
                  <w:color w:val="000000"/>
                  <w:sz w:val="24"/>
                  <w:u w:val="none"/>
                  <w:effect w:val="none"/>
                </w:rPr>
                <w:t>Section 1.16    Governing Law; Jurisdiction.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314e9abd8644f7bc04be2db53adcff">
              <w:r>
                <w:rPr>
                  <w:rStyle w:val="InternetLink"/>
                  <w:rFonts w:ascii="Times New Roman;sans-serif" w:hAnsi="Times New Roman;sans-serif"/>
                  <w:b w:val="false"/>
                  <w:strike w:val="false"/>
                  <w:dstrike w:val="false"/>
                  <w:color w:val="000000"/>
                  <w:sz w:val="24"/>
                  <w:u w:val="none"/>
                  <w:effect w:val="none"/>
                </w:rPr>
                <w:t>36</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5f17dd1995a4ca9b65870079417513e">
              <w:r>
                <w:rPr>
                  <w:rStyle w:val="InternetLink"/>
                  <w:rFonts w:ascii="Times New Roman;sans-serif" w:hAnsi="Times New Roman;sans-serif"/>
                  <w:b w:val="false"/>
                  <w:strike w:val="false"/>
                  <w:dstrike w:val="false"/>
                  <w:color w:val="000000"/>
                  <w:sz w:val="24"/>
                  <w:u w:val="none"/>
                  <w:effect w:val="none"/>
                </w:rPr>
                <w:t>Section 1.17    Waiver of Jury Trial.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17dd1995a4ca9b65870079417513e">
              <w:r>
                <w:rPr>
                  <w:rStyle w:val="InternetLink"/>
                  <w:rFonts w:ascii="Times New Roman;sans-serif" w:hAnsi="Times New Roman;sans-serif"/>
                  <w:b w:val="false"/>
                  <w:strike w:val="false"/>
                  <w:dstrike w:val="false"/>
                  <w:color w:val="000000"/>
                  <w:sz w:val="24"/>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06705"/>
                <wp:effectExtent l="0" t="0" r="0" b="0"/>
                <wp:wrapNone/>
                <wp:docPr id="183" name="Frame18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ROYALTY INTEREST FINANCING AGREEMENT</w:t>
      </w:r>
      <w:r>
        <w:rPr>
          <w:color w:val="000000"/>
        </w:rPr>
        <w:t xml:space="preserve"> </w:t>
      </w:r>
      <w:r>
        <w:rPr>
          <w:rFonts w:ascii="Times New Roman;sans-serif" w:hAnsi="Times New Roman;sans-serif"/>
          <w:b w:val="false"/>
          <w:color w:val="000000"/>
          <w:sz w:val="24"/>
        </w:rPr>
        <w:t>(as amended, supplemented or otherwise modified from time to time,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as of December 21, 2023 by and between United in Endeavour, LLC, a limited liability company organized under the laws of the State of Georgia (“</w:t>
      </w:r>
      <w:r>
        <w:rPr>
          <w:rFonts w:ascii="Times New Roman;sans-serif" w:hAnsi="Times New Roman;sans-serif"/>
          <w:b w:val="false"/>
          <w:color w:val="000000"/>
          <w:sz w:val="24"/>
          <w:u w:val="single"/>
        </w:rPr>
        <w:t>Investor</w:t>
      </w:r>
      <w:r>
        <w:rPr>
          <w:color w:val="000000"/>
        </w:rPr>
        <w:t>”</w:t>
      </w:r>
      <w:r>
        <w:rPr>
          <w:rFonts w:ascii="Times New Roman;sans-serif" w:hAnsi="Times New Roman;sans-serif"/>
          <w:b w:val="false"/>
          <w:color w:val="000000"/>
          <w:sz w:val="24"/>
        </w:rPr>
        <w:t>), and Daré Bioscience, Inc., a corporation organized under the laws of the State of Delaware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TriLogic Pharma, LLC, a limited liability company organized under the laws of the State of Delaware (“</w:t>
      </w:r>
      <w:r>
        <w:rPr>
          <w:rFonts w:ascii="Times New Roman;sans-serif" w:hAnsi="Times New Roman;sans-serif"/>
          <w:b w:val="false"/>
          <w:color w:val="000000"/>
          <w:sz w:val="24"/>
          <w:u w:val="single"/>
        </w:rPr>
        <w:t>TriLogic</w:t>
      </w:r>
      <w:r>
        <w:rPr>
          <w:color w:val="000000"/>
        </w:rPr>
        <w:t>”</w:t>
      </w:r>
      <w:r>
        <w:rPr>
          <w:rFonts w:ascii="Times New Roman;sans-serif" w:hAnsi="Times New Roman;sans-serif"/>
          <w:b w:val="false"/>
          <w:color w:val="000000"/>
          <w:sz w:val="24"/>
        </w:rPr>
        <w:t>) and MilanaPharm LLC, a limited liability company organized under the laws of the State of Delaware (“MilanaPharm”) have entered into that certain License Agreement, dated April 5, 2013, pursuant to which TriLogic granted to MilanaPharm an exclusive royalty-free license, with the right to sublicense, certain intellectual property (the “</w:t>
      </w:r>
      <w:r>
        <w:rPr>
          <w:rFonts w:ascii="Times New Roman;sans-serif" w:hAnsi="Times New Roman;sans-serif"/>
          <w:b w:val="false"/>
          <w:color w:val="000000"/>
          <w:sz w:val="24"/>
          <w:u w:val="single"/>
        </w:rPr>
        <w:t>TriLogic License</w:t>
      </w:r>
      <w:r>
        <w:rPr>
          <w:color w:val="000000"/>
        </w:rPr>
        <w:t>”</w:t>
      </w:r>
      <w:r>
        <w:rPr>
          <w:rFonts w:ascii="Times New Roman;sans-serif" w:hAnsi="Times New Roman;sans-serif"/>
          <w:b w:val="false"/>
          <w:color w:val="000000"/>
          <w:sz w:val="24"/>
        </w:rPr>
        <w:t>), and Company, TriLogic and MilanaPharm have entered into that certain Exclusive License Agreement, dated January 9, 2017, as amended December 5, 2018, December 3, 2019 and September 21, 2021, and as further amended and modified pursuant to that certain Consent, Waiver and Stand-By License Agreement, dated March 30, 2022, among the foregoing parties and Organon International GmBH, a limited liability company organized under the laws of Switzerland (“</w:t>
      </w:r>
      <w:r>
        <w:rPr>
          <w:rFonts w:ascii="Times New Roman;sans-serif" w:hAnsi="Times New Roman;sans-serif"/>
          <w:b w:val="false"/>
          <w:color w:val="000000"/>
          <w:sz w:val="24"/>
          <w:u w:val="single"/>
        </w:rPr>
        <w:t>Organon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Sublicensee</w:t>
      </w:r>
      <w:r>
        <w:rPr>
          <w:color w:val="000000"/>
        </w:rPr>
        <w:t>”</w:t>
      </w:r>
      <w:r>
        <w:rPr>
          <w:rFonts w:ascii="Times New Roman;sans-serif" w:hAnsi="Times New Roman;sans-serif"/>
          <w:b w:val="false"/>
          <w:color w:val="000000"/>
          <w:sz w:val="24"/>
        </w:rPr>
        <w:t xml:space="preserve">), a copy of which existing as of the date hereof is attached hereto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(collectively, together with the TriLogic License, and as all of the foregoing may be hereafter amended, the “</w:t>
      </w:r>
      <w:r>
        <w:rPr>
          <w:rFonts w:ascii="Times New Roman;sans-serif" w:hAnsi="Times New Roman;sans-serif"/>
          <w:b w:val="false"/>
          <w:color w:val="000000"/>
          <w:sz w:val="24"/>
          <w:u w:val="single"/>
        </w:rPr>
        <w:t>License Agreement</w:t>
      </w:r>
      <w:r>
        <w:rPr>
          <w:color w:val="000000"/>
        </w:rPr>
        <w:t>”</w:t>
      </w:r>
      <w:r>
        <w:rPr>
          <w:rFonts w:ascii="Times New Roman;sans-serif" w:hAnsi="Times New Roman;sans-serif"/>
          <w:b w:val="false"/>
          <w:color w:val="000000"/>
          <w:sz w:val="24"/>
        </w:rPr>
        <w:t>), pursuant to which, subject to the terms and conditions set forth therein, Company has been granted a license, with the right to grant sublicenses, to research, develop, make, have made, use, offer for sale, sell, import and commercialize XACIATO, an FDA-approved drug product for the treatment of bacterial vaginosis (“</w:t>
      </w:r>
      <w:r>
        <w:rPr>
          <w:rFonts w:ascii="Times New Roman;sans-serif" w:hAnsi="Times New Roman;sans-serif"/>
          <w:b w:val="false"/>
          <w:color w:val="000000"/>
          <w:sz w:val="24"/>
          <w:u w:val="single"/>
        </w:rPr>
        <w:t>Xaciato</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Xaciato Product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under the terms of that certain Exclusive License Agreement between Company and Organon, dated March 31, 2022, as amended July 4, 2023, a copy of which existing as of the date hereof is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 the same may be hereafter further amended, the “</w:t>
      </w:r>
      <w:r>
        <w:rPr>
          <w:rFonts w:ascii="Times New Roman;sans-serif" w:hAnsi="Times New Roman;sans-serif"/>
          <w:b w:val="false"/>
          <w:color w:val="000000"/>
          <w:sz w:val="24"/>
          <w:u w:val="single"/>
        </w:rPr>
        <w:t>Sublicense Agreement</w:t>
      </w:r>
      <w:r>
        <w:rPr>
          <w:color w:val="000000"/>
        </w:rPr>
        <w:t>”</w:t>
      </w:r>
      <w:r>
        <w:rPr>
          <w:rFonts w:ascii="Times New Roman;sans-serif" w:hAnsi="Times New Roman;sans-serif"/>
          <w:b w:val="false"/>
          <w:color w:val="000000"/>
          <w:sz w:val="24"/>
        </w:rPr>
        <w:t xml:space="preserve">), subject to the terms and conditions set forth therein, Company has exclusively sublicensed to Organon certain of its rights under the License Agreement by granting Organon an exclusive license and sublicense, to among other things, commercialize the Xaciato Product in the Field in the Territory (each as defined below);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Company wishes to sell, assign, convey and transfer to Investor, and Investor wishes to purchase and accept the assignment, conveyance, and transfer from Company, the Purchased Interest (as defined below) subject to the Hard Cap, upon and subject to the terms and conditions hereinafter set forth.</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in consideration of the mutual covenants, agreements representations and warranties set forth herein, the parties hereto agree as follows:</w:t>
      </w:r>
    </w:p>
    <w:p>
      <w:pPr>
        <w:pStyle w:val="TextBody"/>
        <w:bidi w:val="0"/>
        <w:spacing w:lineRule="auto" w:line="240" w:before="0" w:after="240"/>
        <w:jc w:val="center"/>
        <w:rPr/>
      </w:pPr>
      <w:bookmarkStart w:id="0" w:name="i06db9e77220746f6a46747e7a34b1b5d"/>
      <w:bookmarkEnd w:id="0"/>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40" w:before="0" w:after="240"/>
        <w:ind w:left="0" w:right="0" w:hanging="1440"/>
        <w:jc w:val="left"/>
        <w:rPr/>
      </w:pPr>
      <w:bookmarkStart w:id="1" w:name="ie0ea6d5b30214a25b095659a2d7db9e2"/>
      <w:bookmarkEnd w:id="1"/>
      <w:r>
        <w:rPr>
          <w:rFonts w:ascii="Times New Roman;sans-serif" w:hAnsi="Times New Roman;sans-serif"/>
          <w:b/>
          <w:color w:val="000000"/>
          <w:sz w:val="24"/>
        </w:rPr>
        <w:t>Section 1.01</w:t>
      </w:r>
      <w:r>
        <w:rPr>
          <w:rFonts w:ascii="Times New Roman;sans-serif" w:hAnsi="Times New Roman;sans-serif"/>
          <w:b/>
          <w:color w:val="000000"/>
          <w:sz w:val="24"/>
          <w:u w:val="single"/>
        </w:rPr>
        <w:t>Definitions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terms, as used herein, shall have the following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shall mean, with respect to a particular Party, any corporation or non-corporate business entity that, directly or indirectly, controls, is controlled by, or is under common control with such Party. For purposes of this definition, an entity will be regarded as in control of another entity (with correlative meanings for “controlled by” and “under common control with”) if: (a) such entity owns, directly or indirectly, at least 50% of the securities or capital stock with the ability to vote to elect directors (or similar controlling management) of such entity, or has other comparable ownership and voting interest with respect to any entity </w:t>
      </w:r>
    </w:p>
    <w:p>
      <w:pPr>
        <w:pStyle w:val="TextBody"/>
        <w:bidi w:val="0"/>
        <w:spacing w:before="0" w:after="24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06705"/>
                <wp:effectExtent l="0" t="0" r="0" b="0"/>
                <wp:wrapNone/>
                <wp:docPr id="184" name="Frame18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a corporation; or (b) it possesses, directly or indirectly, the power to direct or cause the direction of the management and policies of the corporation or non-corporate business entity, as applicable, whether through the ownership or control of voting securities,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Investment Amount</w:t>
      </w:r>
      <w:r>
        <w:rPr>
          <w:color w:val="000000"/>
        </w:rPr>
        <w:t xml:space="preserve">” </w:t>
      </w:r>
      <w:r>
        <w:rPr>
          <w:rFonts w:ascii="Times New Roman;sans-serif" w:hAnsi="Times New Roman;sans-serif"/>
          <w:b w:val="false"/>
          <w:color w:val="000000"/>
          <w:sz w:val="24"/>
        </w:rPr>
        <w:t xml:space="preserve">shall mean the sum of the Initial Investment Amount and the Total Supplemental Discretionary Investment Amount.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shall have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all laws, rules, and regulations of any jurisdiction from time to time concerning or relating to bribery or corruption, including the United States Foreign Corrupt Practices Act of 1977 and the rules and regulations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Anti-Money Laundering Laws</w:t>
      </w:r>
      <w:r>
        <w:rPr>
          <w:color w:val="000000"/>
        </w:rPr>
        <w:t xml:space="preserve">” </w:t>
      </w:r>
      <w:r>
        <w:rPr>
          <w:rFonts w:ascii="Times New Roman;sans-serif" w:hAnsi="Times New Roman;sans-serif"/>
          <w:b w:val="false"/>
          <w:color w:val="000000"/>
          <w:sz w:val="24"/>
        </w:rPr>
        <w:t>means any and all applicable anti-money laundering or counter terrorist financing laws and regulations, including, without limitation, the Bank Secrecy Act of 1970, as amended, among others, by the Money Laundering Control Act of 1986, the Uniting and Strengthening America by Providing Appropriate Tools Required to Intercept and Obstruct Terrorism Act of 2001 (also known as the USA PATRIOT Act), and the Anti-Money Laundering Act of 2020; or any other United States law or regulation governing such activities; and the anti-money laundering and counter terrorist financing statutes of all applicable jurisdictions, the rules and regulations promulgated thereunder, and any related or similar applicable rules, regulations, or guidelines, issued, administered or enforced by any governmental entity (collectively, the “</w:t>
      </w:r>
      <w:r>
        <w:rPr>
          <w:rFonts w:ascii="Times New Roman;sans-serif" w:hAnsi="Times New Roman;sans-serif"/>
          <w:b w:val="false"/>
          <w:color w:val="000000"/>
          <w:sz w:val="24"/>
          <w:u w:val="single"/>
        </w:rPr>
        <w:t>Anti-Money Laundering Laws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Law</w:t>
      </w:r>
      <w:r>
        <w:rPr>
          <w:color w:val="000000"/>
        </w:rPr>
        <w:t xml:space="preserve">” </w:t>
      </w:r>
      <w:r>
        <w:rPr>
          <w:rFonts w:ascii="Times New Roman;sans-serif" w:hAnsi="Times New Roman;sans-serif"/>
          <w:b w:val="false"/>
          <w:color w:val="000000"/>
          <w:sz w:val="24"/>
        </w:rPr>
        <w:t>means all applicable provisions of constitutions, laws, statutes, ordinances, rules, treaties, regulations, permits, licenses, approvals, interpretations and orders of any Governmental Authority with jurisdiction over the Licensed Products and all orders and decrees of all courts and arbitrators.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Event</w:t>
      </w:r>
      <w:r>
        <w:rPr>
          <w:color w:val="000000"/>
        </w:rPr>
        <w:t xml:space="preserve">” </w:t>
      </w:r>
      <w:r>
        <w:rPr>
          <w:rFonts w:ascii="Times New Roman;sans-serif" w:hAnsi="Times New Roman;sans-serif"/>
          <w:b w:val="false"/>
          <w:color w:val="000000"/>
          <w:sz w:val="24"/>
        </w:rPr>
        <w:t>shall mean the occurrence of any of the following in respect of Company:</w:t>
      </w:r>
    </w:p>
    <w:p>
      <w:pPr>
        <w:pStyle w:val="TextBody"/>
        <w:bidi w:val="0"/>
        <w:spacing w:lineRule="auto" w:line="240" w:before="0" w:after="240"/>
        <w:ind w:left="0" w:right="0" w:firstLine="720"/>
        <w:jc w:val="both"/>
        <w:rPr/>
      </w:pPr>
      <w:bookmarkStart w:id="2" w:name="i49505f87089245e3bd192abbdd5a2312"/>
      <w:bookmarkEnd w:id="2"/>
      <w:r>
        <w:rPr>
          <w:rFonts w:ascii="Times New Roman;sans-serif" w:hAnsi="Times New Roman;sans-serif"/>
          <w:b w:val="false"/>
          <w:color w:val="000000"/>
          <w:sz w:val="24"/>
        </w:rPr>
        <w:t>(a)</w:t>
      </w:r>
      <w:r>
        <w:rPr>
          <w:rFonts w:ascii="Times New Roman;sans-serif" w:hAnsi="Times New Roman;sans-serif"/>
          <w:b w:val="false"/>
          <w:color w:val="000000"/>
          <w:sz w:val="24"/>
        </w:rPr>
        <w:t>Company shall commence any case, proceeding or other action (i) under any existing or future law of any jurisdiction, domestic or foreign, relating to bankruptcy, insolvency, reorganization, relief of debtors or the like, seeking to have an order for relief entered with respect to it, or seeking to adjudicate it bankrupt or insolvent, or seeking reorganization, arrangement, adjustment, winding-up, liquidation, dissolution, composition or other relief with respect to it or its debts, or (ii) seeking appointment of a receiver, trustee, custodian or other similar official for it or for all or any portion of its assets, or Company shall make a general assignment for the benefit of its creditors;</w:t>
      </w:r>
    </w:p>
    <w:p>
      <w:pPr>
        <w:pStyle w:val="TextBody"/>
        <w:bidi w:val="0"/>
        <w:spacing w:lineRule="auto" w:line="240" w:before="0" w:after="240"/>
        <w:ind w:left="0" w:right="0" w:firstLine="720"/>
        <w:jc w:val="both"/>
        <w:rPr/>
      </w:pPr>
      <w:bookmarkStart w:id="3" w:name="i20f10f8d50264e9e8dcaa6882a87b294"/>
      <w:bookmarkEnd w:id="3"/>
      <w:r>
        <w:rPr>
          <w:rFonts w:ascii="Times New Roman;sans-serif" w:hAnsi="Times New Roman;sans-serif"/>
          <w:b w:val="false"/>
          <w:color w:val="000000"/>
          <w:sz w:val="24"/>
        </w:rPr>
        <w:t>(b)</w:t>
      </w:r>
      <w:r>
        <w:rPr>
          <w:rFonts w:ascii="Times New Roman;sans-serif" w:hAnsi="Times New Roman;sans-serif"/>
          <w:b w:val="false"/>
          <w:color w:val="000000"/>
          <w:sz w:val="24"/>
        </w:rPr>
        <w:t>there shall be commenced against Company any case, proceeding or other action of a nature referred to in clause (i) above which remains undismissed, undischarged or unbonded for a period of sixty (90) calendar days;</w:t>
      </w:r>
    </w:p>
    <w:p>
      <w:pPr>
        <w:pStyle w:val="TextBody"/>
        <w:bidi w:val="0"/>
        <w:spacing w:lineRule="auto" w:line="240" w:before="0" w:after="240"/>
        <w:ind w:left="0" w:right="0" w:firstLine="720"/>
        <w:jc w:val="both"/>
        <w:rPr/>
      </w:pPr>
      <w:bookmarkStart w:id="4" w:name="i53b63efffb4f4b75898fd74e6313c09e"/>
      <w:bookmarkEnd w:id="4"/>
      <w:r>
        <w:rPr>
          <w:rFonts w:ascii="Times New Roman;sans-serif" w:hAnsi="Times New Roman;sans-serif"/>
          <w:b w:val="false"/>
          <w:color w:val="000000"/>
          <w:sz w:val="24"/>
        </w:rPr>
        <w:t>(c)</w:t>
      </w:r>
      <w:r>
        <w:rPr>
          <w:rFonts w:ascii="Times New Roman;sans-serif" w:hAnsi="Times New Roman;sans-serif"/>
          <w:b w:val="false"/>
          <w:color w:val="000000"/>
          <w:sz w:val="24"/>
        </w:rPr>
        <w:t>there shall be commenced against Company any case, proceeding or other action seeking issuance of a warrant of attachment, execution, distraint or similar process against (i) all or any substantial portion of its assets and/or (ii) the Xaciato Product or any substantial portion of the Intellectual Property related to the Xaciato Product, which results in the entry of an order for any such relief that shall not have been vacated, discharged, stayed, satisfied or bonded pending appeal within sixty (60) calendar days from the entry thereof; or</w:t>
      </w:r>
    </w:p>
    <w:p>
      <w:pPr>
        <w:pStyle w:val="TextBody"/>
        <w:bidi w:val="0"/>
        <w:spacing w:before="0" w:after="24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06705"/>
                <wp:effectExtent l="0" t="0" r="0" b="0"/>
                <wp:wrapNone/>
                <wp:docPr id="185" name="Frame18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bookmarkStart w:id="5" w:name="i9030bcdb6540490bbbe601d4c31cd8ae"/>
      <w:bookmarkEnd w:id="5"/>
      <w:r>
        <w:rPr>
          <w:rFonts w:ascii="Times New Roman;sans-serif" w:hAnsi="Times New Roman;sans-serif"/>
          <w:b w:val="false"/>
          <w:color w:val="000000"/>
          <w:sz w:val="24"/>
        </w:rPr>
        <w:t>(d)</w:t>
      </w:r>
      <w:r>
        <w:rPr>
          <w:rFonts w:ascii="Times New Roman;sans-serif" w:hAnsi="Times New Roman;sans-serif"/>
          <w:b w:val="false"/>
          <w:color w:val="000000"/>
          <w:sz w:val="24"/>
        </w:rPr>
        <w:t>Company shall take any corporate action in furtherance of, or indicating its consent to, approval of, or acquiescence in, any of the acts set forth in clause (a), (b) or (c) 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shall mean any day other than a Saturday, Sunday, any day which is a legal holiday under the laws of the State of New York, or any day on which banking institutions located in the State of New York are required by law or other governmental action to close or are not otherwise open for banking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Call Option</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2.02(c)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Call Closing Date</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2.02(c)</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Call Payment</w:t>
      </w:r>
      <w:r>
        <w:rPr>
          <w:color w:val="000000"/>
        </w:rPr>
        <w:t xml:space="preserve">” </w:t>
      </w:r>
      <w:r>
        <w:rPr>
          <w:rFonts w:ascii="Times New Roman;sans-serif" w:hAnsi="Times New Roman;sans-serif"/>
          <w:b w:val="false"/>
          <w:color w:val="000000"/>
          <w:sz w:val="24"/>
        </w:rPr>
        <w:t>means the Hard Cap. For the avoidance of doubt, the Call Payment shall be calculated as of the date of the payment of the Call Payment.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with respect to Company (or any parent entity of Company), any (a) transaction of merger, consolidation or amalgamation with, or (b) sale of all or substantially all of the assets of Company (or such parent entity) to which this Agreement relates to, any other Person if (i) in the case of a transaction described in clause (a), Company (or such parent entity) is the continuing or surviving entity or (ii) in the case of a transaction described in clause (a) or clause (b), Company (or such parent entity) is not the continuing or surviving entity but the continuing or surviving entity (including the purchaser of all or substantially all of the assets of Company (or such parent entity) in the case of a transaction described in clause (b)) shall have assumed all of the obligations of Company under the Sublicense Agreement, the License Agreement, this Agreement and the other Transaction Documents to which Company is a party immediately prior to such transaction; providing that in each case (a) and (b), such transaction (and such assignments and assumptions) are completed in accordance with the applicable Sublicense Agreement and License Agreement (after obtaining any necessary consent of the Sublicensee and the Licensor and do not otherwise cause a breach or default under the Sublicense Agreement or the License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Claim</w:t>
      </w:r>
      <w:r>
        <w:rPr>
          <w:color w:val="000000"/>
        </w:rPr>
        <w:t xml:space="preserve">” </w:t>
      </w:r>
      <w:r>
        <w:rPr>
          <w:rFonts w:ascii="Times New Roman;sans-serif" w:hAnsi="Times New Roman;sans-serif"/>
          <w:b w:val="false"/>
          <w:color w:val="000000"/>
          <w:sz w:val="24"/>
        </w:rPr>
        <w:t>shall mean any claim, action or proceeding (including any investigation by any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shall have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Company Common Stock</w:t>
      </w:r>
      <w:r>
        <w:rPr>
          <w:color w:val="000000"/>
        </w:rPr>
        <w:t xml:space="preserve">” </w:t>
      </w:r>
      <w:r>
        <w:rPr>
          <w:rFonts w:ascii="Times New Roman;sans-serif" w:hAnsi="Times New Roman;sans-serif"/>
          <w:b w:val="false"/>
          <w:color w:val="000000"/>
          <w:sz w:val="24"/>
        </w:rPr>
        <w:t>means shares of the common stock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Company Expenses</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Company Indemnified Party</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7.06(b)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Confidentiality Agreement</w:t>
      </w:r>
      <w:r>
        <w:rPr>
          <w:color w:val="000000"/>
        </w:rPr>
        <w:t xml:space="preserve">” </w:t>
      </w:r>
      <w:r>
        <w:rPr>
          <w:rFonts w:ascii="Times New Roman;sans-serif" w:hAnsi="Times New Roman;sans-serif"/>
          <w:b w:val="false"/>
          <w:color w:val="000000"/>
          <w:sz w:val="24"/>
        </w:rPr>
        <w:t>shall mean, collectively, (a) that certain Confidentiality Agreement between Company and E. Adam Webb, dated August 4, 2023, and (b) that certain Confidentiality Agreement between Company and Mark S. Green, dated November 28, 2023.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Confidentiality Breach</w:t>
      </w:r>
      <w:r>
        <w:rPr>
          <w:color w:val="000000"/>
        </w:rPr>
        <w:t xml:space="preserve">” </w:t>
      </w:r>
      <w:r>
        <w:rPr>
          <w:rFonts w:ascii="Times New Roman;sans-serif" w:hAnsi="Times New Roman;sans-serif"/>
          <w:b w:val="false"/>
          <w:color w:val="000000"/>
          <w:sz w:val="24"/>
        </w:rPr>
        <w:t xml:space="preserve">means, with respect to the disclosure of any notice, demand, certificate, correspondence, report, or other communication under the Sublicense Agreement or the License Agreement (or any information contained therein) to Investor, that such disclosure would be expected, in Company’s reasonable judgment, to constitute a breach by Company of its confidentiality obligations under the Sublicense Agreement or License Agreement or owed to any Third Party. </w:t>
      </w:r>
    </w:p>
    <w:p>
      <w:pPr>
        <w:pStyle w:val="TextBody"/>
        <w:bidi w:val="0"/>
        <w:spacing w:before="0" w:after="24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06705"/>
                <wp:effectExtent l="0" t="0" r="0" b="0"/>
                <wp:wrapNone/>
                <wp:docPr id="186" name="Frame18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shall mean, subject to the last sentence of </w:t>
      </w:r>
      <w:r>
        <w:rPr>
          <w:rFonts w:ascii="Times New Roman;sans-serif" w:hAnsi="Times New Roman;sans-serif"/>
          <w:b w:val="false"/>
          <w:color w:val="000000"/>
          <w:sz w:val="24"/>
          <w:u w:val="single"/>
        </w:rPr>
        <w:t>Section 5.04(a)</w:t>
      </w:r>
      <w:r>
        <w:rPr>
          <w:rFonts w:ascii="Times New Roman;sans-serif" w:hAnsi="Times New Roman;sans-serif"/>
          <w:b w:val="false"/>
          <w:color w:val="000000"/>
          <w:sz w:val="24"/>
        </w:rPr>
        <w:t>, all information (whether written or oral, or in electronic or other form) of a confidential nature (i) furnished by Company to Investor on or after August 4, 2023 and on or prior to the Effective Date, or (ii) furnished by Company to Investor on or after the Effective Date and during the Term, in case of each of clause (i) and clause (ii) concerning, or relating in any way, directly or indirectly, to Company, the Purchased Interest, the Intellectual Property, the Licensed Product or the transactions contemplated by this Agreement or any of the Transaction Documents, including, without limitation: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License Agreement, the Sublicense Agreement, and any other agreements involving or relating in any way, directly or indirectly, to the Purchased Interest or the transactions contemplated by this Agreement or any of the Transaction Documents, including all terms and conditions thereof and the identities of the parties thereto;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any reports (including, without limitation, royalty reports and Sales Reports received under the Sublicense Agreement), data, materials or other documents and any proprietary information of any kind relating in any way, directly or indirectly, to (I) Company, Licensee, Sublicensee, or any other counterparty to any of the agreements referenced in clause (a), (II) the Purchased Interest, (III) the transactions contemplated by this Agreement, (IV) the Intellectual Property (including the Intellectual Property of any Licensor or Sublicensee) (including, without limitation, any information relating to any proceeding, suit, claim, action, arbitration, litigation, challenge or similar matter that is threatened, pending or settled in any court, governmental agency or body, panel, tribunal or similar body with respect to any such Intellectual Property), (V) the Licensed Product or (VI) other products giving rise to the Purchased Interest, and including reports, notices, certificates, instruments, data, materials or other documents and proprietary information of any kind delivered pursuant to or under any of the agreements referred to in clause (a);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any technical and business information, including techniques, data, inventions, practices, methods, knowledge, know-how, test and trial data and results (including from pre-clinical and/or human clinical testing/trials), analytical and quality control data, costs, sales, manufacturing, patent data, any inventions, devices, improvements, formulations, discoveries, compositions, ingredients, patents, patent applications, processes, research, developments or any other Intellectual Property (including trade secrets) or information involving or relating in any way, directly or indirectly, to the Purchased Interests or the Licensed Product or other products giving rise to the Purchased Interest.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this Agreement, the other Transaction Documents, the License Agreement, the Sublicense Agreement, and any notices or reports delivered by Company to Investor pursuant to this Agreement, including, but not limited to, Sales Reports and any other information or documents or materials provided by Company to Investor pursuant to this Agreement, shall be deemed to be Confidential Information, and Confidential Information shall also include all other proprietary information of Company. Confidential Information shall also include all analyses, compilations, forecasts, studies or other documents prepared by Investor, Investor’s Affiliates or any of Investor’s or Investor’s Affiliates’ representatives that contain, make use of or otherwise reflect any Confidential Information.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Consent</w:t>
      </w:r>
      <w:r>
        <w:rPr>
          <w:color w:val="000000"/>
        </w:rPr>
        <w:t xml:space="preserve">” </w:t>
      </w:r>
      <w:r>
        <w:rPr>
          <w:rFonts w:ascii="Times New Roman;sans-serif" w:hAnsi="Times New Roman;sans-serif"/>
          <w:b w:val="false"/>
          <w:color w:val="000000"/>
          <w:sz w:val="24"/>
        </w:rPr>
        <w:t>shall mean any consent of Sublicensee, Licensor or any Third Party that is required for any Party hereto to execute, deliver, and/or perform this Agreement and the Transaction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Dispute</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3.12(j)</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shall mean U.S. Dollars.</w:t>
      </w:r>
    </w:p>
    <w:p>
      <w:pPr>
        <w:pStyle w:val="TextBody"/>
        <w:bidi w:val="0"/>
        <w:spacing w:before="0" w:after="24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06705"/>
                <wp:effectExtent l="0" t="0" r="0" b="0"/>
                <wp:wrapNone/>
                <wp:docPr id="187" name="Frame18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the date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Field</w:t>
      </w:r>
      <w:r>
        <w:rPr>
          <w:color w:val="000000"/>
        </w:rPr>
        <w:t xml:space="preserve">” </w:t>
      </w:r>
      <w:r>
        <w:rPr>
          <w:rFonts w:ascii="Times New Roman;sans-serif" w:hAnsi="Times New Roman;sans-serif"/>
          <w:b w:val="false"/>
          <w:color w:val="000000"/>
          <w:sz w:val="24"/>
        </w:rPr>
        <w:t>shall mean the “Field” as defined in the Sublicense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Financial Statements</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3.05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Financing Statements</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Fiscal Quarter</w:t>
      </w:r>
      <w:r>
        <w:rPr>
          <w:color w:val="000000"/>
        </w:rPr>
        <w:t xml:space="preserve">” </w:t>
      </w:r>
      <w:r>
        <w:rPr>
          <w:rFonts w:ascii="Times New Roman;sans-serif" w:hAnsi="Times New Roman;sans-serif"/>
          <w:b w:val="false"/>
          <w:color w:val="000000"/>
          <w:sz w:val="24"/>
        </w:rPr>
        <w:t xml:space="preserve">shall mean, for the first calendar quarter, the period beginning on the Effective Date and ending on the last day of the calendar quarter in which the Effective Date falls, and thereafter each successive period of three (3) consecutive calendar months ending on March 31, June 30, September 30 or December 31.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Fiscal Year</w:t>
      </w:r>
      <w:r>
        <w:rPr>
          <w:color w:val="000000"/>
        </w:rPr>
        <w:t xml:space="preserve">” </w:t>
      </w:r>
      <w:r>
        <w:rPr>
          <w:rFonts w:ascii="Times New Roman;sans-serif" w:hAnsi="Times New Roman;sans-serif"/>
          <w:b w:val="false"/>
          <w:color w:val="000000"/>
          <w:sz w:val="24"/>
        </w:rPr>
        <w:t xml:space="preserve">shall mean (a) for the first such Fiscal Year, the period beginning on the Effective Date and ending on December 31 of the calendar year in which the Effective Date occurs, (b) for each calendar year of the Payment Term thereafter, each successive period beginning on January 1 and ending twelve (12) consecutive calendar months later on December 31, and (c) for the last year of the Payment Term, the period beginning on January 1 of the year in which this Agreement expires or terminates and ending on the effective date of expiration or termination of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shall mean United States generally accepted accounting principles as interpreted and accepted by the Financial Accounting Standards Board and the Securities and Exchange Commission, consistently applied through the applicable entity’s organization.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 xml:space="preserve">shall mean any government, court, regulatory or administrative agency or commission, or other governmental authority, agency, or instrumentality, whether foreign, federal, state, or local (domestic or foreign), including the Patent Office, the FDA, the United States National Institutes of Health, or any other government authority in any country.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Hard Cap</w:t>
      </w:r>
      <w:r>
        <w:rPr>
          <w:color w:val="000000"/>
        </w:rPr>
        <w:t xml:space="preserve">” </w:t>
      </w:r>
      <w:r>
        <w:rPr>
          <w:rFonts w:ascii="Times New Roman;sans-serif" w:hAnsi="Times New Roman;sans-serif"/>
          <w:b w:val="false"/>
          <w:color w:val="000000"/>
          <w:sz w:val="24"/>
        </w:rPr>
        <w:t>shall mean, as of the applicable date of calculation, the amount that results in Investor receiving aggregate payments under this Agreement (including payments received by Investor in respect of the Purchased Interest and any prepayments made by Company to Investor pursuant to Section 2.02(a) of this Agreement) that achieves for Investor an internal rate of return of twelve percent (12%) (as calculated using the XIRR function in Microsoft Excel) on Investor’s payment of the Initial Investment Amount and the Total Supplemental Discretionary Investment Amount, if any, paid by Investor to Company in respect of the Purchased Interest as of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Party</w:t>
      </w:r>
      <w:r>
        <w:rPr>
          <w:color w:val="000000"/>
        </w:rPr>
        <w:t xml:space="preserve">” </w:t>
      </w:r>
      <w:r>
        <w:rPr>
          <w:rFonts w:ascii="Times New Roman;sans-serif" w:hAnsi="Times New Roman;sans-serif"/>
          <w:b w:val="false"/>
          <w:color w:val="000000"/>
          <w:sz w:val="24"/>
        </w:rPr>
        <w:t>shall mean any Investor Indemnified Party or Company Indemnified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Initial Investment Amount</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Investor</w:t>
      </w:r>
      <w:r>
        <w:rPr>
          <w:color w:val="000000"/>
        </w:rPr>
        <w:t xml:space="preserve">” </w:t>
      </w:r>
      <w:r>
        <w:rPr>
          <w:rFonts w:ascii="Times New Roman;sans-serif" w:hAnsi="Times New Roman;sans-serif"/>
          <w:b w:val="false"/>
          <w:color w:val="000000"/>
          <w:sz w:val="24"/>
        </w:rPr>
        <w:t>shall have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Investor Indemnified Party</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7.06(a)</w:t>
      </w:r>
      <w:r>
        <w:rPr>
          <w:rFonts w:ascii="Times New Roman;sans-serif" w:hAnsi="Times New Roman;sans-serif"/>
          <w:b w:val="false"/>
          <w:color w:val="000000"/>
          <w:sz w:val="24"/>
        </w:rPr>
        <w:t>.</w:t>
      </w:r>
    </w:p>
    <w:p>
      <w:pPr>
        <w:pStyle w:val="TextBody"/>
        <w:bidi w:val="0"/>
        <w:spacing w:lineRule="auto" w:line="266" w:before="100" w:after="100"/>
        <w:ind w:left="0" w:right="0" w:firstLine="720"/>
        <w:jc w:val="both"/>
        <w:rPr/>
      </w:pPr>
      <w:r>
        <w:rPr>
          <w:color w:val="000000"/>
          <w:shd w:fill="FFFFFF" w:val="clear"/>
        </w:rPr>
        <w:t>“</w:t>
      </w:r>
      <w:r>
        <w:rPr>
          <w:rFonts w:ascii="Times New Roman;sans-serif" w:hAnsi="Times New Roman;sans-serif"/>
          <w:b w:val="false"/>
          <w:color w:val="000000"/>
          <w:sz w:val="24"/>
          <w:u w:val="single"/>
          <w:shd w:fill="FFFFFF" w:val="clear"/>
        </w:rPr>
        <w:t>Know-How</w:t>
      </w:r>
      <w:r>
        <w:rPr>
          <w:color w:val="000000"/>
          <w:shd w:fill="FFFFFF" w:val="clear"/>
        </w:rPr>
        <w:t xml:space="preserve">” </w:t>
      </w:r>
      <w:r>
        <w:rPr>
          <w:rFonts w:ascii="Times New Roman;sans-serif" w:hAnsi="Times New Roman;sans-serif"/>
          <w:b w:val="false"/>
          <w:color w:val="000000"/>
          <w:sz w:val="24"/>
          <w:shd w:fill="FFFFFF" w:val="clear"/>
        </w:rPr>
        <w:t xml:space="preserve">means all non-public information, results and data of any type whatsoever, in any tangible or intangible form (and whether or not patentable), including databases, practices, </w:t>
      </w:r>
    </w:p>
    <w:p>
      <w:pPr>
        <w:pStyle w:val="TextBody"/>
        <w:bidi w:val="0"/>
        <w:spacing w:before="0" w:after="24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06705"/>
                <wp:effectExtent l="0" t="0" r="0" b="0"/>
                <wp:wrapNone/>
                <wp:docPr id="188" name="Frame18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66" w:before="100" w:after="10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methods, techniques, specifications, formulations, formulae, knowledge, skill, experience, data and results (including pharmacological, medicinal chemistry, biological, chemical, biochemical, toxicological and clinical study data and results), analytical and quality control data, stability data, studies and procedures, and manufacturing process and development information, results and data.</w:t>
      </w:r>
    </w:p>
    <w:p>
      <w:pPr>
        <w:pStyle w:val="TextBody"/>
        <w:bidi w:val="0"/>
        <w:spacing w:lineRule="auto" w:line="240" w:before="100" w:after="100"/>
        <w:ind w:left="0" w:right="0" w:firstLine="720"/>
        <w:jc w:val="both"/>
        <w:rPr/>
      </w:pPr>
      <w:r>
        <w:rPr>
          <w:color w:val="000000"/>
        </w:rPr>
        <w:t>“</w:t>
      </w:r>
      <w:r>
        <w:rPr>
          <w:rFonts w:ascii="Times New Roman;sans-serif" w:hAnsi="Times New Roman;sans-serif"/>
          <w:b w:val="false"/>
          <w:color w:val="000000"/>
          <w:sz w:val="24"/>
          <w:u w:val="single"/>
        </w:rPr>
        <w:t>Knowledge</w:t>
      </w:r>
      <w:r>
        <w:rPr>
          <w:color w:val="000000"/>
        </w:rPr>
        <w:t xml:space="preserve">” </w:t>
      </w:r>
      <w:r>
        <w:rPr>
          <w:rFonts w:ascii="Times New Roman;sans-serif" w:hAnsi="Times New Roman;sans-serif"/>
          <w:b w:val="false"/>
          <w:color w:val="000000"/>
          <w:sz w:val="24"/>
        </w:rPr>
        <w:t>shall mean (a) with respect to Company, the actual knowledge of Sabrina Johnson and Lisa Walters-Hoffert, and (b) with respect to Investor, the actual knowledge of E. Adam Webb and Mark S. Green.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License Agreement</w:t>
      </w:r>
      <w:r>
        <w:rPr>
          <w:color w:val="000000"/>
        </w:rPr>
        <w:t xml:space="preserve">” </w:t>
      </w:r>
      <w:r>
        <w:rPr>
          <w:rFonts w:ascii="Times New Roman;sans-serif" w:hAnsi="Times New Roman;sans-serif"/>
          <w:b w:val="false"/>
          <w:color w:val="000000"/>
          <w:sz w:val="24"/>
        </w:rPr>
        <w:t xml:space="preserve">shall have the meaning set forth in the Recitals.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Licensed Intellectual Property</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Licensed Product</w:t>
      </w:r>
      <w:r>
        <w:rPr>
          <w:color w:val="000000"/>
        </w:rPr>
        <w:t xml:space="preserve">” </w:t>
      </w:r>
      <w:r>
        <w:rPr>
          <w:rFonts w:ascii="Times New Roman;sans-serif" w:hAnsi="Times New Roman;sans-serif"/>
          <w:b w:val="false"/>
          <w:color w:val="000000"/>
          <w:sz w:val="24"/>
        </w:rPr>
        <w:t>shall mean the “Licensed Product” identified in subsection (a) of the definition of “Licensed Product” in the Sublicense Agreement (i.e. “a thermosetting vaginal gel formulated with clindamycin phosphate two percent (2%) that is the subject of the first Daré Marketing Authorization, in any and all packaging alternatives (including as to quantity)”).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Licensor</w:t>
      </w:r>
      <w:r>
        <w:rPr>
          <w:color w:val="000000"/>
        </w:rPr>
        <w:t xml:space="preserve">” </w:t>
      </w:r>
      <w:r>
        <w:rPr>
          <w:rFonts w:ascii="Times New Roman;sans-serif" w:hAnsi="Times New Roman;sans-serif"/>
          <w:b w:val="false"/>
          <w:color w:val="000000"/>
          <w:sz w:val="24"/>
        </w:rPr>
        <w:t xml:space="preserve">shall mean MilanaPharm, and each of its successors and assigns.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Liens</w:t>
      </w:r>
      <w:r>
        <w:rPr>
          <w:color w:val="000000"/>
        </w:rPr>
        <w:t xml:space="preserve">” </w:t>
      </w:r>
      <w:r>
        <w:rPr>
          <w:rFonts w:ascii="Times New Roman;sans-serif" w:hAnsi="Times New Roman;sans-serif"/>
          <w:b w:val="false"/>
          <w:color w:val="000000"/>
          <w:sz w:val="24"/>
        </w:rPr>
        <w:t xml:space="preserve">shall mean any lien, hypothecation, charge, instrument, preference, priority, security agreement, security interest, interest, mortgage, option, privilege, pledge, liability, covenant, order, tax, right of recovery, trust or deemed trust (whether contractual, statutory or otherwise arising) or any encumbrance, right or claim of any other person of any kind whatsoever whether choate or inchoate, filed or unfiled, noticed or unnoticed, recorded or unrecorded, contingent or non-contingent, material or non-material, known or unknown.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shall mean collectively, any and all claims, damages, losses, judgments, liabilities, costs, and expenses (including reasonable attorneys’ fees and expenses in connection with any action, suit or proceeding).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Marketing Approval Application</w:t>
      </w:r>
      <w:r>
        <w:rPr>
          <w:color w:val="000000"/>
        </w:rPr>
        <w:t xml:space="preserve">” </w:t>
      </w:r>
      <w:r>
        <w:rPr>
          <w:rFonts w:ascii="Times New Roman;sans-serif" w:hAnsi="Times New Roman;sans-serif"/>
          <w:b w:val="false"/>
          <w:color w:val="000000"/>
          <w:sz w:val="24"/>
        </w:rPr>
        <w:t>shall mean an application for Regulatory Approval required before commercial sale or use of a Licensed Product as a medical product in a regulatory jurisdiction, including in the United States an NDA or PMA, or a prior approval supplement to an NDA or PMA or any amendments thereto submitted to the FDA with respect to a Licensed Product.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 xml:space="preserve">shall mean (i) a Bankruptcy Event with respect to Company; (ii) a material adverse effect on the validity or enforceability of any of the Transaction Documents with respect to Company; (iii) a material adverse effect on the ability of Company to perform any of its material obligations under any of the Transaction Documents; (iv) a material adverse effect on the rights or remedies of Investor under any of the Transaction Documents with respect to Company; (v) a material adverse effect on the right of Investor to receive the Purchased Interest with respect to such Product; and (vi) a material adverse effect on the timing, amount or duration of the Royalties and Milestones with respect to such Product during the Payment Term.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Contract</w:t>
      </w:r>
      <w:r>
        <w:rPr>
          <w:color w:val="000000"/>
        </w:rPr>
        <w:t xml:space="preserve">“ </w:t>
      </w:r>
      <w:r>
        <w:rPr>
          <w:rFonts w:ascii="Times New Roman;sans-serif" w:hAnsi="Times New Roman;sans-serif"/>
          <w:b w:val="false"/>
          <w:color w:val="000000"/>
          <w:sz w:val="24"/>
        </w:rPr>
        <w:t xml:space="preserve">shall mean all material agreements, whether oral or written, express or implied, including, without limitation, assignments, licenses, options, franchise, distribution, marketing and manufacturing agreements, sponsorships, project agreements, collaboration agreements, joint development agreements, agreements not to enforce, consents, settlements, assignments, Liens or mortgages, and any amendments(s) renewal(s), novation(s) and termination(s) pertaining thereto, now, or hereafter entered into, including, without limitation, </w:t>
      </w:r>
    </w:p>
    <w:p>
      <w:pPr>
        <w:pStyle w:val="TextBody"/>
        <w:bidi w:val="0"/>
        <w:spacing w:before="0" w:after="24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06705"/>
                <wp:effectExtent l="0" t="0" r="0" b="0"/>
                <wp:wrapNone/>
                <wp:docPr id="189" name="Frame18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License Agreement and Sublicense Agreement, to which Company or any of Company’s Affiliates is a party or any of Company’s or its Affiliates’ respective assets or properties are bound or committed (other than the Transaction Documents) relating to the Product, the termination of which would have a material adverse effect on the timing, amount, or duration of the Royalties and Milestones.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Milestones</w:t>
      </w:r>
      <w:r>
        <w:rPr>
          <w:color w:val="000000"/>
        </w:rPr>
        <w:t xml:space="preserve">” </w:t>
      </w:r>
      <w:r>
        <w:rPr>
          <w:rFonts w:ascii="Times New Roman;sans-serif" w:hAnsi="Times New Roman;sans-serif"/>
          <w:b w:val="false"/>
          <w:color w:val="000000"/>
          <w:sz w:val="24"/>
        </w:rPr>
        <w:t xml:space="preserve">shall mean with respect to each Calendar Year beginning January 1, 2024 and during the Payment Term, the five “Sales Milestone Payments”, if any, that become due and payable by Organon during the Payment Term pursuant to and in accordance with Section 6.2.2 of the Sublicense Agreement after giving effect to all adjustments, offsets, reductions, deductions, reimbursements, credits, and the like permitted to be taken pursuant to and in accordance with the Sublicense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NDA</w:t>
      </w:r>
      <w:r>
        <w:rPr>
          <w:color w:val="000000"/>
        </w:rPr>
        <w:t xml:space="preserve">” </w:t>
      </w:r>
      <w:r>
        <w:rPr>
          <w:rFonts w:ascii="Times New Roman;sans-serif" w:hAnsi="Times New Roman;sans-serif"/>
          <w:b w:val="false"/>
          <w:color w:val="000000"/>
          <w:sz w:val="24"/>
        </w:rPr>
        <w:t>shall mean a new drug application and all amendments and supplements thereto, submitted to the FDA with respect to the Product, including NDA 215650, approved by the FDA on December 7, 2021, and authorizing the U.S. marketing of XACIATO™ (clindamycin phosphate) vaginal gel for the treatment of Bacterial Vaginosis in female patients 12 years of age and older.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Milestone Payments</w:t>
      </w:r>
      <w:r>
        <w:rPr>
          <w:color w:val="000000"/>
        </w:rPr>
        <w:t xml:space="preserve">” </w:t>
      </w:r>
      <w:r>
        <w:rPr>
          <w:rFonts w:ascii="Times New Roman;sans-serif" w:hAnsi="Times New Roman;sans-serif"/>
          <w:b w:val="false"/>
          <w:color w:val="000000"/>
          <w:sz w:val="24"/>
        </w:rPr>
        <w:t>shall mean with respect to each Calendar Quarter beginning January 1, 2024 and during the Payment Term,</w:t>
      </w:r>
      <w:r>
        <w:rPr>
          <w:color w:val="000000"/>
        </w:rPr>
        <w:t xml:space="preserve"> </w:t>
      </w:r>
      <w:r>
        <w:rPr>
          <w:rFonts w:ascii="Times New Roman;sans-serif" w:hAnsi="Times New Roman;sans-serif"/>
          <w:b w:val="false"/>
          <w:color w:val="000000"/>
          <w:sz w:val="24"/>
        </w:rPr>
        <w:t xml:space="preserve">(i) all Milestones actually received by Company from Sublicensee under the Sublicense Agreement in the Calendar Quarter, </w:t>
      </w:r>
      <w:r>
        <w:rPr>
          <w:rFonts w:ascii="Times New Roman;sans-serif" w:hAnsi="Times New Roman;sans-serif"/>
          <w:b w:val="false"/>
          <w:i/>
          <w:color w:val="000000"/>
          <w:sz w:val="24"/>
        </w:rPr>
        <w:t>less</w:t>
      </w:r>
      <w:r>
        <w:rPr>
          <w:color w:val="000000"/>
        </w:rPr>
        <w:t xml:space="preserve"> </w:t>
      </w:r>
      <w:r>
        <w:rPr>
          <w:rFonts w:ascii="Times New Roman;sans-serif" w:hAnsi="Times New Roman;sans-serif"/>
          <w:b w:val="false"/>
          <w:color w:val="000000"/>
          <w:sz w:val="24"/>
        </w:rPr>
        <w:t xml:space="preserve">(ii) all amounts that are due and payable and actually paid by Company to the Sublicensee in accordance with the Sublicense Agreement in that Calendar Quarter, </w:t>
      </w:r>
      <w:r>
        <w:rPr>
          <w:rFonts w:ascii="Times New Roman;sans-serif" w:hAnsi="Times New Roman;sans-serif"/>
          <w:b w:val="false"/>
          <w:i/>
          <w:color w:val="000000"/>
          <w:sz w:val="24"/>
        </w:rPr>
        <w:t>less</w:t>
      </w:r>
      <w:r>
        <w:rPr>
          <w:color w:val="000000"/>
        </w:rPr>
        <w:t xml:space="preserve"> </w:t>
      </w:r>
      <w:r>
        <w:rPr>
          <w:rFonts w:ascii="Times New Roman;sans-serif" w:hAnsi="Times New Roman;sans-serif"/>
          <w:b w:val="false"/>
          <w:color w:val="000000"/>
          <w:sz w:val="24"/>
        </w:rPr>
        <w:t xml:space="preserve">(iii) all royalties, milestones, revenue shares and all other monetary amounts that are due and payable and actually paid by Company pursuant to and in accordance with the License Agreement in that Calendar Quarter; provided that the amounts set forth in (a)(ii)-(iii) above shall only be deducted from Milestones if and only to the extent such amounts have not already been deducted (and fully satisfied) from Royalties in calculating “Net Royalty Payments” (as defined below).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Royalty Payments</w:t>
      </w:r>
      <w:r>
        <w:rPr>
          <w:color w:val="000000"/>
        </w:rPr>
        <w:t xml:space="preserve">” </w:t>
      </w:r>
      <w:r>
        <w:rPr>
          <w:rFonts w:ascii="Times New Roman;sans-serif" w:hAnsi="Times New Roman;sans-serif"/>
          <w:b w:val="false"/>
          <w:color w:val="000000"/>
          <w:sz w:val="24"/>
        </w:rPr>
        <w:t>shall mean with respect to each Calendar Quarter beginning January 1, 2024 and during the Payment Term,</w:t>
      </w:r>
      <w:r>
        <w:rPr>
          <w:color w:val="000000"/>
        </w:rPr>
        <w:t xml:space="preserve"> </w:t>
      </w:r>
      <w:r>
        <w:rPr>
          <w:rFonts w:ascii="Times New Roman;sans-serif" w:hAnsi="Times New Roman;sans-serif"/>
          <w:b w:val="false"/>
          <w:color w:val="000000"/>
          <w:sz w:val="24"/>
        </w:rPr>
        <w:t xml:space="preserve">(i) all Royalties actually received by Company from Sublicensee under the Sublicense Agreement in the Calendar Quarter, </w:t>
      </w:r>
      <w:r>
        <w:rPr>
          <w:rFonts w:ascii="Times New Roman;sans-serif" w:hAnsi="Times New Roman;sans-serif"/>
          <w:b w:val="false"/>
          <w:i/>
          <w:color w:val="000000"/>
          <w:sz w:val="24"/>
        </w:rPr>
        <w:t>less</w:t>
      </w:r>
      <w:r>
        <w:rPr>
          <w:color w:val="000000"/>
        </w:rPr>
        <w:t xml:space="preserve"> </w:t>
      </w:r>
      <w:r>
        <w:rPr>
          <w:rFonts w:ascii="Times New Roman;sans-serif" w:hAnsi="Times New Roman;sans-serif"/>
          <w:b w:val="false"/>
          <w:color w:val="000000"/>
          <w:sz w:val="24"/>
        </w:rPr>
        <w:t xml:space="preserve">(ii) all amounts that are due and payable and actually paid by Company to the Sublicensee in accordance with the Sublicense Agreement in that Calendar Quarter, </w:t>
      </w:r>
      <w:r>
        <w:rPr>
          <w:rFonts w:ascii="Times New Roman;sans-serif" w:hAnsi="Times New Roman;sans-serif"/>
          <w:b w:val="false"/>
          <w:i/>
          <w:color w:val="000000"/>
          <w:sz w:val="24"/>
        </w:rPr>
        <w:t>less</w:t>
      </w:r>
      <w:r>
        <w:rPr>
          <w:color w:val="000000"/>
        </w:rPr>
        <w:t xml:space="preserve"> </w:t>
      </w:r>
      <w:r>
        <w:rPr>
          <w:rFonts w:ascii="Times New Roman;sans-serif" w:hAnsi="Times New Roman;sans-serif"/>
          <w:b w:val="false"/>
          <w:color w:val="000000"/>
          <w:sz w:val="24"/>
        </w:rPr>
        <w:t xml:space="preserve">(iii) all royalties, milestones, revenue shares and all other monetary amounts that are due and payable and actually paid by Company in accordance with the License Agreement and the Sublicense Agreement in that Calendar Quarter.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Royalty/Milestone Payments</w:t>
      </w:r>
      <w:r>
        <w:rPr>
          <w:color w:val="000000"/>
        </w:rPr>
        <w:t xml:space="preserve">” </w:t>
      </w:r>
      <w:r>
        <w:rPr>
          <w:rFonts w:ascii="Times New Roman;sans-serif" w:hAnsi="Times New Roman;sans-serif"/>
          <w:b w:val="false"/>
          <w:color w:val="000000"/>
          <w:sz w:val="24"/>
        </w:rPr>
        <w:t>shall mean, collectively, the Net Royalty Payments and the Net Milestone Payments.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Sales</w:t>
      </w:r>
      <w:r>
        <w:rPr>
          <w:color w:val="000000"/>
        </w:rPr>
        <w:t xml:space="preserve">” </w:t>
      </w:r>
      <w:r>
        <w:rPr>
          <w:rFonts w:ascii="Times New Roman;sans-serif" w:hAnsi="Times New Roman;sans-serif"/>
          <w:b w:val="false"/>
          <w:color w:val="000000"/>
          <w:sz w:val="24"/>
        </w:rPr>
        <w:t>shall mean the “Net Sales” in the “Territory” as each of those terms is defined in each of the Sublicense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means the U.S. Department of the Treasury’s Office of Foreign Assets Control.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Organon</w:t>
      </w:r>
      <w:r>
        <w:rPr>
          <w:color w:val="000000"/>
        </w:rPr>
        <w:t xml:space="preserve">” </w:t>
      </w:r>
      <w:r>
        <w:rPr>
          <w:rFonts w:ascii="Times New Roman;sans-serif" w:hAnsi="Times New Roman;sans-serif"/>
          <w:b w:val="false"/>
          <w:color w:val="000000"/>
          <w:sz w:val="24"/>
        </w:rPr>
        <w:t>shall have the meaning set forth in the Recitals, and shall include its successors, and permitted assigns.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Organon Consent” shall mean the consent of Organon substantially in the form of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Owned Intellectual Property</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06705"/>
                <wp:effectExtent l="0" t="0" r="0" b="0"/>
                <wp:wrapNone/>
                <wp:docPr id="190" name="Frame18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shall mean, individually, Company and Investor, and unless otherwise indicated the “</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shall refer to Company and Investor collectively.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Patent Office</w:t>
      </w:r>
      <w:r>
        <w:rPr>
          <w:color w:val="000000"/>
        </w:rPr>
        <w:t xml:space="preserve">” </w:t>
      </w:r>
      <w:r>
        <w:rPr>
          <w:rFonts w:ascii="Times New Roman;sans-serif" w:hAnsi="Times New Roman;sans-serif"/>
          <w:b w:val="false"/>
          <w:color w:val="000000"/>
          <w:sz w:val="24"/>
        </w:rPr>
        <w:t>shall mean the respective patent office, including the United States Patent and Trademark Office and any comparable foreign patent office, for any Patents for the Licensed Products in the Territory.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Patents</w:t>
      </w:r>
      <w:r>
        <w:rPr>
          <w:color w:val="000000"/>
        </w:rPr>
        <w:t xml:space="preserve">” </w:t>
      </w:r>
      <w:r>
        <w:rPr>
          <w:rFonts w:ascii="Times New Roman;sans-serif" w:hAnsi="Times New Roman;sans-serif"/>
          <w:b w:val="false"/>
          <w:color w:val="000000"/>
          <w:sz w:val="24"/>
        </w:rPr>
        <w:t xml:space="preserve">shall mean the rights and interests in and to all issued patents and pending patent applications, including without limitation, all provisional applications, substitutions, continuations, continuations-in-part, divisions, and renewals, all letters patent granted thereon, and all patents-of-addition, reissues, reexaminations and extensions or restorations by existing or future extension or restoration mechanisms (including regulatory extensions), and all supplementary protection certificates, together with any foreign counterparts thereof in the Territory in the Field relating to a Licensed Product, composition of matter, formulation, or methods of manufacture or use thereof that are issued or filed on or after the date hereof, including, without limitation, those identified in </w:t>
      </w:r>
      <w:r>
        <w:rPr>
          <w:rFonts w:ascii="Times New Roman;sans-serif" w:hAnsi="Times New Roman;sans-serif"/>
          <w:b w:val="false"/>
          <w:color w:val="000000"/>
          <w:sz w:val="24"/>
          <w:u w:val="single"/>
        </w:rPr>
        <w:t>Schedule 3.12</w:t>
      </w:r>
      <w:r>
        <w:rPr>
          <w:color w:val="000000"/>
        </w:rPr>
        <w:t xml:space="preserve"> </w:t>
      </w:r>
      <w:r>
        <w:rPr>
          <w:rFonts w:ascii="Times New Roman;sans-serif" w:hAnsi="Times New Roman;sans-serif"/>
          <w:b w:val="false"/>
          <w:color w:val="000000"/>
          <w:sz w:val="24"/>
        </w:rPr>
        <w:t>in each case, which are owned or controlled by Company or any of its Affiliates.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Payment Term</w:t>
      </w:r>
      <w:r>
        <w:rPr>
          <w:color w:val="000000"/>
        </w:rPr>
        <w:t xml:space="preserve">” </w:t>
      </w:r>
      <w:r>
        <w:rPr>
          <w:rFonts w:ascii="Times New Roman;sans-serif" w:hAnsi="Times New Roman;sans-serif"/>
          <w:b w:val="false"/>
          <w:color w:val="000000"/>
          <w:sz w:val="24"/>
        </w:rPr>
        <w:t xml:space="preserve">means the time period commencing on the Effective Date and expiring on the date upon which Investor has received in full cash payments in respect of the Purchased Interests totaling, in the aggregate, the Hard Cap.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 individual, corporation, partnership, limited liability company, association, trust or other entity or organization, but not including a government or political subdivision or any agency or instrumentality of such government or political subdivision.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w:t>
      </w:r>
      <w:r>
        <w:rPr>
          <w:color w:val="000000"/>
        </w:rPr>
        <w:t xml:space="preserve">” </w:t>
      </w:r>
      <w:r>
        <w:rPr>
          <w:rFonts w:ascii="Times New Roman;sans-serif" w:hAnsi="Times New Roman;sans-serif"/>
          <w:b w:val="false"/>
          <w:color w:val="000000"/>
          <w:sz w:val="24"/>
        </w:rPr>
        <w:t>shall mean the Xaciato Product.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 Specific Patents</w:t>
      </w:r>
      <w:r>
        <w:rPr>
          <w:color w:val="000000"/>
        </w:rPr>
        <w:t xml:space="preserve">” </w:t>
      </w:r>
      <w:r>
        <w:rPr>
          <w:rFonts w:ascii="Times New Roman;sans-serif" w:hAnsi="Times New Roman;sans-serif"/>
          <w:b w:val="false"/>
          <w:color w:val="000000"/>
          <w:sz w:val="24"/>
        </w:rPr>
        <w:t xml:space="preserve">shall mean the Patents set forth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and any other Patent in the Territory hereafter filed that are solely related to the Xaciato Product.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Purchased Interest</w:t>
      </w:r>
      <w:r>
        <w:rPr>
          <w:color w:val="000000"/>
        </w:rPr>
        <w:t xml:space="preserve">” </w:t>
      </w:r>
      <w:r>
        <w:rPr>
          <w:rFonts w:ascii="Times New Roman;sans-serif" w:hAnsi="Times New Roman;sans-serif"/>
          <w:b w:val="false"/>
          <w:color w:val="000000"/>
          <w:sz w:val="24"/>
        </w:rPr>
        <w:t xml:space="preserve">shall mean Investor’s right to receive from Company the percentage of the Net Royalty/Milestone Payments set forth in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for each Fiscal Quarter during the Payment Term until Investor has received aggregate payments under this Agreement equal to the Hard Cap.</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Quarterly Report</w:t>
      </w:r>
      <w:r>
        <w:rPr>
          <w:color w:val="000000"/>
        </w:rPr>
        <w:t xml:space="preserve">” </w:t>
      </w:r>
      <w:r>
        <w:rPr>
          <w:rFonts w:ascii="Times New Roman;sans-serif" w:hAnsi="Times New Roman;sans-serif"/>
          <w:b w:val="false"/>
          <w:color w:val="000000"/>
          <w:sz w:val="24"/>
        </w:rPr>
        <w:t>shall mean, with respect to the relevant Fiscal Quarter, a report prepared by Company containing the amount payable to Investor with respect to the Purchased Interest for such Fiscal Quarter and for the 12 consecutive months ending with the last month of such quarter and showing in detail the basis for the calculation of such payments including, without limitation, (i) all Net Sales of the Licensed Products as reported in the applicable Sales Report, (ii) all payments of Milestones and Royalties paid by Sublicensee to Company in respect of such Net Sales of the Licensed Products as reported in the applicable Sales Report, and (iii) all payments payable with respect to such Fiscal Quarter to the Licensor and Sublicensee together with the calculation of such payments. Each Quarterly Report shall be accompanied by all Sales Reports provided by Sublicensee with respect to such Fiscal Quarter. Each Quarterly Report shall include reconciliation of such report to all information and data deliverable to Investor hereunder, together with relevant supporting documentation in Company’s possession as Investor may reasonably request. Each Quarterly Report shall be delivered by Company to Investor within ninety (90) days of the end of each Fiscal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Rate of Interest</w:t>
      </w:r>
      <w:r>
        <w:rPr>
          <w:color w:val="000000"/>
        </w:rPr>
        <w:t xml:space="preserve">” </w:t>
      </w:r>
      <w:r>
        <w:rPr>
          <w:rFonts w:ascii="Times New Roman;sans-serif" w:hAnsi="Times New Roman;sans-serif"/>
          <w:b w:val="false"/>
          <w:color w:val="000000"/>
          <w:sz w:val="24"/>
        </w:rPr>
        <w:t xml:space="preserve">shall mean the interest rate equal to and for the 12 consecutive months ending with the last month of such quarter and showing in detail the basis for the calculation of </w:t>
      </w:r>
    </w:p>
    <w:p>
      <w:pPr>
        <w:pStyle w:val="TextBody"/>
        <w:bidi w:val="0"/>
        <w:spacing w:before="0" w:after="24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06705"/>
                <wp:effectExtent l="0" t="0" r="0" b="0"/>
                <wp:wrapNone/>
                <wp:docPr id="191" name="Frame18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payments the lesser of one and one-half percent (1.5%) per month or the maximum amount permitted by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shall have the meaning set forth in the definition of “Confidential Information”.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Regulatory Agency</w:t>
      </w:r>
      <w:r>
        <w:rPr>
          <w:color w:val="000000"/>
        </w:rPr>
        <w:t xml:space="preserve">” </w:t>
      </w:r>
      <w:r>
        <w:rPr>
          <w:rFonts w:ascii="Times New Roman;sans-serif" w:hAnsi="Times New Roman;sans-serif"/>
          <w:b w:val="false"/>
          <w:color w:val="000000"/>
          <w:sz w:val="24"/>
        </w:rPr>
        <w:t>shall mean a Governmental Authority with responsibility for the oversight and approval of the manufacture, use, storage, marketing, import, export, transport, offer for sale, or sale of medical products in a particular jurisdiction within the Territory.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Regulatory Approval</w:t>
      </w:r>
      <w:r>
        <w:rPr>
          <w:color w:val="000000"/>
        </w:rPr>
        <w:t xml:space="preserve">” </w:t>
      </w:r>
      <w:r>
        <w:rPr>
          <w:rFonts w:ascii="Times New Roman;sans-serif" w:hAnsi="Times New Roman;sans-serif"/>
          <w:b w:val="false"/>
          <w:color w:val="000000"/>
          <w:sz w:val="24"/>
        </w:rPr>
        <w:t>shall mean all marketing approvals (including, without limitation, where applicable, pricing and reimbursement approval), establishment licenses, registrations, or other authorizations granted by any Governmental Authority, including and Marketing Approval Application necessary for the manufacture, use, storage, import, export, transport, offer for sale, or sale of any Licensed Product in a particular jurisdiction in the Field in the Territory in accordance with the Sublicense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Retained Interest</w:t>
      </w:r>
      <w:r>
        <w:rPr>
          <w:color w:val="000000"/>
        </w:rPr>
        <w:t xml:space="preserve">” </w:t>
      </w:r>
      <w:r>
        <w:rPr>
          <w:rFonts w:ascii="Times New Roman;sans-serif" w:hAnsi="Times New Roman;sans-serif"/>
          <w:b w:val="false"/>
          <w:color w:val="000000"/>
          <w:sz w:val="24"/>
        </w:rPr>
        <w:t>shall mean, individually and collectively: (a) all Royalties and Milestones paid, owed, accrued or otherwise payable by the Sublicensees under the Sublicense Agreements remaining after payment by Company to Investor of the Purchased Interest in accordance with this Agreement and the Transaction Documents; (b) all reimbursements, milestones, royalties, payments, fees, indemnification, damages, awards, settlement payments, or any other payments, compensation, or consideration of any kind pursuant to the Sublicense Agreement and the License Agreement other than the Purchased Interest, including but not limited to the First Commercial Sale Milestone set forth in Section 6.2.1 of the Sublicense Agreement.</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Royalties</w:t>
      </w:r>
      <w:r>
        <w:rPr>
          <w:color w:val="000000"/>
        </w:rPr>
        <w:t xml:space="preserve">” </w:t>
      </w:r>
      <w:r>
        <w:rPr>
          <w:rFonts w:ascii="Times New Roman;sans-serif" w:hAnsi="Times New Roman;sans-serif"/>
          <w:b w:val="false"/>
          <w:color w:val="000000"/>
          <w:sz w:val="24"/>
        </w:rPr>
        <w:t>shall mean with respect to each Calendar Year beginning January 1, 2023 (and payable for each Calendar Quarter beginning January 1, 2023) during the Payment Term,</w:t>
      </w:r>
      <w:r>
        <w:rPr>
          <w:color w:val="000000"/>
        </w:rPr>
        <w:t xml:space="preserve"> </w:t>
      </w:r>
      <w:r>
        <w:rPr>
          <w:rFonts w:ascii="Times New Roman;sans-serif" w:hAnsi="Times New Roman;sans-serif"/>
          <w:b w:val="false"/>
          <w:color w:val="000000"/>
          <w:sz w:val="24"/>
        </w:rPr>
        <w:t xml:space="preserve">all royalties due and payable by Organon under Section 6.3 of the Sublicense Agreement on Net Sales of Xaciato in the Field in the Territory during such Calendar Quarter after giving effect to all adjustments, offsets, reductions, deductions, withholdings (including in respect of withholding Taxes required by Applicable Law), reimbursements, credits, and the like permitted to be taken pursuant to and in accordance with the Sublicense Agreement, including any interest payable by the Sublicensee under the Sublicense Agreement in connection with a late payment of such Royalties.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Sales Report</w:t>
      </w:r>
      <w:r>
        <w:rPr>
          <w:color w:val="000000"/>
        </w:rPr>
        <w:t xml:space="preserve">” </w:t>
      </w:r>
      <w:r>
        <w:rPr>
          <w:rFonts w:ascii="Times New Roman;sans-serif" w:hAnsi="Times New Roman;sans-serif"/>
          <w:b w:val="false"/>
          <w:color w:val="000000"/>
          <w:sz w:val="24"/>
        </w:rPr>
        <w:t>shall mean, with respect to any Fiscal Quarter during the Payment Term, any report provided by or required to be provided by Sublicensee with respect to the Net Sales of the Product in the Field in the Territory in such Fiscal Quarter, including the notifications and reports required to be provided by Sublicensee to Company pursuant to Section 6.2.4(a) and Section 6.4 of the Sublicense Agreement in respect of the Milestones and Royalties.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means at any time, a country, region, or territory which is itself (or whose government is) the subject or target of any comprehensive Sanctions (including, as of the Effective Date, Cuba, Iran, North Korea, Syria, Crimea, the so-called Donetsk People’s Republic, and the so-called Luhansk People’s Republic).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 xml:space="preserve">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or His Majesty’s Treasury, (b) any Person operating, organized or resident in a Sanctioned Country, (c) any Person owned or controlled by, or acting or purporting to act for or </w:t>
      </w:r>
    </w:p>
    <w:p>
      <w:pPr>
        <w:pStyle w:val="TextBody"/>
        <w:bidi w:val="0"/>
        <w:spacing w:before="0" w:after="24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06705"/>
                <wp:effectExtent l="0" t="0" r="0" b="0"/>
                <wp:wrapNone/>
                <wp:docPr id="192" name="Frame18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European Union member state, or His Majesty’s Treasury, or other relevant sanctions authority with jurisdiction over any Person or Persons.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Sublicense Agreement</w:t>
      </w:r>
      <w:r>
        <w:rPr>
          <w:color w:val="000000"/>
        </w:rPr>
        <w:t xml:space="preserve">” </w:t>
      </w:r>
      <w:r>
        <w:rPr>
          <w:rFonts w:ascii="Times New Roman;sans-serif" w:hAnsi="Times New Roman;sans-serif"/>
          <w:b w:val="false"/>
          <w:color w:val="000000"/>
          <w:sz w:val="24"/>
        </w:rPr>
        <w:t xml:space="preserve">shall have the meaning set forth in the Preamble.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Sublicensee</w:t>
      </w:r>
      <w:r>
        <w:rPr>
          <w:color w:val="000000"/>
        </w:rPr>
        <w:t xml:space="preserve">” </w:t>
      </w:r>
      <w:r>
        <w:rPr>
          <w:rFonts w:ascii="Times New Roman;sans-serif" w:hAnsi="Times New Roman;sans-serif"/>
          <w:b w:val="false"/>
          <w:color w:val="000000"/>
          <w:sz w:val="24"/>
        </w:rPr>
        <w:t>shall have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Sublicensee/Licensor Confidential Information</w:t>
      </w:r>
      <w:r>
        <w:rPr>
          <w:color w:val="000000"/>
        </w:rPr>
        <w:t xml:space="preserve">” </w:t>
      </w:r>
      <w:r>
        <w:rPr>
          <w:rFonts w:ascii="Times New Roman;sans-serif" w:hAnsi="Times New Roman;sans-serif"/>
          <w:b w:val="false"/>
          <w:color w:val="000000"/>
          <w:sz w:val="24"/>
        </w:rPr>
        <w:t>shall mean the Confidential Information of the Sublicensee and/or the Licensor.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Supplemental Discretionary Investment Amount 1</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2.03(b)(i)</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Supplemental Discretionary Investment Amount 2</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2.03(b)(ii)</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Supplemental Discretionary Investment Amount 3</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2.03(b)(iii)</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U.S. federal, state, local or non-U.S. tax, levy, impost, duty, assessment or withholding or other similar fee, deduction or charge, including all excise, sales, use, value added, transfer, stamp, documentary, filing, recordation and other fees imposed by any taxing authority (and interest, fines, penalties and additions related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Territory</w:t>
      </w:r>
      <w:r>
        <w:rPr>
          <w:color w:val="000000"/>
        </w:rPr>
        <w:t xml:space="preserve">” </w:t>
      </w:r>
      <w:r>
        <w:rPr>
          <w:rFonts w:ascii="Times New Roman;sans-serif" w:hAnsi="Times New Roman;sans-serif"/>
          <w:b w:val="false"/>
          <w:color w:val="000000"/>
          <w:sz w:val="24"/>
        </w:rPr>
        <w:t>shall mean the “Territory” as defined in the Sublicense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Third Party</w:t>
      </w:r>
      <w:r>
        <w:rPr>
          <w:color w:val="000000"/>
        </w:rPr>
        <w:t xml:space="preserve">” </w:t>
      </w:r>
      <w:r>
        <w:rPr>
          <w:rFonts w:ascii="Times New Roman;sans-serif" w:hAnsi="Times New Roman;sans-serif"/>
          <w:b w:val="false"/>
          <w:color w:val="000000"/>
          <w:sz w:val="24"/>
        </w:rPr>
        <w:t>shall mean any Person other than Company or Investor or their respective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Third Party Claim</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7.06(c)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Supplemental Discretionary Investment Amount</w:t>
      </w:r>
      <w:r>
        <w:rPr>
          <w:color w:val="000000"/>
        </w:rPr>
        <w:t xml:space="preserve">” </w:t>
      </w:r>
      <w:r>
        <w:rPr>
          <w:rFonts w:ascii="Times New Roman;sans-serif" w:hAnsi="Times New Roman;sans-serif"/>
          <w:b w:val="false"/>
          <w:color w:val="000000"/>
          <w:sz w:val="24"/>
        </w:rPr>
        <w:t xml:space="preserve">shall mean, at the time of calculation, (a) if Company has exercised its rights to receive payment of Supplementary Discretionary Investment Amount 1, Supplementary Discretionary Investment Amount 2, and/or Supplementary Discretionary Investment Amount 3 pursuant to </w:t>
      </w:r>
      <w:r>
        <w:rPr>
          <w:rFonts w:ascii="Times New Roman;sans-serif" w:hAnsi="Times New Roman;sans-serif"/>
          <w:b w:val="false"/>
          <w:color w:val="000000"/>
          <w:sz w:val="24"/>
          <w:u w:val="single"/>
        </w:rPr>
        <w:t>Sections 2.03(b)(i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Sections 2.03(b)(ii</w:t>
      </w:r>
      <w:r>
        <w:rPr>
          <w:rFonts w:ascii="Times New Roman;sans-serif" w:hAnsi="Times New Roman;sans-serif"/>
          <w:b w:val="false"/>
          <w:color w:val="000000"/>
          <w:sz w:val="24"/>
        </w:rPr>
        <w:t xml:space="preserve">), and/or </w:t>
      </w:r>
      <w:r>
        <w:rPr>
          <w:rFonts w:ascii="Times New Roman;sans-serif" w:hAnsi="Times New Roman;sans-serif"/>
          <w:b w:val="false"/>
          <w:color w:val="000000"/>
          <w:sz w:val="24"/>
          <w:u w:val="single"/>
        </w:rPr>
        <w:t>Sections 2.03(b)(iii</w:t>
      </w:r>
      <w:r>
        <w:rPr>
          <w:rFonts w:ascii="Times New Roman;sans-serif" w:hAnsi="Times New Roman;sans-serif"/>
          <w:b w:val="false"/>
          <w:color w:val="000000"/>
          <w:sz w:val="24"/>
        </w:rPr>
        <w:t xml:space="preserve">), as applicable, and Investor has timely paid such amounts to Company pursuant to and in accordance with </w:t>
      </w:r>
      <w:r>
        <w:rPr>
          <w:rFonts w:ascii="Times New Roman;sans-serif" w:hAnsi="Times New Roman;sans-serif"/>
          <w:b w:val="false"/>
          <w:color w:val="000000"/>
          <w:sz w:val="24"/>
          <w:u w:val="single"/>
        </w:rPr>
        <w:t>Section 2.03</w:t>
      </w:r>
      <w:r>
        <w:rPr>
          <w:rFonts w:ascii="Times New Roman;sans-serif" w:hAnsi="Times New Roman;sans-serif"/>
          <w:b w:val="false"/>
          <w:color w:val="000000"/>
          <w:sz w:val="24"/>
        </w:rPr>
        <w:t xml:space="preserve">, then the amount equal to the total amount of such Supplemental Discretionary Investment Amounts that are timely paid to Company by Investor pursuant to and in accordance with </w:t>
      </w:r>
      <w:r>
        <w:rPr>
          <w:rFonts w:ascii="Times New Roman;sans-serif" w:hAnsi="Times New Roman;sans-serif"/>
          <w:b w:val="false"/>
          <w:color w:val="000000"/>
          <w:sz w:val="24"/>
          <w:u w:val="single"/>
        </w:rPr>
        <w:t>Section 2.03</w:t>
      </w:r>
      <w:r>
        <w:rPr>
          <w:rFonts w:ascii="Times New Roman;sans-serif" w:hAnsi="Times New Roman;sans-serif"/>
          <w:b w:val="false"/>
          <w:color w:val="000000"/>
          <w:sz w:val="24"/>
        </w:rPr>
        <w:t xml:space="preserve">, or (b) if Company has not exercised its right to receive payment of any Supplementary Discretionary Investment Amount pursuant to </w:t>
      </w:r>
      <w:r>
        <w:rPr>
          <w:rFonts w:ascii="Times New Roman;sans-serif" w:hAnsi="Times New Roman;sans-serif"/>
          <w:b w:val="false"/>
          <w:color w:val="000000"/>
          <w:sz w:val="24"/>
          <w:u w:val="single"/>
        </w:rPr>
        <w:t>Sections 2.03(b)(i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Sections 2.03(b)(ii</w:t>
      </w:r>
      <w:r>
        <w:rPr>
          <w:rFonts w:ascii="Times New Roman;sans-serif" w:hAnsi="Times New Roman;sans-serif"/>
          <w:b w:val="false"/>
          <w:color w:val="000000"/>
          <w:sz w:val="24"/>
        </w:rPr>
        <w:t xml:space="preserve">), and/or </w:t>
      </w:r>
      <w:r>
        <w:rPr>
          <w:rFonts w:ascii="Times New Roman;sans-serif" w:hAnsi="Times New Roman;sans-serif"/>
          <w:b w:val="false"/>
          <w:color w:val="000000"/>
          <w:sz w:val="24"/>
          <w:u w:val="single"/>
        </w:rPr>
        <w:t>Sections 2.03(b)(iii</w:t>
      </w:r>
      <w:r>
        <w:rPr>
          <w:rFonts w:ascii="Times New Roman;sans-serif" w:hAnsi="Times New Roman;sans-serif"/>
          <w:b w:val="false"/>
          <w:color w:val="000000"/>
          <w:sz w:val="24"/>
        </w:rPr>
        <w:t xml:space="preserve">), or Investor has failed to timely pay such amounts when due pursuant to and in accordance with </w:t>
      </w:r>
      <w:r>
        <w:rPr>
          <w:rFonts w:ascii="Times New Roman;sans-serif" w:hAnsi="Times New Roman;sans-serif"/>
          <w:b w:val="false"/>
          <w:color w:val="000000"/>
          <w:sz w:val="24"/>
          <w:u w:val="single"/>
        </w:rPr>
        <w:t>Section 2.03</w:t>
      </w:r>
      <w:r>
        <w:rPr>
          <w:rFonts w:ascii="Times New Roman;sans-serif" w:hAnsi="Times New Roman;sans-serif"/>
          <w:b w:val="false"/>
          <w:color w:val="000000"/>
          <w:sz w:val="24"/>
        </w:rPr>
        <w:t>, then the amount equal to $0.00. For the avoidance of doubt, the Total Supplementary Discretionary Investment Amount shall never be greater than $7,000,000.</w:t>
      </w:r>
    </w:p>
    <w:p>
      <w:pPr>
        <w:pStyle w:val="TextBody"/>
        <w:bidi w:val="0"/>
        <w:spacing w:before="0" w:after="24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06705"/>
                <wp:effectExtent l="0" t="0" r="0" b="0"/>
                <wp:wrapNone/>
                <wp:docPr id="193" name="Frame19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shall mean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shall mean the Uniform Commercial Code (or any similar or equivalent legislation) as in effect in any applicable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Warrants</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2.03(c)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Xaciato</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Xaciato Product</w:t>
      </w:r>
      <w:r>
        <w:rPr>
          <w:color w:val="000000"/>
        </w:rPr>
        <w:t xml:space="preserve">” </w:t>
      </w:r>
      <w:r>
        <w:rPr>
          <w:rFonts w:ascii="Times New Roman;sans-serif" w:hAnsi="Times New Roman;sans-serif"/>
          <w:b w:val="false"/>
          <w:color w:val="000000"/>
          <w:sz w:val="24"/>
        </w:rPr>
        <w:t>shall have the meaning set forth in the Recitals.</w:t>
      </w:r>
    </w:p>
    <w:p>
      <w:pPr>
        <w:pStyle w:val="TextBody"/>
        <w:bidi w:val="0"/>
        <w:spacing w:lineRule="auto" w:line="240" w:before="0" w:after="240"/>
        <w:jc w:val="center"/>
        <w:rPr/>
      </w:pPr>
      <w:bookmarkStart w:id="6" w:name="iee19ed9b00534872a201f86c836a9d4e"/>
      <w:bookmarkEnd w:id="6"/>
      <w:r>
        <w:rPr>
          <w:rFonts w:ascii="Times New Roman;sans-serif" w:hAnsi="Times New Roman;sans-serif"/>
          <w:b/>
          <w:color w:val="000000"/>
          <w:sz w:val="24"/>
        </w:rPr>
        <w:t>Article II.</w:t>
      </w:r>
      <w:r>
        <w:rPr>
          <w:rFonts w:ascii="Times New Roman;sans-serif" w:hAnsi="Times New Roman;sans-serif"/>
          <w:b/>
          <w:color w:val="000000"/>
          <w:sz w:val="24"/>
        </w:rPr>
        <w:br/>
        <w:t>PURCHASE AND SALE OF THE PURCHASED INTEREST</w:t>
      </w:r>
    </w:p>
    <w:p>
      <w:pPr>
        <w:pStyle w:val="TextBody"/>
        <w:bidi w:val="0"/>
        <w:spacing w:lineRule="auto" w:line="240" w:before="0" w:after="240"/>
        <w:ind w:left="0" w:right="0" w:hanging="1440"/>
        <w:jc w:val="left"/>
        <w:rPr/>
      </w:pPr>
      <w:bookmarkStart w:id="7" w:name="i9d95c5da650c40d49b1b75d8b6614903"/>
      <w:bookmarkEnd w:id="7"/>
      <w:r>
        <w:rPr>
          <w:rFonts w:ascii="Times New Roman;sans-serif" w:hAnsi="Times New Roman;sans-serif"/>
          <w:b/>
          <w:color w:val="000000"/>
          <w:sz w:val="24"/>
        </w:rPr>
        <w:t>Section 1.01</w:t>
      </w:r>
      <w:r>
        <w:rPr>
          <w:rFonts w:ascii="Times New Roman;sans-serif" w:hAnsi="Times New Roman;sans-serif"/>
          <w:b/>
          <w:color w:val="000000"/>
          <w:sz w:val="24"/>
          <w:u w:val="single"/>
        </w:rPr>
        <w:t>Purchase and Sale</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8" w:name="ida67cffa2039489585df421f0b7fe633"/>
      <w:bookmarkEnd w:id="8"/>
      <w:r>
        <w:rPr>
          <w:rFonts w:ascii="Times New Roman;sans-serif" w:hAnsi="Times New Roman;sans-serif"/>
          <w:b w:val="false"/>
          <w:color w:val="000000"/>
          <w:sz w:val="24"/>
        </w:rPr>
        <w:t xml:space="preserve">Upon the terms and subject to the conditions set forth in this Agreement, on the Effective Date, Company shall sell, assign, transfer and convey to Investor, and Investor agrees to purchase and accept the assignment, transfer and conveyance from Company, and subject to the conditions set forth in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xml:space="preserve">, the Purchased Interest. Investor’s interest in the Purchased Interest so assigned shall vest simultaneously with and only upon Company’s receipt of the full, irrevocable, non-refundable, and non-deductible upfront payment pursuant to </w:t>
      </w:r>
      <w:r>
        <w:rPr>
          <w:rFonts w:ascii="Times New Roman;sans-serif" w:hAnsi="Times New Roman;sans-serif"/>
          <w:b w:val="false"/>
          <w:color w:val="000000"/>
          <w:sz w:val="24"/>
          <w:u w:val="single"/>
        </w:rPr>
        <w:t>Section 2.03(a)</w:t>
      </w:r>
      <w:r>
        <w:rPr>
          <w:color w:val="000000"/>
        </w:rPr>
        <w:t xml:space="preserve"> </w:t>
      </w:r>
      <w:r>
        <w:rPr>
          <w:rFonts w:ascii="Times New Roman;sans-serif" w:hAnsi="Times New Roman;sans-serif"/>
          <w:b w:val="false"/>
          <w:color w:val="000000"/>
          <w:sz w:val="24"/>
        </w:rPr>
        <w:t>for such Purchased Interest.</w:t>
      </w:r>
    </w:p>
    <w:p>
      <w:pPr>
        <w:pStyle w:val="TextBody"/>
        <w:bidi w:val="0"/>
        <w:spacing w:lineRule="auto" w:line="240" w:before="0" w:after="240"/>
        <w:ind w:left="0" w:right="0" w:hanging="1440"/>
        <w:jc w:val="left"/>
        <w:rPr/>
      </w:pPr>
      <w:bookmarkStart w:id="9" w:name="idb33945e1c304aa48a46e97deca17be9"/>
      <w:bookmarkEnd w:id="9"/>
      <w:r>
        <w:rPr>
          <w:rFonts w:ascii="Times New Roman;sans-serif" w:hAnsi="Times New Roman;sans-serif"/>
          <w:b/>
          <w:color w:val="000000"/>
          <w:sz w:val="24"/>
        </w:rPr>
        <w:t>Section 1.02</w:t>
      </w:r>
      <w:r>
        <w:rPr>
          <w:rFonts w:ascii="Times New Roman;sans-serif" w:hAnsi="Times New Roman;sans-serif"/>
          <w:b/>
          <w:color w:val="000000"/>
          <w:sz w:val="24"/>
          <w:u w:val="single"/>
        </w:rPr>
        <w:t>Payments to Investor</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Investor paying the Investment Amount hereunder, the Company shall pay the Purchased Interests to the Investor as follows:</w:t>
      </w:r>
    </w:p>
    <w:p>
      <w:pPr>
        <w:pStyle w:val="TextBody"/>
        <w:bidi w:val="0"/>
        <w:spacing w:lineRule="auto" w:line="240" w:before="0" w:after="240"/>
        <w:ind w:left="0" w:right="0" w:firstLine="720"/>
        <w:jc w:val="both"/>
        <w:rPr/>
      </w:pPr>
      <w:bookmarkStart w:id="10" w:name="i4aeb58d394b143aa893e25b84e5299c7"/>
      <w:bookmarkEnd w:id="10"/>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Payments on Account of the Purchased Interest</w:t>
      </w:r>
      <w:r>
        <w:rPr>
          <w:rFonts w:ascii="Times New Roman;sans-serif" w:hAnsi="Times New Roman;sans-serif"/>
          <w:b w:val="false"/>
          <w:color w:val="000000"/>
          <w:sz w:val="24"/>
        </w:rPr>
        <w:t>. After cash in respect of Milestones and Royalties in respect of the Product is paid by the Sublicensee to Company and all payments required to be made by Company under the License Agreement and Sublicense Agreement have been made to the Licensor and Sublicensor in respect of the Product, Company shall determine the amount of Net Royalties and Net Milestone Payments and calculate the amount of the Purchased Interest due and owing to Investor and the amount of the Retained Interest due and owing to Company. During the Payment Term, Company shall make payments due and owing to Investor in respect of the Purchased Interest until the date on which the Investor has received payments in respect of the Purchased Interests equal to the Hard Cap. Company shall make such payments within fifteen (15) Business Days of Company’s calculation of the amount of the Purchased Interest and shall provide Investor with a Quarterly Report setting forth such amount and the calculation thereof. To any extent funds paid by Sublicensee to Company are not actually deposited in an escrow account until such time as payments are made to Investor, such funds shall be treated as escrowed and off-limits for all other purposes until Investor has been paid all amounts owed therefrom. If any payment problems accrue due to such funds not being treated as escrowed funds, Investor shall promptly be made whole and the Parties agree to negotiate an appropriate escrow agreement to prevent any future such irregularities. Company shall have the right, at any time and from time to time, to make voluntary prepayments to Investor, and such payments shall be credited against the Hard Cap. This Agreement shall be in full force and effect for the duration of the Payment Term.</w:t>
      </w:r>
    </w:p>
    <w:p>
      <w:pPr>
        <w:pStyle w:val="TextBody"/>
        <w:bidi w:val="0"/>
        <w:spacing w:lineRule="auto" w:line="240" w:before="0" w:after="240"/>
        <w:ind w:left="0" w:right="0" w:firstLine="720"/>
        <w:jc w:val="both"/>
        <w:rPr/>
      </w:pPr>
      <w:bookmarkStart w:id="11" w:name="i7209d78b16f64bd39237d273149c8fac"/>
      <w:bookmarkEnd w:id="11"/>
      <w:r>
        <w:rPr>
          <w:rFonts w:ascii="Times New Roman;sans-serif" w:hAnsi="Times New Roman;sans-serif"/>
          <w:b w:val="false"/>
          <w:color w:val="000000"/>
          <w:sz w:val="24"/>
        </w:rPr>
        <w:t>(b)</w:t>
      </w:r>
      <w:r>
        <w:rPr>
          <w:rFonts w:ascii="Times New Roman;sans-serif" w:hAnsi="Times New Roman;sans-serif"/>
          <w:b w:val="false"/>
          <w:color w:val="000000"/>
          <w:sz w:val="24"/>
          <w:u w:val="single"/>
        </w:rPr>
        <w:t>Discrepancies</w:t>
      </w:r>
      <w:r>
        <w:rPr>
          <w:rFonts w:ascii="Times New Roman;sans-serif" w:hAnsi="Times New Roman;sans-serif"/>
          <w:b w:val="false"/>
          <w:color w:val="000000"/>
          <w:sz w:val="24"/>
        </w:rPr>
        <w:t>. For avoidance of doubt, the Parties understand and agree that if a Sublicensee fails to pay any Milestones or Royalties (or portion thereof) during the Payment Term when due under the Sublicense Agreement (each such unpaid amount, a “</w:t>
      </w:r>
      <w:r>
        <w:rPr>
          <w:rFonts w:ascii="Times New Roman;sans-serif" w:hAnsi="Times New Roman;sans-serif"/>
          <w:b w:val="false"/>
          <w:color w:val="000000"/>
          <w:sz w:val="24"/>
          <w:u w:val="single"/>
        </w:rPr>
        <w:t>Discrepancy</w:t>
      </w:r>
      <w:r>
        <w:rPr>
          <w:color w:val="000000"/>
        </w:rPr>
        <w:t>”</w:t>
      </w:r>
      <w:r>
        <w:rPr>
          <w:rFonts w:ascii="Times New Roman;sans-serif" w:hAnsi="Times New Roman;sans-serif"/>
          <w:b w:val="false"/>
          <w:color w:val="000000"/>
          <w:sz w:val="24"/>
        </w:rPr>
        <w:t xml:space="preserve">), then Company shall not be obligated to pay to Investor or otherwise compensate or make Investor whole with respect to any portion of such Discrepancy; provided, however, that Company shall, at Investor’s reasonable request and upon reasonable consultation with Investor, </w:t>
      </w:r>
    </w:p>
    <w:p>
      <w:pPr>
        <w:pStyle w:val="TextBody"/>
        <w:bidi w:val="0"/>
        <w:spacing w:before="0" w:after="24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06705"/>
                <wp:effectExtent l="0" t="0" r="0" b="0"/>
                <wp:wrapNone/>
                <wp:docPr id="194" name="Frame19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enforce the terms of the Sublicense Agreement in accordance with Company’s exercise of its reasonable business judgment, and upon any recovery of a Discrepancy, and the determination of the amount of such Discrepancy due and owing to Investor in respect of any unpaid portion of the Purchased Interest, Company shall transfer such portion of such Discrepancy in respect of the Purchased Interest to Investor as set out in </w:t>
      </w:r>
      <w:r>
        <w:rPr>
          <w:rFonts w:ascii="Times New Roman;sans-serif" w:hAnsi="Times New Roman;sans-serif"/>
          <w:b w:val="false"/>
          <w:color w:val="000000"/>
          <w:sz w:val="24"/>
          <w:u w:val="single"/>
        </w:rPr>
        <w:t>Section 2.02(a).</w:t>
      </w:r>
    </w:p>
    <w:p>
      <w:pPr>
        <w:pStyle w:val="TextBody"/>
        <w:bidi w:val="0"/>
        <w:spacing w:lineRule="auto" w:line="240" w:before="0" w:after="240"/>
        <w:ind w:left="0" w:right="0" w:firstLine="720"/>
        <w:jc w:val="both"/>
        <w:rPr/>
      </w:pPr>
      <w:bookmarkStart w:id="12" w:name="i552b2347191d4c449d5ed8962d7932c0"/>
      <w:bookmarkEnd w:id="12"/>
      <w:r>
        <w:rPr>
          <w:rFonts w:ascii="Times New Roman;sans-serif" w:hAnsi="Times New Roman;sans-serif"/>
          <w:b w:val="false"/>
          <w:color w:val="000000"/>
          <w:sz w:val="24"/>
        </w:rPr>
        <w:t>(c)</w:t>
      </w:r>
      <w:r>
        <w:rPr>
          <w:rFonts w:ascii="Times New Roman;sans-serif" w:hAnsi="Times New Roman;sans-serif"/>
          <w:b w:val="false"/>
          <w:color w:val="000000"/>
          <w:sz w:val="24"/>
          <w:u w:val="single"/>
        </w:rPr>
        <w:t>Call Option</w:t>
      </w:r>
      <w:r>
        <w:rPr>
          <w:rFonts w:ascii="Times New Roman;sans-serif" w:hAnsi="Times New Roman;sans-serif"/>
          <w:b w:val="false"/>
          <w:color w:val="000000"/>
          <w:sz w:val="24"/>
        </w:rPr>
        <w:t>. The Company shall have the right, but not the obligation, at any time (the “</w:t>
      </w:r>
      <w:r>
        <w:rPr>
          <w:rFonts w:ascii="Times New Roman;sans-serif" w:hAnsi="Times New Roman;sans-serif"/>
          <w:b w:val="false"/>
          <w:color w:val="000000"/>
          <w:sz w:val="24"/>
          <w:u w:val="single"/>
        </w:rPr>
        <w:t>Call Option</w:t>
      </w:r>
      <w:r>
        <w:rPr>
          <w:color w:val="000000"/>
        </w:rPr>
        <w:t>”</w:t>
      </w:r>
      <w:r>
        <w:rPr>
          <w:rFonts w:ascii="Times New Roman;sans-serif" w:hAnsi="Times New Roman;sans-serif"/>
          <w:b w:val="false"/>
          <w:color w:val="000000"/>
          <w:sz w:val="24"/>
        </w:rPr>
        <w:t>), exercisable upon ten (10) days’ prior written notice to Investor, to repurchase all, but not less than all, of the Purchased Interest from the Investor at a repurchase price equal to the Call Payment. In order to exercise the Call Option, the Company shall deliver written notice to Investor of its election to so repurchase the Purchased Interest not less than ten (10) days prior to the proposed closing date (the “</w:t>
      </w:r>
      <w:r>
        <w:rPr>
          <w:rFonts w:ascii="Times New Roman;sans-serif" w:hAnsi="Times New Roman;sans-serif"/>
          <w:b w:val="false"/>
          <w:color w:val="000000"/>
          <w:sz w:val="24"/>
          <w:u w:val="single"/>
        </w:rPr>
        <w:t>Call Closin</w:t>
      </w:r>
      <w:r>
        <w:rPr>
          <w:rFonts w:ascii="Times New Roman;sans-serif" w:hAnsi="Times New Roman;sans-serif"/>
          <w:b w:val="false"/>
          <w:color w:val="000000"/>
          <w:sz w:val="24"/>
        </w:rPr>
        <w:t>g</w:t>
      </w:r>
      <w:r>
        <w:rPr>
          <w:color w:val="000000"/>
          <w:u w:val="single"/>
        </w:rPr>
        <w:t xml:space="preserve"> </w:t>
      </w:r>
      <w:r>
        <w:rPr>
          <w:rFonts w:ascii="Times New Roman;sans-serif" w:hAnsi="Times New Roman;sans-serif"/>
          <w:b w:val="false"/>
          <w:color w:val="000000"/>
          <w:sz w:val="24"/>
          <w:u w:val="single"/>
        </w:rPr>
        <w:t>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notice may state that it is conditioned upon the effectiveness of any financing transaction or one or more other events specified therein (including the occurrence of a Change of Control), in which case such notice may be revoked by the Company (by notice to the Investor no later than five (5) days prior to the specified effective date) if such condition is not satisfied. On the Call Closing Date, the Company shall repurchase from the Investor the Purchased Interest at a price equal to the Call Payment, the payment of which shall be made by wire transfer of immediately available funds to the account designated by Investor. </w:t>
      </w:r>
    </w:p>
    <w:p>
      <w:pPr>
        <w:pStyle w:val="TextBody"/>
        <w:bidi w:val="0"/>
        <w:spacing w:lineRule="auto" w:line="240" w:before="0" w:after="240"/>
        <w:ind w:left="0" w:right="0" w:firstLine="720"/>
        <w:jc w:val="both"/>
        <w:rPr/>
      </w:pPr>
      <w:bookmarkStart w:id="13" w:name="ie04e6108973f43589cd6130c6bec36a3"/>
      <w:bookmarkEnd w:id="13"/>
      <w:r>
        <w:rPr>
          <w:rFonts w:ascii="Times New Roman;sans-serif" w:hAnsi="Times New Roman;sans-serif"/>
          <w:b w:val="false"/>
          <w:color w:val="000000"/>
          <w:sz w:val="24"/>
        </w:rPr>
        <w:t>(d)</w:t>
      </w:r>
      <w:r>
        <w:rPr>
          <w:rFonts w:ascii="Times New Roman;sans-serif" w:hAnsi="Times New Roman;sans-serif"/>
          <w:b w:val="false"/>
          <w:color w:val="000000"/>
          <w:sz w:val="24"/>
          <w:u w:val="single"/>
        </w:rPr>
        <w:t>Payment Terms</w:t>
      </w:r>
      <w:r>
        <w:rPr>
          <w:rFonts w:ascii="Times New Roman;sans-serif" w:hAnsi="Times New Roman;sans-serif"/>
          <w:b w:val="false"/>
          <w:color w:val="000000"/>
          <w:sz w:val="24"/>
        </w:rPr>
        <w:t xml:space="preserve">. The payments to be made by Company to Investor pursuant to this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shall be paid by wire transfer of immediately available funds to the account designated by Investor. In the event any amount due to Investor hereunder in respect of the Purchased Interest (other than any Discrepancy) is not made when due, each such amount shall accrue interest from the date due at the Rate of Interest, calculated on the basis of a 360-day, 12-month year, until payment is actually made to Investor.</w:t>
      </w:r>
    </w:p>
    <w:p>
      <w:pPr>
        <w:pStyle w:val="TextBody"/>
        <w:bidi w:val="0"/>
        <w:spacing w:lineRule="auto" w:line="240" w:before="0" w:after="240"/>
        <w:ind w:left="0" w:right="0" w:firstLine="720"/>
        <w:jc w:val="both"/>
        <w:rPr/>
      </w:pPr>
      <w:bookmarkStart w:id="14" w:name="i7addc053698a419d8a54830f9a9688ee"/>
      <w:bookmarkEnd w:id="14"/>
      <w:r>
        <w:rPr>
          <w:rFonts w:ascii="Times New Roman;sans-serif" w:hAnsi="Times New Roman;sans-serif"/>
          <w:b w:val="false"/>
          <w:color w:val="000000"/>
          <w:sz w:val="24"/>
        </w:rPr>
        <w:t>(e)</w:t>
      </w:r>
      <w:r>
        <w:rPr>
          <w:rFonts w:ascii="Times New Roman;sans-serif" w:hAnsi="Times New Roman;sans-serif"/>
          <w:b w:val="false"/>
          <w:color w:val="000000"/>
          <w:sz w:val="24"/>
          <w:u w:val="single"/>
        </w:rPr>
        <w:t>Termination of Purchased Interest</w:t>
      </w:r>
      <w:r>
        <w:rPr>
          <w:rFonts w:ascii="Times New Roman;sans-serif" w:hAnsi="Times New Roman;sans-serif"/>
          <w:b w:val="false"/>
          <w:color w:val="000000"/>
          <w:sz w:val="24"/>
        </w:rPr>
        <w:t xml:space="preserve">. Once the Investor has received (i) aggregate payments under </w:t>
      </w:r>
      <w:r>
        <w:rPr>
          <w:rFonts w:ascii="Times New Roman;sans-serif" w:hAnsi="Times New Roman;sans-serif"/>
          <w:b w:val="false"/>
          <w:color w:val="000000"/>
          <w:sz w:val="24"/>
          <w:u w:val="single"/>
        </w:rPr>
        <w:t>Section 2.02(a)</w:t>
      </w:r>
      <w:r>
        <w:rPr>
          <w:color w:val="000000"/>
        </w:rPr>
        <w:t xml:space="preserve"> </w:t>
      </w:r>
      <w:r>
        <w:rPr>
          <w:rFonts w:ascii="Times New Roman;sans-serif" w:hAnsi="Times New Roman;sans-serif"/>
          <w:b w:val="false"/>
          <w:color w:val="000000"/>
          <w:sz w:val="24"/>
        </w:rPr>
        <w:t xml:space="preserve">equal to the Hard Cap or (ii) all of the amounts due pursuant to and in accordance with </w:t>
      </w:r>
      <w:r>
        <w:rPr>
          <w:rFonts w:ascii="Times New Roman;sans-serif" w:hAnsi="Times New Roman;sans-serif"/>
          <w:b w:val="false"/>
          <w:color w:val="000000"/>
          <w:sz w:val="24"/>
          <w:u w:val="single"/>
        </w:rPr>
        <w:t>Section 2.02(c)</w:t>
      </w:r>
      <w:r>
        <w:rPr>
          <w:rFonts w:ascii="Times New Roman;sans-serif" w:hAnsi="Times New Roman;sans-serif"/>
          <w:b w:val="false"/>
          <w:color w:val="000000"/>
          <w:sz w:val="24"/>
        </w:rPr>
        <w:t xml:space="preserve">, (x) Company shall have no further obligations to the Investor with respect to the Purchased Interests, and Investor will not be entitled to any additional payments in respect of the Purchased Interests and (y) each of the Transaction Documents shall terminate. Immediately upon termination of this Agreement pursuant to this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 Investor shall execute and deliver to, or at the direction of, the Company, at the Company’s sole cost and expense, all other releases and other documents as the Company shall reasonably request to evidence any such release.</w:t>
      </w:r>
    </w:p>
    <w:p>
      <w:pPr>
        <w:pStyle w:val="TextBody"/>
        <w:bidi w:val="0"/>
        <w:spacing w:lineRule="auto" w:line="240" w:before="0" w:after="240"/>
        <w:ind w:left="0" w:right="0" w:hanging="1440"/>
        <w:jc w:val="left"/>
        <w:rPr/>
      </w:pPr>
      <w:bookmarkStart w:id="15" w:name="id92d8b87b79545759e261e5737619095"/>
      <w:bookmarkEnd w:id="15"/>
      <w:r>
        <w:rPr>
          <w:rFonts w:ascii="Times New Roman;sans-serif" w:hAnsi="Times New Roman;sans-serif"/>
          <w:b/>
          <w:color w:val="000000"/>
          <w:sz w:val="24"/>
        </w:rPr>
        <w:t>Section 1.03</w:t>
      </w:r>
      <w:r>
        <w:rPr>
          <w:rFonts w:ascii="Times New Roman;sans-serif" w:hAnsi="Times New Roman;sans-serif"/>
          <w:b/>
          <w:color w:val="000000"/>
          <w:sz w:val="24"/>
          <w:u w:val="single"/>
        </w:rPr>
        <w:t>Payments to Company</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6" w:name="idadfdd0e269c4ccaa85c48ad56e426c7"/>
      <w:bookmarkEnd w:id="16"/>
      <w:r>
        <w:rPr>
          <w:rFonts w:ascii="Times New Roman;sans-serif" w:hAnsi="Times New Roman;sans-serif"/>
          <w:b w:val="false"/>
          <w:color w:val="000000"/>
          <w:sz w:val="24"/>
        </w:rPr>
        <w:t>(a)</w:t>
      </w:r>
      <w:r>
        <w:rPr>
          <w:rFonts w:ascii="Times New Roman;sans-serif" w:hAnsi="Times New Roman;sans-serif"/>
          <w:b w:val="false"/>
          <w:color w:val="000000"/>
          <w:sz w:val="24"/>
          <w:u w:val="single"/>
        </w:rPr>
        <w:t>Initial Payment for Purchased Interest</w:t>
      </w:r>
      <w:r>
        <w:rPr>
          <w:rFonts w:ascii="Times New Roman;sans-serif" w:hAnsi="Times New Roman;sans-serif"/>
          <w:b w:val="false"/>
          <w:color w:val="000000"/>
          <w:sz w:val="24"/>
        </w:rPr>
        <w:t xml:space="preserve">. In consideration for the sale and assignment by Company to Investor of the Purchased Interest, and subject to the terms and conditions set forth herein, including, without limitation,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on the Effective Date, Investor shall make an irrevocable, non-refundable, and non-deductible payment to Company of Five Million Dollars ($5,000,000.00), without any deduction for any withholding or other Taxes (the “</w:t>
      </w:r>
      <w:r>
        <w:rPr>
          <w:rFonts w:ascii="Times New Roman;sans-serif" w:hAnsi="Times New Roman;sans-serif"/>
          <w:b w:val="false"/>
          <w:color w:val="000000"/>
          <w:sz w:val="24"/>
          <w:u w:val="single"/>
        </w:rPr>
        <w:t>Initial Investment Amount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bookmarkStart w:id="17" w:name="ia03cccf0a435470d8b1037b55537a684"/>
      <w:bookmarkEnd w:id="17"/>
      <w:r>
        <w:rPr>
          <w:rFonts w:ascii="Times New Roman;sans-serif" w:hAnsi="Times New Roman;sans-serif"/>
          <w:b w:val="false"/>
          <w:color w:val="000000"/>
          <w:sz w:val="24"/>
        </w:rPr>
        <w:t>(b)</w:t>
      </w:r>
      <w:r>
        <w:rPr>
          <w:rFonts w:ascii="Times New Roman;sans-serif" w:hAnsi="Times New Roman;sans-serif"/>
          <w:b w:val="false"/>
          <w:color w:val="000000"/>
          <w:sz w:val="24"/>
          <w:u w:val="single"/>
        </w:rPr>
        <w:t>Supplemental Investment Amount (Company’s Option)</w:t>
      </w:r>
      <w:r>
        <w:rPr>
          <w:rFonts w:ascii="Times New Roman;sans-serif" w:hAnsi="Times New Roman;sans-serif"/>
          <w:b w:val="false"/>
          <w:color w:val="000000"/>
          <w:sz w:val="24"/>
        </w:rPr>
        <w:t xml:space="preserve">. In consideration for the sale and assignment by Company to Investor of the Purchased Interest, and subject to (x) the terms and conditions set forth herein, including, without limitation,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and (y) the Company having obtained the Organon Consent (including, for the avoidance of doubt, the Investor as a “Purchaser” thereunder):</w:t>
      </w:r>
    </w:p>
    <w:p>
      <w:pPr>
        <w:pStyle w:val="TextBody"/>
        <w:bidi w:val="0"/>
        <w:spacing w:lineRule="auto" w:line="240" w:before="0" w:after="240"/>
        <w:ind w:left="0" w:right="0" w:hanging="288"/>
        <w:jc w:val="both"/>
        <w:rPr>
          <w:rFonts w:ascii="Times New Roman;sans-serif" w:hAnsi="Times New Roman;sans-serif"/>
          <w:b w:val="false"/>
          <w:color w:val="000000"/>
          <w:sz w:val="24"/>
        </w:rPr>
      </w:pPr>
      <w:bookmarkStart w:id="18" w:name="i740ff8cc8b4a458e90774136b89d61a6"/>
      <w:bookmarkEnd w:id="18"/>
      <w:r>
        <w:rPr>
          <w:rFonts w:ascii="Times New Roman;sans-serif" w:hAnsi="Times New Roman;sans-serif"/>
          <w:b w:val="false"/>
          <w:color w:val="000000"/>
          <w:sz w:val="24"/>
        </w:rPr>
        <w:t xml:space="preserve">i)at any time between January 1, 2024 through December 31, 2026, Company may in its sole discretion elect to exercise its right to receive, and upon such election in </w:t>
      </w:r>
    </w:p>
    <w:p>
      <w:pPr>
        <w:pStyle w:val="TextBody"/>
        <w:bidi w:val="0"/>
        <w:spacing w:before="0" w:after="24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06705"/>
                <wp:effectExtent l="0" t="0" r="0" b="0"/>
                <wp:wrapNone/>
                <wp:docPr id="195" name="Frame19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writing by Company, Investor shall make to Company, an irrevocable, non-refundable, and non-deductible payment of up to Three Million Dollars ($3,000,000.00) (such amount so elected by Company and paid by Investor to Company, the “</w:t>
      </w:r>
      <w:r>
        <w:rPr>
          <w:rFonts w:ascii="Times New Roman;sans-serif" w:hAnsi="Times New Roman;sans-serif"/>
          <w:b w:val="false"/>
          <w:color w:val="000000"/>
          <w:sz w:val="24"/>
          <w:u w:val="single"/>
        </w:rPr>
        <w:t>Supplemental Discretionary Investment Amount 1</w:t>
      </w:r>
      <w:r>
        <w:rPr>
          <w:color w:val="000000"/>
        </w:rPr>
        <w:t>”</w:t>
      </w:r>
      <w:r>
        <w:rPr>
          <w:rFonts w:ascii="Times New Roman;sans-serif" w:hAnsi="Times New Roman;sans-serif"/>
          <w:b w:val="false"/>
          <w:color w:val="000000"/>
          <w:sz w:val="24"/>
        </w:rPr>
        <w:t xml:space="preserve">) within twenty (20) Business Days of the date of such notice; </w:t>
      </w:r>
    </w:p>
    <w:p>
      <w:pPr>
        <w:pStyle w:val="TextBody"/>
        <w:bidi w:val="0"/>
        <w:spacing w:lineRule="auto" w:line="240" w:before="0" w:after="240"/>
        <w:ind w:left="0" w:right="0" w:hanging="288"/>
        <w:jc w:val="both"/>
        <w:rPr/>
      </w:pPr>
      <w:bookmarkStart w:id="19" w:name="i4082ca982475484a92b8054d63335cc7"/>
      <w:bookmarkEnd w:id="19"/>
      <w:r>
        <w:rPr>
          <w:rFonts w:ascii="Times New Roman;sans-serif" w:hAnsi="Times New Roman;sans-serif"/>
          <w:b w:val="false"/>
          <w:color w:val="000000"/>
          <w:sz w:val="24"/>
        </w:rPr>
        <w:t>ii)at any time between January 1, 2024 through December 31, 2026, Company may in its sole discretion elect to exercise its right to receive, and upon such election in writing by Company, Investor shall make to Company, a second irrevocable, non-refundable, and non-deductible payment of up to Three Million Dollars ($3,000,000.00) (such amount so elected by Company and paid by Investor to Company, the “</w:t>
      </w:r>
      <w:r>
        <w:rPr>
          <w:rFonts w:ascii="Times New Roman;sans-serif" w:hAnsi="Times New Roman;sans-serif"/>
          <w:b w:val="false"/>
          <w:color w:val="000000"/>
          <w:sz w:val="24"/>
          <w:u w:val="single"/>
        </w:rPr>
        <w:t>Supplemental Discretionary Investment Amount 2</w:t>
      </w:r>
      <w:r>
        <w:rPr>
          <w:color w:val="000000"/>
        </w:rPr>
        <w:t>”</w:t>
      </w:r>
      <w:r>
        <w:rPr>
          <w:rFonts w:ascii="Times New Roman;sans-serif" w:hAnsi="Times New Roman;sans-serif"/>
          <w:b w:val="false"/>
          <w:color w:val="000000"/>
          <w:sz w:val="24"/>
        </w:rPr>
        <w:t>) within twenty (20) Business Days of the date of such notice;</w:t>
      </w:r>
    </w:p>
    <w:p>
      <w:pPr>
        <w:pStyle w:val="TextBody"/>
        <w:bidi w:val="0"/>
        <w:spacing w:lineRule="auto" w:line="240" w:before="0" w:after="240"/>
        <w:ind w:left="0" w:right="0" w:hanging="288"/>
        <w:jc w:val="left"/>
        <w:rPr/>
      </w:pPr>
      <w:bookmarkStart w:id="20" w:name="ibd209b52012a4b538d211dc4822c608d"/>
      <w:bookmarkEnd w:id="20"/>
      <w:r>
        <w:rPr>
          <w:rFonts w:ascii="Times New Roman;sans-serif" w:hAnsi="Times New Roman;sans-serif"/>
          <w:b w:val="false"/>
          <w:color w:val="000000"/>
          <w:sz w:val="24"/>
        </w:rPr>
        <w:t>iii)at any time between January 1, 2024 through December 31, 2026, Company may in its sole discretion elect to exercise its right to receive, and upon such election in writing by Company, Investor shall make to Company, a third irrevocable, non-refundable, and non-deductible payment of up to Three Million Dollars ($3,000,000.00) (such amount so elected by Company and paid by Investor to Company, the “</w:t>
      </w:r>
      <w:r>
        <w:rPr>
          <w:rFonts w:ascii="Times New Roman;sans-serif" w:hAnsi="Times New Roman;sans-serif"/>
          <w:b w:val="false"/>
          <w:color w:val="000000"/>
          <w:sz w:val="24"/>
          <w:u w:val="single"/>
        </w:rPr>
        <w:t>Supplemental Discretionary Investment Amount 3</w:t>
      </w:r>
      <w:r>
        <w:rPr>
          <w:color w:val="000000"/>
        </w:rPr>
        <w:t>”</w:t>
      </w:r>
      <w:r>
        <w:rPr>
          <w:rFonts w:ascii="Times New Roman;sans-serif" w:hAnsi="Times New Roman;sans-serif"/>
          <w:b w:val="false"/>
          <w:color w:val="000000"/>
          <w:sz w:val="24"/>
        </w:rPr>
        <w:t xml:space="preserve">) within twenty (20) Business Days of the date of such notice; provided that the amount of the Supplemental Discretionary Investment Amount 3 shall not exceed an amount that would cause the Total Investment Amount to exceed Twelve Million Dollars ($12,000,000.00). </w:t>
      </w:r>
    </w:p>
    <w:p>
      <w:pPr>
        <w:pStyle w:val="TextBody"/>
        <w:bidi w:val="0"/>
        <w:spacing w:lineRule="auto" w:line="240" w:before="0" w:after="240"/>
        <w:ind w:left="0" w:right="0" w:firstLine="720"/>
        <w:jc w:val="both"/>
        <w:rPr/>
      </w:pPr>
      <w:bookmarkStart w:id="21" w:name="i7d0df243d866418da78947d339056564"/>
      <w:bookmarkEnd w:id="21"/>
      <w:r>
        <w:rPr>
          <w:rFonts w:ascii="Times New Roman;sans-serif" w:hAnsi="Times New Roman;sans-serif"/>
          <w:b w:val="false"/>
          <w:color w:val="000000"/>
          <w:sz w:val="24"/>
        </w:rPr>
        <w:t>(c)</w:t>
      </w:r>
      <w:r>
        <w:rPr>
          <w:rFonts w:ascii="Times New Roman;sans-serif" w:hAnsi="Times New Roman;sans-serif"/>
          <w:b w:val="false"/>
          <w:color w:val="000000"/>
          <w:sz w:val="24"/>
          <w:u w:val="single"/>
        </w:rPr>
        <w:t>Warrants</w:t>
      </w:r>
      <w:r>
        <w:rPr>
          <w:rFonts w:ascii="Times New Roman;sans-serif" w:hAnsi="Times New Roman;sans-serif"/>
          <w:b w:val="false"/>
          <w:color w:val="000000"/>
          <w:sz w:val="24"/>
        </w:rPr>
        <w:t xml:space="preserve">. Upon funding the Initial Investment Amount, Company shall issue to Investor a warrant to purchase 5,000,000 shares of Company Common Stock in substantially the form attached hereto as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Closing Warrant</w:t>
      </w:r>
      <w:r>
        <w:rPr>
          <w:color w:val="000000"/>
        </w:rPr>
        <w:t>”</w:t>
      </w:r>
      <w:r>
        <w:rPr>
          <w:rFonts w:ascii="Times New Roman;sans-serif" w:hAnsi="Times New Roman;sans-serif"/>
          <w:b w:val="false"/>
          <w:color w:val="000000"/>
          <w:sz w:val="24"/>
        </w:rPr>
        <w:t xml:space="preserve">). If Company exercises its right receive any Supplemental Discretionary Investment Amount in accordance with </w:t>
      </w:r>
      <w:r>
        <w:rPr>
          <w:rFonts w:ascii="Times New Roman;sans-serif" w:hAnsi="Times New Roman;sans-serif"/>
          <w:b w:val="false"/>
          <w:color w:val="000000"/>
          <w:sz w:val="24"/>
          <w:u w:val="single"/>
        </w:rPr>
        <w:t>Section 2.03(b</w:t>
      </w:r>
      <w:r>
        <w:rPr>
          <w:rFonts w:ascii="Times New Roman;sans-serif" w:hAnsi="Times New Roman;sans-serif"/>
          <w:b w:val="false"/>
          <w:color w:val="000000"/>
          <w:sz w:val="24"/>
        </w:rPr>
        <w:t xml:space="preserve">), then, upon receipt of such payment, Company shall issue to Investor a warrant to purchase Company Common Stock in substantially the form attached hereto as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Supplemental Investment Warrant</w:t>
      </w:r>
      <w:r>
        <w:rPr>
          <w:color w:val="000000"/>
        </w:rPr>
        <w:t xml:space="preserve">” </w:t>
      </w:r>
      <w:r>
        <w:rPr>
          <w:rFonts w:ascii="Times New Roman;sans-serif" w:hAnsi="Times New Roman;sans-serif"/>
          <w:b w:val="false"/>
          <w:color w:val="000000"/>
          <w:sz w:val="24"/>
        </w:rPr>
        <w:t>and, together with the Closing Warrant, the “</w:t>
      </w:r>
      <w:r>
        <w:rPr>
          <w:rFonts w:ascii="Times New Roman;sans-serif" w:hAnsi="Times New Roman;sans-serif"/>
          <w:b w:val="false"/>
          <w:color w:val="000000"/>
          <w:sz w:val="24"/>
          <w:u w:val="single"/>
        </w:rPr>
        <w:t>Warrants</w:t>
      </w:r>
      <w:r>
        <w:rPr>
          <w:color w:val="000000"/>
        </w:rPr>
        <w:t>”</w:t>
      </w:r>
      <w:r>
        <w:rPr>
          <w:rFonts w:ascii="Times New Roman;sans-serif" w:hAnsi="Times New Roman;sans-serif"/>
          <w:b w:val="false"/>
          <w:color w:val="000000"/>
          <w:sz w:val="24"/>
        </w:rPr>
        <w:t>) for a number of shares equal to 1,000,000 (as adjusted in accordance with Section 3(a) of the Warrant) for each $1,000,000 received. Any fundings which are not in even million-dollar increments shall accrue warrants pro-rata (e.g., $2,400,000/2,400,000 shares). For avoidance of doubt, the total number of shares that may become issuable under this Section 2.03(c) shall not exceed 12,000,000 (as adjusted in accordance with Section 3(a) of the Warrant).</w:t>
      </w:r>
    </w:p>
    <w:p>
      <w:pPr>
        <w:pStyle w:val="TextBody"/>
        <w:bidi w:val="0"/>
        <w:spacing w:lineRule="auto" w:line="240" w:before="0" w:after="240"/>
        <w:ind w:left="0" w:right="0" w:firstLine="720"/>
        <w:jc w:val="both"/>
        <w:rPr/>
      </w:pPr>
      <w:bookmarkStart w:id="22" w:name="i9aee51a889c649339a01df8928df9297"/>
      <w:bookmarkEnd w:id="22"/>
      <w:r>
        <w:rPr>
          <w:rFonts w:ascii="Times New Roman;sans-serif" w:hAnsi="Times New Roman;sans-serif"/>
          <w:b w:val="false"/>
          <w:color w:val="000000"/>
          <w:sz w:val="24"/>
        </w:rPr>
        <w:t>(d)</w:t>
      </w:r>
      <w:r>
        <w:rPr>
          <w:rFonts w:ascii="Times New Roman;sans-serif" w:hAnsi="Times New Roman;sans-serif"/>
          <w:b w:val="false"/>
          <w:color w:val="000000"/>
          <w:sz w:val="24"/>
          <w:u w:val="single"/>
        </w:rPr>
        <w:t>Payment Procedure</w:t>
      </w:r>
      <w:r>
        <w:rPr>
          <w:rFonts w:ascii="Times New Roman;sans-serif" w:hAnsi="Times New Roman;sans-serif"/>
          <w:b w:val="false"/>
          <w:color w:val="000000"/>
          <w:sz w:val="24"/>
        </w:rPr>
        <w:t xml:space="preserve">. The payments to be made by Investor to Company pursuant to this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shall be paid by wire transfer of immediately available funds to the account(s) designated by Company. The Initial Investment Amount, the Supplemental Discretionary Investment Amount 1, as applicable, the Supplemental Discretionary Investment Amount 2, as applicable, and the Supplemental Discretionary Investment Amount 3, as applicable, will be non-creditable and non-refundable, and notwithstanding any provision to the contrary set forth in this Agreement, will not be subject to any withholding or offset or reduction for any Tax.</w:t>
      </w:r>
    </w:p>
    <w:p>
      <w:pPr>
        <w:pStyle w:val="TextBody"/>
        <w:bidi w:val="0"/>
        <w:spacing w:lineRule="auto" w:line="240" w:before="0" w:after="240"/>
        <w:ind w:left="0" w:right="0" w:hanging="1440"/>
        <w:jc w:val="left"/>
        <w:rPr/>
      </w:pPr>
      <w:bookmarkStart w:id="23" w:name="if50cf68d4fcb4162ae5330bc9d369f1a"/>
      <w:bookmarkEnd w:id="23"/>
      <w:r>
        <w:rPr>
          <w:rFonts w:ascii="Times New Roman;sans-serif" w:hAnsi="Times New Roman;sans-serif"/>
          <w:b/>
          <w:color w:val="000000"/>
          <w:sz w:val="24"/>
        </w:rPr>
        <w:t>Section 1.04</w:t>
      </w:r>
      <w:r>
        <w:rPr>
          <w:rFonts w:ascii="Times New Roman;sans-serif" w:hAnsi="Times New Roman;sans-serif"/>
          <w:b/>
          <w:color w:val="000000"/>
          <w:sz w:val="24"/>
          <w:u w:val="single"/>
        </w:rPr>
        <w:t>No Assumed Obligations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Notwithstanding any provision in this Agreement or any other Transaction Document or writing to the contrary, Investor is accepting the purchase and assignment of only the Purchased Interest and is not assuming any liability or obligation of Company or any of its Affiliates of whatever nature, whether presently in existence or arising or asserted hereafter, whether known or unknown, and whether under the Sublicense Agreements or otherwise (the “</w:t>
      </w:r>
      <w:r>
        <w:rPr>
          <w:rFonts w:ascii="Times New Roman;sans-serif" w:hAnsi="Times New Roman;sans-serif"/>
          <w:b w:val="false"/>
          <w:color w:val="000000"/>
          <w:sz w:val="24"/>
          <w:u w:val="single"/>
        </w:rPr>
        <w:t xml:space="preserve">Excluded </w:t>
      </w:r>
    </w:p>
    <w:p>
      <w:pPr>
        <w:pStyle w:val="TextBody"/>
        <w:bidi w:val="0"/>
        <w:spacing w:before="0" w:after="24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06705"/>
                <wp:effectExtent l="0" t="0" r="0" b="0"/>
                <wp:wrapNone/>
                <wp:docPr id="196" name="Frame19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Liabilities and Obligations</w:t>
      </w:r>
      <w:r>
        <w:rPr>
          <w:color w:val="000000"/>
        </w:rPr>
        <w:t>”</w:t>
      </w:r>
      <w:r>
        <w:rPr>
          <w:rFonts w:ascii="Times New Roman;sans-serif" w:hAnsi="Times New Roman;sans-serif"/>
          <w:b w:val="false"/>
          <w:color w:val="000000"/>
          <w:sz w:val="24"/>
        </w:rPr>
        <w:t>). All such Excluded Liabilities and Obligations shall be retained by and remain obligations and liabilities solely of Company or its Affiliates.</w:t>
      </w:r>
    </w:p>
    <w:p>
      <w:pPr>
        <w:pStyle w:val="TextBody"/>
        <w:bidi w:val="0"/>
        <w:spacing w:lineRule="auto" w:line="240" w:before="0" w:after="240"/>
        <w:jc w:val="center"/>
        <w:rPr/>
      </w:pPr>
      <w:bookmarkStart w:id="24" w:name="ib4021930b7eb43b8b30689796dc760cc"/>
      <w:bookmarkEnd w:id="24"/>
      <w:r>
        <w:rPr>
          <w:rFonts w:ascii="Times New Roman;sans-serif" w:hAnsi="Times New Roman;sans-serif"/>
          <w:b/>
          <w:color w:val="000000"/>
          <w:sz w:val="24"/>
        </w:rPr>
        <w:t>Article III.</w:t>
      </w:r>
      <w:r>
        <w:rPr>
          <w:rFonts w:ascii="Times New Roman;sans-serif" w:hAnsi="Times New Roman;sans-serif"/>
          <w:b/>
          <w:color w:val="000000"/>
          <w:sz w:val="24"/>
        </w:rPr>
        <w:br/>
        <w:t>REPRESENTATIONS AND WARRANTIES OF COMPANY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Company, hereby represents and warrants to Investor the following:</w:t>
      </w:r>
    </w:p>
    <w:p>
      <w:pPr>
        <w:pStyle w:val="TextBody"/>
        <w:bidi w:val="0"/>
        <w:spacing w:lineRule="auto" w:line="240" w:before="0" w:after="240"/>
        <w:ind w:left="0" w:right="0" w:hanging="1440"/>
        <w:jc w:val="left"/>
        <w:rPr/>
      </w:pPr>
      <w:bookmarkStart w:id="25" w:name="ib5d7d0589e594387b885ac0c6d4879c7"/>
      <w:bookmarkEnd w:id="25"/>
      <w:r>
        <w:rPr>
          <w:rFonts w:ascii="Times New Roman;sans-serif" w:hAnsi="Times New Roman;sans-serif"/>
          <w:b/>
          <w:color w:val="000000"/>
          <w:sz w:val="24"/>
        </w:rPr>
        <w:t>Section 1.01</w:t>
      </w:r>
      <w:r>
        <w:rPr>
          <w:rFonts w:ascii="Times New Roman;sans-serif" w:hAnsi="Times New Roman;sans-serif"/>
          <w:b/>
          <w:color w:val="000000"/>
          <w:sz w:val="24"/>
          <w:u w:val="single"/>
        </w:rPr>
        <w:t>Organization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is a corporation duly incorporated, validly existing, and in good standing under the laws of the state of Delaware, and has all corporate powers and all licenses, authorizations, consents and approvals required in connection with the transactions contemplated by the Transaction Documents. </w:t>
      </w:r>
    </w:p>
    <w:p>
      <w:pPr>
        <w:pStyle w:val="TextBody"/>
        <w:bidi w:val="0"/>
        <w:spacing w:lineRule="auto" w:line="240" w:before="0" w:after="240"/>
        <w:ind w:left="0" w:right="0" w:hanging="1440"/>
        <w:jc w:val="left"/>
        <w:rPr/>
      </w:pPr>
      <w:bookmarkStart w:id="26" w:name="i98e06817f1fc4e6fa7d673e18a33503b"/>
      <w:bookmarkEnd w:id="26"/>
      <w:r>
        <w:rPr>
          <w:rFonts w:ascii="Times New Roman;sans-serif" w:hAnsi="Times New Roman;sans-serif"/>
          <w:b/>
          <w:color w:val="000000"/>
          <w:sz w:val="24"/>
        </w:rPr>
        <w:t>Section 1.02</w:t>
      </w:r>
      <w:r>
        <w:rPr>
          <w:rFonts w:ascii="Times New Roman;sans-serif" w:hAnsi="Times New Roman;sans-serif"/>
          <w:b/>
          <w:color w:val="000000"/>
          <w:sz w:val="24"/>
          <w:u w:val="single"/>
        </w:rPr>
        <w:t>Entity Authorization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Company has all necessary power and authority to enter into, execute and deliver the Transaction Documents to which it is a party and to perform all of the obligations to be performed by it hereunder and thereunder and to consummate the transactions contemplated hereunder and thereunder. The Transaction Documents have been duly authorized, executed and delivered by Company and each Transaction Document constitutes the valid and binding obligation of Company, enforceable against Company in accordance with their respective terms, subject, as to enforcement of remedies, to bankruptcy, insolvency, reorganization, moratorium, or similar laws affecting creditors’ rights generally or general equitable principles.</w:t>
      </w:r>
    </w:p>
    <w:p>
      <w:pPr>
        <w:pStyle w:val="TextBody"/>
        <w:bidi w:val="0"/>
        <w:spacing w:lineRule="auto" w:line="240" w:before="0" w:after="240"/>
        <w:ind w:left="0" w:right="0" w:hanging="1440"/>
        <w:jc w:val="left"/>
        <w:rPr/>
      </w:pPr>
      <w:bookmarkStart w:id="27" w:name="i6a057de6608d4ce299c78f31c93c8da8"/>
      <w:bookmarkEnd w:id="27"/>
      <w:r>
        <w:rPr>
          <w:rFonts w:ascii="Times New Roman;sans-serif" w:hAnsi="Times New Roman;sans-serif"/>
          <w:b/>
          <w:color w:val="000000"/>
          <w:sz w:val="24"/>
        </w:rPr>
        <w:t>Section 1.03</w:t>
      </w:r>
      <w:r>
        <w:rPr>
          <w:rFonts w:ascii="Times New Roman;sans-serif" w:hAnsi="Times New Roman;sans-serif"/>
          <w:b/>
          <w:color w:val="000000"/>
          <w:sz w:val="24"/>
          <w:u w:val="single"/>
        </w:rPr>
        <w:t>Governmental Authorization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execution and delivery by Company of the Transaction Documents, and the performance by Company of its obligations hereunder and thereunder, does not require any notice to, action or consent by, or in respect of, or filing with, any Governmental Authority.</w:t>
      </w:r>
    </w:p>
    <w:p>
      <w:pPr>
        <w:pStyle w:val="TextBody"/>
        <w:bidi w:val="0"/>
        <w:spacing w:lineRule="auto" w:line="240" w:before="0" w:after="240"/>
        <w:ind w:left="0" w:right="0" w:hanging="1440"/>
        <w:jc w:val="left"/>
        <w:rPr/>
      </w:pPr>
      <w:bookmarkStart w:id="28" w:name="i943a5c131d43423cb0d99ca6dce4473a"/>
      <w:bookmarkEnd w:id="28"/>
      <w:r>
        <w:rPr>
          <w:rFonts w:ascii="Times New Roman;sans-serif" w:hAnsi="Times New Roman;sans-serif"/>
          <w:b/>
          <w:color w:val="000000"/>
          <w:sz w:val="24"/>
        </w:rPr>
        <w:t>Section 1.04</w:t>
      </w:r>
      <w:r>
        <w:rPr>
          <w:rFonts w:ascii="Times New Roman;sans-serif" w:hAnsi="Times New Roman;sans-serif"/>
          <w:b/>
          <w:color w:val="000000"/>
          <w:sz w:val="24"/>
          <w:u w:val="single"/>
        </w:rPr>
        <w:t>Ownership Intellectual Property Related to the Purchased Interest</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29" w:name="i79bc7ebfadac4743806768a9fd257b97"/>
      <w:bookmarkEnd w:id="29"/>
      <w:r>
        <w:rPr>
          <w:rFonts w:ascii="Times New Roman;sans-serif" w:hAnsi="Times New Roman;sans-serif"/>
          <w:b w:val="false"/>
          <w:color w:val="000000"/>
          <w:sz w:val="24"/>
        </w:rPr>
        <w:t>(a)</w:t>
      </w:r>
      <w:r>
        <w:rPr>
          <w:rFonts w:ascii="Times New Roman;sans-serif" w:hAnsi="Times New Roman;sans-serif"/>
          <w:b w:val="false"/>
          <w:color w:val="000000"/>
          <w:sz w:val="24"/>
        </w:rPr>
        <w:t>To the Knowledge of Company, Company owns, or holds a valid license under, all of the Intellectual Property, subject to the rights of the Licensor under the License Agreement and the rights of the Sublicensee under the Sublicense Agreement, and no license or covenant not to sue under any Intellectual Property or Regulatory Approvals with respect to any Licensed Product has been granted by Company to any Third Party in the Territory, with the exception of the rights granted to the Sublicensee under the Sublicense Agreement and the rights granted to the Licensor under the License Agreement.</w:t>
      </w:r>
    </w:p>
    <w:p>
      <w:pPr>
        <w:pStyle w:val="TextBody"/>
        <w:bidi w:val="0"/>
        <w:spacing w:lineRule="auto" w:line="240" w:before="0" w:after="240"/>
        <w:ind w:left="0" w:right="0" w:firstLine="720"/>
        <w:jc w:val="both"/>
        <w:rPr/>
      </w:pPr>
      <w:bookmarkStart w:id="30" w:name="ibc53832d421048189eeb03bd39341c6f"/>
      <w:bookmarkEnd w:id="30"/>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 Company, as of immediately prior to the sale and assignment of the Purchased Interest as provided herein, was and through the terms of the Sublicense Agreement continued to be, the sole holder of, the Purchased Interest; (ii) Company has not transferred, sold, conveyed, assigned, or otherwise disposed of, or agreed to transfer, sell, convey, assign, or otherwise dispose of any portion of the Milestones or Royalties other than as contemplated by this Agreement; (iii) no Person other than Company has any right to receive the payments payable under the Sublicense Agreement, other than Investor’s rights with respect to the Purchased Interest, from and after the Effective Date; (iv) Company has the full right to sell, transfer, convey and assign to Investor all of its rights and interests in and to the Purchased Interest without any requirement to obtain the consent of any Person which has not been obtained; and (vi) subject to the payment by Investor to Company pursuant to </w:t>
      </w:r>
      <w:r>
        <w:rPr>
          <w:rFonts w:ascii="Times New Roman;sans-serif" w:hAnsi="Times New Roman;sans-serif"/>
          <w:b w:val="false"/>
          <w:color w:val="000000"/>
          <w:sz w:val="24"/>
          <w:u w:val="single"/>
        </w:rPr>
        <w:t>Section 2.03(a)</w:t>
      </w:r>
      <w:r>
        <w:rPr>
          <w:rFonts w:ascii="Times New Roman;sans-serif" w:hAnsi="Times New Roman;sans-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06705"/>
                <wp:effectExtent l="0" t="0" r="0" b="0"/>
                <wp:wrapNone/>
                <wp:docPr id="197" name="Frame19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hanging="1440"/>
        <w:jc w:val="left"/>
        <w:rPr/>
      </w:pPr>
      <w:bookmarkStart w:id="31" w:name="ie6320184f5774dc0b099ed0692a3afd3"/>
      <w:bookmarkEnd w:id="31"/>
      <w:r>
        <w:rPr>
          <w:rFonts w:ascii="Times New Roman;sans-serif" w:hAnsi="Times New Roman;sans-serif"/>
          <w:b/>
          <w:color w:val="000000"/>
          <w:sz w:val="24"/>
        </w:rPr>
        <w:t>Section 1.05</w:t>
      </w:r>
      <w:r>
        <w:rPr>
          <w:rFonts w:ascii="Times New Roman;sans-serif" w:hAnsi="Times New Roman;sans-serif"/>
          <w:b/>
          <w:color w:val="000000"/>
          <w:sz w:val="24"/>
          <w:u w:val="single"/>
        </w:rPr>
        <w:t>Financial Statements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Company has provided to Investor its audited balance sheets as of December 31, 2021 and December 31, 2022, and the related audited statements of operations, stockholders’ equity, and cash flows of Company for the year ended December 31, 2021 and 2022, and the unaudited consolidated balance sheet of Company and its Subsidiaries at September 30, 2023 and the related unaudited consolidated statements of operations and cash flows of Company and its Subsidiaries for the fiscal quarter ended September 30, 2023 and the accompanying footnotes thereto (such sheets and statements and footnotes, the “</w:t>
      </w:r>
      <w:r>
        <w:rPr>
          <w:rFonts w:ascii="Times New Roman;sans-serif" w:hAnsi="Times New Roman;sans-serif"/>
          <w:b w:val="false"/>
          <w:color w:val="000000"/>
          <w:sz w:val="24"/>
          <w:u w:val="single"/>
        </w:rPr>
        <w:t>Financial Statements</w:t>
      </w:r>
      <w:r>
        <w:rPr>
          <w:color w:val="000000"/>
        </w:rPr>
        <w:t>”</w:t>
      </w:r>
      <w:r>
        <w:rPr>
          <w:rFonts w:ascii="Times New Roman;sans-serif" w:hAnsi="Times New Roman;sans-serif"/>
          <w:b w:val="false"/>
          <w:color w:val="000000"/>
          <w:sz w:val="24"/>
        </w:rPr>
        <w:t xml:space="preserve">). The Financial Statements are complete and accurate in all material respects, were prepared in accordance with GAAP and present fairly in all material respects the financial position and the financial results of Company as of the dates and for the periods covered thereby. </w:t>
      </w:r>
    </w:p>
    <w:p>
      <w:pPr>
        <w:pStyle w:val="TextBody"/>
        <w:bidi w:val="0"/>
        <w:spacing w:lineRule="auto" w:line="240" w:before="0" w:after="240"/>
        <w:ind w:left="0" w:right="0" w:hanging="1440"/>
        <w:jc w:val="left"/>
        <w:rPr/>
      </w:pPr>
      <w:bookmarkStart w:id="32" w:name="i0e69c314f52c4822a7b8f8c0cf61bf3e"/>
      <w:bookmarkEnd w:id="32"/>
      <w:r>
        <w:rPr>
          <w:rFonts w:ascii="Times New Roman;sans-serif" w:hAnsi="Times New Roman;sans-serif"/>
          <w:b/>
          <w:color w:val="000000"/>
          <w:sz w:val="24"/>
        </w:rPr>
        <w:t>Section 1.06</w:t>
      </w:r>
      <w:r>
        <w:rPr>
          <w:rFonts w:ascii="Times New Roman;sans-serif" w:hAnsi="Times New Roman;sans-serif"/>
          <w:b/>
          <w:color w:val="000000"/>
          <w:sz w:val="24"/>
          <w:u w:val="single"/>
        </w:rPr>
        <w:t xml:space="preserve">No Undisclosed Liabilities.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for those liabilities (i) specifically identified in the Financial Statements, (ii) incurred by Company in the ordinary course of business since September 30, 2023, or (iii) in connection with Company’s obligations under the Transaction Documents, there are no material liabilities of Company of any kind whatsoever, whether accrued, contingent, absolute, determined, or determinable, except as would not reasonably be expected to result in a Material Adverse Effect. The Company agrees that it has not previously and shall never in the future borrow against or assign any portion of its interest in the funds to be paid by Sublicensee to Company for the Xaciato Product to any third party without advance disclosure and written approval of Investor.</w:t>
      </w:r>
    </w:p>
    <w:p>
      <w:pPr>
        <w:pStyle w:val="TextBody"/>
        <w:bidi w:val="0"/>
        <w:spacing w:lineRule="auto" w:line="240" w:before="0" w:after="240"/>
        <w:ind w:left="0" w:right="0" w:hanging="1440"/>
        <w:jc w:val="left"/>
        <w:rPr/>
      </w:pPr>
      <w:bookmarkStart w:id="33" w:name="i98b5f78501e948e88b93f80e6a71ebab"/>
      <w:bookmarkEnd w:id="33"/>
      <w:r>
        <w:rPr>
          <w:rFonts w:ascii="Times New Roman;sans-serif" w:hAnsi="Times New Roman;sans-serif"/>
          <w:b/>
          <w:color w:val="000000"/>
          <w:sz w:val="24"/>
        </w:rPr>
        <w:t>Section 1.07</w:t>
      </w:r>
      <w:r>
        <w:rPr>
          <w:rFonts w:ascii="Times New Roman;sans-serif" w:hAnsi="Times New Roman;sans-serif"/>
          <w:b/>
          <w:color w:val="000000"/>
          <w:sz w:val="24"/>
          <w:u w:val="single"/>
        </w:rPr>
        <w:t>Solvency</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Assuming consummation of the transactions contemplated by the Transaction Documents, (i) the present fair saleable value of assets of Company is greater than the amount required to pay its debts as they become due, (ii) Company does not have unreasonably small capital with which to engage in its business, and (iii) Company has not incurred, nor does Company have present plans to or intend to incur, debts or liabilities beyond its ability to pay such debts or liabilities as they become absolute and matured.</w:t>
      </w:r>
    </w:p>
    <w:p>
      <w:pPr>
        <w:pStyle w:val="TextBody"/>
        <w:bidi w:val="0"/>
        <w:spacing w:lineRule="auto" w:line="240" w:before="0" w:after="240"/>
        <w:ind w:left="0" w:right="0" w:hanging="1440"/>
        <w:jc w:val="left"/>
        <w:rPr/>
      </w:pPr>
      <w:bookmarkStart w:id="34" w:name="i85b79fa711974e04a3078761dfccd421"/>
      <w:bookmarkEnd w:id="34"/>
      <w:r>
        <w:rPr>
          <w:rFonts w:ascii="Times New Roman;sans-serif" w:hAnsi="Times New Roman;sans-serif"/>
          <w:b/>
          <w:color w:val="000000"/>
          <w:sz w:val="24"/>
        </w:rPr>
        <w:t>Section 1.08</w:t>
      </w:r>
      <w:r>
        <w:rPr>
          <w:rFonts w:ascii="Times New Roman;sans-serif" w:hAnsi="Times New Roman;sans-serif"/>
          <w:b/>
          <w:color w:val="000000"/>
          <w:sz w:val="24"/>
          <w:u w:val="single"/>
        </w:rPr>
        <w:t>Litigation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is no (i) action, suit, arbitration proceeding, claim, investigation or other proceeding pending against Company or, to the Knowledge of Company, threatened against Company, or, to the Knowledge of Company, pending or threatened against the Licensor or Sublicensee or (ii) governmental inquiry pending or, to the Knowledge of Company, threatened against Company, or, to the Knowledge of Company, the Licensor or the Sublicensee, in each case with respect to clauses (i) and (ii) above, which, if adversely determined, would reasonably be expected to result in a Material Adverse Effect. There is no action, suit, claim, proceeding or investigation pending or, to the Knowledge of Company, threatened against Company, or to the Knowledge of Company, pending or threatened against the Licensor or the Sublicensee or any other Person, relating to the Royalties and Milestones, which, if adversely determined, in each case that would reasonably be expected to result in a Material Adverse Effect. </w:t>
      </w:r>
    </w:p>
    <w:p>
      <w:pPr>
        <w:pStyle w:val="TextBody"/>
        <w:bidi w:val="0"/>
        <w:spacing w:lineRule="auto" w:line="240" w:before="0" w:after="240"/>
        <w:ind w:left="0" w:right="0" w:hanging="1440"/>
        <w:jc w:val="left"/>
        <w:rPr/>
      </w:pPr>
      <w:bookmarkStart w:id="35" w:name="i31f8a392f4094dc78999620889a8f5ba"/>
      <w:bookmarkEnd w:id="35"/>
      <w:r>
        <w:rPr>
          <w:rFonts w:ascii="Times New Roman;sans-serif" w:hAnsi="Times New Roman;sans-serif"/>
          <w:b/>
          <w:color w:val="000000"/>
          <w:sz w:val="24"/>
        </w:rPr>
        <w:t>Section 1.09</w:t>
      </w:r>
      <w:r>
        <w:rPr>
          <w:rFonts w:ascii="Times New Roman;sans-serif" w:hAnsi="Times New Roman;sans-serif"/>
          <w:b/>
          <w:color w:val="000000"/>
          <w:sz w:val="24"/>
          <w:u w:val="single"/>
        </w:rPr>
        <w:t>Compliance with Laws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36" w:name="i78b5974152ec46298caabaed2043de2e"/>
      <w:bookmarkEnd w:id="36"/>
      <w:r>
        <w:rPr>
          <w:rFonts w:ascii="Times New Roman;sans-serif" w:hAnsi="Times New Roman;sans-serif"/>
          <w:b w:val="false"/>
          <w:color w:val="000000"/>
          <w:sz w:val="24"/>
        </w:rPr>
        <w:t>(a)</w:t>
      </w:r>
      <w:r>
        <w:rPr>
          <w:rFonts w:ascii="Times New Roman;sans-serif" w:hAnsi="Times New Roman;sans-serif"/>
          <w:b w:val="false"/>
          <w:color w:val="000000"/>
          <w:sz w:val="24"/>
        </w:rPr>
        <w:t xml:space="preserve">Company (i) is not in violation of, has not violated, or to the Knowledge of Company, is not under investigation with respect to, and (ii) has not been, or to the Knowledge of Company, threatened to be, charged with or been given notice of any violation of any law, rule, ordinance or regulation of, or any judgment, order, writ, decree, permit or license entered by </w:t>
      </w:r>
    </w:p>
    <w:p>
      <w:pPr>
        <w:pStyle w:val="TextBody"/>
        <w:bidi w:val="0"/>
        <w:spacing w:before="0" w:after="24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06705"/>
                <wp:effectExtent l="0" t="0" r="0" b="0"/>
                <wp:wrapNone/>
                <wp:docPr id="198" name="Frame19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Governmental Authority applicable to Company, the Royalties or the Milestones that would reasonably be expected to result in a Material Adverse Effect.</w:t>
      </w:r>
    </w:p>
    <w:p>
      <w:pPr>
        <w:pStyle w:val="TextBody"/>
        <w:bidi w:val="0"/>
        <w:spacing w:lineRule="auto" w:line="240" w:before="0" w:after="240"/>
        <w:ind w:left="0" w:right="0" w:firstLine="720"/>
        <w:jc w:val="both"/>
        <w:rPr/>
      </w:pPr>
      <w:bookmarkStart w:id="37" w:name="i0cb851647f494782aeb24234577ee710"/>
      <w:bookmarkEnd w:id="37"/>
      <w:r>
        <w:rPr>
          <w:rFonts w:ascii="Times New Roman;sans-serif" w:hAnsi="Times New Roman;sans-serif"/>
          <w:b w:val="false"/>
          <w:color w:val="000000"/>
          <w:sz w:val="24"/>
        </w:rPr>
        <w:t>(b)</w:t>
      </w:r>
      <w:r>
        <w:rPr>
          <w:rFonts w:ascii="Times New Roman;sans-serif" w:hAnsi="Times New Roman;sans-serif"/>
          <w:b w:val="false"/>
          <w:color w:val="000000"/>
          <w:sz w:val="24"/>
        </w:rPr>
        <w:t>As of the Effective Date, Company, or to the knowledge of Company, any of its directors, officers, employees, agents, representatives or Affiliates (i) is a Sanctioned Person or currently the subject or target of any Sanctions, (ii) has its assets located in a Sanctioned Country, (iii)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(iv) directly or indirectly derives revenues from investments in, or transactions with, Sanctioned Persons in violation of any Sanctions.</w:t>
      </w:r>
    </w:p>
    <w:p>
      <w:pPr>
        <w:pStyle w:val="TextBody"/>
        <w:bidi w:val="0"/>
        <w:spacing w:lineRule="auto" w:line="240" w:before="0" w:after="240"/>
        <w:ind w:left="0" w:right="0" w:hanging="1440"/>
        <w:jc w:val="left"/>
        <w:rPr/>
      </w:pPr>
      <w:bookmarkStart w:id="38" w:name="i6212d7cbea3a420facb1151ede78fb4d"/>
      <w:bookmarkEnd w:id="38"/>
      <w:r>
        <w:rPr>
          <w:rFonts w:ascii="Times New Roman;sans-serif" w:hAnsi="Times New Roman;sans-serif"/>
          <w:b/>
          <w:color w:val="000000"/>
          <w:sz w:val="24"/>
        </w:rPr>
        <w:t>Section 1.10</w:t>
      </w:r>
      <w:r>
        <w:rPr>
          <w:rFonts w:ascii="Times New Roman;sans-serif" w:hAnsi="Times New Roman;sans-serif"/>
          <w:b/>
          <w:color w:val="000000"/>
          <w:sz w:val="24"/>
          <w:u w:val="single"/>
        </w:rPr>
        <w:t>Conflicts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execution and delivery of any of the Transaction Documents nor the performance or consummation of the transactions contemplated hereby and thereby will: (i) contravene, conflict with, result in a breach or violation of, constitute a default under, or accelerate the performance provided by, in any material respects any provisions of: (A) any law, rule, ordinance or regulation of any Governmental Authority, or any judgment, order, writ, decree, permit or license of any Governmental Authority, to which Company or any of its assets or properties may be subject or bound; or (B) any contract, agreement, commitment or instrument to which Company is a party or by which Company or any of its assets or properties is bound or committed; (ii) contravene, conflict with, result in a breach or violation of, constitute a default under, or accelerate the performance provided by, any provisions of the certificate of incorporation or by-laws of Company; (iii) require any notification to, filing with, or consent of, any Person or Governmental Authority other than the consents obtained by Company prior to the Closing; or (iv) give rise to any right of termination, cancellation or acceleration of any right or obligation of Company or any other Person or to a loss of any benefit relating to the Purchased Interest; in each case (i)-(iv) above, which would reasonably be expected to result in a Material Adverse Effect.</w:t>
      </w:r>
    </w:p>
    <w:p>
      <w:pPr>
        <w:pStyle w:val="TextBody"/>
        <w:bidi w:val="0"/>
        <w:spacing w:lineRule="auto" w:line="240" w:before="0" w:after="240"/>
        <w:ind w:left="0" w:right="0" w:hanging="1440"/>
        <w:jc w:val="left"/>
        <w:rPr/>
      </w:pPr>
      <w:bookmarkStart w:id="39" w:name="i46e20b5601854c69934212bf7855ea9d"/>
      <w:bookmarkEnd w:id="39"/>
      <w:r>
        <w:rPr>
          <w:rFonts w:ascii="Times New Roman;sans-serif" w:hAnsi="Times New Roman;sans-serif"/>
          <w:b/>
          <w:color w:val="000000"/>
          <w:sz w:val="24"/>
        </w:rPr>
        <w:t>Section 1.11</w:t>
      </w:r>
      <w:r>
        <w:rPr>
          <w:rFonts w:ascii="Times New Roman;sans-serif" w:hAnsi="Times New Roman;sans-serif"/>
          <w:b/>
          <w:color w:val="000000"/>
          <w:sz w:val="24"/>
          <w:u w:val="single"/>
        </w:rPr>
        <w:t>[Reserved]</w:t>
      </w:r>
      <w:r>
        <w:rPr>
          <w:rFonts w:ascii="Times New Roman;sans-serif" w:hAnsi="Times New Roman;sans-serif"/>
          <w:b/>
          <w:color w:val="000000"/>
          <w:sz w:val="24"/>
        </w:rPr>
        <w:t xml:space="preserve">. </w:t>
      </w:r>
    </w:p>
    <w:p>
      <w:pPr>
        <w:pStyle w:val="TextBody"/>
        <w:bidi w:val="0"/>
        <w:spacing w:lineRule="auto" w:line="240" w:before="0" w:after="240"/>
        <w:ind w:left="0" w:right="0" w:hanging="1440"/>
        <w:jc w:val="left"/>
        <w:rPr/>
      </w:pPr>
      <w:bookmarkStart w:id="40" w:name="ib060d3fb347a4cf9a8e483687cdc1ce8"/>
      <w:bookmarkEnd w:id="40"/>
      <w:r>
        <w:rPr>
          <w:rFonts w:ascii="Times New Roman;sans-serif" w:hAnsi="Times New Roman;sans-serif"/>
          <w:b/>
          <w:color w:val="000000"/>
          <w:sz w:val="24"/>
        </w:rPr>
        <w:t>Section 1.12</w:t>
      </w:r>
      <w:r>
        <w:rPr>
          <w:rFonts w:ascii="Times New Roman;sans-serif" w:hAnsi="Times New Roman;sans-serif"/>
          <w:b/>
          <w:color w:val="000000"/>
          <w:sz w:val="24"/>
          <w:u w:val="single"/>
        </w:rPr>
        <w:t>Intellectual Property</w:t>
      </w:r>
      <w:r>
        <w:rPr>
          <w:rFonts w:ascii="Times New Roman;sans-serif" w:hAnsi="Times New Roman;sans-serif"/>
          <w:b/>
          <w:color w:val="000000"/>
          <w:sz w:val="24"/>
        </w:rPr>
        <w:t xml:space="preserve">. </w:t>
      </w:r>
    </w:p>
    <w:p>
      <w:pPr>
        <w:pStyle w:val="TextBody"/>
        <w:bidi w:val="0"/>
        <w:spacing w:lineRule="auto" w:line="240" w:before="0" w:after="240"/>
        <w:ind w:left="0" w:right="0" w:firstLine="720"/>
        <w:jc w:val="both"/>
        <w:rPr/>
      </w:pPr>
      <w:bookmarkStart w:id="41" w:name="i3627d6fd2694476fb93b88ba2ec74a98"/>
      <w:bookmarkEnd w:id="41"/>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sets forth an accurate, true and complete list (by category and family) of all (i) Patents (including pending Patent applications) and utility models, (ii) trade names, common law trademarks, common law service marks, registered trademarks, registered service marks, and applications for trademark registration or service mark registration, (iii) registered and unregistered copyrights and (iv) domain name registrations and websites, in each case with respect to clauses (i), (ii), (iii) and (iv) above in this subsection (a) that are owned, controlled by, issued to, licensed to, licensed by or hereafter acquired by or licensed by Company that are necessary or used to make, have made, use, sell, have sold, offer for sale, import, develop, promote, market, distribute, manufacture, commercialize or otherwise exploit the Xaciato Product in the Field in the Territory (collectively, the “</w:t>
      </w:r>
      <w:r>
        <w:rPr>
          <w:rFonts w:ascii="Times New Roman;sans-serif" w:hAnsi="Times New Roman;sans-serif"/>
          <w:b w:val="false"/>
          <w:color w:val="000000"/>
          <w:sz w:val="24"/>
          <w:u w:val="single"/>
        </w:rPr>
        <w:t>Intellectual Property</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identifies the Intellectual Property that is owned exclusively by Company (the “</w:t>
      </w:r>
      <w:r>
        <w:rPr>
          <w:rFonts w:ascii="Times New Roman;sans-serif" w:hAnsi="Times New Roman;sans-serif"/>
          <w:b w:val="false"/>
          <w:color w:val="000000"/>
          <w:sz w:val="24"/>
          <w:u w:val="single"/>
        </w:rPr>
        <w:t>Owned Intellectual Property</w:t>
      </w:r>
      <w:r>
        <w:rPr>
          <w:color w:val="000000"/>
        </w:rPr>
        <w:t>”</w:t>
      </w:r>
      <w:r>
        <w:rPr>
          <w:rFonts w:ascii="Times New Roman;sans-serif" w:hAnsi="Times New Roman;sans-serif"/>
          <w:b w:val="false"/>
          <w:color w:val="000000"/>
          <w:sz w:val="24"/>
        </w:rPr>
        <w:t>) and the Intellectual Property that is in-licensed to Company pursuant to the License Agreement (the “</w:t>
      </w:r>
      <w:r>
        <w:rPr>
          <w:rFonts w:ascii="Times New Roman;sans-serif" w:hAnsi="Times New Roman;sans-serif"/>
          <w:b w:val="false"/>
          <w:color w:val="000000"/>
          <w:sz w:val="24"/>
          <w:u w:val="single"/>
        </w:rPr>
        <w:t>Licensed Intellectual Property</w:t>
      </w:r>
      <w:r>
        <w:rPr>
          <w:color w:val="000000"/>
        </w:rPr>
        <w:t>”</w:t>
      </w:r>
      <w:r>
        <w:rPr>
          <w:rFonts w:ascii="Times New Roman;sans-serif" w:hAnsi="Times New Roman;sans-serif"/>
          <w:b w:val="false"/>
          <w:color w:val="000000"/>
          <w:sz w:val="24"/>
        </w:rPr>
        <w:t xml:space="preserve">). For each item of Intellectual Property listed on </w:t>
      </w:r>
      <w:r>
        <w:rPr>
          <w:rFonts w:ascii="Times New Roman;sans-serif" w:hAnsi="Times New Roman;sans-serif"/>
          <w:b w:val="false"/>
          <w:color w:val="000000"/>
          <w:sz w:val="24"/>
          <w:u w:val="single"/>
        </w:rPr>
        <w:t>Schedule 3.12(a)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accurately identifies, as applicable, (i) the owner, (ii) the countries in which such listed item is patented or registered or in which an application for Patent or registration is pending, (iii) the application number, (iv) the Patent or registration number, (v) the expected expiration date, as applicable, including any applicable term extensions or supplemental protection certificates, if applicable, and (vi) the earliest relied </w:t>
      </w:r>
    </w:p>
    <w:p>
      <w:pPr>
        <w:pStyle w:val="TextBody"/>
        <w:bidi w:val="0"/>
        <w:spacing w:before="0" w:after="24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06705"/>
                <wp:effectExtent l="0" t="0" r="0" b="0"/>
                <wp:wrapNone/>
                <wp:docPr id="199" name="Frame19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upon priority filing date used to calculate the expiration date. To the Knowledge of Company, except as disclosed therein, each item of Intellectual Property listed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is valid, enforceable, and subsisting and no Intellectual Property listed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has lapsed, expired, been cancelled, or become abandoned, except in the ordinary course of prosecution. To the Knowledge of Company, each of the issued U.S. Patents listed in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correctly identifies each and every inventor thereof as determined in accordance with the laws of the United States. </w:t>
      </w:r>
    </w:p>
    <w:p>
      <w:pPr>
        <w:pStyle w:val="TextBody"/>
        <w:bidi w:val="0"/>
        <w:spacing w:lineRule="auto" w:line="240" w:before="0" w:after="240"/>
        <w:ind w:left="0" w:right="0" w:firstLine="720"/>
        <w:jc w:val="both"/>
        <w:rPr/>
      </w:pPr>
      <w:bookmarkStart w:id="42" w:name="if83311a961a14103a5527c57b3861660"/>
      <w:bookmarkEnd w:id="42"/>
      <w:r>
        <w:rPr>
          <w:rFonts w:ascii="Times New Roman;sans-serif" w:hAnsi="Times New Roman;sans-serif"/>
          <w:b w:val="false"/>
          <w:color w:val="000000"/>
          <w:sz w:val="24"/>
        </w:rPr>
        <w:t>(b)</w:t>
      </w:r>
      <w:r>
        <w:rPr>
          <w:rFonts w:ascii="Times New Roman;sans-serif" w:hAnsi="Times New Roman;sans-serif"/>
          <w:b w:val="false"/>
          <w:color w:val="000000"/>
          <w:sz w:val="24"/>
          <w:u w:val="single"/>
        </w:rPr>
        <w:t>Schedule 3.12(b)</w:t>
      </w:r>
      <w:r>
        <w:rPr>
          <w:color w:val="000000"/>
        </w:rPr>
        <w:t xml:space="preserve"> </w:t>
      </w:r>
      <w:r>
        <w:rPr>
          <w:rFonts w:ascii="Times New Roman;sans-serif" w:hAnsi="Times New Roman;sans-serif"/>
          <w:b w:val="false"/>
          <w:color w:val="000000"/>
          <w:sz w:val="24"/>
        </w:rPr>
        <w:t xml:space="preserve">sets forth an accurate, true and complete list of all Material Contracts pursuant to which Company has the legal right to exploit intellectual property that is owned by another Person or a Third Party with respect to the Licensed Product in the Territory. There are no unpaid fees or royalties under any agreement listed on </w:t>
      </w:r>
      <w:r>
        <w:rPr>
          <w:rFonts w:ascii="Times New Roman;sans-serif" w:hAnsi="Times New Roman;sans-serif"/>
          <w:b w:val="false"/>
          <w:color w:val="000000"/>
          <w:sz w:val="24"/>
          <w:u w:val="single"/>
        </w:rPr>
        <w:t>Schedule 3.12(b)</w:t>
      </w:r>
      <w:r>
        <w:rPr>
          <w:color w:val="000000"/>
        </w:rPr>
        <w:t xml:space="preserve"> </w:t>
      </w:r>
      <w:r>
        <w:rPr>
          <w:rFonts w:ascii="Times New Roman;sans-serif" w:hAnsi="Times New Roman;sans-serif"/>
          <w:b w:val="false"/>
          <w:color w:val="000000"/>
          <w:sz w:val="24"/>
        </w:rPr>
        <w:t>that have become due, or are expected to become overdue, as of the Effective Date, other than amounts required to be paid to Licensor under the License Agreement and to the Sublicensee under the Sublicense Agreement.</w:t>
      </w:r>
      <w:r>
        <w:rPr>
          <w:color w:val="000000"/>
        </w:rPr>
        <w:t xml:space="preserve"> </w:t>
      </w:r>
    </w:p>
    <w:p>
      <w:pPr>
        <w:pStyle w:val="TextBody"/>
        <w:bidi w:val="0"/>
        <w:spacing w:lineRule="auto" w:line="240" w:before="0" w:after="240"/>
        <w:ind w:left="0" w:right="0" w:firstLine="720"/>
        <w:jc w:val="both"/>
        <w:rPr/>
      </w:pPr>
      <w:bookmarkStart w:id="43" w:name="i8efc4273f32a4019b4c36883ecc7a42c"/>
      <w:bookmarkEnd w:id="43"/>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agreement listed in </w:t>
      </w:r>
      <w:r>
        <w:rPr>
          <w:rFonts w:ascii="Times New Roman;sans-serif" w:hAnsi="Times New Roman;sans-serif"/>
          <w:b w:val="false"/>
          <w:color w:val="000000"/>
          <w:sz w:val="24"/>
          <w:u w:val="single"/>
        </w:rPr>
        <w:t>Schedule 3.12(b)</w:t>
      </w:r>
      <w:r>
        <w:rPr>
          <w:color w:val="000000"/>
        </w:rPr>
        <w:t xml:space="preserve"> </w:t>
      </w:r>
      <w:r>
        <w:rPr>
          <w:rFonts w:ascii="Times New Roman;sans-serif" w:hAnsi="Times New Roman;sans-serif"/>
          <w:b w:val="false"/>
          <w:color w:val="000000"/>
          <w:sz w:val="24"/>
        </w:rPr>
        <w:t xml:space="preserve">is legal, valid, binding, enforceable, and in full force and effect. Company is not in material breach of such listed agreements, and, to the Knowledge of Company, no circumstances or grounds exist that would give rise to a claim of breach or right of rescission, termination, revision, or amendment of any of the agreements specified in </w:t>
      </w:r>
      <w:r>
        <w:rPr>
          <w:rFonts w:ascii="Times New Roman;sans-serif" w:hAnsi="Times New Roman;sans-serif"/>
          <w:b w:val="false"/>
          <w:color w:val="000000"/>
          <w:sz w:val="24"/>
          <w:u w:val="single"/>
        </w:rPr>
        <w:t>Schedule 3.12(b)</w:t>
      </w:r>
      <w:r>
        <w:rPr>
          <w:rFonts w:ascii="Times New Roman;sans-serif" w:hAnsi="Times New Roman;sans-serif"/>
          <w:b w:val="false"/>
          <w:color w:val="000000"/>
          <w:sz w:val="24"/>
        </w:rPr>
        <w:t>, including, without limitation, the execution, delivery and performance of this Agreement and the other Transaction Documents.</w:t>
      </w:r>
    </w:p>
    <w:p>
      <w:pPr>
        <w:pStyle w:val="TextBody"/>
        <w:bidi w:val="0"/>
        <w:spacing w:lineRule="auto" w:line="240" w:before="0" w:after="240"/>
        <w:ind w:left="0" w:right="0" w:firstLine="720"/>
        <w:jc w:val="both"/>
        <w:rPr/>
      </w:pPr>
      <w:bookmarkStart w:id="44" w:name="iec9fec18014547c8bbcbc742dc24131d"/>
      <w:bookmarkEnd w:id="44"/>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Except for Intellectual Property licensed to Company pursuant to any agreement listed on </w:t>
      </w:r>
      <w:r>
        <w:rPr>
          <w:rFonts w:ascii="Times New Roman;sans-serif" w:hAnsi="Times New Roman;sans-serif"/>
          <w:b w:val="false"/>
          <w:color w:val="000000"/>
          <w:sz w:val="24"/>
          <w:u w:val="single"/>
        </w:rPr>
        <w:t>Schedule 3.12(b)</w:t>
      </w:r>
      <w:r>
        <w:rPr>
          <w:color w:val="000000"/>
        </w:rPr>
        <w:t xml:space="preserve"> </w:t>
      </w:r>
      <w:r>
        <w:rPr>
          <w:rFonts w:ascii="Times New Roman;sans-serif" w:hAnsi="Times New Roman;sans-serif"/>
          <w:b w:val="false"/>
          <w:color w:val="000000"/>
          <w:sz w:val="24"/>
        </w:rPr>
        <w:t>and the Owned Intellectual Property, to the Knowledge of Company, no other Intellectual Property is necessary for the Sublicensee to make or have made the Xaciato Product in the Field in the Territory and to offer to sell, have sold, use, import, distribute, commercialize, or market Xaciato in the Field in the Territory. To the Knowledge of Company, the manufacture, use or sale of the Xaciato Product in the Field in the Territory by the Sublicensee as contemplated in the Sublicense Agreement does not infringe upon any valid and enforceable Third Party’s patents. Company has not received any written notice from a Third Party alleging, and to the Knowledge of Company, no Third Party has alleged, that the manufacture, use or sale of the Xaciato Product the by the Sublicensee in the Field in the Territory infringes on any patent rights of a Third Party.</w:t>
      </w:r>
    </w:p>
    <w:p>
      <w:pPr>
        <w:pStyle w:val="TextBody"/>
        <w:bidi w:val="0"/>
        <w:spacing w:lineRule="auto" w:line="240" w:before="0" w:after="240"/>
        <w:ind w:left="0" w:right="0" w:firstLine="720"/>
        <w:jc w:val="both"/>
        <w:rPr/>
      </w:pPr>
      <w:bookmarkStart w:id="45" w:name="i0901a88e27724124923d741b483ff53a"/>
      <w:bookmarkEnd w:id="45"/>
      <w:r>
        <w:rPr>
          <w:rFonts w:ascii="Times New Roman;sans-serif" w:hAnsi="Times New Roman;sans-serif"/>
          <w:b w:val="false"/>
          <w:color w:val="000000"/>
          <w:sz w:val="24"/>
        </w:rPr>
        <w:t>(e)</w:t>
      </w:r>
      <w:r>
        <w:rPr>
          <w:rFonts w:ascii="Times New Roman;sans-serif" w:hAnsi="Times New Roman;sans-serif"/>
          <w:b w:val="false"/>
          <w:color w:val="000000"/>
          <w:sz w:val="24"/>
        </w:rPr>
        <w:t xml:space="preserve">Company possesses the sole, exclusive, valid, marketable and unencumbered title to the Owned Intellectual Property listed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all assignments from each inventor of the Owned Intellectual Property to Company, have been executed and recorded in the United States Patent and Trademark Office for each of the Patents comprising Owned Intellectual Property; there are no recorded Liens on or to any Owned Intellectual Property listed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other than the agreements listed on Schedule 3.12(b). </w:t>
      </w:r>
    </w:p>
    <w:p>
      <w:pPr>
        <w:pStyle w:val="TextBody"/>
        <w:bidi w:val="0"/>
        <w:spacing w:lineRule="auto" w:line="240" w:before="0" w:after="240"/>
        <w:ind w:left="0" w:right="0" w:firstLine="720"/>
        <w:jc w:val="both"/>
        <w:rPr/>
      </w:pPr>
      <w:bookmarkStart w:id="46" w:name="i983ebe7124654f10977c9dc8c79c9f8e"/>
      <w:bookmarkEnd w:id="46"/>
      <w:r>
        <w:rPr>
          <w:rFonts w:ascii="Times New Roman;sans-serif" w:hAnsi="Times New Roman;sans-serif"/>
          <w:b w:val="false"/>
          <w:color w:val="000000"/>
          <w:sz w:val="24"/>
        </w:rPr>
        <w:t>(f)</w:t>
      </w:r>
      <w:r>
        <w:rPr>
          <w:rFonts w:ascii="Times New Roman;sans-serif" w:hAnsi="Times New Roman;sans-serif"/>
          <w:b w:val="false"/>
          <w:color w:val="000000"/>
          <w:sz w:val="24"/>
        </w:rPr>
        <w:t>Company has the full right, power, and authority to grant all of the rights and interests granted to Investor in this Agreement and to the Sublicensee under the Sublicense Agreement.</w:t>
      </w:r>
    </w:p>
    <w:p>
      <w:pPr>
        <w:pStyle w:val="TextBody"/>
        <w:bidi w:val="0"/>
        <w:spacing w:lineRule="auto" w:line="240" w:before="0" w:after="240"/>
        <w:ind w:left="0" w:right="0" w:firstLine="720"/>
        <w:jc w:val="both"/>
        <w:rPr/>
      </w:pPr>
      <w:bookmarkStart w:id="47" w:name="i3999d22985bb4456b7c7caa163fc63d1"/>
      <w:bookmarkEnd w:id="47"/>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There are no unpaid maintenance, annuity, or renewal fees currently overdue for any of the Owned Intellectual Property listed on </w:t>
      </w:r>
      <w:r>
        <w:rPr>
          <w:rFonts w:ascii="Times New Roman;sans-serif" w:hAnsi="Times New Roman;sans-serif"/>
          <w:b w:val="false"/>
          <w:color w:val="000000"/>
          <w:sz w:val="24"/>
          <w:u w:val="single"/>
        </w:rPr>
        <w:t>Schedule 3.12(a)</w:t>
      </w:r>
      <w:r>
        <w:rPr>
          <w:rFonts w:ascii="Times New Roman;sans-serif" w:hAnsi="Times New Roman;sans-serif"/>
          <w:b w:val="false"/>
          <w:color w:val="000000"/>
          <w:sz w:val="24"/>
        </w:rPr>
        <w:t xml:space="preserve">, nor have any applications or registrations therefor lapsed or become abandoned, been cancelled, or expired except in the ordinary course of prosecution. </w:t>
      </w:r>
    </w:p>
    <w:p>
      <w:pPr>
        <w:pStyle w:val="TextBody"/>
        <w:bidi w:val="0"/>
        <w:spacing w:lineRule="auto" w:line="240" w:before="0" w:after="240"/>
        <w:ind w:left="0" w:right="0" w:firstLine="720"/>
        <w:jc w:val="both"/>
        <w:rPr/>
      </w:pPr>
      <w:bookmarkStart w:id="48" w:name="i9b6bd248f0504bd88f2ee469706d2f37"/>
      <w:bookmarkEnd w:id="48"/>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There is no pending, decided or settled opposition, interference proceeding, reexamination proceeding, cancellation proceeding, injunction, claim, lawsuit, proceeding, hearing, investigation, complaint, arbitration, mediation, demand, International Trade </w:t>
      </w:r>
    </w:p>
    <w:p>
      <w:pPr>
        <w:pStyle w:val="TextBody"/>
        <w:bidi w:val="0"/>
        <w:spacing w:before="0" w:after="24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06705"/>
                <wp:effectExtent l="0" t="0" r="0" b="0"/>
                <wp:wrapNone/>
                <wp:docPr id="200" name="Frame19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Commission investigation, decree, or any other dispute, disagreement, or claim to which Company is or was a party (collectively referred to hereinafter as “</w:t>
      </w:r>
      <w:r>
        <w:rPr>
          <w:rFonts w:ascii="Times New Roman;sans-serif" w:hAnsi="Times New Roman;sans-serif"/>
          <w:b w:val="false"/>
          <w:color w:val="000000"/>
          <w:sz w:val="24"/>
          <w:u w:val="single"/>
        </w:rPr>
        <w:t>Disputes</w:t>
      </w:r>
      <w:r>
        <w:rPr>
          <w:color w:val="000000"/>
        </w:rPr>
        <w:t>”</w:t>
      </w:r>
      <w:r>
        <w:rPr>
          <w:rFonts w:ascii="Times New Roman;sans-serif" w:hAnsi="Times New Roman;sans-serif"/>
          <w:b w:val="false"/>
          <w:color w:val="000000"/>
          <w:sz w:val="24"/>
        </w:rPr>
        <w:t>), nor has any such Dispute to the knowledge of Company been threatened in writing, challenging the legality, validity, enforceability or ownership of any Intellectual Property or which would give rise to a credit against the Royalties or Milestones under the Sublicense Agreement.</w:t>
      </w:r>
    </w:p>
    <w:p>
      <w:pPr>
        <w:pStyle w:val="TextBody"/>
        <w:bidi w:val="0"/>
        <w:spacing w:lineRule="auto" w:line="240" w:before="0" w:after="240"/>
        <w:ind w:left="0" w:right="0" w:firstLine="720"/>
        <w:jc w:val="both"/>
        <w:rPr/>
      </w:pPr>
      <w:bookmarkStart w:id="49" w:name="i312cc9962a134010930a2e82dabbf10b"/>
      <w:bookmarkEnd w:id="49"/>
      <w:r>
        <w:rPr>
          <w:rFonts w:ascii="Times New Roman;sans-serif" w:hAnsi="Times New Roman;sans-serif"/>
          <w:b w:val="false"/>
          <w:color w:val="000000"/>
          <w:sz w:val="24"/>
        </w:rPr>
        <w:t>(i)</w:t>
      </w:r>
      <w:r>
        <w:rPr>
          <w:rFonts w:ascii="Times New Roman;sans-serif" w:hAnsi="Times New Roman;sans-serif"/>
          <w:b w:val="false"/>
          <w:color w:val="000000"/>
          <w:sz w:val="24"/>
        </w:rPr>
        <w:t>There is no pending or, to Company’s Knowledge, threatened action, suit, or proceeding, or any investigation or claim by any Governmental Authority to which Company is a party (1) that is the subject of a claim for indemnification by any Person or Third Party under any Material Contract, or (2) that the marketing, sale or distribution of the Licensed Product in the Field in the Territory by Company or the Sublicensee infringes on any patent or other intellectual property rights of any other Person.</w:t>
      </w:r>
    </w:p>
    <w:p>
      <w:pPr>
        <w:pStyle w:val="TextBody"/>
        <w:bidi w:val="0"/>
        <w:spacing w:lineRule="auto" w:line="240" w:before="0" w:after="240"/>
        <w:ind w:left="0" w:right="0" w:hanging="1440"/>
        <w:jc w:val="left"/>
        <w:rPr/>
      </w:pPr>
      <w:bookmarkStart w:id="50" w:name="id23d7ec356054b61bbd9851aaad6a721"/>
      <w:bookmarkEnd w:id="50"/>
      <w:r>
        <w:rPr>
          <w:rFonts w:ascii="Times New Roman;sans-serif" w:hAnsi="Times New Roman;sans-serif"/>
          <w:b/>
          <w:color w:val="000000"/>
          <w:sz w:val="24"/>
        </w:rPr>
        <w:t>Section 1.13</w:t>
      </w:r>
      <w:r>
        <w:rPr>
          <w:rFonts w:ascii="Times New Roman;sans-serif" w:hAnsi="Times New Roman;sans-serif"/>
          <w:b/>
          <w:color w:val="000000"/>
          <w:sz w:val="24"/>
          <w:u w:val="single"/>
        </w:rPr>
        <w:t>Regulatory Approval</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51" w:name="i4f93bd055e0549029f9c80b8112a6351"/>
      <w:bookmarkEnd w:id="51"/>
      <w:r>
        <w:rPr>
          <w:rFonts w:ascii="Times New Roman;sans-serif" w:hAnsi="Times New Roman;sans-serif"/>
          <w:b w:val="false"/>
          <w:color w:val="000000"/>
          <w:sz w:val="24"/>
        </w:rPr>
        <w:t>(a)</w:t>
      </w:r>
      <w:r>
        <w:rPr>
          <w:rFonts w:ascii="Times New Roman;sans-serif" w:hAnsi="Times New Roman;sans-serif"/>
          <w:b w:val="false"/>
          <w:color w:val="000000"/>
          <w:sz w:val="24"/>
        </w:rPr>
        <w:t>Company is in material compliance with, and has materially complied with, all applicable federal, state, local and foreign laws, rules, regulations, standards, orders and decrees governing its business, including all regulations promulgated by each Regulatory Agency in the territory in which Company operates or engages in activities in connection with the Licensed Products the failure of compliance with which could reasonably be expected to result in a Material Adverse Effect; Company has not, and to the Knowledge of Company, the Sublicensee has not, received any notice citing action or inaction by any of them that would constitute any material non-compliance with any applicable federal, state, local and foreign laws, rules, regulations that would reasonably be expected to result in a Material Adverse Effect.</w:t>
      </w:r>
    </w:p>
    <w:p>
      <w:pPr>
        <w:pStyle w:val="TextBody"/>
        <w:bidi w:val="0"/>
        <w:spacing w:lineRule="auto" w:line="240" w:before="0" w:after="240"/>
        <w:ind w:left="0" w:right="0" w:firstLine="720"/>
        <w:jc w:val="both"/>
        <w:rPr/>
      </w:pPr>
      <w:bookmarkStart w:id="52" w:name="i869c7660e8dc46e8aa8f90d7ef921759"/>
      <w:bookmarkEnd w:id="52"/>
      <w:r>
        <w:rPr>
          <w:rFonts w:ascii="Times New Roman;sans-serif" w:hAnsi="Times New Roman;sans-serif"/>
          <w:b w:val="false"/>
          <w:color w:val="000000"/>
          <w:sz w:val="24"/>
        </w:rPr>
        <w:t>(b)</w:t>
      </w:r>
      <w:r>
        <w:rPr>
          <w:rFonts w:ascii="Times New Roman;sans-serif" w:hAnsi="Times New Roman;sans-serif"/>
          <w:b w:val="false"/>
          <w:color w:val="000000"/>
          <w:sz w:val="24"/>
        </w:rPr>
        <w:t>The studies, tests and preclinical and clinical trials conducted relating to the Licensed Product have been conducted in all material respects in accordance with experimental protocols and Applicable Laws; the descriptions of the results of such studies, tests and trials are accurate in all material respects; and Company has not received any notices or correspondence from any Regulatory Agency requiring the termination, suspension, or material modification or clinical hold of any such studies, tests or preclinical or clinical trials conducted by or on behalf of Company or the Sublicensee, which termination, suspension, material modification or clinical hold could reasonably be expected to result in a Material Adverse Effect.</w:t>
      </w:r>
    </w:p>
    <w:p>
      <w:pPr>
        <w:pStyle w:val="TextBody"/>
        <w:bidi w:val="0"/>
        <w:spacing w:lineRule="auto" w:line="240" w:before="0" w:after="240"/>
        <w:ind w:left="0" w:right="0" w:hanging="1440"/>
        <w:jc w:val="left"/>
        <w:rPr/>
      </w:pPr>
      <w:bookmarkStart w:id="53" w:name="ied4f551d38c84a1ca0a41af6b82082e9"/>
      <w:bookmarkEnd w:id="53"/>
      <w:r>
        <w:rPr>
          <w:rFonts w:ascii="Times New Roman;sans-serif" w:hAnsi="Times New Roman;sans-serif"/>
          <w:b/>
          <w:color w:val="000000"/>
          <w:sz w:val="24"/>
        </w:rPr>
        <w:t>Section 1.14</w:t>
      </w:r>
      <w:r>
        <w:rPr>
          <w:rFonts w:ascii="Times New Roman;sans-serif" w:hAnsi="Times New Roman;sans-serif"/>
          <w:b/>
          <w:color w:val="000000"/>
          <w:sz w:val="24"/>
          <w:u w:val="single"/>
        </w:rPr>
        <w:t>Material Contracts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54" w:name="ie6250d6e784947ea8adf999ca1c4e78a"/>
      <w:bookmarkEnd w:id="54"/>
      <w:r>
        <w:rPr>
          <w:rFonts w:ascii="Times New Roman;sans-serif" w:hAnsi="Times New Roman;sans-serif"/>
          <w:b w:val="false"/>
          <w:color w:val="000000"/>
          <w:sz w:val="24"/>
        </w:rPr>
        <w:t>(a)</w:t>
      </w:r>
      <w:r>
        <w:rPr>
          <w:rFonts w:ascii="Times New Roman;sans-serif" w:hAnsi="Times New Roman;sans-serif"/>
          <w:b w:val="false"/>
          <w:color w:val="000000"/>
          <w:sz w:val="24"/>
        </w:rPr>
        <w:t>Except as set forth on Schedule 3.14, there are no Material Contracts other than the License Agreements and the Sublicense Agreements. Company is not in breach of or in default under any Material Contract, which default, individually or in the aggregate, would result in a Material Adverse Effect. Company has not received any notice of any threat of termination of any such Material Contract. To the Knowledge of Company, no other party to a Material Contract is in breach of or in default under such Material Contract. All Material Contracts are valid and binding on Company and, to the Knowledge of Company on each other party thereto, and are in full force and effect. The Company agrees that it has not previously and shall never in the future borrow against or assign any portion of its interest in the funds to be paid by Sublicensee to Company for the Xaciato Product to any third party without advance disclosure and written approval of Investor.</w:t>
      </w:r>
    </w:p>
    <w:p>
      <w:pPr>
        <w:pStyle w:val="TextBody"/>
        <w:bidi w:val="0"/>
        <w:spacing w:lineRule="auto" w:line="240" w:before="0" w:after="240"/>
        <w:ind w:left="0" w:right="0" w:firstLine="720"/>
        <w:jc w:val="both"/>
        <w:rPr/>
      </w:pPr>
      <w:bookmarkStart w:id="55" w:name="i6176b5b57ab742499c11769d02efb3b0"/>
      <w:bookmarkEnd w:id="55"/>
      <w:r>
        <w:rPr>
          <w:rFonts w:ascii="Times New Roman;sans-serif" w:hAnsi="Times New Roman;sans-serif"/>
          <w:b w:val="false"/>
          <w:color w:val="000000"/>
          <w:sz w:val="24"/>
        </w:rPr>
        <w:t>(b)</w:t>
      </w:r>
      <w:r>
        <w:rPr>
          <w:rFonts w:ascii="Times New Roman;sans-serif" w:hAnsi="Times New Roman;sans-serif"/>
          <w:b w:val="false"/>
          <w:color w:val="000000"/>
          <w:sz w:val="24"/>
        </w:rPr>
        <w:t>Without limiting the generality of the foregoing, with respect to the License Agreement and Sublicenses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56" w:name="id81acaafa25e4e1c8996bb334105d42e"/>
      <w:bookmarkEnd w:id="56"/>
      <w:r>
        <w:rPr>
          <w:rFonts w:ascii="Times New Roman;sans-serif" w:hAnsi="Times New Roman;sans-serif"/>
          <w:b w:val="false"/>
          <w:color w:val="000000"/>
          <w:sz w:val="24"/>
        </w:rPr>
        <w:t>(i)Attached hereto:</w:t>
      </w:r>
    </w:p>
    <w:p>
      <w:pPr>
        <w:pStyle w:val="TextBody"/>
        <w:bidi w:val="0"/>
        <w:spacing w:before="0" w:after="24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06705"/>
                <wp:effectExtent l="0" t="0" r="0" b="0"/>
                <wp:wrapNone/>
                <wp:docPr id="201" name="Frame19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1440"/>
        <w:jc w:val="both"/>
        <w:rPr/>
      </w:pPr>
      <w:bookmarkStart w:id="57" w:name="i188072e4ce634a3581df4b88b0040716"/>
      <w:bookmarkEnd w:id="57"/>
      <w:r>
        <w:rPr>
          <w:rFonts w:ascii="Times New Roman;sans-serif" w:hAnsi="Times New Roman;sans-serif"/>
          <w:b w:val="false"/>
          <w:color w:val="000000"/>
          <w:sz w:val="24"/>
        </w:rPr>
        <w:t xml:space="preserve">(1)As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is a true and complete copy of the Sublicense Agreement, as amended through the Effective Date; </w:t>
      </w:r>
    </w:p>
    <w:p>
      <w:pPr>
        <w:pStyle w:val="TextBody"/>
        <w:bidi w:val="0"/>
        <w:spacing w:lineRule="auto" w:line="240" w:before="0" w:after="240"/>
        <w:ind w:left="0" w:right="0" w:firstLine="1440"/>
        <w:jc w:val="both"/>
        <w:rPr/>
      </w:pPr>
      <w:bookmarkStart w:id="58" w:name="i2848a12b431841e1aa659088b42c6b1e"/>
      <w:bookmarkEnd w:id="58"/>
      <w:r>
        <w:rPr>
          <w:rFonts w:ascii="Times New Roman;sans-serif" w:hAnsi="Times New Roman;sans-serif"/>
          <w:b w:val="false"/>
          <w:color w:val="000000"/>
          <w:sz w:val="24"/>
        </w:rPr>
        <w:t xml:space="preserve">(2)As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is a true and complete copy of the License Agreement, as amended through the Effective Date; </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59" w:name="ic790ea4f2ef941758313e0c8286f40c3"/>
      <w:bookmarkEnd w:id="59"/>
      <w:r>
        <w:rPr>
          <w:rFonts w:ascii="Times New Roman;sans-serif" w:hAnsi="Times New Roman;sans-serif"/>
          <w:b w:val="false"/>
          <w:color w:val="000000"/>
          <w:sz w:val="24"/>
        </w:rPr>
        <w:t>(ii)Company nor, to the Knowledge of Company, the Licensor or the Sublicensee, has impaired, waived, altered, or modified in any material respect, whether by way of any sublicense or consent or otherwise, the License Agreement or Sublicense Agreement, respectively. To the Knowledge of Company, Sublicensee has not granted any sublicense under or with respect to the Sublicense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0" w:name="i212ac9f12020473b93214541f4ad6000"/>
      <w:bookmarkEnd w:id="60"/>
      <w:r>
        <w:rPr>
          <w:rFonts w:ascii="Times New Roman;sans-serif" w:hAnsi="Times New Roman;sans-serif"/>
          <w:b w:val="false"/>
          <w:color w:val="000000"/>
          <w:sz w:val="24"/>
        </w:rPr>
        <w:t>(iii)Company has not released in any material respect (a) the Licensor, in whole or in part, from any of its obligations under the License Agreement, or (b) the Sublicensee, in whole or in part, from any of its obligations under the Sublicense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1" w:name="ibe7baeb4c042449dadf052492c186e97"/>
      <w:bookmarkEnd w:id="61"/>
      <w:r>
        <w:rPr>
          <w:rFonts w:ascii="Times New Roman;sans-serif" w:hAnsi="Times New Roman;sans-serif"/>
          <w:b w:val="false"/>
          <w:color w:val="000000"/>
          <w:sz w:val="24"/>
        </w:rPr>
        <w:t>(iv)Company has not received any written notice from (a) the Licensor terminating, or requesting any amendment, alteration, modification, or termination of the License Agreement, nor has the Licensor indicated or communicated to Company any desire or intent to do so, or (b) the Sublicensee terminating, or requesting any amendment, alteration, modification, or termination of the Sublicense Agreement, nor has the Sublicensee indicated or communicated to Company any desire or intent to do so.</w:t>
      </w:r>
    </w:p>
    <w:p>
      <w:pPr>
        <w:pStyle w:val="TextBody"/>
        <w:bidi w:val="0"/>
        <w:spacing w:lineRule="auto" w:line="240" w:before="0" w:after="240"/>
        <w:ind w:left="0" w:right="0" w:firstLine="720"/>
        <w:jc w:val="both"/>
        <w:rPr/>
      </w:pPr>
      <w:bookmarkStart w:id="62" w:name="ic8faa7a381c649988d2603270e4ba40f"/>
      <w:bookmarkEnd w:id="62"/>
      <w:r>
        <w:rPr>
          <w:rFonts w:ascii="Times New Roman;sans-serif" w:hAnsi="Times New Roman;sans-serif"/>
          <w:b w:val="false"/>
          <w:color w:val="000000"/>
          <w:sz w:val="24"/>
        </w:rPr>
        <w:t>(v)[</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3" w:name="ic040eb1092af45cfa4dbf6bd11ba4c21"/>
      <w:bookmarkEnd w:id="63"/>
      <w:r>
        <w:rPr>
          <w:rFonts w:ascii="Times New Roman;sans-serif" w:hAnsi="Times New Roman;sans-serif"/>
          <w:b w:val="false"/>
          <w:color w:val="000000"/>
          <w:sz w:val="24"/>
        </w:rPr>
        <w:t xml:space="preserve">(vi)To the Knowledge of Company, no event has occurred, and no condition exists that would materially adversely affect the right of Company to receive Royalties and Milestones payable under the Sublicense Agreement. Company has not taken any action or omitted to take any action, that would adversely affect the right of Company to receive Royalties and Milestones payable under the Sublicense Agreement. </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4" w:name="ibb1c7a6392a9443fa1beadf65ff912cb"/>
      <w:bookmarkEnd w:id="64"/>
      <w:r>
        <w:rPr>
          <w:rFonts w:ascii="Times New Roman;sans-serif" w:hAnsi="Times New Roman;sans-serif"/>
          <w:b w:val="false"/>
          <w:color w:val="000000"/>
          <w:sz w:val="24"/>
        </w:rPr>
        <w:t>(vii)The License Agreement is enforceable against Company and, to the Knowledge of Company, the Licensor thereunder, in accordance with its terms, subject, as to enforcement of remedies, to bankruptcy, insolvency, reorganization, moratorium or similar laws affecting creditors’ rights generally. The execution, delivery and performance of the License Agreement was and is within the corporate powers of Company and, to the Knowledge of Company, the Licensor. The License Agreement was duly authorized by all necessary action on the part of, and validly executed and delivered by, Company and, to the Knowledge of Company, the Licensor. There is no material breach or default, or event which, upon notice or the passage of time, or both, would give rise to any material breach or default, in the performance of the License Agreement by Company or, to the Knowledge of Company, the Licensor.</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5" w:name="i41bcedb428144632b383b883f655b26e"/>
      <w:bookmarkEnd w:id="65"/>
      <w:r>
        <w:rPr>
          <w:rFonts w:ascii="Times New Roman;sans-serif" w:hAnsi="Times New Roman;sans-serif"/>
          <w:b w:val="false"/>
          <w:color w:val="000000"/>
          <w:sz w:val="24"/>
        </w:rPr>
        <w:t xml:space="preserve">(viii)The Sublicense Agreement is enforceable against Company and, to the Knowledge of Company, the Sublicensee thereunder, in accordance with its terms, subject, as to enforcement of remedies, to bankruptcy, insolvency, reorganization, moratorium or similar laws affecting creditors’ rights generally. The execution, delivery and performance of the Sublicense Agreement was and is within the corporate powers of Company and, to the Knowledge of Company, the Sublicensee. The Sublicense Agreement was duly authorized by all necessary action on the part of, and validly executed and delivered by, Company and, to the Knowledge of Company, the Sublicensee. There is no breach or default, or event which, upon notice or the passage of </w:t>
      </w:r>
    </w:p>
    <w:p>
      <w:pPr>
        <w:pStyle w:val="TextBody"/>
        <w:bidi w:val="0"/>
        <w:spacing w:before="0" w:after="24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06705"/>
                <wp:effectExtent l="0" t="0" r="0" b="0"/>
                <wp:wrapNone/>
                <wp:docPr id="202" name="Frame19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time, or both, could give rise to any breach or default, in the performance of the Sublicense Agreement by Company or, to the Knowledge of Company, the Sublicensee.</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6" w:name="ibf7bec26e8c3462592d45c3c8ec3d5ce"/>
      <w:bookmarkEnd w:id="66"/>
      <w:r>
        <w:rPr>
          <w:rFonts w:ascii="Times New Roman;sans-serif" w:hAnsi="Times New Roman;sans-serif"/>
          <w:b w:val="false"/>
          <w:color w:val="000000"/>
          <w:sz w:val="24"/>
        </w:rPr>
        <w:t>(ix)To the Knowledge of Company, except as set forth in the Sublicense Agreement, the Sublicensee has no right of set-off against any Royalties or Milestones or any other amount payable to Company under the Sublicense Agreement other than as expressly set forth in the Sublicense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67" w:name="ib5e47e3088c54db5a83d6c636152ac09"/>
      <w:bookmarkEnd w:id="67"/>
      <w:r>
        <w:rPr>
          <w:rFonts w:ascii="Times New Roman;sans-serif" w:hAnsi="Times New Roman;sans-serif"/>
          <w:b w:val="false"/>
          <w:color w:val="000000"/>
          <w:sz w:val="24"/>
        </w:rPr>
        <w:t>(x)Sublicensee has not provided written notice to Company of any intention to replace a Licensed Product with an alternative product or reduce materially its efforts to develop and commercialize the Licensed Products.</w:t>
      </w:r>
    </w:p>
    <w:p>
      <w:pPr>
        <w:pStyle w:val="TextBody"/>
        <w:bidi w:val="0"/>
        <w:spacing w:lineRule="auto" w:line="240" w:before="0" w:after="240"/>
        <w:ind w:left="0" w:right="0" w:firstLine="720"/>
        <w:jc w:val="both"/>
        <w:rPr/>
      </w:pPr>
      <w:bookmarkStart w:id="68" w:name="i9dca35c882014007a168a3fb643d8646"/>
      <w:bookmarkEnd w:id="68"/>
      <w:r>
        <w:rPr>
          <w:rFonts w:ascii="Times New Roman;sans-serif" w:hAnsi="Times New Roman;sans-serif"/>
          <w:b w:val="false"/>
          <w:color w:val="000000"/>
          <w:sz w:val="24"/>
        </w:rPr>
        <w:t>(xi)</w:t>
      </w:r>
      <w:r>
        <w:rPr>
          <w:rFonts w:ascii="Times New Roman;sans-serif" w:hAnsi="Times New Roman;sans-serif"/>
          <w:b w:val="false"/>
          <w:color w:val="000000"/>
          <w:sz w:val="24"/>
          <w:u w:val="single"/>
        </w:rPr>
        <w:t>Schedule 3.14</w:t>
      </w:r>
      <w:r>
        <w:rPr>
          <w:color w:val="000000"/>
        </w:rPr>
        <w:t xml:space="preserve"> </w:t>
      </w:r>
      <w:r>
        <w:rPr>
          <w:rFonts w:ascii="Times New Roman;sans-serif" w:hAnsi="Times New Roman;sans-serif"/>
          <w:b w:val="false"/>
          <w:color w:val="000000"/>
          <w:sz w:val="24"/>
        </w:rPr>
        <w:t>annexed hereto sets forth to Company’s Knowledge a true and complete copy of all Sales Reports provided by Sublicensee to Company through September 30, 2023.</w:t>
      </w:r>
    </w:p>
    <w:p>
      <w:pPr>
        <w:pStyle w:val="TextBody"/>
        <w:bidi w:val="0"/>
        <w:spacing w:lineRule="auto" w:line="240" w:before="0" w:after="240"/>
        <w:ind w:left="0" w:right="0" w:hanging="1440"/>
        <w:jc w:val="left"/>
        <w:rPr/>
      </w:pPr>
      <w:bookmarkStart w:id="69" w:name="ibbd0968259f84e1cbe696c437d5c23b9"/>
      <w:bookmarkEnd w:id="69"/>
      <w:r>
        <w:rPr>
          <w:rFonts w:ascii="Times New Roman;sans-serif" w:hAnsi="Times New Roman;sans-serif"/>
          <w:b/>
          <w:color w:val="000000"/>
          <w:sz w:val="24"/>
        </w:rPr>
        <w:t>Section 1.15</w:t>
      </w:r>
      <w:r>
        <w:rPr>
          <w:rFonts w:ascii="Times New Roman;sans-serif" w:hAnsi="Times New Roman;sans-serif"/>
          <w:b/>
          <w:color w:val="000000"/>
          <w:sz w:val="24"/>
          <w:u w:val="single"/>
        </w:rPr>
        <w:t>Name, State of Formation or Organization, and Principal Place of Business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full legal name, state of incorporation and principal place of business of Company is set forth on </w:t>
      </w:r>
      <w:r>
        <w:rPr>
          <w:rFonts w:ascii="Times New Roman;sans-serif" w:hAnsi="Times New Roman;sans-serif"/>
          <w:b w:val="false"/>
          <w:color w:val="000000"/>
          <w:sz w:val="24"/>
          <w:u w:val="single"/>
        </w:rPr>
        <w:t>Schedule 3.15</w:t>
      </w:r>
      <w:r>
        <w:rPr>
          <w:rFonts w:ascii="Times New Roman;sans-serif" w:hAnsi="Times New Roman;sans-serif"/>
          <w:b w:val="false"/>
          <w:color w:val="000000"/>
          <w:sz w:val="24"/>
        </w:rPr>
        <w:t>.</w:t>
      </w:r>
    </w:p>
    <w:p>
      <w:pPr>
        <w:pStyle w:val="TextBody"/>
        <w:bidi w:val="0"/>
        <w:spacing w:lineRule="auto" w:line="240" w:before="0" w:after="240"/>
        <w:ind w:left="0" w:right="0" w:hanging="1440"/>
        <w:jc w:val="left"/>
        <w:rPr/>
      </w:pPr>
      <w:bookmarkStart w:id="70" w:name="icac8770a5055481fb08094e3bc93bbd3"/>
      <w:bookmarkEnd w:id="70"/>
      <w:r>
        <w:rPr>
          <w:rFonts w:ascii="Times New Roman;sans-serif" w:hAnsi="Times New Roman;sans-serif"/>
          <w:b/>
          <w:color w:val="000000"/>
          <w:sz w:val="24"/>
        </w:rPr>
        <w:t>Section 1.16</w:t>
      </w:r>
      <w:r>
        <w:rPr>
          <w:rFonts w:ascii="Times New Roman;sans-serif" w:hAnsi="Times New Roman;sans-serif"/>
          <w:b/>
          <w:color w:val="000000"/>
          <w:sz w:val="24"/>
          <w:u w:val="single"/>
        </w:rPr>
        <w:t>Broker’s Fees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fees payable to Cowen and Company, LLC, financial advisor to Company, neither Company nor any Affiliate of Company has taken any action that would entitle any Person to any commission or broker’s fee in connection with the transactions contemplated by the Transaction Documents.</w:t>
      </w:r>
    </w:p>
    <w:p>
      <w:pPr>
        <w:pStyle w:val="TextBody"/>
        <w:bidi w:val="0"/>
        <w:spacing w:lineRule="auto" w:line="240" w:before="0" w:after="240"/>
        <w:ind w:left="0" w:right="0" w:hanging="1440"/>
        <w:jc w:val="left"/>
        <w:rPr/>
      </w:pPr>
      <w:bookmarkStart w:id="71" w:name="ia46d29f9055d415d96de78bb86a4f039"/>
      <w:bookmarkEnd w:id="71"/>
      <w:r>
        <w:rPr>
          <w:rFonts w:ascii="Times New Roman;sans-serif" w:hAnsi="Times New Roman;sans-serif"/>
          <w:b/>
          <w:color w:val="000000"/>
          <w:sz w:val="24"/>
        </w:rPr>
        <w:t>Section 1.17</w:t>
      </w:r>
      <w:r>
        <w:rPr>
          <w:rFonts w:ascii="Times New Roman;sans-serif" w:hAnsi="Times New Roman;sans-serif"/>
          <w:b/>
          <w:color w:val="000000"/>
          <w:sz w:val="24"/>
          <w:u w:val="single"/>
        </w:rPr>
        <w:t>Taxes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deduction or withholding for or on account of any Tax has been made from any payment by Sublicensee to Company under the Sublicense Agreement. </w:t>
      </w:r>
    </w:p>
    <w:p>
      <w:pPr>
        <w:pStyle w:val="TextBody"/>
        <w:bidi w:val="0"/>
        <w:spacing w:lineRule="auto" w:line="240" w:before="0" w:after="240"/>
        <w:ind w:left="0" w:right="0" w:hanging="1440"/>
        <w:jc w:val="left"/>
        <w:rPr/>
      </w:pPr>
      <w:bookmarkStart w:id="72" w:name="icfca3e1f0d1246e3bb729131b39c5bd3"/>
      <w:bookmarkEnd w:id="72"/>
      <w:r>
        <w:rPr>
          <w:rFonts w:ascii="Times New Roman;sans-serif" w:hAnsi="Times New Roman;sans-serif"/>
          <w:b/>
          <w:color w:val="000000"/>
          <w:sz w:val="24"/>
        </w:rPr>
        <w:t>Section 1.18</w:t>
      </w:r>
      <w:r>
        <w:rPr>
          <w:rFonts w:ascii="Times New Roman;sans-serif" w:hAnsi="Times New Roman;sans-serif"/>
          <w:b/>
          <w:color w:val="000000"/>
          <w:sz w:val="24"/>
          <w:u w:val="single"/>
        </w:rPr>
        <w:t>Bankruptcy Event</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Bankruptcy Event has occurred with respect to Company or, to the Knowledge of Company, with respect to the Licensor or the Sublicensee.</w:t>
      </w:r>
    </w:p>
    <w:p>
      <w:pPr>
        <w:pStyle w:val="TextBody"/>
        <w:bidi w:val="0"/>
        <w:spacing w:lineRule="auto" w:line="240" w:before="0" w:after="240"/>
        <w:ind w:left="0" w:right="0" w:hanging="1440"/>
        <w:jc w:val="left"/>
        <w:rPr/>
      </w:pPr>
      <w:bookmarkStart w:id="73" w:name="ia1d46dd349ff40f6adcd2c7c86b653d5"/>
      <w:bookmarkEnd w:id="73"/>
      <w:r>
        <w:rPr>
          <w:rFonts w:ascii="Times New Roman;sans-serif" w:hAnsi="Times New Roman;sans-serif"/>
          <w:b/>
          <w:color w:val="000000"/>
          <w:sz w:val="24"/>
        </w:rPr>
        <w:t>Section 1.19</w:t>
      </w:r>
      <w:r>
        <w:rPr>
          <w:rFonts w:ascii="Times New Roman;sans-serif" w:hAnsi="Times New Roman;sans-serif"/>
          <w:b/>
          <w:color w:val="000000"/>
          <w:sz w:val="24"/>
          <w:u w:val="single"/>
        </w:rPr>
        <w:t>Material Adverse Effect</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Since September 30, 2023, to the Knowledge of Company, no event has occurred which with the passage of time and/or the giving of notice would constitute a Material Adverse Effect.</w:t>
      </w:r>
    </w:p>
    <w:p>
      <w:pPr>
        <w:pStyle w:val="TextBody"/>
        <w:bidi w:val="0"/>
        <w:spacing w:before="0" w:after="240"/>
        <w:jc w:val="both"/>
        <w:rPr/>
      </w:pPr>
      <w:r>
        <w:rPr/>
      </w:r>
    </w:p>
    <w:p>
      <w:pPr>
        <w:pStyle w:val="TextBody"/>
        <w:bidi w:val="0"/>
        <w:spacing w:lineRule="auto" w:line="240" w:before="0" w:after="240"/>
        <w:jc w:val="center"/>
        <w:rPr/>
      </w:pPr>
      <w:bookmarkStart w:id="74" w:name="iffa0bfa457b74a56a7aa549337493250"/>
      <w:bookmarkEnd w:id="74"/>
      <w:r>
        <w:rPr>
          <w:rFonts w:ascii="Times New Roman;sans-serif" w:hAnsi="Times New Roman;sans-serif"/>
          <w:b/>
          <w:color w:val="000000"/>
          <w:sz w:val="24"/>
        </w:rPr>
        <w:t>Article IV.</w:t>
      </w:r>
      <w:r>
        <w:rPr>
          <w:rFonts w:ascii="Times New Roman;sans-serif" w:hAnsi="Times New Roman;sans-serif"/>
          <w:b/>
          <w:color w:val="000000"/>
          <w:sz w:val="24"/>
        </w:rPr>
        <w:br/>
        <w:t>REPRESENTATIONS AND WARRANTIES OF INVESTOR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Investor represents and warrants to Company the following:</w:t>
      </w:r>
    </w:p>
    <w:p>
      <w:pPr>
        <w:pStyle w:val="TextBody"/>
        <w:bidi w:val="0"/>
        <w:spacing w:before="0" w:after="24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06705"/>
                <wp:effectExtent l="0" t="0" r="0" b="0"/>
                <wp:wrapNone/>
                <wp:docPr id="203" name="Frame20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hanging="1440"/>
        <w:jc w:val="left"/>
        <w:rPr/>
      </w:pPr>
      <w:bookmarkStart w:id="75" w:name="i2b584045ee6a42fbac3296e8ebd76d14"/>
      <w:bookmarkEnd w:id="75"/>
      <w:r>
        <w:rPr>
          <w:rFonts w:ascii="Times New Roman;sans-serif" w:hAnsi="Times New Roman;sans-serif"/>
          <w:b/>
          <w:color w:val="000000"/>
          <w:sz w:val="24"/>
        </w:rPr>
        <w:t>Section 1.01</w:t>
      </w:r>
      <w:r>
        <w:rPr>
          <w:rFonts w:ascii="Times New Roman;sans-serif" w:hAnsi="Times New Roman;sans-serif"/>
          <w:b/>
          <w:color w:val="000000"/>
          <w:sz w:val="24"/>
          <w:u w:val="single"/>
        </w:rPr>
        <w:t>Organization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Investor is a limited liability company duly organized and validly existing under the laws of the State of Georgia. </w:t>
      </w:r>
    </w:p>
    <w:p>
      <w:pPr>
        <w:pStyle w:val="TextBody"/>
        <w:bidi w:val="0"/>
        <w:spacing w:lineRule="auto" w:line="240" w:before="0" w:after="240"/>
        <w:ind w:left="0" w:right="0" w:hanging="1440"/>
        <w:jc w:val="left"/>
        <w:rPr/>
      </w:pPr>
      <w:bookmarkStart w:id="76" w:name="i87fc32b61f4c43d79fbbf94cf0339dc0"/>
      <w:bookmarkEnd w:id="76"/>
      <w:r>
        <w:rPr>
          <w:rFonts w:ascii="Times New Roman;sans-serif" w:hAnsi="Times New Roman;sans-serif"/>
          <w:b/>
          <w:color w:val="000000"/>
          <w:sz w:val="24"/>
        </w:rPr>
        <w:t>Section 1.02</w:t>
      </w:r>
      <w:r>
        <w:rPr>
          <w:rFonts w:ascii="Times New Roman;sans-serif" w:hAnsi="Times New Roman;sans-serif"/>
          <w:b/>
          <w:color w:val="000000"/>
          <w:sz w:val="24"/>
          <w:u w:val="single"/>
        </w:rPr>
        <w:t>Authorization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Investor has all necessary power and authority to enter into, execute and deliver the Transaction Documents and to perform all of the obligations to be performed by it hereunder and thereunder and to consummate the transactions contemplated hereunder and thereunder. The Transaction Documents have been duly authorized, executed and delivered by Investor and each Transaction Document constitutes the valid and binding obligation of Investor, enforceable against Investor in accordance with their respective terms, subject, as to enforcement of remedies, to bankruptcy, insolvency, reorganization, moratorium, or similar laws affecting creditors’ rights generally or general equitable principles.</w:t>
      </w:r>
    </w:p>
    <w:p>
      <w:pPr>
        <w:pStyle w:val="TextBody"/>
        <w:bidi w:val="0"/>
        <w:spacing w:lineRule="auto" w:line="240" w:before="0" w:after="240"/>
        <w:ind w:left="0" w:right="0" w:hanging="1440"/>
        <w:jc w:val="left"/>
        <w:rPr/>
      </w:pPr>
      <w:bookmarkStart w:id="77" w:name="ia2da345dbbda45dfbd5078b01417e38b"/>
      <w:bookmarkEnd w:id="77"/>
      <w:r>
        <w:rPr>
          <w:rFonts w:ascii="Times New Roman;sans-serif" w:hAnsi="Times New Roman;sans-serif"/>
          <w:b/>
          <w:color w:val="000000"/>
          <w:sz w:val="24"/>
        </w:rPr>
        <w:t>Section 1.03</w:t>
      </w:r>
      <w:r>
        <w:rPr>
          <w:rFonts w:ascii="Times New Roman;sans-serif" w:hAnsi="Times New Roman;sans-serif"/>
          <w:b/>
          <w:color w:val="000000"/>
          <w:sz w:val="24"/>
          <w:u w:val="single"/>
        </w:rPr>
        <w:t>Broker’s Fees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Investor has not taken any action that would entitle any Person to any commission or broker’s fee in connection with the transactions contemplated by the Transaction Documents.</w:t>
      </w:r>
    </w:p>
    <w:p>
      <w:pPr>
        <w:pStyle w:val="TextBody"/>
        <w:bidi w:val="0"/>
        <w:spacing w:lineRule="auto" w:line="240" w:before="0" w:after="240"/>
        <w:ind w:left="0" w:right="0" w:hanging="1440"/>
        <w:jc w:val="left"/>
        <w:rPr/>
      </w:pPr>
      <w:bookmarkStart w:id="78" w:name="ica1fa167728d4115bac8b0fa24146276"/>
      <w:bookmarkEnd w:id="78"/>
      <w:r>
        <w:rPr>
          <w:rFonts w:ascii="Times New Roman;sans-serif" w:hAnsi="Times New Roman;sans-serif"/>
          <w:b/>
          <w:color w:val="000000"/>
          <w:sz w:val="24"/>
        </w:rPr>
        <w:t>Section 1.04</w:t>
      </w:r>
      <w:r>
        <w:rPr>
          <w:rFonts w:ascii="Times New Roman;sans-serif" w:hAnsi="Times New Roman;sans-serif"/>
          <w:b/>
          <w:color w:val="000000"/>
          <w:sz w:val="24"/>
          <w:u w:val="single"/>
        </w:rPr>
        <w:t>Conflicts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execution and delivery of this Agreement or any other Transaction Document nor the performance or consummation of the transactions contemplated hereby or thereby will: (i) contravene, conflict with, result in a breach or violation of, constitute a default under, or accelerate the performance provided by, in any material respects any provisions of: (A) any law, rule or regulation of any Governmental Authority, or any judgment, order, writ, decree, permit or license of any Governmental Authority, to which Investor or any of its assets or properties may be subject or bound; or (B) any contract, agreement, commitment or instrument to which Investor is a party or by which Investor or any of its assets or properties is bound or committed; (ii) contravene, conflict with, result in a breach or violation of, constitute a default under, or accelerate the performance provided by, any provisions of the organizational or constitutional documents of Investor; or (iii) require any notification to, filing with, or consent of, any Person or Governmental Authority.</w:t>
      </w:r>
    </w:p>
    <w:p>
      <w:pPr>
        <w:pStyle w:val="TextBody"/>
        <w:bidi w:val="0"/>
        <w:spacing w:lineRule="auto" w:line="240" w:before="0" w:after="240"/>
        <w:ind w:left="0" w:right="0" w:hanging="1440"/>
        <w:jc w:val="left"/>
        <w:rPr/>
      </w:pPr>
      <w:bookmarkStart w:id="79" w:name="iae6e4c17196c422dbe9e438d41fa631e"/>
      <w:bookmarkEnd w:id="79"/>
      <w:r>
        <w:rPr>
          <w:rFonts w:ascii="Times New Roman;sans-serif" w:hAnsi="Times New Roman;sans-serif"/>
          <w:b/>
          <w:color w:val="000000"/>
          <w:sz w:val="24"/>
        </w:rPr>
        <w:t>Section 1.05</w:t>
      </w:r>
      <w:r>
        <w:rPr>
          <w:rFonts w:ascii="Times New Roman;sans-serif" w:hAnsi="Times New Roman;sans-serif"/>
          <w:b/>
          <w:color w:val="000000"/>
          <w:sz w:val="24"/>
          <w:u w:val="single"/>
        </w:rPr>
        <w:t>Tax Status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Investor is exempt from United States federal withholding Tax on all payments with respect to the Purchased Interest by reason of being a “United States person”, as such term is defined in Section 7701(a)(30) of the Code (a “</w:t>
      </w:r>
      <w:r>
        <w:rPr>
          <w:rFonts w:ascii="Times New Roman;sans-serif" w:hAnsi="Times New Roman;sans-serif"/>
          <w:b w:val="false"/>
          <w:color w:val="000000"/>
          <w:sz w:val="24"/>
          <w:u w:val="single"/>
        </w:rPr>
        <w:t>U.S. Person</w:t>
      </w:r>
      <w:r>
        <w:rPr>
          <w:color w:val="000000"/>
        </w:rPr>
        <w:t>”</w:t>
      </w:r>
      <w:r>
        <w:rPr>
          <w:rFonts w:ascii="Times New Roman;sans-serif" w:hAnsi="Times New Roman;sans-serif"/>
          <w:b w:val="false"/>
          <w:color w:val="000000"/>
          <w:sz w:val="24"/>
        </w:rPr>
        <w:t xml:space="preserve">). Investor is acting as a principal, and not as an agent for any other Person, in connection with the execution, delivery, and performance by Investor of the Transaction Documents and the consummation of the transactions contemplated thereby. </w:t>
      </w:r>
    </w:p>
    <w:p>
      <w:pPr>
        <w:pStyle w:val="TextBody"/>
        <w:bidi w:val="0"/>
        <w:spacing w:lineRule="auto" w:line="240" w:before="0" w:after="240"/>
        <w:ind w:left="0" w:right="0" w:hanging="1440"/>
        <w:jc w:val="left"/>
        <w:rPr/>
      </w:pPr>
      <w:bookmarkStart w:id="80" w:name="i672c8c4caed24458bf727791dc724e78"/>
      <w:bookmarkEnd w:id="80"/>
      <w:r>
        <w:rPr>
          <w:rFonts w:ascii="Times New Roman;sans-serif" w:hAnsi="Times New Roman;sans-serif"/>
          <w:b/>
          <w:color w:val="000000"/>
          <w:sz w:val="24"/>
        </w:rPr>
        <w:t>Section 1.06</w:t>
      </w:r>
      <w:r>
        <w:rPr>
          <w:rFonts w:ascii="Times New Roman;sans-serif" w:hAnsi="Times New Roman;sans-serif"/>
          <w:b/>
          <w:color w:val="000000"/>
          <w:sz w:val="24"/>
          <w:u w:val="single"/>
        </w:rPr>
        <w:t>Access to Information</w:t>
      </w:r>
      <w:r>
        <w:rPr>
          <w:rFonts w:ascii="Times New Roman;sans-serif" w:hAnsi="Times New Roman;sans-serif"/>
          <w:b/>
          <w:color w:val="000000"/>
          <w:sz w:val="24"/>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Investor acknowledges that it has (a) reviewed the License Agreement and the Sublicense Agreement, the Warrant and such other documents and information that were requested by Investor and provided to Investor by Company and (b) had the opportunity to ask such questions of, and to receive answers from, representatives of Company concerning the License Agreement and the Sublicense Agreement, Company’s business and financial condition and such other documents and information, in each case, as it deemed necessary to make an informed decision to purchase, acquire, and accept the Purchased Interest and the Warrant in accordance with the </w:t>
      </w:r>
    </w:p>
    <w:p>
      <w:pPr>
        <w:pStyle w:val="TextBody"/>
        <w:bidi w:val="0"/>
        <w:spacing w:before="0" w:after="24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06705"/>
                <wp:effectExtent l="0" t="0" r="0" b="0"/>
                <wp:wrapNone/>
                <wp:docPr id="204" name="Frame20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terms of this Agreement. Investor has such knowledge, sophistication, and experience in financial and business matters that it is capable of evaluating the risks and merits of purchasing, acquiring, and accepting the Purchased Interest and the Warrant in accordance with the terms of this Agreement. Company has not made any representation or warranty, express or implied, as to the accuracy or completeness of any information concerning the Milestones, Royalties, Purchased Interest, the License Agreement, the Sublicense Agreement, the Intellectual Property, the Products, the Licensor, the Sublicensee, or any other matter, except as expressly set forth in this Agreement, and Company expressly disclaims any and all liability that may be based on such information or errors therein or omissions therefrom. Investor has not relied and is not relying on any statement, representation, or warranty, oral or written, express or implied (including any representation or warranty as to merchantability or fitness for a particular purpose), made by Company, except as expressly set forth in Article III. Neither Company nor any of its Affiliates or representatives will have any liability to Investor or any of its Affiliates or representatives resulting from the use of any information, documents, or materials made available to Investor, whether orally or in writing, in any confidential information memoranda, market surveys, financial projections, “data rooms”, due diligence discussions, or in any other form in expectation of the transactions contemplated by this Agreement, and Investor acknowledges and agrees that all information provided by or on behalf of Company to Investor prior to the Effective Date has been provided “AS IS”. Company is not making, directly or indirectly, any representation or warranty with respect to any estimates, projections, or forecasts involving the Milestones, Royalties, Purchased Interest, or Purchased Interest, the License Agreements, the Sublicense Agreements, the Intellectual Property, the Products, the Licensors, the Sublicensees, or any other matter. Investor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 Investor acknowledges that Investor will acquire the Purchased Interest on an “as-is” and “where-is” basis, except as expressly set forth in Article III. Investor acknowledges and agrees that the representations and warranties in Article III are the result of arms’-length negotiations between sophisticated parties. Investor has no Knowledge or reason to believe that any of the representations or warranties made by Company as of the Effective Date are untrue, incomplete, or inaccurate.</w:t>
      </w:r>
    </w:p>
    <w:p>
      <w:pPr>
        <w:pStyle w:val="TextBody"/>
        <w:bidi w:val="0"/>
        <w:spacing w:lineRule="auto" w:line="240" w:before="0" w:after="240"/>
        <w:jc w:val="center"/>
        <w:rPr/>
      </w:pPr>
      <w:bookmarkStart w:id="81" w:name="ifbb941f1db324fc4b7f3b8a10ad272eb"/>
      <w:bookmarkEnd w:id="81"/>
      <w:r>
        <w:rPr>
          <w:rFonts w:ascii="Times New Roman;sans-serif" w:hAnsi="Times New Roman;sans-serif"/>
          <w:b/>
          <w:color w:val="000000"/>
          <w:sz w:val="24"/>
        </w:rPr>
        <w:t>Article V.</w:t>
      </w:r>
      <w:r>
        <w:rPr>
          <w:rFonts w:ascii="Times New Roman;sans-serif" w:hAnsi="Times New Roman;sans-serif"/>
          <w:b/>
          <w:color w:val="000000"/>
          <w:sz w:val="24"/>
        </w:rPr>
        <w:br/>
        <w:t>COVENANTS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During the Payment Term, the following covenants shall apply:</w:t>
      </w:r>
    </w:p>
    <w:p>
      <w:pPr>
        <w:pStyle w:val="TextBody"/>
        <w:bidi w:val="0"/>
        <w:spacing w:lineRule="auto" w:line="240" w:before="0" w:after="240"/>
        <w:ind w:left="0" w:right="0" w:hanging="1440"/>
        <w:jc w:val="left"/>
        <w:rPr/>
      </w:pPr>
      <w:bookmarkStart w:id="82" w:name="id25045f096f14009bb26868e627ac401"/>
      <w:bookmarkEnd w:id="82"/>
      <w:r>
        <w:rPr>
          <w:rFonts w:ascii="Times New Roman;sans-serif" w:hAnsi="Times New Roman;sans-serif"/>
          <w:b/>
          <w:color w:val="000000"/>
          <w:sz w:val="24"/>
        </w:rPr>
        <w:t>Section 1.01</w:t>
      </w:r>
      <w:r>
        <w:rPr>
          <w:rFonts w:ascii="Times New Roman;sans-serif" w:hAnsi="Times New Roman;sans-serif"/>
          <w:b/>
          <w:color w:val="000000"/>
          <w:sz w:val="24"/>
          <w:u w:val="single"/>
        </w:rPr>
        <w:t>Consents and Waivers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shall work together to use commercially reasonable efforts to obtain and maintain any required Consents, acknowledgements, certificates, or waivers, at Investor’s cost and expense, to the extent necessary so that the transactions contemplated by this Agreement, or any other Transaction Document may be consummated and performed and shall not result in any material default, material breach or termination of any of the Material Contracts.</w:t>
      </w:r>
    </w:p>
    <w:p>
      <w:pPr>
        <w:pStyle w:val="TextBody"/>
        <w:bidi w:val="0"/>
        <w:spacing w:lineRule="auto" w:line="240" w:before="0" w:after="240"/>
        <w:ind w:left="0" w:right="0" w:hanging="1440"/>
        <w:jc w:val="left"/>
        <w:rPr/>
      </w:pPr>
      <w:bookmarkStart w:id="83" w:name="icf15029b11f448b59b8e3a4b7e7381aa"/>
      <w:bookmarkEnd w:id="83"/>
      <w:r>
        <w:rPr>
          <w:rFonts w:ascii="Times New Roman;sans-serif" w:hAnsi="Times New Roman;sans-serif"/>
          <w:b/>
          <w:color w:val="000000"/>
          <w:sz w:val="24"/>
        </w:rPr>
        <w:t>Section 1.02</w:t>
      </w:r>
      <w:r>
        <w:rPr>
          <w:rFonts w:ascii="Times New Roman;sans-serif" w:hAnsi="Times New Roman;sans-serif"/>
          <w:b/>
          <w:color w:val="000000"/>
          <w:sz w:val="24"/>
          <w:u w:val="single"/>
        </w:rPr>
        <w:t>Access; Information</w:t>
      </w:r>
      <w:r>
        <w:rPr>
          <w:rFonts w:ascii="Times New Roman;sans-serif" w:hAnsi="Times New Roman;sans-serif"/>
          <w:b/>
          <w:color w:val="000000"/>
          <w:sz w:val="24"/>
        </w:rPr>
        <w:t xml:space="preserve">. </w:t>
      </w:r>
    </w:p>
    <w:p>
      <w:pPr>
        <w:pStyle w:val="TextBody"/>
        <w:bidi w:val="0"/>
        <w:spacing w:lineRule="auto" w:line="240" w:before="0" w:after="240"/>
        <w:ind w:left="0" w:right="0" w:firstLine="720"/>
        <w:jc w:val="both"/>
        <w:rPr/>
      </w:pPr>
      <w:bookmarkStart w:id="84" w:name="i772f81b33c6d4ce38bbd7c8ecaf24d51"/>
      <w:bookmarkEnd w:id="84"/>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Promptly after receipt by Company or any Affiliate of Company of notice of any action, claim, investigation, proceeding (commenced or threatened), certificate, offer, proposal, material correspondence or other material written communication relating to the transactions contemplated by this Agreement, any other Transaction Document, the Purchased Interest, or any License Agreement or Sublicense Agreement, then, Company shall inform Investor of the receipt of such notice and the substance of such action, claim, investigation, proceeding, certificate, </w:t>
      </w:r>
    </w:p>
    <w:p>
      <w:pPr>
        <w:pStyle w:val="TextBody"/>
        <w:bidi w:val="0"/>
        <w:spacing w:before="0" w:after="24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06705"/>
                <wp:effectExtent l="0" t="0" r="0" b="0"/>
                <wp:wrapNone/>
                <wp:docPr id="205" name="Frame20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offer, proposal, correspondence or other written communication and, if in writing shall, furnish Investor with a copy of such notice and any related materials with respect to such action, claim, investigation, proceeding, certificate, offer, proposal, correspondence or other written communication, in each case, to the extent such action would not constitute a Confidentiality Breach. </w:t>
      </w:r>
    </w:p>
    <w:p>
      <w:pPr>
        <w:pStyle w:val="TextBody"/>
        <w:bidi w:val="0"/>
        <w:spacing w:lineRule="auto" w:line="240" w:before="0" w:after="240"/>
        <w:ind w:left="0" w:right="0" w:firstLine="720"/>
        <w:jc w:val="both"/>
        <w:rPr/>
      </w:pPr>
      <w:bookmarkStart w:id="85" w:name="i1f29d75bd0b54fa99a3d3fff2bf8f717"/>
      <w:bookmarkEnd w:id="85"/>
      <w:r>
        <w:rPr>
          <w:rFonts w:ascii="Times New Roman;sans-serif" w:hAnsi="Times New Roman;sans-serif"/>
          <w:b w:val="false"/>
          <w:color w:val="000000"/>
          <w:sz w:val="24"/>
        </w:rPr>
        <w:t>(b)</w:t>
      </w:r>
      <w:r>
        <w:rPr>
          <w:rFonts w:ascii="Times New Roman;sans-serif" w:hAnsi="Times New Roman;sans-serif"/>
          <w:b w:val="false"/>
          <w:color w:val="000000"/>
          <w:sz w:val="24"/>
        </w:rPr>
        <w:t>Company shall keep, maintain, and exercise any rights it has under the Sublicense Agreement to cause the Sublicensee to keep and maintain, at all times full and accurate books of account and records adequate to reflect correctly all payments paid and/or payable with respect to the Royalties and the Milestones. In the event that the Sublicensee does not provide copies of any Sales Report to Investor, upon Investor’s reasonable request and at Investor’s expense, Company shall provide Investor with copies of all Sales Reports received by Company pursuant to the Sublicense Agreement, to the extent such action would not constitute a Confidentiality Breach. Company shall, upon Investor’s reasonable request and at Investor’s expense, exercise any rights they have under the Sublicense Agreement to audit the books and records of each Sublicensee subject to the terms and conditions of the Sublicense Agreement. Within a reasonable time after completion of any audit of any Sublicensee, Company shall deliver to Investor a copy of any audit report received by Company pursuant to the Sublicense Agreement summarizing the results of such audit, to the extent such action would not constitute a Confidentiality Breach.</w:t>
      </w:r>
    </w:p>
    <w:p>
      <w:pPr>
        <w:pStyle w:val="TextBody"/>
        <w:bidi w:val="0"/>
        <w:spacing w:lineRule="auto" w:line="240" w:before="0" w:after="240"/>
        <w:ind w:left="0" w:right="0" w:firstLine="720"/>
        <w:jc w:val="both"/>
        <w:rPr/>
      </w:pPr>
      <w:bookmarkStart w:id="86" w:name="ib391de743c734bc8946947f9794ea776"/>
      <w:bookmarkEnd w:id="86"/>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Investor and any of its representatives shall have the right, from time to time, to visit Company or Company’s Affiliate’s offices and properties where books and records relating or pertaining to the Royalties, Milestones, and Purchased Interest are kept and maintained for purposes of conducting an audit of such books and records with respect thereto, and to inspect, copy and audit such books and records, during normal business hours; provided that no more than one such audit with respect to the Products collectively shall be conducted in any Calendar Year. Upon ten (10) Business Days’ written notice by Investor, Company shall provide or shall cause its Affiliates to provide to Investor or any of its representatives reasonable access to such books and records, and shall permit Investor and its representatives to discuss the business, operations, properties and financial and other condition of Company, with respect to matters relating to the Royalties, Milestones, and Purchased Interest with any officer of Company and with one nationally recognized independent certified public accountant;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Company and its Affiliates shall not be required to provide such access more frequently than once in any Fiscal Year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such action above would not constitute a Confidentiality Breach.</w:t>
      </w:r>
    </w:p>
    <w:p>
      <w:pPr>
        <w:pStyle w:val="TextBody"/>
        <w:bidi w:val="0"/>
        <w:spacing w:lineRule="auto" w:line="240" w:before="0" w:after="240"/>
        <w:ind w:left="0" w:right="0" w:firstLine="720"/>
        <w:jc w:val="both"/>
        <w:rPr/>
      </w:pPr>
      <w:bookmarkStart w:id="87" w:name="ib8c366b167cd41459d86815f9648445a"/>
      <w:bookmarkEnd w:id="87"/>
      <w:r>
        <w:rPr>
          <w:rFonts w:ascii="Times New Roman;sans-serif" w:hAnsi="Times New Roman;sans-serif"/>
          <w:b w:val="false"/>
          <w:color w:val="000000"/>
          <w:sz w:val="24"/>
        </w:rPr>
        <w:t>(d)</w:t>
      </w:r>
      <w:r>
        <w:rPr>
          <w:rFonts w:ascii="Times New Roman;sans-serif" w:hAnsi="Times New Roman;sans-serif"/>
          <w:b w:val="false"/>
          <w:color w:val="000000"/>
          <w:sz w:val="24"/>
        </w:rPr>
        <w:t xml:space="preserve">Company shall maintain a system of accounting established and administered in accordance with sound business practices and GAAP. </w:t>
      </w:r>
    </w:p>
    <w:p>
      <w:pPr>
        <w:pStyle w:val="TextBody"/>
        <w:bidi w:val="0"/>
        <w:spacing w:lineRule="auto" w:line="240" w:before="0" w:after="240"/>
        <w:ind w:left="0" w:right="0" w:hanging="1440"/>
        <w:jc w:val="left"/>
        <w:rPr/>
      </w:pPr>
      <w:bookmarkStart w:id="88" w:name="i73814365eea443d7be5c7ff87b68ef9e"/>
      <w:bookmarkEnd w:id="88"/>
      <w:r>
        <w:rPr>
          <w:rFonts w:ascii="Times New Roman;sans-serif" w:hAnsi="Times New Roman;sans-serif"/>
          <w:b/>
          <w:color w:val="000000"/>
          <w:sz w:val="24"/>
        </w:rPr>
        <w:t>Section 1.03</w:t>
      </w:r>
      <w:r>
        <w:rPr>
          <w:rFonts w:ascii="Times New Roman;sans-serif" w:hAnsi="Times New Roman;sans-serif"/>
          <w:b/>
          <w:color w:val="000000"/>
          <w:sz w:val="24"/>
          <w:u w:val="single"/>
        </w:rPr>
        <w:t>Material Contracts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89" w:name="ie9fdd1b488fb4cd78f84b3b7f0cdcc18"/>
      <w:bookmarkEnd w:id="89"/>
      <w:r>
        <w:rPr>
          <w:rFonts w:ascii="Times New Roman;sans-serif" w:hAnsi="Times New Roman;sans-serif"/>
          <w:b w:val="false"/>
          <w:color w:val="000000"/>
          <w:sz w:val="24"/>
        </w:rPr>
        <w:t>(a)</w:t>
      </w:r>
      <w:r>
        <w:rPr>
          <w:rFonts w:ascii="Times New Roman;sans-serif" w:hAnsi="Times New Roman;sans-serif"/>
          <w:b w:val="false"/>
          <w:color w:val="000000"/>
          <w:sz w:val="24"/>
        </w:rPr>
        <w:t xml:space="preserve">Company shall comply with all material terms and conditions of and fulfill all of its material obligations under all Material Contracts relating to the Royalties, Milestones, and the Purchased Interest (including, without limitation, the License Agreement and Sublicense Agreement). Company shall not amend any such Material Contract or issue any consents or other approvals under any such Material Contract that would have a material adverse effect on the amount, timing, or duration of the payments to be made in respect of the Purchased Interest without the prior written consent of Investor. Company shall, at Investor’s expense, take, all actions reasonably necessary to enforce its rights under any such Material Contract (subject to the reasonable direction and approval of Investor) and perform all of its obligations under any such Material Contract. </w:t>
      </w:r>
    </w:p>
    <w:p>
      <w:pPr>
        <w:pStyle w:val="TextBody"/>
        <w:bidi w:val="0"/>
        <w:spacing w:before="0" w:after="24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06705"/>
                <wp:effectExtent l="0" t="0" r="0" b="0"/>
                <wp:wrapNone/>
                <wp:docPr id="206" name="Frame20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bookmarkStart w:id="90" w:name="ie8602739cad445718707f88183b385e0"/>
      <w:bookmarkEnd w:id="90"/>
      <w:r>
        <w:rPr>
          <w:rFonts w:ascii="Times New Roman;sans-serif" w:hAnsi="Times New Roman;sans-serif"/>
          <w:b w:val="false"/>
          <w:color w:val="000000"/>
          <w:sz w:val="24"/>
        </w:rPr>
        <w:t>(b)</w:t>
      </w:r>
      <w:r>
        <w:rPr>
          <w:rFonts w:ascii="Times New Roman;sans-serif" w:hAnsi="Times New Roman;sans-serif"/>
          <w:b w:val="false"/>
          <w:color w:val="000000"/>
          <w:sz w:val="24"/>
        </w:rPr>
        <w:t>Termination of Sublicense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91" w:name="ia8bfd016b89e40189046e48a15282e1d"/>
      <w:bookmarkEnd w:id="91"/>
      <w:r>
        <w:rPr>
          <w:rFonts w:ascii="Times New Roman;sans-serif" w:hAnsi="Times New Roman;sans-serif"/>
          <w:b w:val="false"/>
          <w:color w:val="000000"/>
          <w:sz w:val="24"/>
        </w:rPr>
        <w:t xml:space="preserve">(i)In the event any Sublicense Agreement is terminated for any reason whatsoever, Company shall, at Investor’s expense, use commercially reasonable efforts to locate and secure one or more replacement Sublicensee(s) and enter into a replacement sublicense agreement granting such replacement Sublicensee a license and sublicense under the Intellectual Property to commercialize Xaciato in the Field in the Territory. </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92" w:name="i842640adc19d4e58bf4a6549010f9868"/>
      <w:bookmarkEnd w:id="92"/>
      <w:r>
        <w:rPr>
          <w:rFonts w:ascii="Times New Roman;sans-serif" w:hAnsi="Times New Roman;sans-serif"/>
          <w:b w:val="false"/>
          <w:color w:val="000000"/>
          <w:sz w:val="24"/>
        </w:rPr>
        <w:t>(ii)In the event that that the Sublicense Agreement is terminated during the Payment Term, and Company enters into a replacement sublicense agreement in respect of the Xaciato Product, the Purchased Interest shall include, and Investor shall be entitled to, the same percentages of the Net Milestone Payments and Net Royalty Payments set forth in Exhibit D; provided that such Net Milestone Payments and Net Royalty Payments shall be calculated using the royalties and milestones set forth in the new replacement sublicense agreement.</w:t>
      </w:r>
    </w:p>
    <w:p>
      <w:pPr>
        <w:pStyle w:val="TextBody"/>
        <w:bidi w:val="0"/>
        <w:spacing w:lineRule="auto" w:line="240" w:before="0" w:after="240"/>
        <w:ind w:left="0" w:right="0" w:hanging="1440"/>
        <w:jc w:val="left"/>
        <w:rPr/>
      </w:pPr>
      <w:bookmarkStart w:id="93" w:name="i7067984e43134f4dadf9bcbc87686430"/>
      <w:bookmarkEnd w:id="93"/>
      <w:r>
        <w:rPr>
          <w:rFonts w:ascii="Times New Roman;sans-serif" w:hAnsi="Times New Roman;sans-serif"/>
          <w:b/>
          <w:color w:val="000000"/>
          <w:sz w:val="24"/>
        </w:rPr>
        <w:t>Section 1.04</w:t>
      </w:r>
      <w:r>
        <w:rPr>
          <w:rFonts w:ascii="Times New Roman;sans-serif" w:hAnsi="Times New Roman;sans-serif"/>
          <w:b/>
          <w:color w:val="000000"/>
          <w:sz w:val="24"/>
          <w:u w:val="single"/>
        </w:rPr>
        <w:t>Confidentiality; Public Announcement</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bookmarkStart w:id="94" w:name="ic13fe7cb487045a48e4d73c512e449ab"/>
      <w:bookmarkEnd w:id="94"/>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expressly authorized in this Agreement or the other Transaction Documents, and subject to </w:t>
      </w:r>
      <w:r>
        <w:rPr>
          <w:rFonts w:ascii="Times New Roman;sans-serif" w:hAnsi="Times New Roman;sans-serif"/>
          <w:b w:val="false"/>
          <w:color w:val="000000"/>
          <w:sz w:val="24"/>
          <w:u w:val="single"/>
        </w:rPr>
        <w:t>Section 5.02</w:t>
      </w:r>
      <w:r>
        <w:rPr>
          <w:rFonts w:ascii="Times New Roman;sans-serif" w:hAnsi="Times New Roman;sans-serif"/>
          <w:b w:val="false"/>
          <w:color w:val="000000"/>
          <w:sz w:val="24"/>
        </w:rPr>
        <w:t>, Investor hereby agrees to (i) use the Confidential Information solely for the purpose of the transactions contemplated by this Agreement and the other Transaction Documents and as necessary in exercising its rights and remedies and performing its obligations hereunder and thereunder; (ii) keep confidential the Confidential Information; (iii) not furnish or disclose to any Person any Confidential Information; (iv) not make use of the trademark, logo, service mark, trade dress or other mark or symbol identifying or associated with the Licensed Products, any manufacturer, distributor or supplier of the Licensed Products, and (v) take the same commercially reasonable steps to protect the Confidential Information as its takes to protect its own proprietary and confidential information. Notwithstanding anything to the contrary set forth in this Agreement, the parties acknowledge and agree that Confidential Information (other than Sublicensee/Licensor Confidential Information)</w:t>
      </w:r>
      <w:r>
        <w:rPr>
          <w:color w:val="000000"/>
        </w:rPr>
        <w:t xml:space="preserve"> </w:t>
      </w:r>
      <w:r>
        <w:rPr>
          <w:rFonts w:ascii="Times New Roman;sans-serif" w:hAnsi="Times New Roman;sans-serif"/>
          <w:b w:val="false"/>
          <w:color w:val="000000"/>
          <w:sz w:val="24"/>
        </w:rPr>
        <w:t xml:space="preserve">shall not include any information to the extent it can be established by competent written records (A) is, at the time of disclosure, or thereafter becomes, a part of the public domain or publicly known or available, other than through any act or omission of Investor in breach of the obligations under this </w:t>
      </w:r>
      <w:r>
        <w:rPr>
          <w:rFonts w:ascii="Times New Roman;sans-serif" w:hAnsi="Times New Roman;sans-serif"/>
          <w:b w:val="false"/>
          <w:color w:val="000000"/>
          <w:sz w:val="24"/>
          <w:u w:val="single"/>
        </w:rPr>
        <w:t>Section 5.04</w:t>
      </w:r>
      <w:r>
        <w:rPr>
          <w:rFonts w:ascii="Times New Roman;sans-serif" w:hAnsi="Times New Roman;sans-serif"/>
          <w:b w:val="false"/>
          <w:color w:val="000000"/>
          <w:sz w:val="24"/>
        </w:rPr>
        <w:t>, (B) was known to Investor at the time of disclosure to Investor, (C) is, at the time of disclosure, or thereafter becomes, known to Investor from a source that had a lawful right to disclose such information to others or (D) was independently developed by Investor without use or reference to any Confidential Information.</w:t>
      </w:r>
      <w:r>
        <w:rPr>
          <w:color w:val="000000"/>
        </w:rPr>
        <w:t xml:space="preserve"> </w:t>
      </w:r>
    </w:p>
    <w:p>
      <w:pPr>
        <w:pStyle w:val="TextBody"/>
        <w:bidi w:val="0"/>
        <w:spacing w:lineRule="auto" w:line="240" w:before="0" w:after="240"/>
        <w:ind w:left="0" w:right="0" w:firstLine="1440"/>
        <w:jc w:val="both"/>
        <w:rPr/>
      </w:pPr>
      <w:bookmarkStart w:id="95" w:name="if7eb2d64216d4d119601b5a77a6d1a30"/>
      <w:bookmarkEnd w:id="95"/>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anything to the contrary set forth in this Agreement other than </w:t>
      </w:r>
      <w:r>
        <w:rPr>
          <w:rFonts w:ascii="Times New Roman;sans-serif" w:hAnsi="Times New Roman;sans-serif"/>
          <w:b w:val="false"/>
          <w:color w:val="000000"/>
          <w:sz w:val="24"/>
          <w:u w:val="single"/>
        </w:rPr>
        <w:t>Section 5.04(g)</w:t>
      </w:r>
      <w:r>
        <w:rPr>
          <w:rFonts w:ascii="Times New Roman;sans-serif" w:hAnsi="Times New Roman;sans-serif"/>
          <w:b w:val="false"/>
          <w:color w:val="000000"/>
          <w:sz w:val="24"/>
        </w:rPr>
        <w:t>, Investor may, without the consent of Company, (i) furnish or disclose Confidential Information of Company (for the avoidance of doubt, other than Sublicensee/Licensor Confidential Information) to its or any of its Affiliates’ actual and potential partners, directors, employees, managers, officers, investors, co-investors, financing parties, bankers, lenders, advisors, trustees and representatives (“</w:t>
      </w:r>
      <w:r>
        <w:rPr>
          <w:rFonts w:ascii="Times New Roman;sans-serif" w:hAnsi="Times New Roman;sans-serif"/>
          <w:b w:val="false"/>
          <w:color w:val="000000"/>
          <w:sz w:val="24"/>
          <w:u w:val="single"/>
        </w:rPr>
        <w:t>Representatives</w:t>
      </w:r>
      <w:r>
        <w:rPr>
          <w:color w:val="000000"/>
        </w:rPr>
        <w:t>”</w:t>
      </w:r>
      <w:r>
        <w:rPr>
          <w:rFonts w:ascii="Times New Roman;sans-serif" w:hAnsi="Times New Roman;sans-serif"/>
          <w:b w:val="false"/>
          <w:color w:val="000000"/>
          <w:sz w:val="24"/>
        </w:rPr>
        <w:t xml:space="preserve">) on a need-to-know basis provided that such Persons shall be informed of the confidential nature of such information and such Persons shall be under confidentiality and non-use obligations with respect to such information on terms substantially similar to this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 xml:space="preserve">for a period of at least three (3) years following the end of the Payment Term, and (ii) furnish or disclose Confidential Information of Company (for the avoidance of doubt, other than Sublicensee/Licensor Confidential Information) to any potential or actual purchaser, transferee or assignee (including non-Affiliates) of all or any portion of the Purchased Interest to whom Investor is entitled to sell, transfer pledge or assign the Purchased Interest (or portion thereof) under </w:t>
      </w:r>
      <w:r>
        <w:rPr>
          <w:rFonts w:ascii="Times New Roman;sans-serif" w:hAnsi="Times New Roman;sans-serif"/>
          <w:b w:val="false"/>
          <w:color w:val="000000"/>
          <w:sz w:val="24"/>
          <w:u w:val="single"/>
        </w:rPr>
        <w:t>Section 7.05</w:t>
      </w:r>
      <w:r>
        <w:rPr>
          <w:color w:val="000000"/>
        </w:rPr>
        <w:t xml:space="preserve"> </w:t>
      </w:r>
      <w:r>
        <w:rPr>
          <w:rFonts w:ascii="Times New Roman;sans-serif" w:hAnsi="Times New Roman;sans-serif"/>
          <w:b w:val="false"/>
          <w:color w:val="000000"/>
          <w:sz w:val="24"/>
        </w:rPr>
        <w:t xml:space="preserve">of this Agreement provided that such potential or actual purchaser, transferee or assignee shall be informed of the confidential nature of such information and such potential or actual purchaser, </w:t>
      </w:r>
    </w:p>
    <w:p>
      <w:pPr>
        <w:pStyle w:val="TextBody"/>
        <w:bidi w:val="0"/>
        <w:spacing w:before="0" w:after="24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06705"/>
                <wp:effectExtent l="0" t="0" r="0" b="0"/>
                <wp:wrapNone/>
                <wp:docPr id="207" name="Frame20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transferee or assignee shall be under confidentiality and non-use obligations with respect to such information on terms substantially similar to this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for a period of at least three (3) years following the end of the Payment Term.</w:t>
      </w:r>
    </w:p>
    <w:p>
      <w:pPr>
        <w:pStyle w:val="TextBody"/>
        <w:bidi w:val="0"/>
        <w:spacing w:lineRule="auto" w:line="240" w:before="0" w:after="240"/>
        <w:ind w:left="0" w:right="0" w:firstLine="1440"/>
        <w:jc w:val="both"/>
        <w:rPr/>
      </w:pPr>
      <w:bookmarkStart w:id="96" w:name="i4eaf6da37f194b85a3273efb3e888de8"/>
      <w:bookmarkEnd w:id="96"/>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the event that Investor, its Affiliates or their respective Representatives are required by Applicable Law or legal or judicial process (including by deposition, interrogatory, request for documents, subpoena, civil investigative demand or similar process) to furnish or disclose any portion of the Confidential Information of Company (for the avoidance of doubt, other than Sublicensee/Licensor Confidential Information), Investor shall, to the extent legally permitted, provide Company, as promptly as practicable, with written notice of the existence of, and terms and circumstances relating to, such requirement, so that Company may seek a protective order or other appropriate remedy (and, if Company seeks such an order, Investor, such Affiliates or such Representatives, as the case may be, shall provide, at Company’s expense, such cooperation as Company shall reasonably require). Subject to the foregoing, Investor, such Affiliates or such Representatives, as the case may be, may disclose that portion (and only that portion) of the Confidential Information Company that is legally required to be disclosed;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Investor, such Affiliates or such Representatives, as the case may be, shall exercise reasonable efforts (at Company’s expense) to obtain reliable assurance that confidential treatment will be accorded any such Confidential Information of Company disclosed. </w:t>
      </w:r>
    </w:p>
    <w:p>
      <w:pPr>
        <w:pStyle w:val="TextBody"/>
        <w:bidi w:val="0"/>
        <w:spacing w:lineRule="auto" w:line="240" w:before="0" w:after="240"/>
        <w:ind w:left="0" w:right="0" w:firstLine="1440"/>
        <w:jc w:val="both"/>
        <w:rPr/>
      </w:pPr>
      <w:bookmarkStart w:id="97" w:name="i297e6a9772d4445092b5df7af91d13b9"/>
      <w:bookmarkEnd w:id="97"/>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anything to the contrary contained in this Agreement, Investor may disclose the Confidential Information of Company (for the avoidance of doubt other than Sublicensee/Licensor Confidential Information), including this Agreement, the other Transaction Documents and the terms and conditions hereof and thereof, to the extent necessary in connection with the enforcement of its rights and remedies hereunder or thereunder or as required to perfect Investor’s rights hereunder or thereunder;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Investor shall only disclose that portion of such Confidential Information of Company that its counsel advises that it is legally required to disclose and is necessary to disclose to enforce or perfect its rights and remedies hereunder and thereunder, and will exercise commercially reasonable efforts to ensure that confidential treatment will be accorded to that portion of such Confidential Information of Company that is being disclosed, including requesting confidential treatment of information in the Transaction Documents (for purposes of clarity, Investor shall not be required to seek confidential treatment with respect to any financing statements permitted under </w:t>
      </w:r>
      <w:r>
        <w:rPr>
          <w:rFonts w:ascii="Times New Roman;sans-serif" w:hAnsi="Times New Roman;sans-serif"/>
          <w:b w:val="false"/>
          <w:color w:val="000000"/>
          <w:sz w:val="24"/>
          <w:u w:val="single"/>
        </w:rPr>
        <w:t>Section 6.01(b)</w:t>
      </w:r>
      <w:r>
        <w:rPr>
          <w:rFonts w:ascii="Times New Roman;sans-serif" w:hAnsi="Times New Roman;sans-serif"/>
          <w:b w:val="false"/>
          <w:color w:val="000000"/>
          <w:sz w:val="24"/>
        </w:rPr>
        <w:t>, but the forms of such initial financing statements will be provided to Company for approval prior to filing, which shall not be unreasonably withheld). In any such event, Investor will not oppose action by Company to obtain an appropriate protective order or other reliable assurance that confidential treatment will be accorded such Confidential Information of Company so disclosed.</w:t>
      </w:r>
    </w:p>
    <w:p>
      <w:pPr>
        <w:pStyle w:val="TextBody"/>
        <w:bidi w:val="0"/>
        <w:spacing w:lineRule="auto" w:line="240" w:before="0" w:after="240"/>
        <w:ind w:left="0" w:right="0" w:firstLine="1440"/>
        <w:jc w:val="both"/>
        <w:rPr/>
      </w:pPr>
      <w:bookmarkStart w:id="98" w:name="i908cd9163ba443a297b9c0aa20163d39"/>
      <w:bookmarkEnd w:id="98"/>
      <w:r>
        <w:rPr>
          <w:rFonts w:ascii="Times New Roman;sans-serif" w:hAnsi="Times New Roman;sans-serif"/>
          <w:b w:val="false"/>
          <w:color w:val="000000"/>
          <w:sz w:val="24"/>
        </w:rPr>
        <w:t>(e)</w:t>
      </w:r>
      <w:r>
        <w:rPr>
          <w:rFonts w:ascii="Times New Roman;sans-serif" w:hAnsi="Times New Roman;sans-serif"/>
          <w:b w:val="false"/>
          <w:color w:val="000000"/>
          <w:sz w:val="24"/>
        </w:rPr>
        <w:t xml:space="preserve">In addition, Company consents and agrees that Investor may publicly disclose the transaction contemplated by this Agreement as may be required under Applicable Law, including under the Securities Exchange Act of 1934, as amended, or as may be required under applicable stock exchange rules. Prior to any public disclosure by Investor pursuant to this </w:t>
      </w:r>
      <w:r>
        <w:rPr>
          <w:rFonts w:ascii="Times New Roman;sans-serif" w:hAnsi="Times New Roman;sans-serif"/>
          <w:b w:val="false"/>
          <w:color w:val="000000"/>
          <w:sz w:val="24"/>
          <w:u w:val="single"/>
        </w:rPr>
        <w:t>Section 5.04(e)</w:t>
      </w:r>
      <w:r>
        <w:rPr>
          <w:rFonts w:ascii="Times New Roman;sans-serif" w:hAnsi="Times New Roman;sans-serif"/>
          <w:b w:val="false"/>
          <w:color w:val="000000"/>
          <w:sz w:val="24"/>
        </w:rPr>
        <w:t xml:space="preserve">, Investor will provide a draft of the proposed public disclosure to Company for prior approval, which shall not be unreasonably withheld. </w:t>
      </w:r>
    </w:p>
    <w:p>
      <w:pPr>
        <w:pStyle w:val="TextBody"/>
        <w:bidi w:val="0"/>
        <w:spacing w:lineRule="auto" w:line="240" w:before="0" w:after="240"/>
        <w:ind w:left="0" w:right="0" w:firstLine="1440"/>
        <w:jc w:val="both"/>
        <w:rPr/>
      </w:pPr>
      <w:bookmarkStart w:id="99" w:name="i82ad0434e6a342058ddb40b2c81e9cf1"/>
      <w:bookmarkEnd w:id="99"/>
      <w:r>
        <w:rPr>
          <w:rFonts w:ascii="Times New Roman;sans-serif" w:hAnsi="Times New Roman;sans-serif"/>
          <w:b w:val="false"/>
          <w:color w:val="000000"/>
          <w:sz w:val="24"/>
        </w:rPr>
        <w:t>(f)</w:t>
      </w:r>
      <w:r>
        <w:rPr>
          <w:rFonts w:ascii="Times New Roman;sans-serif" w:hAnsi="Times New Roman;sans-serif"/>
          <w:b w:val="false"/>
          <w:color w:val="000000"/>
          <w:sz w:val="24"/>
        </w:rPr>
        <w:t xml:space="preserve">Except as set forth below, the Parties’ obligations under this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 xml:space="preserve">shall remain in effect during the Payment Term and shall continue until the three (3) year anniversary of the end of the Payment Term;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xml:space="preserve">, that for any and all trade secrets, the Parties’ obligations under this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 xml:space="preserve">shall remain in effect during the Payment Term and shall continue for so long as such information qualifies as a trade secret under applicable federal and/or state law. </w:t>
      </w:r>
    </w:p>
    <w:p>
      <w:pPr>
        <w:pStyle w:val="TextBody"/>
        <w:bidi w:val="0"/>
        <w:spacing w:before="0" w:after="24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06705"/>
                <wp:effectExtent l="0" t="0" r="0" b="0"/>
                <wp:wrapNone/>
                <wp:docPr id="208" name="Frame20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1440"/>
        <w:jc w:val="both"/>
        <w:rPr/>
      </w:pPr>
      <w:bookmarkStart w:id="100" w:name="i905c3d5f7f1f41df8300bd5cc89a39bf"/>
      <w:bookmarkEnd w:id="100"/>
      <w:r>
        <w:rPr>
          <w:rFonts w:ascii="Times New Roman;sans-serif" w:hAnsi="Times New Roman;sans-serif"/>
          <w:b w:val="false"/>
          <w:color w:val="000000"/>
          <w:sz w:val="24"/>
        </w:rPr>
        <w:t>(g)</w:t>
      </w:r>
      <w:r>
        <w:rPr>
          <w:rFonts w:ascii="Times New Roman;sans-serif" w:hAnsi="Times New Roman;sans-serif"/>
          <w:b w:val="false"/>
          <w:color w:val="000000"/>
          <w:sz w:val="24"/>
        </w:rPr>
        <w:t>Company and Investor shall agree on the initial public announcement of the transactions contemplated by the Transaction Documents.</w:t>
      </w:r>
      <w:r>
        <w:rPr>
          <w:color w:val="000000"/>
        </w:rPr>
        <w:t xml:space="preserve"> </w:t>
      </w:r>
      <w:r>
        <w:rPr>
          <w:rFonts w:ascii="Times New Roman;sans-serif" w:hAnsi="Times New Roman;sans-serif"/>
          <w:b w:val="false"/>
          <w:color w:val="000000"/>
          <w:sz w:val="24"/>
        </w:rPr>
        <w:t>Company may thereafter make such further public announcement regarding the transactions contemplated by the Transaction Documents as it wishes. Investor shall be permitted to make such further disclosures as is consistent with such initial public announcement or prior public announcements by Company or with Company’s prior written consent not to be unreasonably withheld or delayed.</w:t>
      </w:r>
    </w:p>
    <w:p>
      <w:pPr>
        <w:pStyle w:val="TextBody"/>
        <w:bidi w:val="0"/>
        <w:spacing w:lineRule="auto" w:line="240" w:before="0" w:after="240"/>
        <w:ind w:left="0" w:right="0" w:firstLine="1440"/>
        <w:jc w:val="both"/>
        <w:rPr/>
      </w:pPr>
      <w:bookmarkStart w:id="101" w:name="i6c5068debc79472590e8d1204c986ba2"/>
      <w:bookmarkEnd w:id="101"/>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confidentiality provisions set forth in this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 xml:space="preserve">supersede the provisions of the Confidentiality Agreement in all respects, and all Confidential Information disclosed to Investor prior to the Effective Date shall be instead treated as Confidential Information under this </w:t>
      </w:r>
      <w:r>
        <w:rPr>
          <w:rFonts w:ascii="Times New Roman;sans-serif" w:hAnsi="Times New Roman;sans-serif"/>
          <w:b w:val="false"/>
          <w:color w:val="000000"/>
          <w:sz w:val="24"/>
          <w:u w:val="single"/>
        </w:rPr>
        <w:t>Section 5.04</w:t>
      </w:r>
      <w:r>
        <w:rPr>
          <w:rFonts w:ascii="Times New Roman;sans-serif" w:hAnsi="Times New Roman;sans-serif"/>
          <w:b w:val="false"/>
          <w:color w:val="000000"/>
          <w:sz w:val="24"/>
        </w:rPr>
        <w:t>. Upon the Effective Date, the Confidentiality Agreement shall immediately terminate and shall have no further force and effect.</w:t>
      </w:r>
    </w:p>
    <w:p>
      <w:pPr>
        <w:pStyle w:val="TextBody"/>
        <w:bidi w:val="0"/>
        <w:spacing w:lineRule="auto" w:line="240" w:before="0" w:after="240"/>
        <w:ind w:left="0" w:right="0" w:hanging="1440"/>
        <w:jc w:val="left"/>
        <w:rPr/>
      </w:pPr>
      <w:bookmarkStart w:id="102" w:name="ic8969f317d6845b086ae2ca9818041ad"/>
      <w:bookmarkEnd w:id="102"/>
      <w:r>
        <w:rPr>
          <w:rFonts w:ascii="Times New Roman;sans-serif" w:hAnsi="Times New Roman;sans-serif"/>
          <w:b/>
          <w:color w:val="000000"/>
          <w:sz w:val="24"/>
        </w:rPr>
        <w:t>Section 1.05</w:t>
      </w:r>
      <w:r>
        <w:rPr>
          <w:rFonts w:ascii="Times New Roman;sans-serif" w:hAnsi="Times New Roman;sans-serif"/>
          <w:b/>
          <w:color w:val="000000"/>
          <w:sz w:val="24"/>
          <w:u w:val="single"/>
        </w:rPr>
        <w:t>Further Assurance</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03" w:name="i38825fb45fb6440684d29a80af16fef0"/>
      <w:bookmarkEnd w:id="103"/>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and conditions of this Agreement, each of the Parties shall use commercially reasonable efforts to take, or cause to be taken, all actions and to do, or cause to be done, all things necessary under Applicable Laws and regulations to consummate the transactions contemplated by this Agreement and any other Transaction Document. Each of the Parties agree to execute and deliver such other documents, certificates, agreements and other writings (including any financing statement filings requested by Investor) and to take such other actions as may be reasonably requested by a Party that are reasonably necessary to vest in Investor good, valid and marketable rights and interests in and to the Purchased Interest in accordance with this Agreement and the Transaction Documents, subject and subordinate, in all respects, to all of the rights of the Licensor and Sublicensee under the License Agreement and the Sublicense Agreement.</w:t>
      </w:r>
    </w:p>
    <w:p>
      <w:pPr>
        <w:pStyle w:val="TextBody"/>
        <w:bidi w:val="0"/>
        <w:spacing w:lineRule="auto" w:line="240" w:before="0" w:after="240"/>
        <w:ind w:left="0" w:right="0" w:firstLine="720"/>
        <w:jc w:val="both"/>
        <w:rPr/>
      </w:pPr>
      <w:bookmarkStart w:id="104" w:name="iaa36b54ea8464b919ab4750a730439b1"/>
      <w:bookmarkEnd w:id="104"/>
      <w:r>
        <w:rPr>
          <w:rFonts w:ascii="Times New Roman;sans-serif" w:hAnsi="Times New Roman;sans-serif"/>
          <w:b w:val="false"/>
          <w:color w:val="000000"/>
          <w:sz w:val="24"/>
        </w:rPr>
        <w:t>(b)</w:t>
      </w:r>
      <w:r>
        <w:rPr>
          <w:rFonts w:ascii="Times New Roman;sans-serif" w:hAnsi="Times New Roman;sans-serif"/>
          <w:b w:val="false"/>
          <w:color w:val="000000"/>
          <w:sz w:val="24"/>
        </w:rPr>
        <w:t>Each of the Parties shall execute and deliver such additional documents, certificates, and instruments, and to perform such additional acts, as may be reasonably requested and necessary to carry out and effectuate the provisions of this Agreement and any other Transaction Document and to consummate the transactions contemplated by this Agreement and any other Transaction Documents.</w:t>
      </w:r>
    </w:p>
    <w:p>
      <w:pPr>
        <w:pStyle w:val="TextBody"/>
        <w:bidi w:val="0"/>
        <w:spacing w:lineRule="auto" w:line="240" w:before="0" w:after="240"/>
        <w:ind w:left="0" w:right="0" w:firstLine="720"/>
        <w:jc w:val="both"/>
        <w:rPr/>
      </w:pPr>
      <w:bookmarkStart w:id="105" w:name="i18f44f4faf3349b195e678df53122e25"/>
      <w:bookmarkEnd w:id="105"/>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of the Parties shall cooperate and provide assistance as reasonably requested by the other Parties at such other Parties’ expense, in connection with any litigation, arbitration or other proceeding (whether threatened, existing, initiated, or contemplated prior to, on or after the date hereof) to which any Party hereto or any of its officers, directors, shareholders, agents or employees is or may become a Party or is or may become otherwise directly or indirectly affected or as to which any such Persons have a direct or indirect interests, in each case relating to this Agreement, any other Transaction Document, the Purchased Interest, or the transactions described herein or therein. </w:t>
      </w:r>
    </w:p>
    <w:p>
      <w:pPr>
        <w:pStyle w:val="TextBody"/>
        <w:bidi w:val="0"/>
        <w:spacing w:lineRule="auto" w:line="240" w:before="0" w:after="240"/>
        <w:ind w:left="0" w:right="0" w:hanging="1440"/>
        <w:jc w:val="left"/>
        <w:rPr/>
      </w:pPr>
      <w:bookmarkStart w:id="106" w:name="i6231bbb4e3354cf2a426bbff0b4d4d64"/>
      <w:bookmarkEnd w:id="106"/>
      <w:r>
        <w:rPr>
          <w:rFonts w:ascii="Times New Roman;sans-serif" w:hAnsi="Times New Roman;sans-serif"/>
          <w:b/>
          <w:color w:val="000000"/>
          <w:sz w:val="24"/>
        </w:rPr>
        <w:t>Section 1.06</w:t>
      </w:r>
      <w:r>
        <w:rPr>
          <w:rFonts w:ascii="Times New Roman;sans-serif" w:hAnsi="Times New Roman;sans-serif"/>
          <w:b/>
          <w:color w:val="000000"/>
          <w:sz w:val="24"/>
          <w:u w:val="single"/>
        </w:rPr>
        <w:t>[Reserved]</w:t>
      </w:r>
      <w:r>
        <w:rPr>
          <w:rFonts w:ascii="Times New Roman;sans-serif" w:hAnsi="Times New Roman;sans-serif"/>
          <w:b/>
          <w:color w:val="000000"/>
          <w:sz w:val="24"/>
        </w:rPr>
        <w:t>.</w:t>
      </w:r>
    </w:p>
    <w:p>
      <w:pPr>
        <w:pStyle w:val="TextBody"/>
        <w:bidi w:val="0"/>
        <w:spacing w:lineRule="auto" w:line="240" w:before="0" w:after="240"/>
        <w:ind w:left="0" w:right="0" w:hanging="1440"/>
        <w:jc w:val="left"/>
        <w:rPr/>
      </w:pPr>
      <w:bookmarkStart w:id="107" w:name="icd7daf82c3314504a17c304ef57a55ea"/>
      <w:bookmarkEnd w:id="107"/>
      <w:r>
        <w:rPr>
          <w:rFonts w:ascii="Times New Roman;sans-serif" w:hAnsi="Times New Roman;sans-serif"/>
          <w:b/>
          <w:color w:val="000000"/>
          <w:sz w:val="24"/>
        </w:rPr>
        <w:t>Section 1.07</w:t>
      </w:r>
      <w:r>
        <w:rPr>
          <w:rFonts w:ascii="Times New Roman;sans-serif" w:hAnsi="Times New Roman;sans-serif"/>
          <w:b/>
          <w:color w:val="000000"/>
          <w:sz w:val="24"/>
          <w:u w:val="single"/>
        </w:rPr>
        <w:t>Intellectual Property</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08" w:name="i4336ebe90d0a4e3297ed3d82d142fa1a"/>
      <w:bookmarkEnd w:id="108"/>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in all respects to the terms and conditions of the Sublicense Agreement and License Agreement, Company shall, either directly or by causing the Sublicensee to do so, take any actions (including taking legal action to specifically enforce the applicable terms of the License Agreement and the Sublicense Agreement) requested by Investor that are reasonably necessary to (i) diligently prosecute and maintain the applicable Intellectual Property and the Patents in the Field in the Territory and (ii) diligently defend or assert such Intellectual Property and such Patents against infringement or interference by any other Persons in the Field in the Territory, and against any claims of invalidity or unenforceability, in any jurisdiction in the Field </w:t>
      </w:r>
    </w:p>
    <w:p>
      <w:pPr>
        <w:pStyle w:val="TextBody"/>
        <w:bidi w:val="0"/>
        <w:spacing w:before="0" w:after="24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06705"/>
                <wp:effectExtent l="0" t="0" r="0" b="0"/>
                <wp:wrapNone/>
                <wp:docPr id="209" name="Frame20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Territory (including, without limitation, by bringing any legal action for infringement or defending any counterclaim of invalidity or action of a Third Party for declaratory judgment of non-infringement or non-interference). Company shall keep Investor reasonably informed of all such actions and Investor shall, to the extent permitted under the Sublicense Agreement and License Agreement, have the opportunity to participate and meaningfully consult with Company with respect to the direction thereof. Company shall, in good faith, consider all input from Investor, and, subject to the rights of the Licensor under the License Agreement and Sublicensee under the Sublicense Agreement, if, in Investor’s reasonable judgment, Company does not exercise diligent efforts with respect to its rights under the License Agreement or Sublicense Agreement relating to the prosecution or maintenance of the Product Specific Patents, Investor may, in its sole discretion, and only to the extent permitted under the applicable Sublicense Agreement and License Agreement, assume control of the prosecution and maintenance of the Product Specific Patents at Investor’s sole cost and expense. Company shall not, and shall use its commercially reasonable efforts to exercise its rights under the Sublicense Agreement and License Agreement to cause the Licensee and Sublicensee to not, disclaim or abandon or fail to take any action necessary to prevent the disclaimer or abandonment of the applicable Patents or other Intellectual Property where such disclaimer or abandonment would be reasonably likely to result in a Material Adverse Effect.</w:t>
      </w:r>
    </w:p>
    <w:p>
      <w:pPr>
        <w:pStyle w:val="TextBody"/>
        <w:bidi w:val="0"/>
        <w:spacing w:lineRule="auto" w:line="240" w:before="0" w:after="240"/>
        <w:ind w:left="0" w:right="0" w:firstLine="720"/>
        <w:jc w:val="both"/>
        <w:rPr/>
      </w:pPr>
      <w:bookmarkStart w:id="109" w:name="i634b716dfa3e479bbdd188584eba0b80"/>
      <w:bookmarkEnd w:id="109"/>
      <w:r>
        <w:rPr>
          <w:rFonts w:ascii="Times New Roman;sans-serif" w:hAnsi="Times New Roman;sans-serif"/>
          <w:b w:val="false"/>
          <w:color w:val="000000"/>
          <w:sz w:val="24"/>
        </w:rPr>
        <w:t>(b)</w:t>
      </w:r>
      <w:r>
        <w:rPr>
          <w:rFonts w:ascii="Times New Roman;sans-serif" w:hAnsi="Times New Roman;sans-serif"/>
          <w:b w:val="false"/>
          <w:color w:val="000000"/>
          <w:sz w:val="24"/>
        </w:rPr>
        <w:t xml:space="preserve">Company shall use commercially reasonable efforts to exercise its rights under the Sublicense Agreement and License Agreement that it may have to prosecute all pending patent applications related to the Licensed Product as listed in </w:t>
      </w:r>
      <w:r>
        <w:rPr>
          <w:rFonts w:ascii="Times New Roman;sans-serif" w:hAnsi="Times New Roman;sans-serif"/>
          <w:b w:val="false"/>
          <w:color w:val="000000"/>
          <w:sz w:val="24"/>
          <w:u w:val="single"/>
        </w:rPr>
        <w:t>Schedule 3.12(a)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bookmarkStart w:id="110" w:name="icb2c7cfa547842aa9850e26eff2b8560"/>
      <w:bookmarkEnd w:id="110"/>
      <w:r>
        <w:rPr>
          <w:rFonts w:ascii="Times New Roman;sans-serif" w:hAnsi="Times New Roman;sans-serif"/>
          <w:b w:val="false"/>
          <w:color w:val="000000"/>
          <w:sz w:val="24"/>
        </w:rPr>
        <w:t>(c)</w:t>
      </w:r>
      <w:r>
        <w:rPr>
          <w:rFonts w:ascii="Times New Roman;sans-serif" w:hAnsi="Times New Roman;sans-serif"/>
          <w:b w:val="false"/>
          <w:color w:val="000000"/>
          <w:sz w:val="24"/>
        </w:rPr>
        <w:t>Company shall directly take, or subject in all respects to the terms and conditions of the Sublicense Agreement cause Sublicensee to take, any and all actions and prepare, execute, deliver, and file any and all agreements, documents or instruments that are reasonably necessary in order to secure and maintain all Regulatory Approvals. Company may not withdraw or abandon or fail to take any action necessary to prevent the withdrawal or abandonment of any Regulatory Approval once obtained without the prior written consent of Investor.</w:t>
      </w:r>
    </w:p>
    <w:p>
      <w:pPr>
        <w:pStyle w:val="TextBody"/>
        <w:bidi w:val="0"/>
        <w:spacing w:lineRule="auto" w:line="240" w:before="0" w:after="240"/>
        <w:ind w:left="0" w:right="0" w:hanging="1440"/>
        <w:jc w:val="left"/>
        <w:rPr/>
      </w:pPr>
      <w:bookmarkStart w:id="111" w:name="i66c83f8b9cd34f0f9050972aa05b3beb"/>
      <w:bookmarkEnd w:id="111"/>
      <w:r>
        <w:rPr>
          <w:rFonts w:ascii="Times New Roman;sans-serif" w:hAnsi="Times New Roman;sans-serif"/>
          <w:b/>
          <w:color w:val="000000"/>
          <w:sz w:val="24"/>
        </w:rPr>
        <w:t>Section 1.08</w:t>
      </w:r>
      <w:r>
        <w:rPr>
          <w:rFonts w:ascii="Times New Roman;sans-serif" w:hAnsi="Times New Roman;sans-serif"/>
          <w:b/>
          <w:color w:val="000000"/>
          <w:sz w:val="24"/>
          <w:u w:val="single"/>
        </w:rPr>
        <w:t>Negative Covenants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5.09</w:t>
      </w:r>
      <w:r>
        <w:rPr>
          <w:rFonts w:ascii="Times New Roman;sans-serif" w:hAnsi="Times New Roman;sans-serif"/>
          <w:b w:val="false"/>
          <w:color w:val="000000"/>
          <w:sz w:val="24"/>
        </w:rPr>
        <w:t>, Company may not without the prior written consent of Investor:</w:t>
      </w:r>
    </w:p>
    <w:p>
      <w:pPr>
        <w:pStyle w:val="TextBody"/>
        <w:bidi w:val="0"/>
        <w:spacing w:lineRule="auto" w:line="240" w:before="0" w:after="240"/>
        <w:ind w:left="0" w:right="0" w:firstLine="720"/>
        <w:jc w:val="both"/>
        <w:rPr/>
      </w:pPr>
      <w:bookmarkStart w:id="112" w:name="i4e68447cf1fb400793ff3cee3ed45267"/>
      <w:bookmarkEnd w:id="112"/>
      <w:r>
        <w:rPr>
          <w:rFonts w:ascii="Times New Roman;sans-serif" w:hAnsi="Times New Roman;sans-serif"/>
          <w:b w:val="false"/>
          <w:color w:val="000000"/>
          <w:sz w:val="24"/>
        </w:rPr>
        <w:t>(a)</w:t>
      </w:r>
      <w:r>
        <w:rPr>
          <w:rFonts w:ascii="Times New Roman;sans-serif" w:hAnsi="Times New Roman;sans-serif"/>
          <w:b w:val="false"/>
          <w:color w:val="000000"/>
          <w:sz w:val="24"/>
        </w:rPr>
        <w:t>forgive, release, delay, postpone or compromise any amount owed to Company in respect of the Royalties and Milestones;</w:t>
      </w:r>
    </w:p>
    <w:p>
      <w:pPr>
        <w:pStyle w:val="TextBody"/>
        <w:bidi w:val="0"/>
        <w:spacing w:lineRule="auto" w:line="240" w:before="0" w:after="240"/>
        <w:ind w:left="0" w:right="0" w:firstLine="720"/>
        <w:jc w:val="both"/>
        <w:rPr/>
      </w:pPr>
      <w:bookmarkStart w:id="113" w:name="i042824e95de64384a8f7f2e1498494f0"/>
      <w:bookmarkEnd w:id="113"/>
      <w:r>
        <w:rPr>
          <w:rFonts w:ascii="Times New Roman;sans-serif" w:hAnsi="Times New Roman;sans-serif"/>
          <w:b w:val="false"/>
          <w:color w:val="000000"/>
          <w:sz w:val="24"/>
        </w:rPr>
        <w:t>(b)</w:t>
      </w:r>
      <w:r>
        <w:rPr>
          <w:rFonts w:ascii="Times New Roman;sans-serif" w:hAnsi="Times New Roman;sans-serif"/>
          <w:b w:val="false"/>
          <w:color w:val="000000"/>
          <w:sz w:val="24"/>
        </w:rPr>
        <w:t>waive, amend, cancel, or terminate, exercise, or fail to exercise, any material rights constituting or relating to the Royalties and Milestones;</w:t>
      </w:r>
    </w:p>
    <w:p>
      <w:pPr>
        <w:pStyle w:val="TextBody"/>
        <w:bidi w:val="0"/>
        <w:spacing w:lineRule="auto" w:line="240" w:before="0" w:after="240"/>
        <w:ind w:left="0" w:right="0" w:firstLine="720"/>
        <w:jc w:val="both"/>
        <w:rPr/>
      </w:pPr>
      <w:bookmarkStart w:id="114" w:name="i91146815ac8c4b0985ac372aed11123a"/>
      <w:bookmarkEnd w:id="114"/>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amend, modify, restate, cancel, supplement, terminate or waive any provision of the License Agreement or Sublicense Agreement, or grant any consent thereunder, or agree to do any of the foregoing, including, without limitation, entering into any agreement with the Licensor under the provisions of the License Agreement, in each case if such action or waiver would be reasonably likely to have a material adverse effect on the amount, timing, or duration of the payments in respect of the Purchased Interest. </w:t>
      </w:r>
    </w:p>
    <w:p>
      <w:pPr>
        <w:pStyle w:val="TextBody"/>
        <w:bidi w:val="0"/>
        <w:spacing w:lineRule="auto" w:line="240" w:before="0" w:after="240"/>
        <w:ind w:left="0" w:right="0" w:firstLine="720"/>
        <w:jc w:val="both"/>
        <w:rPr/>
      </w:pPr>
      <w:bookmarkStart w:id="115" w:name="i00154a3a318f4526bbfb4053822c2374"/>
      <w:bookmarkEnd w:id="115"/>
      <w:r>
        <w:rPr>
          <w:rFonts w:ascii="Times New Roman;sans-serif" w:hAnsi="Times New Roman;sans-serif"/>
          <w:b w:val="false"/>
          <w:color w:val="000000"/>
          <w:sz w:val="24"/>
        </w:rPr>
        <w:t>(d)</w:t>
      </w:r>
      <w:r>
        <w:rPr>
          <w:rFonts w:ascii="Times New Roman;sans-serif" w:hAnsi="Times New Roman;sans-serif"/>
          <w:b w:val="false"/>
          <w:color w:val="000000"/>
          <w:sz w:val="24"/>
        </w:rPr>
        <w:t>create, incur, assume, or suffer to exist any Lien, or exercise any right of rescission, offset, counterclaim or defense, upon or with respect to the Purchased Interest, or agree to do or suffer to exist any of the foregoing, except for any Lien or agreements in favor of Investor granted under or pursuant to this Agreement and the other Transaction Documents; or</w:t>
      </w:r>
    </w:p>
    <w:p>
      <w:pPr>
        <w:pStyle w:val="TextBody"/>
        <w:bidi w:val="0"/>
        <w:spacing w:lineRule="auto" w:line="240" w:before="0" w:after="240"/>
        <w:ind w:left="0" w:right="0" w:firstLine="720"/>
        <w:jc w:val="both"/>
        <w:rPr/>
      </w:pPr>
      <w:bookmarkStart w:id="116" w:name="ibe8eb5889e8342bab2f3d08ba3bd76d7"/>
      <w:bookmarkEnd w:id="116"/>
      <w:r>
        <w:rPr>
          <w:rFonts w:ascii="Times New Roman;sans-serif" w:hAnsi="Times New Roman;sans-serif"/>
          <w:b w:val="false"/>
          <w:color w:val="000000"/>
          <w:sz w:val="24"/>
        </w:rPr>
        <w:t>(e)</w:t>
      </w:r>
      <w:r>
        <w:rPr>
          <w:rFonts w:ascii="Times New Roman;sans-serif" w:hAnsi="Times New Roman;sans-serif"/>
          <w:b w:val="false"/>
          <w:color w:val="000000"/>
          <w:sz w:val="24"/>
        </w:rPr>
        <w:t>sell, lease, sub license, transfer, or assign (or attempt to do any of the foregoing) all or any portion of the Purchased Interest, other than as permitted hereunder.</w:t>
      </w:r>
    </w:p>
    <w:p>
      <w:pPr>
        <w:pStyle w:val="TextBody"/>
        <w:bidi w:val="0"/>
        <w:spacing w:before="0" w:after="24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06705"/>
                <wp:effectExtent l="0" t="0" r="0" b="0"/>
                <wp:wrapNone/>
                <wp:docPr id="210" name="Frame20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hanging="1440"/>
        <w:jc w:val="left"/>
        <w:rPr/>
      </w:pPr>
      <w:bookmarkStart w:id="117" w:name="ie4930909a3064c1085e71f26c4779268"/>
      <w:bookmarkEnd w:id="117"/>
      <w:r>
        <w:rPr>
          <w:rFonts w:ascii="Times New Roman;sans-serif" w:hAnsi="Times New Roman;sans-serif"/>
          <w:b/>
          <w:color w:val="000000"/>
          <w:sz w:val="24"/>
        </w:rPr>
        <w:t>Section 1.09</w:t>
      </w:r>
      <w:r>
        <w:rPr>
          <w:rFonts w:ascii="Times New Roman;sans-serif" w:hAnsi="Times New Roman;sans-serif"/>
          <w:b/>
          <w:color w:val="000000"/>
          <w:sz w:val="24"/>
          <w:u w:val="single"/>
        </w:rPr>
        <w:t>Future Agreements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18" w:name="i8f675b3fb8d54c76a888fa438b78b1e0"/>
      <w:bookmarkEnd w:id="118"/>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in this Agreement to the contrary, Company shall have the right directly, or through a wholly owned Affiliate, sell, assign, pledge as security (including by way of a grant of a security interest in), contribute, convey, grants, collaterally assign, or otherwise transfer to a Third Party such portion of the Royalties and Milestones which are not included in the Purchased Interest (together with the Purchased Interest relating thereto). </w:t>
      </w:r>
    </w:p>
    <w:p>
      <w:pPr>
        <w:pStyle w:val="TextBody"/>
        <w:bidi w:val="0"/>
        <w:spacing w:lineRule="auto" w:line="240" w:before="0" w:after="240"/>
        <w:ind w:left="0" w:right="0" w:firstLine="720"/>
        <w:jc w:val="both"/>
        <w:rPr/>
      </w:pPr>
      <w:bookmarkStart w:id="119" w:name="i270ffd12a2054185b6255c24dd7ab6ab"/>
      <w:bookmarkEnd w:id="119"/>
      <w:r>
        <w:rPr>
          <w:rFonts w:ascii="Times New Roman;sans-serif" w:hAnsi="Times New Roman;sans-serif"/>
          <w:b w:val="false"/>
          <w:color w:val="000000"/>
          <w:sz w:val="24"/>
        </w:rPr>
        <w:t>(b)</w:t>
      </w:r>
      <w:r>
        <w:rPr>
          <w:rFonts w:ascii="Times New Roman;sans-serif" w:hAnsi="Times New Roman;sans-serif"/>
          <w:b w:val="false"/>
          <w:color w:val="000000"/>
          <w:sz w:val="24"/>
        </w:rPr>
        <w:t>Notwithstanding anything in this Agreement to the contrary, there shall be no restrictions on Company’s ability to grant further licenses and sublicenses to Third Parties with respect to the Products or any other products, and Investor shall enter into a non‐disturbance agreement reasonably acceptable to Company with such future licensees and sublicensees subordinating the rights of Investor to the rights of such future licensees and sublicensees.</w:t>
      </w:r>
    </w:p>
    <w:p>
      <w:pPr>
        <w:pStyle w:val="TextBody"/>
        <w:bidi w:val="0"/>
        <w:spacing w:lineRule="auto" w:line="240" w:before="0" w:after="240"/>
        <w:ind w:left="0" w:right="0" w:hanging="1440"/>
        <w:jc w:val="left"/>
        <w:rPr/>
      </w:pPr>
      <w:bookmarkStart w:id="120" w:name="i9efc377ecf3d499780ad999c996e55e4"/>
      <w:bookmarkEnd w:id="120"/>
      <w:r>
        <w:rPr>
          <w:rFonts w:ascii="Times New Roman;sans-serif" w:hAnsi="Times New Roman;sans-serif"/>
          <w:b/>
          <w:color w:val="000000"/>
          <w:sz w:val="24"/>
        </w:rPr>
        <w:t>Section 1.10</w:t>
      </w:r>
      <w:r>
        <w:rPr>
          <w:rFonts w:ascii="Times New Roman;sans-serif" w:hAnsi="Times New Roman;sans-serif"/>
          <w:b/>
          <w:color w:val="000000"/>
          <w:sz w:val="24"/>
          <w:u w:val="single"/>
        </w:rPr>
        <w:t>Notice</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Company shall provide Investor with written notice as promptly as reasonably practicable (and in any event within ten (10) Business Days) after becoming aware of any of the following:</w:t>
      </w:r>
    </w:p>
    <w:p>
      <w:pPr>
        <w:pStyle w:val="TextBody"/>
        <w:bidi w:val="0"/>
        <w:spacing w:lineRule="auto" w:line="240" w:before="0" w:after="240"/>
        <w:ind w:left="0" w:right="0" w:firstLine="720"/>
        <w:jc w:val="both"/>
        <w:rPr/>
      </w:pPr>
      <w:bookmarkStart w:id="121" w:name="ib00e99e3ada74145aa2914c565ff15ba"/>
      <w:bookmarkEnd w:id="121"/>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any material breach or default by Company of any covenant, agreement or other provision of this Agreement or any other Transaction Document; </w:t>
      </w:r>
    </w:p>
    <w:p>
      <w:pPr>
        <w:pStyle w:val="TextBody"/>
        <w:bidi w:val="0"/>
        <w:spacing w:lineRule="auto" w:line="240" w:before="0" w:after="240"/>
        <w:ind w:left="0" w:right="0" w:firstLine="720"/>
        <w:jc w:val="both"/>
        <w:rPr/>
      </w:pPr>
      <w:bookmarkStart w:id="122" w:name="i97c877e06236461aa20c047505e73ddd"/>
      <w:bookmarkEnd w:id="122"/>
      <w:r>
        <w:rPr>
          <w:rFonts w:ascii="Times New Roman;sans-serif" w:hAnsi="Times New Roman;sans-serif"/>
          <w:b w:val="false"/>
          <w:color w:val="000000"/>
          <w:sz w:val="24"/>
        </w:rPr>
        <w:t>(b)</w:t>
      </w:r>
      <w:r>
        <w:rPr>
          <w:rFonts w:ascii="Times New Roman;sans-serif" w:hAnsi="Times New Roman;sans-serif"/>
          <w:b w:val="false"/>
          <w:color w:val="000000"/>
          <w:sz w:val="24"/>
        </w:rPr>
        <w:t>any representation or warranty made or deemed made by Company in any of the Transaction Documents or in any certificate delivered to Investor pursuant hereto shall prove to be untrue, inaccurate, or incomplete in any material respect on the date as of which made or deemed made;</w:t>
      </w:r>
    </w:p>
    <w:p>
      <w:pPr>
        <w:pStyle w:val="TextBody"/>
        <w:bidi w:val="0"/>
        <w:spacing w:lineRule="auto" w:line="240" w:before="0" w:after="240"/>
        <w:ind w:left="0" w:right="0" w:firstLine="720"/>
        <w:jc w:val="both"/>
        <w:rPr/>
      </w:pPr>
      <w:bookmarkStart w:id="123" w:name="i36cebd21a1b44ff390185132881bf8fe"/>
      <w:bookmarkEnd w:id="123"/>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any further sublicense by a Sublicensee of any rights sublicensed pursuant to any Sublicense Agreement; </w:t>
      </w:r>
    </w:p>
    <w:p>
      <w:pPr>
        <w:pStyle w:val="TextBody"/>
        <w:bidi w:val="0"/>
        <w:spacing w:lineRule="auto" w:line="240" w:before="0" w:after="240"/>
        <w:ind w:left="0" w:right="0" w:firstLine="720"/>
        <w:jc w:val="both"/>
        <w:rPr/>
      </w:pPr>
      <w:bookmarkStart w:id="124" w:name="idce24ea68dec42cba04322345647dc9e"/>
      <w:bookmarkEnd w:id="124"/>
      <w:r>
        <w:rPr>
          <w:rFonts w:ascii="Times New Roman;sans-serif" w:hAnsi="Times New Roman;sans-serif"/>
          <w:b w:val="false"/>
          <w:color w:val="000000"/>
          <w:sz w:val="24"/>
        </w:rPr>
        <w:t>(d)</w:t>
      </w:r>
      <w:r>
        <w:rPr>
          <w:rFonts w:ascii="Times New Roman;sans-serif" w:hAnsi="Times New Roman;sans-serif"/>
          <w:b w:val="false"/>
          <w:color w:val="000000"/>
          <w:sz w:val="24"/>
        </w:rPr>
        <w:t>the occurrence of a Bankruptcy Event with respect to Company, any Licensor, or any Sublicensee; and</w:t>
      </w:r>
    </w:p>
    <w:p>
      <w:pPr>
        <w:pStyle w:val="TextBody"/>
        <w:bidi w:val="0"/>
        <w:spacing w:lineRule="auto" w:line="240" w:before="0" w:after="240"/>
        <w:ind w:left="0" w:right="0" w:firstLine="720"/>
        <w:jc w:val="both"/>
        <w:rPr/>
      </w:pPr>
      <w:bookmarkStart w:id="125" w:name="i146fb48c44284229b1a0da10121d0c79"/>
      <w:bookmarkEnd w:id="125"/>
      <w:r>
        <w:rPr>
          <w:rFonts w:ascii="Times New Roman;sans-serif" w:hAnsi="Times New Roman;sans-serif"/>
          <w:b w:val="false"/>
          <w:color w:val="000000"/>
          <w:sz w:val="24"/>
        </w:rPr>
        <w:t>(e)</w:t>
      </w:r>
      <w:r>
        <w:rPr>
          <w:rFonts w:ascii="Times New Roman;sans-serif" w:hAnsi="Times New Roman;sans-serif"/>
          <w:b w:val="false"/>
          <w:color w:val="000000"/>
          <w:sz w:val="24"/>
        </w:rPr>
        <w:t>any material breach or default by any Licensor under any License Agreement, or the termination of any License Agreement.</w:t>
      </w:r>
    </w:p>
    <w:p>
      <w:pPr>
        <w:pStyle w:val="TextBody"/>
        <w:bidi w:val="0"/>
        <w:spacing w:lineRule="auto" w:line="240" w:before="0" w:after="240"/>
        <w:ind w:left="0" w:right="0" w:hanging="1440"/>
        <w:jc w:val="left"/>
        <w:rPr/>
      </w:pPr>
      <w:bookmarkStart w:id="126" w:name="i543322c982b44b46a2e1781898ed91c5"/>
      <w:bookmarkEnd w:id="126"/>
      <w:r>
        <w:rPr>
          <w:rFonts w:ascii="Times New Roman;sans-serif" w:hAnsi="Times New Roman;sans-serif"/>
          <w:b/>
          <w:color w:val="000000"/>
          <w:sz w:val="24"/>
        </w:rPr>
        <w:t>Section 1.11</w:t>
      </w:r>
      <w:r>
        <w:rPr>
          <w:rFonts w:ascii="Times New Roman;sans-serif" w:hAnsi="Times New Roman;sans-serif"/>
          <w:b/>
          <w:color w:val="000000"/>
          <w:sz w:val="24"/>
          <w:u w:val="single"/>
        </w:rPr>
        <w:t>[Reserved]</w:t>
      </w:r>
      <w:r>
        <w:rPr>
          <w:rFonts w:ascii="Times New Roman;sans-serif" w:hAnsi="Times New Roman;sans-serif"/>
          <w:b/>
          <w:color w:val="000000"/>
          <w:sz w:val="24"/>
        </w:rPr>
        <w:t>.</w:t>
      </w:r>
    </w:p>
    <w:p>
      <w:pPr>
        <w:pStyle w:val="TextBody"/>
        <w:bidi w:val="0"/>
        <w:spacing w:lineRule="auto" w:line="240" w:before="0" w:after="240"/>
        <w:jc w:val="center"/>
        <w:rPr/>
      </w:pPr>
      <w:bookmarkStart w:id="127" w:name="i1d43b7bc88bb492bad602a280165838d"/>
      <w:bookmarkEnd w:id="127"/>
      <w:r>
        <w:rPr>
          <w:rFonts w:ascii="Times New Roman;sans-serif" w:hAnsi="Times New Roman;sans-serif"/>
          <w:b/>
          <w:color w:val="000000"/>
          <w:sz w:val="24"/>
        </w:rPr>
        <w:t>Article VI.</w:t>
      </w:r>
      <w:r>
        <w:rPr>
          <w:rFonts w:ascii="Times New Roman;sans-serif" w:hAnsi="Times New Roman;sans-serif"/>
          <w:b/>
          <w:color w:val="000000"/>
          <w:sz w:val="24"/>
        </w:rPr>
        <w:br/>
        <w:t>EFFECTIVE DATE</w:t>
      </w:r>
    </w:p>
    <w:p>
      <w:pPr>
        <w:pStyle w:val="TextBody"/>
        <w:bidi w:val="0"/>
        <w:spacing w:lineRule="auto" w:line="240" w:before="0" w:after="240"/>
        <w:ind w:left="0" w:right="0" w:hanging="1440"/>
        <w:jc w:val="left"/>
        <w:rPr/>
      </w:pPr>
      <w:bookmarkStart w:id="128" w:name="i8be404a8c19a4a62a48eb73c855b6d89"/>
      <w:bookmarkEnd w:id="128"/>
      <w:r>
        <w:rPr>
          <w:rFonts w:ascii="Times New Roman;sans-serif" w:hAnsi="Times New Roman;sans-serif"/>
          <w:b w:val="false"/>
          <w:color w:val="000000"/>
          <w:sz w:val="24"/>
        </w:rPr>
        <w:t>Section 1.01</w:t>
      </w:r>
      <w:r>
        <w:rPr>
          <w:rFonts w:ascii="Times New Roman;sans-serif" w:hAnsi="Times New Roman;sans-serif"/>
          <w:b/>
          <w:color w:val="000000"/>
          <w:sz w:val="24"/>
          <w:u w:val="single"/>
        </w:rPr>
        <w:t>Effective Date Deliverables</w:t>
      </w:r>
      <w:r>
        <w:rPr>
          <w:rFonts w:ascii="Times New Roman;sans-serif" w:hAnsi="Times New Roman;sans-serif"/>
          <w:b/>
          <w:color w:val="000000"/>
          <w:sz w:val="24"/>
        </w:rPr>
        <w:t xml:space="preserve">. </w:t>
      </w:r>
      <w:r>
        <w:rPr>
          <w:rFonts w:ascii="Times New Roman;sans-serif" w:hAnsi="Times New Roman;sans-serif"/>
          <w:b w:val="false"/>
          <w:color w:val="000000"/>
          <w:sz w:val="24"/>
        </w:rPr>
        <w:t>On the Effective Date:</w:t>
      </w:r>
    </w:p>
    <w:p>
      <w:pPr>
        <w:pStyle w:val="TextBody"/>
        <w:bidi w:val="0"/>
        <w:spacing w:lineRule="auto" w:line="240" w:before="0" w:after="240"/>
        <w:ind w:left="0" w:right="0" w:firstLine="720"/>
        <w:jc w:val="both"/>
        <w:rPr/>
      </w:pPr>
      <w:bookmarkStart w:id="129" w:name="i44a1b8eca208459bb30e3933d00bf033"/>
      <w:bookmarkEnd w:id="129"/>
      <w:r>
        <w:rPr>
          <w:rFonts w:ascii="Times New Roman;sans-serif" w:hAnsi="Times New Roman;sans-serif"/>
          <w:b w:val="false"/>
          <w:color w:val="000000"/>
          <w:sz w:val="24"/>
        </w:rPr>
        <w:t>(a)</w:t>
      </w:r>
      <w:r>
        <w:rPr>
          <w:rFonts w:ascii="Times New Roman;sans-serif" w:hAnsi="Times New Roman;sans-serif"/>
          <w:b w:val="false"/>
          <w:color w:val="000000"/>
          <w:sz w:val="24"/>
          <w:u w:val="single"/>
        </w:rPr>
        <w:t>Warrant</w:t>
      </w:r>
      <w:r>
        <w:rPr>
          <w:rFonts w:ascii="Times New Roman;sans-serif" w:hAnsi="Times New Roman;sans-serif"/>
          <w:b w:val="false"/>
          <w:color w:val="000000"/>
          <w:sz w:val="24"/>
        </w:rPr>
        <w:t>. Company shall deliver to Investor the Closing Warrant to purchase 5,000,000 shares of Company Common Stock.</w:t>
      </w:r>
    </w:p>
    <w:p>
      <w:pPr>
        <w:pStyle w:val="TextBody"/>
        <w:bidi w:val="0"/>
        <w:spacing w:lineRule="auto" w:line="240" w:before="0" w:after="240"/>
        <w:ind w:left="0" w:right="0" w:firstLine="720"/>
        <w:jc w:val="both"/>
        <w:rPr/>
      </w:pPr>
      <w:bookmarkStart w:id="130" w:name="i141f90864a5d4706a2c3dcf379c8992f"/>
      <w:bookmarkEnd w:id="130"/>
      <w:r>
        <w:rPr>
          <w:rFonts w:ascii="Times New Roman;sans-serif" w:hAnsi="Times New Roman;sans-serif"/>
          <w:b w:val="false"/>
          <w:color w:val="000000"/>
          <w:sz w:val="24"/>
        </w:rPr>
        <w:t>(b)</w:t>
      </w:r>
      <w:r>
        <w:rPr>
          <w:rFonts w:ascii="Times New Roman;sans-serif" w:hAnsi="Times New Roman;sans-serif"/>
          <w:b w:val="false"/>
          <w:color w:val="000000"/>
          <w:sz w:val="24"/>
          <w:u w:val="single"/>
        </w:rPr>
        <w:t>Corporate Documents of Company</w:t>
      </w:r>
      <w:r>
        <w:rPr>
          <w:rFonts w:ascii="Times New Roman;sans-serif" w:hAnsi="Times New Roman;sans-serif"/>
          <w:b w:val="false"/>
          <w:color w:val="000000"/>
          <w:sz w:val="24"/>
        </w:rPr>
        <w:t xml:space="preserve">. Company shall deliver to Investor a certificate of an executive officer of Company to the effect set forth in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(the statements made in which shall be true and correct on and as of the Effective Date) together with (A) the certificate of incorporation and by-laws of Company, and all amendments thereto, and (B) resolutions duly adopted by the board of directors of Company (or an authorized committee thereof) authorizing and approving the transactions contemplated hereunder and the execution, delivery and performance of this Agreement and the other Transaction Documents to which it is a party.</w:t>
      </w:r>
      <w:r>
        <w:rPr>
          <w:color w:val="000000"/>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06705"/>
                <wp:effectExtent l="0" t="0" r="0" b="0"/>
                <wp:wrapNone/>
                <wp:docPr id="211" name="Frame20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bookmarkStart w:id="131" w:name="ic3133d5e0e2c4dcb80c08f5e379af72c"/>
      <w:bookmarkEnd w:id="131"/>
      <w:r>
        <w:rPr>
          <w:rFonts w:ascii="Times New Roman;sans-serif" w:hAnsi="Times New Roman;sans-serif"/>
          <w:b w:val="false"/>
          <w:color w:val="000000"/>
          <w:sz w:val="24"/>
        </w:rPr>
        <w:t>(c)</w:t>
      </w:r>
      <w:r>
        <w:rPr>
          <w:rFonts w:ascii="Times New Roman;sans-serif" w:hAnsi="Times New Roman;sans-serif"/>
          <w:b w:val="false"/>
          <w:color w:val="000000"/>
          <w:sz w:val="24"/>
          <w:u w:val="single"/>
        </w:rPr>
        <w:t>Incumbency Certificate of Investor</w:t>
      </w:r>
      <w:r>
        <w:rPr>
          <w:rFonts w:ascii="Times New Roman;sans-serif" w:hAnsi="Times New Roman;sans-serif"/>
          <w:b w:val="false"/>
          <w:color w:val="000000"/>
          <w:sz w:val="24"/>
        </w:rPr>
        <w:t>. Investor shall deliver to Company a certificate of an officer of Investor, dated the Effective Date, setting forth the incumbency of the officer or officers of Investor who have executed and delivered the Transaction Documents, including therein a signature specimen of each such officer.</w:t>
      </w:r>
    </w:p>
    <w:p>
      <w:pPr>
        <w:pStyle w:val="TextBody"/>
        <w:bidi w:val="0"/>
        <w:spacing w:lineRule="auto" w:line="240" w:before="0" w:after="240"/>
        <w:ind w:left="0" w:right="0" w:firstLine="720"/>
        <w:jc w:val="both"/>
        <w:rPr/>
      </w:pPr>
      <w:bookmarkStart w:id="132" w:name="ie9f7f64658454a6a847d31bd96cc9a56"/>
      <w:bookmarkEnd w:id="132"/>
      <w:r>
        <w:rPr>
          <w:rFonts w:ascii="Times New Roman;sans-serif" w:hAnsi="Times New Roman;sans-serif"/>
          <w:b w:val="false"/>
          <w:color w:val="000000"/>
          <w:sz w:val="24"/>
        </w:rPr>
        <w:t>(d)</w:t>
      </w:r>
      <w:r>
        <w:rPr>
          <w:rFonts w:ascii="Times New Roman;sans-serif" w:hAnsi="Times New Roman;sans-serif"/>
          <w:b w:val="false"/>
          <w:color w:val="000000"/>
          <w:sz w:val="24"/>
          <w:u w:val="single"/>
        </w:rPr>
        <w:t>Payment of Initial Investment Amount</w:t>
      </w:r>
      <w:r>
        <w:rPr>
          <w:rFonts w:ascii="Times New Roman;sans-serif" w:hAnsi="Times New Roman;sans-serif"/>
          <w:b w:val="false"/>
          <w:color w:val="000000"/>
          <w:sz w:val="24"/>
        </w:rPr>
        <w:t xml:space="preserve">. Investor shall pay to Company, and Company shall have received, the Initial Investment Amount payment required under </w:t>
      </w:r>
      <w:r>
        <w:rPr>
          <w:rFonts w:ascii="Times New Roman;sans-serif" w:hAnsi="Times New Roman;sans-serif"/>
          <w:b w:val="false"/>
          <w:color w:val="000000"/>
          <w:sz w:val="24"/>
          <w:u w:val="single"/>
        </w:rPr>
        <w:t>Section 2.03(a)</w:t>
      </w:r>
      <w:r>
        <w:rPr>
          <w:color w:val="000000"/>
        </w:rPr>
        <w:t xml:space="preserve"> </w:t>
      </w:r>
      <w:r>
        <w:rPr>
          <w:rFonts w:ascii="Times New Roman;sans-serif" w:hAnsi="Times New Roman;sans-serif"/>
          <w:b w:val="false"/>
          <w:color w:val="000000"/>
          <w:sz w:val="24"/>
        </w:rPr>
        <w:t>of the Agreement.</w:t>
      </w:r>
    </w:p>
    <w:p>
      <w:pPr>
        <w:pStyle w:val="TextBody"/>
        <w:bidi w:val="0"/>
        <w:spacing w:lineRule="auto" w:line="240" w:before="0" w:after="240"/>
        <w:ind w:left="0" w:right="0" w:firstLine="720"/>
        <w:jc w:val="both"/>
        <w:rPr/>
      </w:pPr>
      <w:bookmarkStart w:id="133" w:name="i0dfeb887975242b2ba39170e3ba18b1b"/>
      <w:bookmarkEnd w:id="133"/>
      <w:r>
        <w:rPr>
          <w:rFonts w:ascii="Times New Roman;sans-serif" w:hAnsi="Times New Roman;sans-serif"/>
          <w:b w:val="false"/>
          <w:color w:val="000000"/>
          <w:sz w:val="24"/>
        </w:rPr>
        <w:t>(e)</w:t>
      </w:r>
      <w:r>
        <w:rPr>
          <w:rFonts w:ascii="Times New Roman;sans-serif" w:hAnsi="Times New Roman;sans-serif"/>
          <w:b w:val="false"/>
          <w:color w:val="000000"/>
          <w:sz w:val="24"/>
          <w:u w:val="single"/>
        </w:rPr>
        <w:t>Tax Forms</w:t>
      </w:r>
      <w:r>
        <w:rPr>
          <w:rFonts w:ascii="Times New Roman;sans-serif" w:hAnsi="Times New Roman;sans-serif"/>
          <w:b w:val="false"/>
          <w:color w:val="000000"/>
          <w:sz w:val="24"/>
        </w:rPr>
        <w:t xml:space="preserve">. Investor will deliver to Company a valid and properly executed IRS Form W-9 certifying that Investor is a U.S. Person that is exempt from United States federal withholding Tax with respect to all payments in respect of the Purchased Interest. Company will deliver to Investor, a valid and properly executed IRS Form W-9 certifying that Company is a U.S. Person that is exempt from United States federal withholding Tax with respect to all payments from Investor to Company. </w:t>
      </w:r>
    </w:p>
    <w:p>
      <w:pPr>
        <w:pStyle w:val="TextBody"/>
        <w:bidi w:val="0"/>
        <w:spacing w:lineRule="auto" w:line="240" w:before="0" w:after="240"/>
        <w:jc w:val="center"/>
        <w:rPr/>
      </w:pPr>
      <w:bookmarkStart w:id="134" w:name="i561e0a8853d442fd9787ac7a6b1fb46a"/>
      <w:bookmarkEnd w:id="134"/>
      <w:r>
        <w:rPr>
          <w:rFonts w:ascii="Times New Roman;sans-serif" w:hAnsi="Times New Roman;sans-serif"/>
          <w:b/>
          <w:color w:val="000000"/>
          <w:sz w:val="24"/>
        </w:rPr>
        <w:t>Article VII.</w:t>
      </w:r>
      <w:r>
        <w:rPr>
          <w:rFonts w:ascii="Times New Roman;sans-serif" w:hAnsi="Times New Roman;sans-serif"/>
          <w:b/>
          <w:color w:val="000000"/>
          <w:sz w:val="24"/>
        </w:rPr>
        <w:br/>
        <w:t>MISCELLANEOUS</w:t>
      </w:r>
    </w:p>
    <w:p>
      <w:pPr>
        <w:pStyle w:val="TextBody"/>
        <w:bidi w:val="0"/>
        <w:spacing w:lineRule="auto" w:line="240" w:before="0" w:after="240"/>
        <w:ind w:left="0" w:right="0" w:hanging="1440"/>
        <w:jc w:val="left"/>
        <w:rPr/>
      </w:pPr>
      <w:bookmarkStart w:id="135" w:name="i5cff9bb5ab6c479eba38b9fda128dbb8"/>
      <w:bookmarkEnd w:id="135"/>
      <w:r>
        <w:rPr>
          <w:rFonts w:ascii="Times New Roman;sans-serif" w:hAnsi="Times New Roman;sans-serif"/>
          <w:b/>
          <w:color w:val="000000"/>
          <w:sz w:val="24"/>
        </w:rPr>
        <w:t>Section 1.01</w:t>
      </w:r>
      <w:r>
        <w:rPr>
          <w:rFonts w:ascii="Times New Roman;sans-serif" w:hAnsi="Times New Roman;sans-serif"/>
          <w:b/>
          <w:color w:val="000000"/>
          <w:sz w:val="24"/>
          <w:u w:val="single"/>
        </w:rPr>
        <w:t>Termination; Survival</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36" w:name="i41a638c6bc56419db0d95d24058573cd"/>
      <w:bookmarkEnd w:id="136"/>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This Agreement shall terminate on the date that is the earlier of (i) the date upon which the payment of the Purchased Interest in respect of the Xaciato Product is made in full to Investor pursuant to and in accordance with the terms of the Transaction, and (ii) the payment to Investor of an aggregate amount under this Agreement equal to the Hard Cap. </w:t>
      </w:r>
    </w:p>
    <w:p>
      <w:pPr>
        <w:pStyle w:val="TextBody"/>
        <w:bidi w:val="0"/>
        <w:spacing w:lineRule="auto" w:line="240" w:before="0" w:after="240"/>
        <w:ind w:left="0" w:right="0" w:firstLine="720"/>
        <w:jc w:val="both"/>
        <w:rPr/>
      </w:pPr>
      <w:bookmarkStart w:id="137" w:name="ifdf1a7b04f104dffae3e47a60aa9ee9a"/>
      <w:bookmarkEnd w:id="137"/>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of the termination of this Agreement, this Agreement shall become void and of no further force and effect, except for those rights and obligations that have accrued prior to the date of such termination, including the payment in accordance with the terms hereof of the Purchased Interest earned prior the date of such termination and there shall be no liability on the part of any Party hereto, any of its Affiliates or controlling Persons or any of their respective officers, directors, shareholders, members, partners, controlling Persons, managers, agents or employees, other than as provided for in this </w:t>
      </w:r>
      <w:r>
        <w:rPr>
          <w:rFonts w:ascii="Times New Roman;sans-serif" w:hAnsi="Times New Roman;sans-serif"/>
          <w:b w:val="false"/>
          <w:color w:val="000000"/>
          <w:sz w:val="24"/>
          <w:u w:val="single"/>
        </w:rPr>
        <w:t>Section 7.01(b)</w:t>
      </w:r>
      <w:r>
        <w:rPr>
          <w:rFonts w:ascii="Times New Roman;sans-serif" w:hAnsi="Times New Roman;sans-serif"/>
          <w:b w:val="false"/>
          <w:color w:val="000000"/>
          <w:sz w:val="24"/>
        </w:rPr>
        <w:t xml:space="preserve">. Nothing contained in this </w:t>
      </w:r>
      <w:r>
        <w:rPr>
          <w:rFonts w:ascii="Times New Roman;sans-serif" w:hAnsi="Times New Roman;sans-serif"/>
          <w:b w:val="false"/>
          <w:color w:val="000000"/>
          <w:sz w:val="24"/>
          <w:u w:val="single"/>
        </w:rPr>
        <w:t>Section 7.01</w:t>
      </w:r>
      <w:r>
        <w:rPr>
          <w:color w:val="000000"/>
        </w:rPr>
        <w:t xml:space="preserve"> </w:t>
      </w:r>
      <w:r>
        <w:rPr>
          <w:rFonts w:ascii="Times New Roman;sans-serif" w:hAnsi="Times New Roman;sans-serif"/>
          <w:b w:val="false"/>
          <w:color w:val="000000"/>
          <w:sz w:val="24"/>
        </w:rPr>
        <w:t>shall relieve any Party hereto from liability for any breach of this Agreement that occurs prior to such termination.</w:t>
      </w:r>
    </w:p>
    <w:p>
      <w:pPr>
        <w:pStyle w:val="TextBody"/>
        <w:bidi w:val="0"/>
        <w:spacing w:lineRule="auto" w:line="240" w:before="0" w:after="240"/>
        <w:ind w:left="0" w:right="0" w:firstLine="720"/>
        <w:jc w:val="both"/>
        <w:rPr/>
      </w:pPr>
      <w:bookmarkStart w:id="138" w:name="i0d9fffbf6e544277bbd85f64ac1a126e"/>
      <w:bookmarkEnd w:id="138"/>
      <w:r>
        <w:rPr>
          <w:rFonts w:ascii="Times New Roman;sans-serif" w:hAnsi="Times New Roman;sans-serif"/>
          <w:b w:val="false"/>
          <w:color w:val="000000"/>
          <w:sz w:val="24"/>
        </w:rPr>
        <w:t>(c)</w:t>
      </w:r>
      <w:r>
        <w:rPr>
          <w:rFonts w:ascii="Times New Roman;sans-serif" w:hAnsi="Times New Roman;sans-serif"/>
          <w:b w:val="false"/>
          <w:color w:val="000000"/>
          <w:sz w:val="24"/>
        </w:rPr>
        <w:t>Upon termination of this Agreement in whole or in part, Investor will return or destroy all tangible materials comprising, bearing, or containing any Confidential Information that is in Investor’s or its Affiliates’ possession or control (or if the Agreement is terminated only with respect to a Product, such Confidential Information that relates to such Product) and provide written certification of such return or destruction.</w:t>
      </w:r>
    </w:p>
    <w:p>
      <w:pPr>
        <w:pStyle w:val="TextBody"/>
        <w:bidi w:val="0"/>
        <w:spacing w:lineRule="auto" w:line="240" w:before="0" w:after="240"/>
        <w:ind w:left="0" w:right="0" w:hanging="1440"/>
        <w:jc w:val="left"/>
        <w:rPr/>
      </w:pPr>
      <w:bookmarkStart w:id="139" w:name="i13939c36bf3d43d4a219d46bab733130"/>
      <w:bookmarkEnd w:id="139"/>
      <w:r>
        <w:rPr>
          <w:rFonts w:ascii="Times New Roman;sans-serif" w:hAnsi="Times New Roman;sans-serif"/>
          <w:b/>
          <w:color w:val="000000"/>
          <w:sz w:val="24"/>
        </w:rPr>
        <w:t>Section 1.02</w:t>
      </w:r>
      <w:r>
        <w:rPr>
          <w:rFonts w:ascii="Times New Roman;sans-serif" w:hAnsi="Times New Roman;sans-serif"/>
          <w:b/>
          <w:color w:val="000000"/>
          <w:sz w:val="24"/>
          <w:u w:val="single"/>
        </w:rPr>
        <w:t>Survival</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representations and warranties made herein and in any other Transaction Document, any certificates or in any other writing delivered pursuant hereto or in connection herewith shall survive the execution and delivery of this Agreement and shall continue to survive until the 18 month anniversary of the Effective Date; provided, further, however, that it is understood and agreed that, notwithstanding the survival provisions of this Section 7.02, all of the representations and warranties made by the Parties hereto are made only as of the Effective Date. The obligations of (a) Company to indemnify and hold harmless any Investor Indemnified Party under Section 7.06(a) and (b) Investor to indemnify and hold harmless any Company Indemnified Party under Section 7.06(b), in each case shall terminate (i) when the applicable representation or warranty terminates pursuant to this Section 7.02, with respect to claims made </w:t>
      </w:r>
    </w:p>
    <w:p>
      <w:pPr>
        <w:pStyle w:val="TextBody"/>
        <w:bidi w:val="0"/>
        <w:spacing w:before="0" w:after="24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06705"/>
                <wp:effectExtent l="0" t="0" r="0" b="0"/>
                <wp:wrapNone/>
                <wp:docPr id="212" name="Frame20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Section 7.06(a)(i) and Section 7.06(b)(i), as applicable, and (ii) 60 days after the expiration of the applicable statute of limitations (or waivers or extensions thereof), with respect to claims made pursuant to Section 7.06(a)(ii) and Section 7.06(b)(ii), Section 7.06(b)(iii), Section 7.06(c) or Section 7.06(d); provided, however, that, in each case, such obligations to indemnify and hold harmless shall not terminate with respect to any item as to which a Investor Indemnified Party or a Company Indemnified Party shall have, before the expiration of the applicable period, previously notified the indemnifying Party pursuant to and in accordance with Section 7.06(c).</w:t>
      </w:r>
    </w:p>
    <w:p>
      <w:pPr>
        <w:pStyle w:val="TextBody"/>
        <w:bidi w:val="0"/>
        <w:spacing w:lineRule="auto" w:line="240" w:before="0" w:after="240"/>
        <w:ind w:left="0" w:right="0" w:hanging="1440"/>
        <w:jc w:val="left"/>
        <w:rPr/>
      </w:pPr>
      <w:bookmarkStart w:id="140" w:name="icf95604f6b824450b3b63f35641cd2f4"/>
      <w:bookmarkEnd w:id="140"/>
      <w:r>
        <w:rPr>
          <w:rFonts w:ascii="Times New Roman;sans-serif" w:hAnsi="Times New Roman;sans-serif"/>
          <w:b/>
          <w:color w:val="000000"/>
          <w:sz w:val="24"/>
        </w:rPr>
        <w:t>Section 1.03</w:t>
      </w:r>
      <w:r>
        <w:rPr>
          <w:rFonts w:ascii="Times New Roman;sans-serif" w:hAnsi="Times New Roman;sans-serif"/>
          <w:b/>
          <w:color w:val="000000"/>
          <w:sz w:val="24"/>
          <w:u w:val="single"/>
        </w:rPr>
        <w:t>Specific Performance</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Parties hereto acknowledges that the other Party may have no adequate remedy at law if it fails to perform any of its obligations under any of the Transaction Documents. In such event, each of the parties agrees that the other Party shall have the right, in addition to any other rights it may have (whether at law or in equity), to specific performance of this Agreement.</w:t>
      </w:r>
    </w:p>
    <w:p>
      <w:pPr>
        <w:pStyle w:val="TextBody"/>
        <w:bidi w:val="0"/>
        <w:spacing w:lineRule="auto" w:line="240" w:before="0" w:after="240"/>
        <w:ind w:left="0" w:right="0" w:hanging="1440"/>
        <w:jc w:val="left"/>
        <w:rPr/>
      </w:pPr>
      <w:bookmarkStart w:id="141" w:name="i374c787a44b747278d419e25db5b2e7b"/>
      <w:bookmarkEnd w:id="141"/>
      <w:r>
        <w:rPr>
          <w:rFonts w:ascii="Times New Roman;sans-serif" w:hAnsi="Times New Roman;sans-serif"/>
          <w:b/>
          <w:color w:val="000000"/>
          <w:sz w:val="24"/>
        </w:rPr>
        <w:t>Section 1.04</w:t>
      </w:r>
      <w:r>
        <w:rPr>
          <w:rFonts w:ascii="Times New Roman;sans-serif" w:hAnsi="Times New Roman;sans-serif"/>
          <w:b/>
          <w:color w:val="000000"/>
          <w:sz w:val="24"/>
          <w:u w:val="single"/>
        </w:rPr>
        <w:t>Notices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notices, consents, waivers, and communications hereunder given by any party to the other shall be in writing (including facsimile transmission and electronic mail) and delivered personally, by facsimile, by electronic mail, by a recognized overnight courier, or by dispatching the same by certified or registered mail, return receipt requested, with postage prepaid, in each case addressed: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Investor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in Endeavour, LLC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1900 The Exchange SE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Suite 480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Atlanta, GA 30339</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E. Adam Webb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Company to:</w:t>
      </w:r>
    </w:p>
    <w:p>
      <w:pPr>
        <w:pStyle w:val="TextBody"/>
        <w:bidi w:val="0"/>
        <w:spacing w:lineRule="auto" w:line="240" w:before="0" w:after="0"/>
        <w:jc w:val="left"/>
        <w:rPr/>
      </w:pPr>
      <w:r>
        <w:rPr>
          <w:rFonts w:ascii="Times New Roman;sans-serif" w:hAnsi="Times New Roman;sans-serif"/>
          <w:b w:val="false"/>
          <w:color w:val="000000"/>
          <w:sz w:val="24"/>
          <w:u w:val="single"/>
        </w:rPr>
        <w:t>Dar</w:t>
      </w:r>
      <w:r>
        <w:rPr>
          <w:rFonts w:ascii="Times New Roman;sans-serif" w:hAnsi="Times New Roman;sans-serif"/>
          <w:b w:val="false"/>
          <w:color w:val="000000"/>
          <w:sz w:val="24"/>
        </w:rPr>
        <w:t>é Bioscience, Inc.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3655 Nobel Drive, Suite 260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Diego, CA 92122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Sabrina Johnson, CEO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Mintz, Levin, Cohn, Ferris, Glovsky and Popeo, P.C.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919 Third Avenue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Richard Gervase, Esq.</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to such other address or addresses as the Parties may from time to time respectively designate by notice as provided herein, except that notices of changes of address shall be effective only upon receipt. All such notices, consents, waivers and communications shall: (a) when posted by certified or registered mail, postage prepaid, return receipt requested, be effective upon delivery, </w:t>
      </w:r>
    </w:p>
    <w:p>
      <w:pPr>
        <w:pStyle w:val="TextBody"/>
        <w:bidi w:val="0"/>
        <w:spacing w:before="0" w:after="24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06705"/>
                <wp:effectExtent l="0" t="0" r="0" b="0"/>
                <wp:wrapNone/>
                <wp:docPr id="213" name="Frame2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if delivery is attempted and refused, upon attempted delivery, (b) when sent by electronic mail, be effective one (1) Business Day after transmission, or (c) when delivered by a recognized overnight courier or in person, be effective upon receipt when hand delivered. </w:t>
      </w:r>
    </w:p>
    <w:p>
      <w:pPr>
        <w:pStyle w:val="TextBody"/>
        <w:bidi w:val="0"/>
        <w:spacing w:lineRule="auto" w:line="240" w:before="0" w:after="240"/>
        <w:ind w:left="0" w:right="0" w:hanging="1440"/>
        <w:jc w:val="left"/>
        <w:rPr/>
      </w:pPr>
      <w:bookmarkStart w:id="142" w:name="i9465f032ef4d452cae37ed982c612ee2"/>
      <w:bookmarkEnd w:id="142"/>
      <w:r>
        <w:rPr>
          <w:rFonts w:ascii="Times New Roman;sans-serif" w:hAnsi="Times New Roman;sans-serif"/>
          <w:b/>
          <w:color w:val="000000"/>
          <w:sz w:val="24"/>
        </w:rPr>
        <w:t>Section 1.05</w:t>
      </w:r>
      <w:r>
        <w:rPr>
          <w:rFonts w:ascii="Times New Roman;sans-serif" w:hAnsi="Times New Roman;sans-serif"/>
          <w:b/>
          <w:color w:val="000000"/>
          <w:sz w:val="24"/>
          <w:u w:val="single"/>
        </w:rPr>
        <w:t>Successors and Assigns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provisions of this Agreement shall be binding upon and inure to the benefit of the parties hereto and, subject to this Section 7.05 and the other provisions of this Agreement, their respective successors and permitted assigns. Company shall not be entitled to assign any of its obligations and rights under this Agreement without the prior written consent of Investor, not to be unreasonably withheld, conditioned or delayed, and any such purported assignment, delegation or transfer without such consent will be void ab initio and of no effect; provided, however, such consent shall not be required in connection with a Change of Control of Company. Neither this Agreement nor any of Investor’s rights, interests, or obligations hereunder (including Investor’s rights in respect of the Purchased Interest) may be assigned, delegated, or otherwise transferred, in whole or in part, by operation of law, merger, change of control, or otherwise by Investor without the prior written consent of Company (such consent not to be unreasonably withheld, conditioned or delayed) and the consent of the Sublicensee and Licensor whose Consent is required, and any such purported assignment, delegation or transfer without any such required consent will be void ab initio and of no effect.</w:t>
      </w:r>
      <w:r>
        <w:rPr>
          <w:color w:val="000000"/>
        </w:rPr>
        <w:t xml:space="preserve"> </w:t>
      </w:r>
    </w:p>
    <w:p>
      <w:pPr>
        <w:pStyle w:val="TextBody"/>
        <w:bidi w:val="0"/>
        <w:spacing w:lineRule="auto" w:line="240" w:before="0" w:after="240"/>
        <w:ind w:left="0" w:right="0" w:hanging="1440"/>
        <w:jc w:val="left"/>
        <w:rPr/>
      </w:pPr>
      <w:bookmarkStart w:id="143" w:name="ie0d6ed20ffd5415abafe6d8822257601"/>
      <w:bookmarkEnd w:id="143"/>
      <w:r>
        <w:rPr>
          <w:rFonts w:ascii="Times New Roman;sans-serif" w:hAnsi="Times New Roman;sans-serif"/>
          <w:b/>
          <w:color w:val="000000"/>
          <w:sz w:val="24"/>
        </w:rPr>
        <w:t>Section 1.06</w:t>
      </w:r>
      <w:r>
        <w:rPr>
          <w:rFonts w:ascii="Times New Roman;sans-serif" w:hAnsi="Times New Roman;sans-serif"/>
          <w:b/>
          <w:color w:val="000000"/>
          <w:sz w:val="24"/>
          <w:u w:val="single"/>
        </w:rPr>
        <w:t>Indemnification; Dispute Resolution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44" w:name="ia3d129f4ff1c46c58577f77b1868d038"/>
      <w:bookmarkEnd w:id="144"/>
      <w:r>
        <w:rPr>
          <w:rFonts w:ascii="Times New Roman;sans-serif" w:hAnsi="Times New Roman;sans-serif"/>
          <w:b w:val="false"/>
          <w:color w:val="000000"/>
          <w:sz w:val="24"/>
        </w:rPr>
        <w:t>(a)</w:t>
      </w:r>
      <w:r>
        <w:rPr>
          <w:rFonts w:ascii="Times New Roman;sans-serif" w:hAnsi="Times New Roman;sans-serif"/>
          <w:b w:val="false"/>
          <w:color w:val="000000"/>
          <w:sz w:val="24"/>
        </w:rPr>
        <w:t>Company shall defend, indemnify and hold harmless Investor and its Affiliates and any of their respective directors, managers, members, officers, employees and agents (each a “</w:t>
      </w:r>
      <w:r>
        <w:rPr>
          <w:rFonts w:ascii="Times New Roman;sans-serif" w:hAnsi="Times New Roman;sans-serif"/>
          <w:b w:val="false"/>
          <w:color w:val="000000"/>
          <w:sz w:val="24"/>
          <w:u w:val="single"/>
        </w:rPr>
        <w:t>Investor Indemnified Party</w:t>
      </w:r>
      <w:r>
        <w:rPr>
          <w:color w:val="000000"/>
        </w:rPr>
        <w:t>”</w:t>
      </w:r>
      <w:r>
        <w:rPr>
          <w:rFonts w:ascii="Times New Roman;sans-serif" w:hAnsi="Times New Roman;sans-serif"/>
          <w:b w:val="false"/>
          <w:color w:val="000000"/>
          <w:sz w:val="24"/>
        </w:rPr>
        <w:t>) from and against any and all Losses incurred or suffered by any Investor Indemnified Party arising out of (i) any breach of any representation, warranty, or certification made by Company in any of the Transaction Documents or certificates given by Company in writing pursuant hereto or thereto, or (ii) any breach of or default under any covenant or agreement by Company pursuant to any Transaction Document, including any failure by Company to satisfy any of the Excluded Liabilities and Obligations to the extent that any such Losses are not caused by Investor and subject to indemnification by Investor hereunder; provided, however, that Company shall not be liable for the payment to any Investor Indemnified Party for any portion of such Losses resulting from such Investor Indemnified Party’s gross negligence or willful misconduct. Notwithstanding the foregoing, except to the extent that any Consent is insufficient to allow Investor to receive the Purchased Interest, no Investor Indemnified Party shall be entitled to be indemnified for, or held harmless from, any Losses pursuant to this Section 7.06(a) to the extent such Losses are based on or result from (x) the failure by any Party to obtain a required Consent, or (y) any Consent that is obtained being deficient in any way.</w:t>
      </w:r>
      <w:r>
        <w:rPr>
          <w:color w:val="000000"/>
        </w:rPr>
        <w:t xml:space="preserve"> </w:t>
      </w:r>
    </w:p>
    <w:p>
      <w:pPr>
        <w:pStyle w:val="TextBody"/>
        <w:bidi w:val="0"/>
        <w:spacing w:lineRule="auto" w:line="240" w:before="0" w:after="240"/>
        <w:ind w:left="0" w:right="0" w:firstLine="720"/>
        <w:jc w:val="both"/>
        <w:rPr/>
      </w:pPr>
      <w:bookmarkStart w:id="145" w:name="iba5e401d933c44c6861c43c53c05c088"/>
      <w:bookmarkEnd w:id="145"/>
      <w:r>
        <w:rPr>
          <w:rFonts w:ascii="Times New Roman;sans-serif" w:hAnsi="Times New Roman;sans-serif"/>
          <w:b w:val="false"/>
          <w:color w:val="000000"/>
          <w:sz w:val="24"/>
        </w:rPr>
        <w:t>(b)</w:t>
      </w:r>
      <w:r>
        <w:rPr>
          <w:rFonts w:ascii="Times New Roman;sans-serif" w:hAnsi="Times New Roman;sans-serif"/>
          <w:b w:val="false"/>
          <w:color w:val="000000"/>
          <w:sz w:val="24"/>
        </w:rPr>
        <w:t>Investor shall defend, indemnify and hold harmless Company and its Affiliates and any of their respective directors, managers, members, officers, employees and agents (each a “</w:t>
      </w:r>
      <w:r>
        <w:rPr>
          <w:rFonts w:ascii="Times New Roman;sans-serif" w:hAnsi="Times New Roman;sans-serif"/>
          <w:b w:val="false"/>
          <w:color w:val="000000"/>
          <w:sz w:val="24"/>
          <w:u w:val="single"/>
        </w:rPr>
        <w:t>Company Indemnified Party</w:t>
      </w:r>
      <w:r>
        <w:rPr>
          <w:color w:val="000000"/>
        </w:rPr>
        <w:t>”</w:t>
      </w:r>
      <w:r>
        <w:rPr>
          <w:rFonts w:ascii="Times New Roman;sans-serif" w:hAnsi="Times New Roman;sans-serif"/>
          <w:b w:val="false"/>
          <w:color w:val="000000"/>
          <w:sz w:val="24"/>
        </w:rPr>
        <w:t xml:space="preserve">) from and against any and all Losses incurred or suffered by any Company Indemnified Party arising out of (i) any breach of any representation, warranty, or certification made by Investor in any of the Transaction Documents or certificates given by Investor in writing pursuant hereto or thereto, (ii) any breach of or default under any covenant or agreement by Investor pursuant to any Transaction Document, and (iii) any claims asserted by any Third Party to the extent based on action taken by Company at the express direction of Investor pursuant to the terms of this Agreement, other than actions which Company would have been obligated to take under the Sublicense Agreement or the License Agreement in order to avoid a breach even if Company had not been so directed by Investor; provided, however, that Investor shall not be liable for the payment to any Company Indemnified Party for any portion of </w:t>
      </w:r>
    </w:p>
    <w:p>
      <w:pPr>
        <w:pStyle w:val="TextBody"/>
        <w:bidi w:val="0"/>
        <w:spacing w:before="0" w:after="24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06705"/>
                <wp:effectExtent l="0" t="0" r="0" b="0"/>
                <wp:wrapNone/>
                <wp:docPr id="214" name="Frame2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Losses resulting from such Company Indemnified Party’s gross negligence or willful misconduct.</w:t>
      </w:r>
    </w:p>
    <w:p>
      <w:pPr>
        <w:pStyle w:val="TextBody"/>
        <w:bidi w:val="0"/>
        <w:spacing w:lineRule="auto" w:line="240" w:before="0" w:after="240"/>
        <w:ind w:left="0" w:right="0" w:firstLine="720"/>
        <w:jc w:val="both"/>
        <w:rPr/>
      </w:pPr>
      <w:bookmarkStart w:id="146" w:name="i616eff0a5fa44529ae3cfb4d1ba663a8"/>
      <w:bookmarkEnd w:id="146"/>
      <w:r>
        <w:rPr>
          <w:rFonts w:ascii="Times New Roman;sans-serif" w:hAnsi="Times New Roman;sans-serif"/>
          <w:b w:val="false"/>
          <w:color w:val="000000"/>
          <w:sz w:val="24"/>
        </w:rPr>
        <w:t>(c)</w:t>
      </w:r>
      <w:r>
        <w:rPr>
          <w:rFonts w:ascii="Times New Roman;sans-serif" w:hAnsi="Times New Roman;sans-serif"/>
          <w:b w:val="false"/>
          <w:color w:val="000000"/>
          <w:sz w:val="24"/>
        </w:rPr>
        <w:t>If any claim, demand, action or proceeding (including any investigation by any Governmental Authority) shall be brought or alleged by a Third Party against an Indemnified Party in respect of which indemnity is to be sought against an indemnifying Party pursuant to the preceding paragraphs (a) or (b) (a “</w:t>
      </w:r>
      <w:r>
        <w:rPr>
          <w:rFonts w:ascii="Times New Roman;sans-serif" w:hAnsi="Times New Roman;sans-serif"/>
          <w:b w:val="false"/>
          <w:color w:val="000000"/>
          <w:sz w:val="24"/>
          <w:u w:val="single"/>
        </w:rPr>
        <w:t>Third Party Claim</w:t>
      </w:r>
      <w:r>
        <w:rPr>
          <w:color w:val="000000"/>
        </w:rPr>
        <w:t>”</w:t>
      </w:r>
      <w:r>
        <w:rPr>
          <w:rFonts w:ascii="Times New Roman;sans-serif" w:hAnsi="Times New Roman;sans-serif"/>
          <w:b w:val="false"/>
          <w:color w:val="000000"/>
          <w:sz w:val="24"/>
        </w:rPr>
        <w:t xml:space="preserve">), the Indemnified Party shall, promptly after receipt of notice of the commencement of any such claim, demand, action or proceeding, notify the indemnifying Party in writing of the commencement of such claim, demand, action or proceeding, enclosing a copy of all papers served, if 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omission to so notify such indemnifying Party will not relieve the indemnifying Party from any liability that it may have to any Indemnified Party under the foregoing provisions of this </w:t>
      </w:r>
      <w:r>
        <w:rPr>
          <w:rFonts w:ascii="Times New Roman;sans-serif" w:hAnsi="Times New Roman;sans-serif"/>
          <w:b w:val="false"/>
          <w:color w:val="000000"/>
          <w:sz w:val="24"/>
          <w:u w:val="single"/>
        </w:rPr>
        <w:t>Section 7.06</w:t>
      </w:r>
      <w:r>
        <w:rPr>
          <w:color w:val="000000"/>
        </w:rPr>
        <w:t xml:space="preserve"> </w:t>
      </w:r>
      <w:r>
        <w:rPr>
          <w:rFonts w:ascii="Times New Roman;sans-serif" w:hAnsi="Times New Roman;sans-serif"/>
          <w:b w:val="false"/>
          <w:color w:val="000000"/>
          <w:sz w:val="24"/>
        </w:rPr>
        <w:t xml:space="preserve">unless, and only to the extent that, such omission results in the forfeiture of, or has a material adverse effect on the exercise or prosecution of, substantive rights or defenses by the indemnifying Party. In case any such action is brought against an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sans-serif" w:hAnsi="Times New Roman;sans-serif"/>
          <w:b w:val="false"/>
          <w:color w:val="000000"/>
          <w:sz w:val="24"/>
          <w:u w:val="single"/>
        </w:rPr>
        <w:t>Section 7.06</w:t>
      </w:r>
      <w:r>
        <w:rPr>
          <w:color w:val="000000"/>
        </w:rPr>
        <w:t xml:space="preserve"> </w:t>
      </w:r>
      <w:r>
        <w:rPr>
          <w:rFonts w:ascii="Times New Roman;sans-serif" w:hAnsi="Times New Roman;sans-serif"/>
          <w:b w:val="false"/>
          <w:color w:val="000000"/>
          <w:sz w:val="24"/>
        </w:rPr>
        <w:t>for any legal or other expenses subsequently incurred by such Indemnified Party in connection with the defense thereof other than reasonable costs of investigation. In any such proceeding, an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assumed the defense of such proceeding and has failed within a reasonable time to retain counsel reasonably satisfactory to such Indemnified Party or (iii) the named parties to any such proceeding (including any impleaded parties) include both the indemnifying Party and the Indemnified Party and representation of both parties by the same counsel would be inappropriate due to actual or potential conflicts of interests between them based on the advice of such counsel.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The indemnifying Party shall not be liable for any settlement of any proceeding effected without its written consent.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pStyle w:val="TextBody"/>
        <w:bidi w:val="0"/>
        <w:spacing w:lineRule="auto" w:line="240" w:before="0" w:after="240"/>
        <w:ind w:left="0" w:right="0" w:firstLine="720"/>
        <w:jc w:val="both"/>
        <w:rPr/>
      </w:pPr>
      <w:bookmarkStart w:id="147" w:name="id8696a9e5aef46f18bbbd278384825ac"/>
      <w:bookmarkEnd w:id="147"/>
      <w:r>
        <w:rPr>
          <w:rFonts w:ascii="Times New Roman;sans-serif" w:hAnsi="Times New Roman;sans-serif"/>
          <w:b w:val="false"/>
          <w:color w:val="000000"/>
          <w:sz w:val="24"/>
        </w:rPr>
        <w:t>(d)</w:t>
      </w:r>
      <w:r>
        <w:rPr>
          <w:rFonts w:ascii="Times New Roman;sans-serif" w:hAnsi="Times New Roman;sans-serif"/>
          <w:b w:val="false"/>
          <w:color w:val="000000"/>
          <w:sz w:val="24"/>
          <w:u w:val="single"/>
        </w:rPr>
        <w:t>Claims for Breach</w:t>
      </w:r>
      <w:r>
        <w:rPr>
          <w:rFonts w:ascii="Times New Roman;sans-serif" w:hAnsi="Times New Roman;sans-serif"/>
          <w:b w:val="false"/>
          <w:color w:val="000000"/>
          <w:sz w:val="24"/>
        </w:rPr>
        <w:t xml:space="preserve">. With the exception of breach of contract claims the indemnification afforded by this </w:t>
      </w:r>
      <w:r>
        <w:rPr>
          <w:rFonts w:ascii="Times New Roman;sans-serif" w:hAnsi="Times New Roman;sans-serif"/>
          <w:b w:val="false"/>
          <w:color w:val="000000"/>
          <w:sz w:val="24"/>
          <w:u w:val="single"/>
        </w:rPr>
        <w:t>Section 7.06</w:t>
      </w:r>
      <w:r>
        <w:rPr>
          <w:color w:val="000000"/>
        </w:rPr>
        <w:t xml:space="preserve"> </w:t>
      </w:r>
      <w:r>
        <w:rPr>
          <w:rFonts w:ascii="Times New Roman;sans-serif" w:hAnsi="Times New Roman;sans-serif"/>
          <w:b w:val="false"/>
          <w:color w:val="000000"/>
          <w:sz w:val="24"/>
        </w:rPr>
        <w:t xml:space="preserve">shall be the sole and exclusive remedy for any and all Losses sustained or incurred by an Indemnified Party hereto in connection with the transactions contemplated by the Transaction Documents. With the exception of breach of contract claims the only legal action that may be asserted by or on behalf of any Party with respect to an alleged breach of this Agreement or another Transaction Document or any other matter arising out of the transactions contemplated by this Agreement or another Transaction Document shall be an action to enforce or to recover Losses as an indemnification claim pursuant to this Section 7.06. The Party asserting such a claim shall provide the other Party with written notice setting forth in detail the factual and legal basis for such claim, and the Party against whom such a claim is alleged shall thereafter have 60 days within which to cure the alleged </w:t>
      </w:r>
    </w:p>
    <w:p>
      <w:pPr>
        <w:pStyle w:val="TextBody"/>
        <w:bidi w:val="0"/>
        <w:spacing w:before="0" w:after="24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06705"/>
                <wp:effectExtent l="0" t="0" r="0" b="0"/>
                <wp:wrapNone/>
                <wp:docPr id="215" name="Frame2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breach or otherwise remedy the situation. In the event the alleged breach is not cured or the situation is not otherwise remedied within such 60 day period, the non-breaching Party may initiate legal action to enforce its rights under this Agreement or another Transaction Document. Without limiting the generality of the foregoing, with the exception of breach of contract claims, no legal action based upon predecessor or successor liability, contribution, tort, strict liability or any statute, regulation or ordinance may be maintained by or on behalf of any Party or any Indemnified Party with respect to any matter that is the subject of this </w:t>
      </w:r>
      <w:r>
        <w:rPr>
          <w:rFonts w:ascii="Times New Roman;sans-serif" w:hAnsi="Times New Roman;sans-serif"/>
          <w:b w:val="false"/>
          <w:color w:val="000000"/>
          <w:sz w:val="24"/>
          <w:u w:val="single"/>
        </w:rPr>
        <w:t>Section 7.06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bookmarkStart w:id="148" w:name="ia154c9a104574a4b85b31eb0fd1f5591"/>
      <w:bookmarkEnd w:id="148"/>
      <w:r>
        <w:rPr>
          <w:rFonts w:ascii="Times New Roman;sans-serif" w:hAnsi="Times New Roman;sans-serif"/>
          <w:b w:val="false"/>
          <w:color w:val="000000"/>
          <w:sz w:val="24"/>
        </w:rPr>
        <w:t>(e)</w:t>
      </w:r>
      <w:r>
        <w:rPr>
          <w:rFonts w:ascii="Times New Roman;sans-serif" w:hAnsi="Times New Roman;sans-serif"/>
          <w:b w:val="false"/>
          <w:color w:val="000000"/>
          <w:sz w:val="24"/>
        </w:rPr>
        <w:t>Losses shall be (a) calculated net of actual recoveries received by or on behalf of Indemnified Party under insurance policies, risk sharing pools or similar arrangements (net of any actual collection costs and recoveries and deductibles) and (b) reduced by any proceeds received from third parties, through indemnification, counterclaim or otherwise in compensation for the subject matter of an indemnification claim made hereunder. If any proceeds, benefits or recoveries are received by or on behalf an Indemnified Party with respect to Losses after any indemnifying Party has made an indemnification payment to any Indemnified Party with respect thereto and receipt of such proceeds, benefits or recoveries prior to such payment would have reduced the amount of such indemnification payment if received prior to such payment, then such Indemnified Party shall hold such amounts in trust for the benefit of such indemnifying Party and, within three (3) Business Days after receipt thereof, deliver such amounts (grossed up for any applicable withholding tax) to such indemnifying Party by wire transfer of immediately available funds as directed by such indemnifying Party.</w:t>
      </w:r>
    </w:p>
    <w:p>
      <w:pPr>
        <w:pStyle w:val="TextBody"/>
        <w:bidi w:val="0"/>
        <w:spacing w:lineRule="auto" w:line="240" w:before="0" w:after="240"/>
        <w:ind w:left="0" w:right="0" w:firstLine="720"/>
        <w:jc w:val="both"/>
        <w:rPr/>
      </w:pPr>
      <w:bookmarkStart w:id="149" w:name="i266242bb104847db92064ec078005754"/>
      <w:bookmarkEnd w:id="149"/>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After any final decision, judgment or award with respect to any claim for which indemnification is available under this </w:t>
      </w:r>
      <w:r>
        <w:rPr>
          <w:rFonts w:ascii="Times New Roman;sans-serif" w:hAnsi="Times New Roman;sans-serif"/>
          <w:b w:val="false"/>
          <w:color w:val="000000"/>
          <w:sz w:val="24"/>
          <w:u w:val="single"/>
        </w:rPr>
        <w:t>Section 7.06</w:t>
      </w:r>
      <w:r>
        <w:rPr>
          <w:color w:val="000000"/>
        </w:rPr>
        <w:t xml:space="preserve"> </w:t>
      </w:r>
      <w:r>
        <w:rPr>
          <w:rFonts w:ascii="Times New Roman;sans-serif" w:hAnsi="Times New Roman;sans-serif"/>
          <w:b w:val="false"/>
          <w:color w:val="000000"/>
          <w:sz w:val="24"/>
        </w:rPr>
        <w:t>and for which Losses have been awarded by a court of competent jurisdiction and the expiration of the time in which to appeal therefrom, the Indemnified Party shall forward to the indemnifying Party notice of any sums due and owing by the indemnifying Party on account of any Claim for indemnification made pursuant to this Agreement with respect to such matter, and the indemnifying Party shall pay all such amounts to the Indemnified Party within ten (10) Business Days of receipt of such notice.</w:t>
      </w:r>
    </w:p>
    <w:p>
      <w:pPr>
        <w:pStyle w:val="TextBody"/>
        <w:bidi w:val="0"/>
        <w:spacing w:lineRule="auto" w:line="240" w:before="0" w:after="240"/>
        <w:ind w:left="0" w:right="0" w:firstLine="720"/>
        <w:jc w:val="both"/>
        <w:rPr/>
      </w:pPr>
      <w:bookmarkStart w:id="150" w:name="i1a486f65be8a48049d3b7d1e535c689e"/>
      <w:bookmarkEnd w:id="150"/>
      <w:r>
        <w:rPr>
          <w:rFonts w:ascii="Times New Roman;sans-serif" w:hAnsi="Times New Roman;sans-serif"/>
          <w:b w:val="false"/>
          <w:color w:val="000000"/>
          <w:sz w:val="24"/>
        </w:rPr>
        <w:t>(g)</w:t>
      </w:r>
      <w:r>
        <w:rPr>
          <w:rFonts w:ascii="Times New Roman;sans-serif" w:hAnsi="Times New Roman;sans-serif"/>
          <w:b w:val="false"/>
          <w:color w:val="000000"/>
          <w:sz w:val="24"/>
        </w:rPr>
        <w:t xml:space="preserve">Notwithstanding anything in this Agreement to the contrary, except to the extent actually paid to a Third Party in respect of a Third Party Claim, in no event shall (a) any Party be liable under this </w:t>
      </w:r>
      <w:r>
        <w:rPr>
          <w:rFonts w:ascii="Times New Roman;sans-serif" w:hAnsi="Times New Roman;sans-serif"/>
          <w:b w:val="false"/>
          <w:color w:val="000000"/>
          <w:sz w:val="24"/>
          <w:u w:val="single"/>
        </w:rPr>
        <w:t>Section 7.06</w:t>
      </w:r>
      <w:r>
        <w:rPr>
          <w:color w:val="000000"/>
        </w:rPr>
        <w:t xml:space="preserve"> </w:t>
      </w:r>
      <w:r>
        <w:rPr>
          <w:rFonts w:ascii="Times New Roman;sans-serif" w:hAnsi="Times New Roman;sans-serif"/>
          <w:b w:val="false"/>
          <w:color w:val="000000"/>
          <w:sz w:val="24"/>
        </w:rPr>
        <w:t xml:space="preserve">for any indirect, consequential, special or punitive damages or loss of profits, (b) Company and its employees, officers, directors, agents, successors or assigns, taken as a whole, be liable for any Losses in the aggregate greater than (x) the amount of the Purchased Interest when due under this Agreement, less (y) the amount of all payments in respect of the Purchased Interest already received by Investor, and (c) Investor or any of its employees, officers, directors, agents, successors or assigns, taken as a whole, be liable for any Losses in the aggregate greater than the amount of the sum of the Aggregate Investment Amount and each of the Contingent Investment Amount Payments (if any) paid by Investor to Company when due under this Agreement. For clarity, no Party hereto shall have any right to terminate this Agreement or any other Transaction Document as a result of any breach by any other Party hereto hereof or thereof, but instead shall have the rights set forth in this </w:t>
      </w:r>
      <w:r>
        <w:rPr>
          <w:rFonts w:ascii="Times New Roman;sans-serif" w:hAnsi="Times New Roman;sans-serif"/>
          <w:b w:val="false"/>
          <w:color w:val="000000"/>
          <w:sz w:val="24"/>
          <w:u w:val="single"/>
        </w:rPr>
        <w:t>Section 7.06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bookmarkStart w:id="151" w:name="i40af050cee3b4e0bb3124458b44fdb9d"/>
      <w:bookmarkEnd w:id="151"/>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Parties shall use commercially reasonable efforts to cooperate with each other in order to resolve or mitigate any claims indemnifiable under this </w:t>
      </w:r>
      <w:r>
        <w:rPr>
          <w:rFonts w:ascii="Times New Roman;sans-serif" w:hAnsi="Times New Roman;sans-serif"/>
          <w:b w:val="false"/>
          <w:color w:val="000000"/>
          <w:sz w:val="24"/>
          <w:u w:val="single"/>
        </w:rPr>
        <w:t>Section 7.06</w:t>
      </w:r>
      <w:r>
        <w:rPr>
          <w:rFonts w:ascii="Times New Roman;sans-serif" w:hAnsi="Times New Roman;sans-serif"/>
          <w:b w:val="false"/>
          <w:color w:val="000000"/>
          <w:sz w:val="24"/>
        </w:rPr>
        <w:t>. Each Party shall respond to any claims in substantially the same manner it would respond to such claims in the absence of the indemnification provisions of this Agreement. If any Party intentionally fails to make such commercially reasonable efforts to mitigate or resolve any such claim, then, notwithstanding anything else to the contrary contained herein, the other Parties shall not be required to indemnify any Person for any portion of such indemnifiable loss that could reasonably be expected to have been avoided if such Party had made such efforts.</w:t>
      </w:r>
    </w:p>
    <w:p>
      <w:pPr>
        <w:pStyle w:val="TextBody"/>
        <w:bidi w:val="0"/>
        <w:spacing w:before="0" w:after="24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06705"/>
                <wp:effectExtent l="0" t="0" r="0" b="0"/>
                <wp:wrapNone/>
                <wp:docPr id="216" name="Frame2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bookmarkStart w:id="152" w:name="idbb5c3bc329b47c8a7d4ae58781b9443"/>
      <w:bookmarkEnd w:id="152"/>
      <w:r>
        <w:rPr>
          <w:rFonts w:ascii="Times New Roman;sans-serif" w:hAnsi="Times New Roman;sans-serif"/>
          <w:b w:val="false"/>
          <w:color w:val="000000"/>
          <w:sz w:val="24"/>
        </w:rPr>
        <w:t>(i)</w:t>
      </w:r>
      <w:r>
        <w:rPr>
          <w:rFonts w:ascii="Times New Roman;sans-serif" w:hAnsi="Times New Roman;sans-serif"/>
          <w:b w:val="false"/>
          <w:color w:val="000000"/>
          <w:sz w:val="24"/>
        </w:rPr>
        <w:t>Prior to bringing a legal action against the other Party, such dispute shall be separately negotiated by the Parties hereto in good faith and all reasonable efforts undertaken to settle amicably such matters before resorting to further legal recourse, as follows: upon the occurrence of a dispute between the Parties, including, without limitation, any breach of this Agreement or any obligation relating thereto, the matter shall be referred first to the officers of Company and Investor having responsibility for the subject matter of the dispute, or their designees. The officers, or their designees, as the case may be, shall negotiate in good faith to resolve such dispute in a mutually satisfactory manner for up to thirty (30) days. If such efforts do not result in mutually satisfactory resolution of the dispute, the matter shall be referred to the chief executive officers of Company and Investor, or their designees. The chief executive officers, or their designees, as the case may be, shall negotiate in good faith to resolve such dispute in a mutually satisfactory manner for up to thirty additional (30) days, or such longer period of time to which the chief executive officers may agree. In the event the dispute has not been resolved at the end of such thirty (30) day period (or such longer period as agreed to by the chief executive officers of the Parties), either Party shall be entitled to bring an action in accordance with</w:t>
      </w:r>
      <w:r>
        <w:rPr>
          <w:color w:val="000000"/>
          <w:u w:val="single"/>
        </w:rPr>
        <w:t xml:space="preserve"> </w:t>
      </w:r>
      <w:r>
        <w:rPr>
          <w:rFonts w:ascii="Times New Roman;sans-serif" w:hAnsi="Times New Roman;sans-serif"/>
          <w:b w:val="false"/>
          <w:color w:val="000000"/>
          <w:sz w:val="24"/>
          <w:u w:val="single"/>
        </w:rPr>
        <w:t>Section 7.06(a) and (b</w:t>
      </w:r>
      <w:r>
        <w:rPr>
          <w:rFonts w:ascii="Times New Roman;sans-serif" w:hAnsi="Times New Roman;sans-serif"/>
          <w:b w:val="false"/>
          <w:color w:val="000000"/>
          <w:sz w:val="24"/>
        </w:rPr>
        <w:t>), above.</w:t>
      </w:r>
    </w:p>
    <w:p>
      <w:pPr>
        <w:pStyle w:val="TextBody"/>
        <w:bidi w:val="0"/>
        <w:spacing w:lineRule="auto" w:line="240" w:before="0" w:after="240"/>
        <w:ind w:left="0" w:right="0" w:hanging="1440"/>
        <w:jc w:val="left"/>
        <w:rPr/>
      </w:pPr>
      <w:bookmarkStart w:id="153" w:name="i8cca7a333116487894d604b290f011b4"/>
      <w:bookmarkEnd w:id="153"/>
      <w:r>
        <w:rPr>
          <w:rFonts w:ascii="Times New Roman;sans-serif" w:hAnsi="Times New Roman;sans-serif"/>
          <w:b/>
          <w:color w:val="000000"/>
          <w:sz w:val="24"/>
        </w:rPr>
        <w:t>Section 1.07</w:t>
      </w:r>
      <w:r>
        <w:rPr>
          <w:rFonts w:ascii="Times New Roman;sans-serif" w:hAnsi="Times New Roman;sans-serif"/>
          <w:b/>
          <w:color w:val="000000"/>
          <w:sz w:val="24"/>
          <w:u w:val="single"/>
        </w:rPr>
        <w:t>Independent Nature of Relationship</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relationship between Company, on the one hand, and Investor, on the other hand, is solely that of assignor and assignee, and neither Investor, on the one hand, nor Company, on the other hand, has any fiduciary or other special relationship with the other or any of their respective Affiliates.</w:t>
      </w:r>
    </w:p>
    <w:p>
      <w:pPr>
        <w:pStyle w:val="TextBody"/>
        <w:bidi w:val="0"/>
        <w:spacing w:lineRule="auto" w:line="240" w:before="0" w:after="240"/>
        <w:ind w:left="0" w:right="0" w:hanging="1440"/>
        <w:jc w:val="left"/>
        <w:rPr/>
      </w:pPr>
      <w:bookmarkStart w:id="154" w:name="i798c26ede16a4a92a2fd3dc9fa09d283"/>
      <w:bookmarkEnd w:id="154"/>
      <w:r>
        <w:rPr>
          <w:rFonts w:ascii="Times New Roman;sans-serif" w:hAnsi="Times New Roman;sans-serif"/>
          <w:b/>
          <w:color w:val="000000"/>
          <w:sz w:val="24"/>
        </w:rPr>
        <w:t>Section 1.08</w:t>
      </w:r>
      <w:r>
        <w:rPr>
          <w:rFonts w:ascii="Times New Roman;sans-serif" w:hAnsi="Times New Roman;sans-serif"/>
          <w:b/>
          <w:color w:val="000000"/>
          <w:sz w:val="24"/>
          <w:u w:val="single"/>
        </w:rPr>
        <w:t>Tax</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55" w:name="i995a507b6e6647afbd7d7fe22ca3ca5c"/>
      <w:bookmarkEnd w:id="155"/>
      <w:r>
        <w:rPr>
          <w:rFonts w:ascii="Times New Roman;sans-serif" w:hAnsi="Times New Roman;sans-serif"/>
          <w:b w:val="false"/>
          <w:color w:val="000000"/>
          <w:sz w:val="24"/>
        </w:rPr>
        <w:t>(a)</w:t>
      </w:r>
      <w:r>
        <w:rPr>
          <w:rFonts w:ascii="Times New Roman;sans-serif" w:hAnsi="Times New Roman;sans-serif"/>
          <w:b w:val="false"/>
          <w:color w:val="000000"/>
          <w:sz w:val="24"/>
        </w:rPr>
        <w:t>The Parties (i) agree that for U.S. federal and applicable state and local income Tax purposes, the transactions contemplated by this Agreement are intended to constitute a debt instrument that is subject to U.S. Treasury Regulations under Section 1.1275-4(b) governing contingent payment debt instruments and (ii) agree that the rights in respect of the Total Investment Amount constitute a debt instrument for U.S. federal and applicable state and local income tax purposes. The Parties agree not to take and to not cause or permit their Affiliates to take, any position that is inconsistent with the provisions of this Section 7.08 on any U.S. federal, state or local income Tax return or for any other U.S. federal, state or local income Tax purpose, unless the Party that contemplates taking such an inconsistent position has been advised by national recognized counsel or accounting firm in writing that it is more likely than not that the inconsistent position is required by applicable Law or unless required by the good faith resolution of a Tax audit or other Tax proceeding.</w:t>
      </w:r>
    </w:p>
    <w:p>
      <w:pPr>
        <w:pStyle w:val="TextBody"/>
        <w:bidi w:val="0"/>
        <w:spacing w:lineRule="auto" w:line="240" w:before="0" w:after="240"/>
        <w:ind w:left="0" w:right="0" w:firstLine="720"/>
        <w:jc w:val="both"/>
        <w:rPr/>
      </w:pPr>
      <w:bookmarkStart w:id="156" w:name="ic99dfb42bbce4bf58dbe6de008c71c2f"/>
      <w:bookmarkEnd w:id="156"/>
      <w:r>
        <w:rPr>
          <w:rFonts w:ascii="Times New Roman;sans-serif" w:hAnsi="Times New Roman;sans-serif"/>
          <w:b w:val="false"/>
          <w:color w:val="000000"/>
          <w:sz w:val="24"/>
        </w:rPr>
        <w:t>(b)</w:t>
      </w:r>
      <w:r>
        <w:rPr>
          <w:rFonts w:ascii="Times New Roman;sans-serif" w:hAnsi="Times New Roman;sans-serif"/>
          <w:b w:val="false"/>
          <w:color w:val="000000"/>
          <w:sz w:val="24"/>
        </w:rPr>
        <w:t>On or prior to the Effective Date, Investor shall have delivered to Company a valid, properly executed IRS Form W-9 certifying that such Investor is (or payments to such Investor are) exempt from U.S. federal withholding tax with respect to any and all payments pursuant to this Agreement. Investor will notify Company reasonably in advance of any action or proposed action that would make any such form inaccurate and will replace the inaccurate form with an accurate one. Company shall provide the Investor any reasonable assistance it may seek in obtaining an exemption or reduced rate from, or refund of, any U.S. federal withholding tax, if applicable.</w:t>
      </w:r>
    </w:p>
    <w:p>
      <w:pPr>
        <w:pStyle w:val="TextBody"/>
        <w:bidi w:val="0"/>
        <w:spacing w:lineRule="auto" w:line="240" w:before="0" w:after="240"/>
        <w:jc w:val="both"/>
        <w:rPr>
          <w:rFonts w:ascii="Times New Roman;sans-serif" w:hAnsi="Times New Roman;sans-serif"/>
          <w:b w:val="false"/>
          <w:color w:val="000000"/>
          <w:sz w:val="24"/>
        </w:rPr>
      </w:pPr>
      <w:bookmarkStart w:id="157" w:name="i52aef57215b14efe9134d218e06c523a"/>
      <w:bookmarkEnd w:id="157"/>
      <w:r>
        <w:rPr>
          <w:rFonts w:ascii="Times New Roman;sans-serif" w:hAnsi="Times New Roman;sans-serif"/>
          <w:b w:val="false"/>
          <w:color w:val="000000"/>
          <w:sz w:val="24"/>
        </w:rPr>
        <w:t>Each Party’s obligations under this Section 7.08 shall survive the termination of this Agreement, any assignment by Investor and the payment, satisfaction or discharge of all obligations under this Agreement.</w:t>
      </w:r>
    </w:p>
    <w:p>
      <w:pPr>
        <w:pStyle w:val="TextBody"/>
        <w:bidi w:val="0"/>
        <w:spacing w:lineRule="auto" w:line="240" w:before="0" w:after="240"/>
        <w:ind w:left="0" w:right="0" w:firstLine="720"/>
        <w:jc w:val="both"/>
        <w:rPr/>
      </w:pPr>
      <w:bookmarkStart w:id="158" w:name="i005710a5f5414a91a228330e9966dadf"/>
      <w:bookmarkEnd w:id="158"/>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Parties hereto agree not to take any position that is inconsistent with the provisions of this </w:t>
      </w:r>
      <w:r>
        <w:rPr>
          <w:rFonts w:ascii="Times New Roman;sans-serif" w:hAnsi="Times New Roman;sans-serif"/>
          <w:b w:val="false"/>
          <w:color w:val="000000"/>
          <w:sz w:val="24"/>
          <w:u w:val="single"/>
        </w:rPr>
        <w:t>Section 7.08</w:t>
      </w:r>
      <w:r>
        <w:rPr>
          <w:color w:val="000000"/>
        </w:rPr>
        <w:t xml:space="preserve"> </w:t>
      </w:r>
      <w:r>
        <w:rPr>
          <w:rFonts w:ascii="Times New Roman;sans-serif" w:hAnsi="Times New Roman;sans-serif"/>
          <w:b w:val="false"/>
          <w:color w:val="000000"/>
          <w:sz w:val="24"/>
        </w:rPr>
        <w:t xml:space="preserve">on any tax return or in any audit or other administrative or judicial </w:t>
      </w:r>
    </w:p>
    <w:p>
      <w:pPr>
        <w:pStyle w:val="TextBody"/>
        <w:bidi w:val="0"/>
        <w:spacing w:before="0" w:after="24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06705"/>
                <wp:effectExtent l="0" t="0" r="0" b="0"/>
                <wp:wrapNone/>
                <wp:docPr id="217" name="Frame2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proceeding unless (i) the other Party to this Agreement has consented in writing to such actions, or (ii) the Party that contemplates taking such an inconsistent position has been advised by nationally recognized tax counsel in writing that there is no “reasonable basis” (within the meaning of Treasury Regulation Section 1.6662-3(b)(3)) for the position specified in this </w:t>
      </w:r>
      <w:r>
        <w:rPr>
          <w:rFonts w:ascii="Times New Roman;sans-serif" w:hAnsi="Times New Roman;sans-serif"/>
          <w:b w:val="false"/>
          <w:color w:val="000000"/>
          <w:sz w:val="24"/>
          <w:u w:val="single"/>
        </w:rPr>
        <w:t>Section 7.08</w:t>
      </w:r>
      <w:r>
        <w:rPr>
          <w:rFonts w:ascii="Times New Roman;sans-serif" w:hAnsi="Times New Roman;sans-serif"/>
          <w:b w:val="false"/>
          <w:color w:val="000000"/>
          <w:sz w:val="24"/>
        </w:rPr>
        <w:t xml:space="preserve">. If a Governmental Authority conducts an inquiry of any Party related to this </w:t>
      </w:r>
      <w:r>
        <w:rPr>
          <w:rFonts w:ascii="Times New Roman;sans-serif" w:hAnsi="Times New Roman;sans-serif"/>
          <w:b w:val="false"/>
          <w:color w:val="000000"/>
          <w:sz w:val="24"/>
          <w:u w:val="single"/>
        </w:rPr>
        <w:t>Section 7.08</w:t>
      </w:r>
      <w:r>
        <w:rPr>
          <w:rFonts w:ascii="Times New Roman;sans-serif" w:hAnsi="Times New Roman;sans-serif"/>
          <w:b w:val="false"/>
          <w:color w:val="000000"/>
          <w:sz w:val="24"/>
        </w:rPr>
        <w:t xml:space="preserve">, the Parties hereto shall cooperate with each other in responding to such inquiry in a reasonable manner consistent with this </w:t>
      </w:r>
      <w:r>
        <w:rPr>
          <w:rFonts w:ascii="Times New Roman;sans-serif" w:hAnsi="Times New Roman;sans-serif"/>
          <w:b w:val="false"/>
          <w:color w:val="000000"/>
          <w:sz w:val="24"/>
          <w:u w:val="single"/>
        </w:rPr>
        <w:t>Section 7.08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bookmarkStart w:id="159" w:name="ic44e67e229c04f329201e075b01ad840"/>
      <w:bookmarkEnd w:id="159"/>
      <w:r>
        <w:rPr>
          <w:rFonts w:ascii="Times New Roman;sans-serif" w:hAnsi="Times New Roman;sans-serif"/>
          <w:b w:val="false"/>
          <w:color w:val="000000"/>
          <w:sz w:val="24"/>
        </w:rPr>
        <w:t>(d)</w:t>
      </w:r>
      <w:r>
        <w:rPr>
          <w:rFonts w:ascii="Times New Roman;sans-serif" w:hAnsi="Times New Roman;sans-serif"/>
          <w:b w:val="false"/>
          <w:color w:val="000000"/>
          <w:sz w:val="24"/>
        </w:rPr>
        <w:t>This Agreement is not intended to create a deemed partnership, association or joint venture between Investor and Company. Each Party agrees not to refer to the other as a “partner,” or the relationship as a “partnership” or “joint venture.”</w:t>
      </w:r>
    </w:p>
    <w:p>
      <w:pPr>
        <w:pStyle w:val="TextBody"/>
        <w:bidi w:val="0"/>
        <w:spacing w:lineRule="auto" w:line="240" w:before="0" w:after="240"/>
        <w:ind w:left="0" w:right="0" w:hanging="1440"/>
        <w:jc w:val="left"/>
        <w:rPr/>
      </w:pPr>
      <w:bookmarkStart w:id="160" w:name="if5c42e66ac5141d7a6cb6553292427f0"/>
      <w:bookmarkEnd w:id="160"/>
      <w:r>
        <w:rPr>
          <w:rFonts w:ascii="Times New Roman;sans-serif" w:hAnsi="Times New Roman;sans-serif"/>
          <w:b/>
          <w:color w:val="000000"/>
          <w:sz w:val="24"/>
        </w:rPr>
        <w:t>Section 1.12</w:t>
      </w:r>
      <w:r>
        <w:rPr>
          <w:rFonts w:ascii="Times New Roman;sans-serif" w:hAnsi="Times New Roman;sans-serif"/>
          <w:b/>
          <w:color w:val="000000"/>
          <w:sz w:val="24"/>
          <w:u w:val="single"/>
        </w:rPr>
        <w:t>Entire Agreement</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together with the Exhibits and Schedules hereto, and the other Transaction Documents constitute the entire agreement between the Parties with respect to the subject matter hereof and supersede all prior agreements (including the Term Sheet dated December 15, 2023, between Investor and Company), understandings and negotiations, both written and oral, between the Parties with respect to the subject matter of this Agreement. No representation, inducement, promise, understanding, condition, or warranty not set forth herein (or in the Exhibits, Schedules, or other Transaction Documents) has been made or relied upon by either Party hereto. None of this Agreement, nor any provision hereof, is intended to confer upon any Person other than the parties hereto any rights or remedies hereunder.</w:t>
      </w:r>
    </w:p>
    <w:p>
      <w:pPr>
        <w:pStyle w:val="TextBody"/>
        <w:bidi w:val="0"/>
        <w:spacing w:lineRule="auto" w:line="240" w:before="0" w:after="240"/>
        <w:ind w:left="0" w:right="0" w:hanging="1440"/>
        <w:jc w:val="left"/>
        <w:rPr/>
      </w:pPr>
      <w:bookmarkStart w:id="161" w:name="ibab3313769404bee874bb93fea4bc9dd"/>
      <w:bookmarkEnd w:id="161"/>
      <w:r>
        <w:rPr>
          <w:rFonts w:ascii="Times New Roman;sans-serif" w:hAnsi="Times New Roman;sans-serif"/>
          <w:b/>
          <w:color w:val="000000"/>
          <w:sz w:val="24"/>
        </w:rPr>
        <w:t>Section 1.10</w:t>
      </w:r>
      <w:r>
        <w:rPr>
          <w:rFonts w:ascii="Times New Roman;sans-serif" w:hAnsi="Times New Roman;sans-serif"/>
          <w:b/>
          <w:color w:val="000000"/>
          <w:sz w:val="24"/>
          <w:u w:val="single"/>
        </w:rPr>
        <w:t>Amendments; No Waivers</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62" w:name="i5914f77814c5418cb13f5f2126d6e49a"/>
      <w:bookmarkEnd w:id="162"/>
      <w:r>
        <w:rPr>
          <w:rFonts w:ascii="Times New Roman;sans-serif" w:hAnsi="Times New Roman;sans-serif"/>
          <w:b w:val="false"/>
          <w:color w:val="000000"/>
          <w:sz w:val="24"/>
        </w:rPr>
        <w:t>(a)</w:t>
      </w:r>
      <w:r>
        <w:rPr>
          <w:rFonts w:ascii="Times New Roman;sans-serif" w:hAnsi="Times New Roman;sans-serif"/>
          <w:b w:val="false"/>
          <w:color w:val="000000"/>
          <w:sz w:val="24"/>
        </w:rPr>
        <w:t>This Agreement or any term or provision hereof may not be amended, changed, or modified except with the written consent of the Parties hereto. No waiver of any right hereunder shall be effective unless such waiver is signed in writing by the Party against whom such waiver is sought to be enforced.</w:t>
      </w:r>
    </w:p>
    <w:p>
      <w:pPr>
        <w:pStyle w:val="TextBody"/>
        <w:bidi w:val="0"/>
        <w:spacing w:lineRule="auto" w:line="240" w:before="0" w:after="240"/>
        <w:ind w:left="0" w:right="0" w:firstLine="720"/>
        <w:jc w:val="both"/>
        <w:rPr/>
      </w:pPr>
      <w:bookmarkStart w:id="163" w:name="i50d174f6dae04ebfb7a86fbc2eab9bae"/>
      <w:bookmarkEnd w:id="163"/>
      <w:r>
        <w:rPr>
          <w:rFonts w:ascii="Times New Roman;sans-serif" w:hAnsi="Times New Roman;sans-serif"/>
          <w:b w:val="false"/>
          <w:color w:val="000000"/>
          <w:sz w:val="24"/>
        </w:rPr>
        <w:t>(b)</w:t>
      </w:r>
      <w:r>
        <w:rPr>
          <w:rFonts w:ascii="Times New Roman;sans-serif" w:hAnsi="Times New Roman;sans-serif"/>
          <w:b w:val="false"/>
          <w:color w:val="000000"/>
          <w:sz w:val="24"/>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lineRule="auto" w:line="240" w:before="0" w:after="240"/>
        <w:ind w:left="0" w:right="0" w:hanging="1440"/>
        <w:jc w:val="left"/>
        <w:rPr/>
      </w:pPr>
      <w:bookmarkStart w:id="164" w:name="i4792858182604c319a242c9afadd9f91"/>
      <w:bookmarkEnd w:id="164"/>
      <w:r>
        <w:rPr>
          <w:rFonts w:ascii="Times New Roman;sans-serif" w:hAnsi="Times New Roman;sans-serif"/>
          <w:b/>
          <w:color w:val="000000"/>
          <w:sz w:val="24"/>
        </w:rPr>
        <w:t>Section 1.11</w:t>
      </w:r>
      <w:r>
        <w:rPr>
          <w:rFonts w:ascii="Times New Roman;sans-serif" w:hAnsi="Times New Roman;sans-serif"/>
          <w:b/>
          <w:color w:val="000000"/>
          <w:sz w:val="24"/>
          <w:u w:val="single"/>
        </w:rPr>
        <w:t>Interpretation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 a reference is made in this Agreement to Articles, Sections, Schedules or Exhibits, such reference shall be to an Article, Section, Schedule or Exhibit to this Agreement unless otherwise indicated. The words “include,” “includes” and “including” when used herein shall be deemed in each case to be followed by the words “without limitation”. Neither Party hereto shall be or be deemed to be the drafter of this Agreement for the purposes of construing this Agreement against one party or the other.</w:t>
      </w:r>
    </w:p>
    <w:p>
      <w:pPr>
        <w:pStyle w:val="TextBody"/>
        <w:bidi w:val="0"/>
        <w:spacing w:lineRule="auto" w:line="240" w:before="0" w:after="240"/>
        <w:ind w:left="0" w:right="0" w:hanging="1440"/>
        <w:jc w:val="left"/>
        <w:rPr/>
      </w:pPr>
      <w:bookmarkStart w:id="165" w:name="i92874bcf0044441f92bf150066e973f3"/>
      <w:bookmarkEnd w:id="165"/>
      <w:r>
        <w:rPr>
          <w:rFonts w:ascii="Times New Roman;sans-serif" w:hAnsi="Times New Roman;sans-serif"/>
          <w:b/>
          <w:color w:val="000000"/>
          <w:sz w:val="24"/>
        </w:rPr>
        <w:t>Section 1.12</w:t>
      </w:r>
      <w:r>
        <w:rPr>
          <w:rFonts w:ascii="Times New Roman;sans-serif" w:hAnsi="Times New Roman;sans-serif"/>
          <w:b/>
          <w:color w:val="000000"/>
          <w:sz w:val="24"/>
          <w:u w:val="single"/>
        </w:rPr>
        <w:t>Headings and Captions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headings and captions in this Agreement are for convenience and reference purposes only and shall not be considered a part of or affect the construction or interpretation of any provision of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06705"/>
                <wp:effectExtent l="0" t="0" r="0" b="0"/>
                <wp:wrapNone/>
                <wp:docPr id="218" name="Frame2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hanging="1440"/>
        <w:jc w:val="left"/>
        <w:rPr/>
      </w:pPr>
      <w:bookmarkStart w:id="166" w:name="i150459bd7ba0437aa1de429a82b2cf68"/>
      <w:bookmarkEnd w:id="166"/>
      <w:r>
        <w:rPr>
          <w:rFonts w:ascii="Times New Roman;sans-serif" w:hAnsi="Times New Roman;sans-serif"/>
          <w:b/>
          <w:color w:val="000000"/>
          <w:sz w:val="24"/>
        </w:rPr>
        <w:t>Section 1.13</w:t>
      </w:r>
      <w:r>
        <w:rPr>
          <w:rFonts w:ascii="Times New Roman;sans-serif" w:hAnsi="Times New Roman;sans-serif"/>
          <w:b/>
          <w:color w:val="000000"/>
          <w:sz w:val="24"/>
          <w:u w:val="single"/>
        </w:rPr>
        <w:t>Counterparts; Effectiveness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may be executed in two or more counterparts, each of which shall be an original, but all of which together shall constitute one and the same instrument. This Agreement shall become effective when each Party hereto shall have received a counterpart hereof signed by the other Parties hereto. Any counterpart may be executed by facsimile or pdf signature and such facsimile or pdf signature shall be deemed an original. </w:t>
      </w:r>
    </w:p>
    <w:p>
      <w:pPr>
        <w:pStyle w:val="TextBody"/>
        <w:bidi w:val="0"/>
        <w:spacing w:lineRule="auto" w:line="240" w:before="0" w:after="240"/>
        <w:ind w:left="0" w:right="0" w:hanging="1440"/>
        <w:jc w:val="left"/>
        <w:rPr/>
      </w:pPr>
      <w:bookmarkStart w:id="167" w:name="i7b4283f06cc148b5808fc1721be6043c"/>
      <w:bookmarkEnd w:id="167"/>
      <w:r>
        <w:rPr>
          <w:rFonts w:ascii="Times New Roman;sans-serif" w:hAnsi="Times New Roman;sans-serif"/>
          <w:b/>
          <w:color w:val="000000"/>
          <w:sz w:val="24"/>
        </w:rPr>
        <w:t>Section 1.14</w:t>
      </w:r>
      <w:r>
        <w:rPr>
          <w:rFonts w:ascii="Times New Roman;sans-serif" w:hAnsi="Times New Roman;sans-serif"/>
          <w:b/>
          <w:color w:val="000000"/>
          <w:sz w:val="24"/>
          <w:u w:val="single"/>
        </w:rPr>
        <w:t>Severability</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of this Agreement is held to be invalid or unenforceable, the remaining provisions shall nevertheless be given full force and effect.</w:t>
      </w:r>
    </w:p>
    <w:p>
      <w:pPr>
        <w:pStyle w:val="TextBody"/>
        <w:bidi w:val="0"/>
        <w:spacing w:lineRule="auto" w:line="240" w:before="0" w:after="240"/>
        <w:ind w:left="0" w:right="0" w:hanging="1440"/>
        <w:jc w:val="left"/>
        <w:rPr/>
      </w:pPr>
      <w:bookmarkStart w:id="168" w:name="i25623684e6f7438494a56ca59eaa19a0"/>
      <w:bookmarkEnd w:id="168"/>
      <w:r>
        <w:rPr>
          <w:rFonts w:ascii="Times New Roman;sans-serif" w:hAnsi="Times New Roman;sans-serif"/>
          <w:b/>
          <w:color w:val="000000"/>
          <w:sz w:val="24"/>
        </w:rPr>
        <w:t>Section 1.15</w:t>
      </w:r>
      <w:r>
        <w:rPr>
          <w:rFonts w:ascii="Times New Roman;sans-serif" w:hAnsi="Times New Roman;sans-serif"/>
          <w:b/>
          <w:color w:val="000000"/>
          <w:sz w:val="24"/>
          <w:u w:val="single"/>
        </w:rPr>
        <w:t>Expenses</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hereto will pay all of its own fees and expenses in connection with entering into and consummating the transactions contemplated by this Agreement.</w:t>
      </w:r>
    </w:p>
    <w:p>
      <w:pPr>
        <w:pStyle w:val="TextBody"/>
        <w:bidi w:val="0"/>
        <w:spacing w:lineRule="auto" w:line="240" w:before="0" w:after="240"/>
        <w:ind w:left="0" w:right="0" w:hanging="1440"/>
        <w:jc w:val="left"/>
        <w:rPr/>
      </w:pPr>
      <w:bookmarkStart w:id="169" w:name="ifd314e9abd8644f7bc04be2db53adcff"/>
      <w:bookmarkEnd w:id="169"/>
      <w:r>
        <w:rPr>
          <w:rFonts w:ascii="Times New Roman;sans-serif" w:hAnsi="Times New Roman;sans-serif"/>
          <w:b/>
          <w:color w:val="000000"/>
          <w:sz w:val="24"/>
        </w:rPr>
        <w:t>Section 1.16</w:t>
      </w:r>
      <w:r>
        <w:rPr>
          <w:rFonts w:ascii="Times New Roman;sans-serif" w:hAnsi="Times New Roman;sans-serif"/>
          <w:b/>
          <w:color w:val="000000"/>
          <w:sz w:val="24"/>
          <w:u w:val="single"/>
        </w:rPr>
        <w:t>Governing Law; Jurisdiction</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bookmarkStart w:id="170" w:name="i7539bf83dac9498c864e939a9fa61e15"/>
      <w:bookmarkEnd w:id="170"/>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This Agreement shall be governed and construed in accordance with the laws of the State of Georgia, USA, without giving effect to any choice of law provisions thereof. Each Party hereby submits itself for the purpose of this Agreement and any controversy arising hereunder to the exclusive jurisdiction of the state and federal courts located in Cobb County, Georgia, USA, and any courts of appeal therefrom, and waives any objection on the grounds of lack of jurisdiction (including, without limitation, venue) to the exercise of such jurisdiction over it by any such courts. </w:t>
      </w:r>
    </w:p>
    <w:p>
      <w:pPr>
        <w:pStyle w:val="TextBody"/>
        <w:bidi w:val="0"/>
        <w:spacing w:lineRule="auto" w:line="240" w:before="0" w:after="240"/>
        <w:ind w:left="0" w:right="0" w:firstLine="720"/>
        <w:jc w:val="both"/>
        <w:rPr/>
      </w:pPr>
      <w:bookmarkStart w:id="171" w:name="ice8585d17a0a417b9ee1f132e65254d5"/>
      <w:bookmarkEnd w:id="171"/>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Each Party hereto hereby irrevocably consents to the service of process out of any of the courts referred to in subsection (a) above of this </w:t>
      </w:r>
      <w:r>
        <w:rPr>
          <w:rFonts w:ascii="Times New Roman;sans-serif" w:hAnsi="Times New Roman;sans-serif"/>
          <w:b w:val="false"/>
          <w:color w:val="000000"/>
          <w:sz w:val="24"/>
          <w:u w:val="single"/>
        </w:rPr>
        <w:t>Section 7.16</w:t>
      </w:r>
      <w:r>
        <w:rPr>
          <w:color w:val="000000"/>
        </w:rPr>
        <w:t xml:space="preserve"> </w:t>
      </w:r>
      <w:r>
        <w:rPr>
          <w:rFonts w:ascii="Times New Roman;sans-serif" w:hAnsi="Times New Roman;sans-serif"/>
          <w:b w:val="false"/>
          <w:color w:val="000000"/>
          <w:sz w:val="24"/>
        </w:rPr>
        <w:t xml:space="preserve">in any such suit, action or proceeding by the mailing of copies thereof by registered or certified mail, postage prepaid, to it at its address set forth in this Agreement. Each Party hereto hereby irrevocably waives any objection to such service of process and further irrevocably waives and agrees not to plead or claim in any suit, action or proceeding commenced hereunder or under any other Transaction Document that service of process was in any way invalid or ineffective. Nothing herein shall affect the right of a Party to serve process on the other Party in any other manner permitted by law. </w:t>
      </w:r>
    </w:p>
    <w:p>
      <w:pPr>
        <w:pStyle w:val="TextBody"/>
        <w:bidi w:val="0"/>
        <w:spacing w:lineRule="auto" w:line="240" w:before="0" w:after="240"/>
        <w:ind w:left="0" w:right="0" w:hanging="1440"/>
        <w:jc w:val="left"/>
        <w:rPr/>
      </w:pPr>
      <w:bookmarkStart w:id="172" w:name="i95f17dd1995a4ca9b65870079417513e"/>
      <w:bookmarkEnd w:id="172"/>
      <w:r>
        <w:rPr>
          <w:rFonts w:ascii="Times New Roman;sans-serif" w:hAnsi="Times New Roman;sans-serif"/>
          <w:b/>
          <w:color w:val="000000"/>
          <w:sz w:val="24"/>
        </w:rPr>
        <w:t>Section 1.17</w:t>
      </w:r>
      <w:r>
        <w:rPr>
          <w:rFonts w:ascii="Times New Roman;sans-serif" w:hAnsi="Times New Roman;sans-serif"/>
          <w:b/>
          <w:color w:val="000000"/>
          <w:sz w:val="24"/>
          <w:u w:val="single"/>
        </w:rPr>
        <w:t>Waiver of Jury Trial</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hereto hereby irrevocably waives, to the fullest extent permitted by Applicable Law, any and all right to trial by jury in any action, proceeding, claim or counterclaim arising out of or relating to any Transaction Document, or the transactions contemplated under any Transaction Document. This waiver shall apply to any subsequent amendments, renewals, supplements, or modifications to any Transaction Document.</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06705"/>
                <wp:effectExtent l="0" t="0" r="0" b="0"/>
                <wp:wrapNone/>
                <wp:docPr id="219" name="Frame2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the parties hereto have caused this Agreement to be duly executed by their respective authorized officers as of the date first above written.</w:t>
      </w:r>
    </w:p>
    <w:p>
      <w:pPr>
        <w:pStyle w:val="TextBody"/>
        <w:bidi w:val="0"/>
        <w:spacing w:before="0" w:after="240"/>
        <w:ind w:left="0" w:right="0" w:firstLine="720"/>
        <w:jc w:val="both"/>
        <w:rPr/>
      </w:pPr>
      <w:r>
        <w:rPr/>
      </w:r>
    </w:p>
    <w:tbl>
      <w:tblPr>
        <w:tblW w:w="6375" w:type="dxa"/>
        <w:jc w:val="left"/>
        <w:tblInd w:w="0" w:type="dxa"/>
        <w:tblLayout w:type="fixed"/>
        <w:tblCellMar>
          <w:top w:w="28" w:type="dxa"/>
          <w:left w:w="28" w:type="dxa"/>
          <w:bottom w:w="28" w:type="dxa"/>
          <w:right w:w="28" w:type="dxa"/>
        </w:tblCellMar>
      </w:tblPr>
      <w:tblGrid>
        <w:gridCol w:w="510"/>
        <w:gridCol w:w="449"/>
        <w:gridCol w:w="451"/>
        <w:gridCol w:w="109"/>
        <w:gridCol w:w="109"/>
        <w:gridCol w:w="109"/>
        <w:gridCol w:w="109"/>
        <w:gridCol w:w="109"/>
        <w:gridCol w:w="109"/>
        <w:gridCol w:w="527"/>
        <w:gridCol w:w="527"/>
        <w:gridCol w:w="527"/>
        <w:gridCol w:w="795"/>
        <w:gridCol w:w="795"/>
        <w:gridCol w:w="1140"/>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IN ENDEAVOR, LLC</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ADAM WEBB</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Adam Webb</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Member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MARK GREEN</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Mark Green</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DARÉ BIOSCIENCE, INC.</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SABRINA JOHNSON</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Sabrina Johnson</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459105"/>
                <wp:effectExtent l="0" t="0" r="0" b="0"/>
                <wp:wrapNone/>
                <wp:docPr id="220" name="Frame217"/>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512258979v.3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SUBSIDIARIES OF THE REGISTRANT</w:t>
      </w:r>
    </w:p>
    <w:tbl>
      <w:tblPr>
        <w:tblW w:w="5819" w:type="dxa"/>
        <w:jc w:val="left"/>
        <w:tblInd w:w="0" w:type="dxa"/>
        <w:tblLayout w:type="fixed"/>
        <w:tblCellMar>
          <w:top w:w="28" w:type="dxa"/>
          <w:left w:w="28" w:type="dxa"/>
          <w:bottom w:w="28" w:type="dxa"/>
          <w:right w:w="28" w:type="dxa"/>
        </w:tblCellMar>
      </w:tblPr>
      <w:tblGrid>
        <w:gridCol w:w="1106"/>
        <w:gridCol w:w="970"/>
        <w:gridCol w:w="983"/>
        <w:gridCol w:w="807"/>
        <w:gridCol w:w="807"/>
        <w:gridCol w:w="1146"/>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Name</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Jurisdiction of Organization</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Operations, Inc.</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Australia Pty Ltd</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Pear Tree Pharmaceuticals, Inc.</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MBI Inc.</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pPr>
      <w:r>
        <w:rPr>
          <w:rFonts w:ascii="Arial;sans-serif" w:hAnsi="Arial;sans-serif"/>
          <w:b w:val="false"/>
          <w:color w:val="000000"/>
          <w:sz w:val="20"/>
        </w:rPr>
        <w:t xml:space="preserve">We consent to the incorporation by reference in the Registration Statements on Form S-3 (File Nos. 333-254862 and 333-238299) and Form S-8 (File Nos. 333-264020, 333-266699, 333-254864, 333-237473, 333-230802, 333-226904, 333-211697, 333-204007, and 333-198126) of our report dated March 28, 2024, with respect to our audit of the consolidated financial statements of </w:t>
      </w:r>
      <w:r>
        <w:rPr>
          <w:rFonts w:ascii="Arial;sans-serif" w:hAnsi="Arial;sans-serif"/>
          <w:b/>
          <w:color w:val="000000"/>
          <w:sz w:val="20"/>
        </w:rPr>
        <w:t>Daré Bioscience, Inc. and Subsidiaries (Company)</w:t>
      </w:r>
      <w:r>
        <w:rPr>
          <w:color w:val="000000"/>
        </w:rPr>
        <w:t xml:space="preserve"> </w:t>
      </w:r>
      <w:r>
        <w:rPr>
          <w:rFonts w:ascii="Arial;sans-serif" w:hAnsi="Arial;sans-serif"/>
          <w:b w:val="false"/>
          <w:color w:val="000000"/>
          <w:sz w:val="20"/>
        </w:rPr>
        <w:t>as of and for the year ended December 31, 2023 (which includes an explanatory paragraph relating to the uncertainty of the Company’s ability to continue as a going concern), which report is included in this Annual Report on Form 10-K.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 Haskell &amp; White, LLP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March 28, 2024 </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23.2</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pPr>
      <w:r>
        <w:rPr>
          <w:rFonts w:ascii="Arial;sans-serif" w:hAnsi="Arial;sans-serif"/>
          <w:b w:val="false"/>
          <w:color w:val="000000"/>
          <w:sz w:val="20"/>
        </w:rPr>
        <w:t xml:space="preserve">We consent to the incorporation by reference in the Registration Statements on Form S-3 (File Nos. 333-254862 and 333-238299) and Form S-8 (File Nos. 333-264020, 333-266699, 333-254864, 333-237473, 333-230802, 333-226904, 333-211697, 333-204007, and 333-198126) of our report dated March 30, 2023, with respect to our audit of the consolidated financial statements of </w:t>
      </w:r>
      <w:r>
        <w:rPr>
          <w:rFonts w:ascii="Arial;sans-serif" w:hAnsi="Arial;sans-serif"/>
          <w:b/>
          <w:color w:val="000000"/>
          <w:sz w:val="20"/>
        </w:rPr>
        <w:t>Daré Bioscience, Inc. and Subsidiaries (Company)</w:t>
      </w:r>
      <w:r>
        <w:rPr>
          <w:color w:val="000000"/>
        </w:rPr>
        <w:t xml:space="preserve"> </w:t>
      </w:r>
      <w:r>
        <w:rPr>
          <w:rFonts w:ascii="Arial;sans-serif" w:hAnsi="Arial;sans-serif"/>
          <w:b w:val="false"/>
          <w:color w:val="000000"/>
          <w:sz w:val="20"/>
        </w:rPr>
        <w:t>as of and for the year ended December 31, 2022 (which includes an explanatory paragraph relating to the uncertainty of the Company’s ability to continue as a going concern), which report is included in this Annual Report on Form 10-K.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 Mayer Hoffman McCann P.C.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March 28,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Sabrina Martucci Johnson, certify that:</w:t>
      </w:r>
    </w:p>
    <w:p>
      <w:pPr>
        <w:pStyle w:val="TextBody"/>
        <w:bidi w:val="0"/>
        <w:spacing w:lineRule="auto" w:line="288" w:before="0" w:after="240"/>
        <w:ind w:left="0" w:right="0" w:firstLine="945"/>
        <w:jc w:val="both"/>
        <w:rPr>
          <w:rFonts w:ascii="Arial;sans-serif" w:hAnsi="Arial;sans-serif"/>
          <w:b w:val="false"/>
          <w:color w:val="000000"/>
          <w:sz w:val="20"/>
        </w:rPr>
      </w:pPr>
      <w:r>
        <w:rPr>
          <w:rFonts w:ascii="Arial;sans-serif" w:hAnsi="Arial;sans-serif"/>
          <w:b w:val="false"/>
          <w:color w:val="000000"/>
          <w:sz w:val="20"/>
        </w:rPr>
        <w:t>1.  I have reviewed this annual report on Form 10-K of Daré Bioscience, Inc.;</w:t>
      </w:r>
    </w:p>
    <w:p>
      <w:pPr>
        <w:pStyle w:val="TextBody"/>
        <w:bidi w:val="0"/>
        <w:spacing w:lineRule="auto" w:line="288" w:before="0" w:after="240"/>
        <w:ind w:left="0" w:right="0" w:firstLine="945"/>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firstLine="945"/>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firstLine="945"/>
        <w:jc w:val="both"/>
        <w:rPr>
          <w:rFonts w:ascii="Arial;sans-serif" w:hAnsi="Arial;sans-serif"/>
          <w:b w:val="false"/>
          <w:color w:val="000000"/>
          <w:sz w:val="20"/>
        </w:rPr>
      </w:pPr>
      <w:r>
        <w:rPr>
          <w:rFonts w:ascii="Arial;sans-serif" w:hAnsi="Arial;sans-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firstLine="189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240"/>
        <w:ind w:left="0" w:right="0" w:firstLine="189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firstLine="189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firstLine="189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firstLine="945"/>
        <w:jc w:val="both"/>
        <w:rPr>
          <w:rFonts w:ascii="Arial;sans-serif" w:hAnsi="Arial;sans-serif"/>
          <w:b w:val="false"/>
          <w:color w:val="000000"/>
          <w:sz w:val="20"/>
        </w:rPr>
      </w:pPr>
      <w:r>
        <w:rPr>
          <w:rFonts w:ascii="Arial;sans-serif" w:hAnsi="Arial;sans-serif"/>
          <w:b w:val="false"/>
          <w:color w:val="000000"/>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firstLine="189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firstLine="189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Date: March 28, 2024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Sabrina Martucci Johnson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Sabrina Martucci Johnson</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p>
      <w:pPr>
        <w:pStyle w:val="TextBody"/>
        <w:bidi w:val="0"/>
        <w:spacing w:lineRule="auto" w:line="288"/>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120"/>
        <w:ind w:left="0" w:right="0" w:firstLine="945"/>
        <w:jc w:val="left"/>
        <w:rPr/>
      </w:pPr>
      <w:r>
        <w:rPr/>
      </w:r>
    </w:p>
    <w:p>
      <w:pPr>
        <w:pStyle w:val="TextBody"/>
        <w:bidi w:val="0"/>
        <w:spacing w:lineRule="auto" w:line="288" w:before="0" w:after="120"/>
        <w:ind w:left="0" w:right="0" w:firstLine="945"/>
        <w:jc w:val="both"/>
        <w:rPr>
          <w:rFonts w:ascii="Arial;sans-serif" w:hAnsi="Arial;sans-serif"/>
          <w:b w:val="false"/>
          <w:color w:val="000000"/>
          <w:sz w:val="20"/>
        </w:rPr>
      </w:pPr>
      <w:r>
        <w:rPr>
          <w:rFonts w:ascii="Arial;sans-serif" w:hAnsi="Arial;sans-serif"/>
          <w:b w:val="false"/>
          <w:color w:val="000000"/>
          <w:sz w:val="20"/>
        </w:rPr>
        <w:t>In connection with the Annual Report on Form 10-K of Daré Bioscience, Inc. (the “Company”) for the fiscal year ended December 31, 2023,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 </w:t>
      </w:r>
    </w:p>
    <w:p>
      <w:pPr>
        <w:pStyle w:val="TextBody"/>
        <w:bidi w:val="0"/>
        <w:spacing w:lineRule="auto" w:line="288" w:before="0" w:after="0"/>
        <w:ind w:left="0" w:right="0" w:firstLine="945"/>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March 28, 2024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Sabrina Martucci Johnson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Sabrina Martucci Johnson</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firstLine="720"/>
        <w:jc w:val="center"/>
        <w:rPr>
          <w:rFonts w:ascii="Arial;sans-serif" w:hAnsi="Arial;sans-serif"/>
          <w:b/>
          <w:color w:val="000000"/>
          <w:sz w:val="20"/>
        </w:rPr>
      </w:pPr>
      <w:r>
        <w:rPr>
          <w:rFonts w:ascii="Arial;sans-serif" w:hAnsi="Arial;sans-serif"/>
          <w:b/>
          <w:color w:val="000000"/>
          <w:sz w:val="20"/>
        </w:rPr>
        <w:t xml:space="preserve">DARÉ BIOSCIENCE, INC. </w:t>
      </w:r>
    </w:p>
    <w:p>
      <w:pPr>
        <w:pStyle w:val="TextBody"/>
        <w:bidi w:val="0"/>
        <w:spacing w:lineRule="auto" w:line="288" w:before="0" w:after="120"/>
        <w:ind w:left="0" w:right="0" w:firstLine="720"/>
        <w:jc w:val="center"/>
        <w:rPr>
          <w:rFonts w:ascii="Arial;sans-serif" w:hAnsi="Arial;sans-serif"/>
          <w:b/>
          <w:color w:val="000000"/>
          <w:sz w:val="20"/>
        </w:rPr>
      </w:pPr>
      <w:r>
        <w:rPr>
          <w:rFonts w:ascii="Arial;sans-serif" w:hAnsi="Arial;sans-serif"/>
          <w:b/>
          <w:color w:val="000000"/>
          <w:sz w:val="20"/>
        </w:rPr>
        <w:t>POLICY ON RECOVERY OF ERRONEOUSLY AWARDED COMPENSATION</w:t>
      </w:r>
    </w:p>
    <w:p>
      <w:pPr>
        <w:pStyle w:val="TextBody"/>
        <w:bidi w:val="0"/>
        <w:spacing w:lineRule="auto" w:line="288" w:before="0" w:after="120"/>
        <w:ind w:left="0" w:right="0" w:firstLine="720"/>
        <w:jc w:val="center"/>
        <w:rPr/>
      </w:pPr>
      <w:r>
        <w:rPr>
          <w:rFonts w:ascii="Arial;sans-serif" w:hAnsi="Arial;sans-serif"/>
          <w:b/>
          <w:color w:val="000000"/>
          <w:sz w:val="20"/>
        </w:rPr>
        <w:t>November 17, 2023</w:t>
      </w:r>
      <w:r>
        <w:rPr>
          <w:rFonts w:ascii="Arial;sans-serif" w:hAnsi="Arial;sans-serif"/>
          <w:b/>
          <w:color w:val="000000"/>
          <w:sz w:val="13"/>
        </w:rPr>
        <w:t>1</w:t>
      </w:r>
    </w:p>
    <w:p>
      <w:pPr>
        <w:pStyle w:val="TextBody"/>
        <w:bidi w:val="0"/>
        <w:spacing w:lineRule="auto" w:line="288" w:before="0" w:after="120"/>
        <w:jc w:val="left"/>
        <w:rPr/>
      </w:pPr>
      <w:r>
        <w:rPr>
          <w:rFonts w:ascii="Arial;sans-serif" w:hAnsi="Arial;sans-serif"/>
          <w:b w:val="false"/>
          <w:color w:val="000000"/>
          <w:sz w:val="20"/>
        </w:rPr>
        <w:t>1.</w:t>
      </w:r>
      <w:r>
        <w:rPr>
          <w:rFonts w:ascii="Arial;sans-serif" w:hAnsi="Arial;sans-serif"/>
          <w:b/>
          <w:color w:val="000000"/>
          <w:sz w:val="20"/>
          <w:u w:val="single"/>
        </w:rPr>
        <w:t>Overview</w:t>
      </w:r>
    </w:p>
    <w:p>
      <w:pPr>
        <w:pStyle w:val="TextBody"/>
        <w:bidi w:val="0"/>
        <w:spacing w:lineRule="auto" w:line="288" w:before="0" w:after="120"/>
        <w:jc w:val="both"/>
        <w:rPr/>
      </w:pPr>
      <w:r>
        <w:rPr>
          <w:rFonts w:ascii="Arial;sans-serif" w:hAnsi="Arial;sans-serif"/>
          <w:b w:val="false"/>
          <w:color w:val="000000"/>
          <w:sz w:val="20"/>
        </w:rPr>
        <w:t>The Board believes that it is in the best interests of the Company and its stockholders to adopt this Policy to provide for the recovery of certain Incentive-Based Compensation in the event of an Accounting Restatement. This Policy is designed to comply with, and shall be interpreted to be consistent with, Section 10D of the Exchange Act, the regulations and rules promulgated by the SEC thereunder, including, without limitation, Rule 10D-1 promulgated under the Exchange Act (“</w:t>
      </w:r>
      <w:r>
        <w:rPr>
          <w:rFonts w:ascii="Arial;sans-serif" w:hAnsi="Arial;sans-serif"/>
          <w:b w:val="false"/>
          <w:color w:val="000000"/>
          <w:sz w:val="20"/>
          <w:u w:val="single"/>
        </w:rPr>
        <w:t>Rule 10D-1</w:t>
      </w:r>
      <w:r>
        <w:rPr>
          <w:color w:val="000000"/>
        </w:rPr>
        <w:t>”</w:t>
      </w:r>
      <w:r>
        <w:rPr>
          <w:rFonts w:ascii="Arial;sans-serif" w:hAnsi="Arial;sans-serif"/>
          <w:b w:val="false"/>
          <w:color w:val="000000"/>
          <w:sz w:val="20"/>
        </w:rPr>
        <w:t>), and the applicable rules, regulations and listing standards of the Exchange (collectively, and as the same may be in effect from time to time, the “</w:t>
      </w:r>
      <w:r>
        <w:rPr>
          <w:rFonts w:ascii="Arial;sans-serif" w:hAnsi="Arial;sans-serif"/>
          <w:b w:val="false"/>
          <w:color w:val="000000"/>
          <w:sz w:val="20"/>
          <w:u w:val="single"/>
        </w:rPr>
        <w:t>Applicable Rules</w:t>
      </w:r>
      <w:r>
        <w:rPr>
          <w:color w:val="000000"/>
        </w:rPr>
        <w:t>”</w:t>
      </w:r>
      <w:r>
        <w:rPr>
          <w:rFonts w:ascii="Arial;sans-serif" w:hAnsi="Arial;sans-serif"/>
          <w:b w:val="false"/>
          <w:color w:val="000000"/>
          <w:sz w:val="20"/>
        </w:rPr>
        <w:t>). Unless otherwise defined in this Policy, capitalized terms used in this Policy have the meanings given to them in Section 2.</w:t>
      </w:r>
    </w:p>
    <w:p>
      <w:pPr>
        <w:pStyle w:val="TextBody"/>
        <w:bidi w:val="0"/>
        <w:spacing w:lineRule="auto" w:line="288" w:before="0" w:after="120"/>
        <w:jc w:val="left"/>
        <w:rPr/>
      </w:pPr>
      <w:r>
        <w:rPr>
          <w:rFonts w:ascii="Arial;sans-serif" w:hAnsi="Arial;sans-serif"/>
          <w:b w:val="false"/>
          <w:color w:val="000000"/>
          <w:sz w:val="20"/>
        </w:rPr>
        <w:t>2.</w:t>
      </w:r>
      <w:r>
        <w:rPr>
          <w:rFonts w:ascii="Arial;sans-serif" w:hAnsi="Arial;sans-serif"/>
          <w:b/>
          <w:color w:val="000000"/>
          <w:sz w:val="20"/>
          <w:u w:val="single"/>
        </w:rPr>
        <w:t>Definitions</w:t>
      </w:r>
    </w:p>
    <w:p>
      <w:pPr>
        <w:pStyle w:val="TextBody"/>
        <w:bidi w:val="0"/>
        <w:spacing w:lineRule="auto" w:line="288" w:before="0" w:after="120"/>
        <w:ind w:left="0" w:right="0" w:hanging="360"/>
        <w:jc w:val="both"/>
        <w:rPr/>
      </w:pPr>
      <w:r>
        <w:rPr>
          <w:rFonts w:ascii="Arial;sans-serif" w:hAnsi="Arial;sans-serif"/>
          <w:b w:val="false"/>
          <w:color w:val="000000"/>
          <w:sz w:val="20"/>
        </w:rPr>
        <w:t>(a)</w:t>
      </w:r>
      <w:r>
        <w:rPr>
          <w:color w:val="000000"/>
        </w:rPr>
        <w:t>“</w:t>
      </w:r>
      <w:r>
        <w:rPr>
          <w:rFonts w:ascii="Arial;sans-serif" w:hAnsi="Arial;sans-serif"/>
          <w:b w:val="false"/>
          <w:color w:val="000000"/>
          <w:sz w:val="20"/>
          <w:u w:val="single"/>
        </w:rPr>
        <w:t>Accounting Restatement</w:t>
      </w:r>
      <w:r>
        <w:rPr>
          <w:color w:val="000000"/>
        </w:rPr>
        <w:t xml:space="preserve">” </w:t>
      </w:r>
      <w:r>
        <w:rPr>
          <w:rFonts w:ascii="Arial;sans-serif" w:hAnsi="Arial;sans-serif"/>
          <w:b w:val="false"/>
          <w:color w:val="000000"/>
          <w:sz w:val="20"/>
        </w:rPr>
        <w:t xml:space="preserve">means an accounting restatement of the Company’s financial 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lineRule="auto" w:line="288" w:before="0" w:after="120"/>
        <w:ind w:left="0" w:right="0" w:hanging="360"/>
        <w:jc w:val="both"/>
        <w:rPr/>
      </w:pPr>
      <w:r>
        <w:rPr>
          <w:rFonts w:ascii="Arial;sans-serif" w:hAnsi="Arial;sans-serif"/>
          <w:b w:val="false"/>
          <w:color w:val="000000"/>
          <w:sz w:val="20"/>
        </w:rPr>
        <w:t>(b)</w:t>
      </w:r>
      <w:r>
        <w:rPr>
          <w:color w:val="000000"/>
        </w:rPr>
        <w:t>“</w:t>
      </w:r>
      <w:r>
        <w:rPr>
          <w:rFonts w:ascii="Arial;sans-serif" w:hAnsi="Arial;sans-serif"/>
          <w:b w:val="false"/>
          <w:color w:val="000000"/>
          <w:sz w:val="20"/>
          <w:u w:val="single"/>
        </w:rPr>
        <w:t>Board</w:t>
      </w:r>
      <w:r>
        <w:rPr>
          <w:color w:val="000000"/>
        </w:rPr>
        <w:t xml:space="preserve">” </w:t>
      </w:r>
      <w:r>
        <w:rPr>
          <w:rFonts w:ascii="Arial;sans-serif" w:hAnsi="Arial;sans-serif"/>
          <w:b w:val="false"/>
          <w:color w:val="000000"/>
          <w:sz w:val="20"/>
        </w:rPr>
        <w:t>means the Board of Directors of the Company, as constituted from time to time.</w:t>
      </w:r>
    </w:p>
    <w:p>
      <w:pPr>
        <w:pStyle w:val="TextBody"/>
        <w:bidi w:val="0"/>
        <w:spacing w:lineRule="auto" w:line="288" w:before="0" w:after="120"/>
        <w:ind w:left="0" w:right="0" w:hanging="360"/>
        <w:jc w:val="both"/>
        <w:rPr/>
      </w:pPr>
      <w:r>
        <w:rPr>
          <w:rFonts w:ascii="Arial;sans-serif" w:hAnsi="Arial;sans-serif"/>
          <w:b w:val="false"/>
          <w:color w:val="000000"/>
          <w:sz w:val="20"/>
        </w:rPr>
        <w:t>(c)</w:t>
      </w:r>
      <w:r>
        <w:rPr>
          <w:color w:val="000000"/>
        </w:rPr>
        <w:t>“</w:t>
      </w:r>
      <w:r>
        <w:rPr>
          <w:rFonts w:ascii="Arial;sans-serif" w:hAnsi="Arial;sans-serif"/>
          <w:b w:val="false"/>
          <w:color w:val="000000"/>
          <w:sz w:val="20"/>
          <w:u w:val="single"/>
        </w:rPr>
        <w:t>Clawback Eligible Incentive-Based Compensation</w:t>
      </w:r>
      <w:r>
        <w:rPr>
          <w:color w:val="000000"/>
        </w:rPr>
        <w:t xml:space="preserve">” </w:t>
      </w:r>
      <w:r>
        <w:rPr>
          <w:rFonts w:ascii="Arial;sans-serif" w:hAnsi="Arial;sans-serif"/>
          <w:b w:val="false"/>
          <w:color w:val="000000"/>
          <w:sz w:val="20"/>
        </w:rPr>
        <w:t>means, in connection with an Accounting Restatement and with respect to each individual who served as a Senior Executive at any time during the applicable performance period for any Incentive-Based Compensation (whether or not such Senior Executive is serving at the time the Erroneously Awarded Compensation is required to be recouped by the Company), all Incentive-Based Compensation Received by such Senior Executive (i) on or after the Effective Date, (ii) after beginning service as a Senior Executive, (iii) while the Company has a class of securities listed on a national securities exchange, and (iv) during the applicable Look-Back Period.</w:t>
      </w:r>
    </w:p>
    <w:p>
      <w:pPr>
        <w:pStyle w:val="TextBody"/>
        <w:bidi w:val="0"/>
        <w:spacing w:lineRule="auto" w:line="288" w:before="0" w:after="120"/>
        <w:ind w:left="0" w:right="0" w:hanging="360"/>
        <w:jc w:val="both"/>
        <w:rPr/>
      </w:pPr>
      <w:r>
        <w:rPr>
          <w:rFonts w:ascii="Arial;sans-serif" w:hAnsi="Arial;sans-serif"/>
          <w:b w:val="false"/>
          <w:color w:val="000000"/>
          <w:sz w:val="20"/>
        </w:rPr>
        <w:t>(d)</w:t>
      </w:r>
      <w:r>
        <w:rPr>
          <w:color w:val="000000"/>
        </w:rPr>
        <w:t>“</w:t>
      </w:r>
      <w:r>
        <w:rPr>
          <w:rFonts w:ascii="Arial;sans-serif" w:hAnsi="Arial;sans-serif"/>
          <w:b w:val="false"/>
          <w:color w:val="000000"/>
          <w:sz w:val="20"/>
          <w:u w:val="single"/>
        </w:rPr>
        <w:t>Committee</w:t>
      </w:r>
      <w:r>
        <w:rPr>
          <w:color w:val="000000"/>
        </w:rPr>
        <w:t xml:space="preserve">” </w:t>
      </w:r>
      <w:r>
        <w:rPr>
          <w:rFonts w:ascii="Arial;sans-serif" w:hAnsi="Arial;sans-serif"/>
          <w:b w:val="false"/>
          <w:color w:val="000000"/>
          <w:sz w:val="20"/>
        </w:rPr>
        <w:t>means the Compensation Committee of the Board or such other committee or subcommittee of the Board, if any, duly appointed to administer this Policy and having such powers in each instance as shall be specified by the Board and as specified in Section 3 of this Policy. The Board may also serve as the Committee.</w:t>
      </w:r>
    </w:p>
    <w:p>
      <w:pPr>
        <w:pStyle w:val="TextBody"/>
        <w:bidi w:val="0"/>
        <w:spacing w:lineRule="auto" w:line="288" w:before="0" w:after="120"/>
        <w:ind w:left="0" w:right="0" w:hanging="360"/>
        <w:jc w:val="both"/>
        <w:rPr/>
      </w:pPr>
      <w:r>
        <w:rPr>
          <w:rFonts w:ascii="Arial;sans-serif" w:hAnsi="Arial;sans-serif"/>
          <w:b w:val="false"/>
          <w:color w:val="000000"/>
          <w:sz w:val="20"/>
        </w:rPr>
        <w:t>(e)</w:t>
      </w:r>
      <w:r>
        <w:rPr>
          <w:color w:val="000000"/>
        </w:rPr>
        <w:t>“</w:t>
      </w:r>
      <w:r>
        <w:rPr>
          <w:rFonts w:ascii="Arial;sans-serif" w:hAnsi="Arial;sans-serif"/>
          <w:b w:val="false"/>
          <w:color w:val="000000"/>
          <w:sz w:val="20"/>
          <w:u w:val="single"/>
        </w:rPr>
        <w:t>Company</w:t>
      </w:r>
      <w:r>
        <w:rPr>
          <w:color w:val="000000"/>
        </w:rPr>
        <w:t xml:space="preserve">” </w:t>
      </w:r>
      <w:r>
        <w:rPr>
          <w:rFonts w:ascii="Arial;sans-serif" w:hAnsi="Arial;sans-serif"/>
          <w:b w:val="false"/>
          <w:color w:val="000000"/>
          <w:sz w:val="20"/>
        </w:rPr>
        <w:t>means Daré Bioscience, Inc., a Delaware corporation.</w:t>
      </w:r>
    </w:p>
    <w:p>
      <w:pPr>
        <w:pStyle w:val="TextBody"/>
        <w:bidi w:val="0"/>
        <w:spacing w:lineRule="auto" w:line="288" w:before="0" w:after="120"/>
        <w:ind w:left="0" w:right="0" w:hanging="360"/>
        <w:jc w:val="both"/>
        <w:rPr/>
      </w:pPr>
      <w:r>
        <w:rPr>
          <w:rFonts w:ascii="Arial;sans-serif" w:hAnsi="Arial;sans-serif"/>
          <w:b w:val="false"/>
          <w:color w:val="000000"/>
          <w:sz w:val="20"/>
        </w:rPr>
        <w:t>(f)</w:t>
      </w:r>
      <w:r>
        <w:rPr>
          <w:color w:val="000000"/>
        </w:rPr>
        <w:t>“</w:t>
      </w:r>
      <w:r>
        <w:rPr>
          <w:rFonts w:ascii="Arial;sans-serif" w:hAnsi="Arial;sans-serif"/>
          <w:b w:val="false"/>
          <w:color w:val="000000"/>
          <w:sz w:val="20"/>
          <w:u w:val="single"/>
        </w:rPr>
        <w:t>Effective Date</w:t>
      </w:r>
      <w:r>
        <w:rPr>
          <w:color w:val="000000"/>
        </w:rPr>
        <w:t xml:space="preserve">” </w:t>
      </w:r>
      <w:r>
        <w:rPr>
          <w:rFonts w:ascii="Arial;sans-serif" w:hAnsi="Arial;sans-serif"/>
          <w:b w:val="false"/>
          <w:color w:val="000000"/>
          <w:sz w:val="20"/>
        </w:rPr>
        <w:t>means October 2, 2023.</w:t>
      </w:r>
    </w:p>
    <w:p>
      <w:pPr>
        <w:pStyle w:val="TextBody"/>
        <w:bidi w:val="0"/>
        <w:spacing w:lineRule="auto" w:line="288" w:before="0" w:after="120"/>
        <w:ind w:left="0" w:right="0" w:hanging="360"/>
        <w:jc w:val="both"/>
        <w:rPr/>
      </w:pPr>
      <w:r>
        <w:rPr>
          <w:rFonts w:ascii="Arial;sans-serif" w:hAnsi="Arial;sans-serif"/>
          <w:b w:val="false"/>
          <w:color w:val="000000"/>
          <w:sz w:val="20"/>
        </w:rPr>
        <w:t>(g)</w:t>
      </w:r>
      <w:r>
        <w:rPr>
          <w:color w:val="000000"/>
        </w:rPr>
        <w:t>“</w:t>
      </w:r>
      <w:r>
        <w:rPr>
          <w:rFonts w:ascii="Arial;sans-serif" w:hAnsi="Arial;sans-serif"/>
          <w:b w:val="false"/>
          <w:color w:val="000000"/>
          <w:sz w:val="20"/>
          <w:u w:val="single"/>
        </w:rPr>
        <w:t>Erroneously Awarded Compensation</w:t>
      </w:r>
      <w:r>
        <w:rPr>
          <w:color w:val="000000"/>
        </w:rPr>
        <w:t xml:space="preserve">” </w:t>
      </w:r>
      <w:r>
        <w:rPr>
          <w:rFonts w:ascii="Arial;sans-serif" w:hAnsi="Arial;sans-serif"/>
          <w:b w:val="false"/>
          <w:color w:val="000000"/>
          <w:sz w:val="20"/>
        </w:rPr>
        <w:t>means, with respect to each Senior Executive in connection with an Accounting Restatement, the amount of the Clawback Eligible Incentive-Based Compensation that exceeds the amount of the Incentive-Based Compensation that would have been Received had the amount of such Incentive-Based Compensation been calculated based on the restated amounts, as determined by the Committee, calculated by the Committee without regard to any taxes paid. With respect to Incentive-Based Compensation based on (or derived from) TSR or stock price, where the amount of Erroneously Awarded Compensation is not subject to mathematical recalculation directly from the information in the applicable Accounting Restatement, the Committee shall determine the amount of Erroneously Awarded Compensation based on a reasonable estimate of the effect of the Accounting Restatement on the TSR or stock price upon which the Incentive-Based Compensation was Received.</w:t>
      </w:r>
    </w:p>
    <w:p>
      <w:pPr>
        <w:pStyle w:val="TextBody"/>
        <w:bidi w:val="0"/>
        <w:spacing w:lineRule="auto" w:line="288" w:before="0" w:after="120"/>
        <w:ind w:left="0" w:right="0" w:hanging="360"/>
        <w:jc w:val="both"/>
        <w:rPr/>
      </w:pPr>
      <w:r>
        <w:rPr>
          <w:rFonts w:ascii="Arial;sans-serif" w:hAnsi="Arial;sans-serif"/>
          <w:b w:val="false"/>
          <w:color w:val="000000"/>
          <w:sz w:val="20"/>
        </w:rPr>
        <w:t>(h)</w:t>
      </w:r>
      <w:r>
        <w:rPr>
          <w:color w:val="000000"/>
        </w:rPr>
        <w:t>“</w:t>
      </w:r>
      <w:r>
        <w:rPr>
          <w:rFonts w:ascii="Arial;sans-serif" w:hAnsi="Arial;sans-serif"/>
          <w:b w:val="false"/>
          <w:color w:val="000000"/>
          <w:sz w:val="20"/>
          <w:u w:val="single"/>
        </w:rPr>
        <w:t>Exchange</w:t>
      </w:r>
      <w:r>
        <w:rPr>
          <w:color w:val="000000"/>
        </w:rPr>
        <w:t xml:space="preserve">” </w:t>
      </w:r>
      <w:r>
        <w:rPr>
          <w:rFonts w:ascii="Arial;sans-serif" w:hAnsi="Arial;sans-serif"/>
          <w:b w:val="false"/>
          <w:color w:val="000000"/>
          <w:sz w:val="20"/>
        </w:rPr>
        <w:t>means The Nasdaq Stock Market.</w:t>
      </w:r>
    </w:p>
    <w:p>
      <w:pPr>
        <w:pStyle w:val="TextBody"/>
        <w:bidi w:val="0"/>
        <w:spacing w:lineRule="auto" w:line="288" w:before="0" w:after="120"/>
        <w:ind w:left="0" w:right="0" w:hanging="360"/>
        <w:jc w:val="both"/>
        <w:rPr/>
      </w:pPr>
      <w:r>
        <w:rPr>
          <w:rFonts w:ascii="Arial;sans-serif" w:hAnsi="Arial;sans-serif"/>
          <w:b w:val="false"/>
          <w:color w:val="000000"/>
          <w:sz w:val="20"/>
        </w:rPr>
        <w:t>(i)</w:t>
      </w:r>
      <w:r>
        <w:rPr>
          <w:color w:val="000000"/>
        </w:rPr>
        <w:t>“</w:t>
      </w:r>
      <w:r>
        <w:rPr>
          <w:rFonts w:ascii="Arial;sans-serif" w:hAnsi="Arial;sans-serif"/>
          <w:b w:val="false"/>
          <w:color w:val="000000"/>
          <w:sz w:val="20"/>
          <w:u w:val="single"/>
        </w:rPr>
        <w:t>Exchange Act</w:t>
      </w:r>
      <w:r>
        <w:rPr>
          <w:color w:val="000000"/>
        </w:rPr>
        <w:t xml:space="preserve">” </w:t>
      </w:r>
      <w:r>
        <w:rPr>
          <w:rFonts w:ascii="Arial;sans-serif" w:hAnsi="Arial;sans-serif"/>
          <w:b w:val="false"/>
          <w:color w:val="000000"/>
          <w:sz w:val="20"/>
        </w:rPr>
        <w:t>means the Securities Exchange Act of 1934, as amended.</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rFonts w:ascii="Arial;sans-serif" w:hAnsi="Arial;sans-serif"/>
          <w:b w:val="false"/>
          <w:color w:val="000000"/>
          <w:sz w:val="20"/>
        </w:rPr>
        <w:t>(j)</w:t>
      </w:r>
      <w:r>
        <w:rPr>
          <w:color w:val="000000"/>
        </w:rPr>
        <w:t>“</w:t>
      </w:r>
      <w:r>
        <w:rPr>
          <w:rFonts w:ascii="Arial;sans-serif" w:hAnsi="Arial;sans-serif"/>
          <w:b w:val="false"/>
          <w:color w:val="000000"/>
          <w:sz w:val="20"/>
          <w:u w:val="single"/>
        </w:rPr>
        <w:t>Financial Reporting Measure</w:t>
      </w:r>
      <w:r>
        <w:rPr>
          <w:color w:val="000000"/>
        </w:rPr>
        <w:t xml:space="preserve">” </w:t>
      </w:r>
      <w:r>
        <w:rPr>
          <w:rFonts w:ascii="Arial;sans-serif" w:hAnsi="Arial;sans-serif"/>
          <w:b w:val="false"/>
          <w:color w:val="000000"/>
          <w:sz w:val="20"/>
        </w:rPr>
        <w:t>means any measure that is determined and presented in accordance with the accounting principles used in preparing the Company’s financial statements, and any measure that is derived wholly or in part from such measure, including but not limited to, “non-GAAP financial measures” for purposes of Exchange Act Regulation G and Item 10 of Regulation S-K, as well as other measures, metrics and ratios that are not non-GAAP measures, like same store sales. Financial Reporting Measures include but are not limited to the following (and any measures derived from the following): stock price; TSR;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report or other document filed with the SEC.</w:t>
      </w:r>
    </w:p>
    <w:p>
      <w:pPr>
        <w:pStyle w:val="TextBody"/>
        <w:bidi w:val="0"/>
        <w:spacing w:lineRule="auto" w:line="288" w:before="0" w:after="120"/>
        <w:ind w:left="0" w:right="0" w:hanging="360"/>
        <w:jc w:val="both"/>
        <w:rPr/>
      </w:pPr>
      <w:r>
        <w:rPr>
          <w:rFonts w:ascii="Arial;sans-serif" w:hAnsi="Arial;sans-serif"/>
          <w:b w:val="false"/>
          <w:color w:val="000000"/>
          <w:sz w:val="20"/>
        </w:rPr>
        <w:t>(k)</w:t>
      </w:r>
      <w:r>
        <w:rPr>
          <w:color w:val="000000"/>
        </w:rPr>
        <w:t>“</w:t>
      </w:r>
      <w:r>
        <w:rPr>
          <w:rFonts w:ascii="Arial;sans-serif" w:hAnsi="Arial;sans-serif"/>
          <w:b w:val="false"/>
          <w:color w:val="000000"/>
          <w:sz w:val="20"/>
          <w:u w:val="single"/>
        </w:rPr>
        <w:t>Incentive-Based Compensation</w:t>
      </w:r>
      <w:r>
        <w:rPr>
          <w:color w:val="000000"/>
        </w:rPr>
        <w:t xml:space="preserve">” </w:t>
      </w:r>
      <w:r>
        <w:rPr>
          <w:rFonts w:ascii="Arial;sans-serif" w:hAnsi="Arial;sans-serif"/>
          <w:b w:val="false"/>
          <w:color w:val="000000"/>
          <w:sz w:val="20"/>
        </w:rPr>
        <w:t xml:space="preserve">means any compensation granted, earned or vested based wholly or in part upon the attainment of a Financial Reporting Measure, measured on a pre-tax basis. Incentive-Based Compensation includes, without limitation: any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stock appreciation rights that are granted or become vested based wholly or in part on satisfying a Financial Reporting Measure Performance Goal; and proceeds received upon the sale of shares acquired through an incentive plan that were granted or vested based wholly or in part on satisfying a Financial Reporting Measure performance goal. </w:t>
      </w:r>
    </w:p>
    <w:p>
      <w:pPr>
        <w:pStyle w:val="TextBody"/>
        <w:bidi w:val="0"/>
        <w:spacing w:lineRule="auto" w:line="288" w:before="0" w:after="120"/>
        <w:ind w:left="0" w:right="0" w:hanging="360"/>
        <w:jc w:val="both"/>
        <w:rPr/>
      </w:pPr>
      <w:r>
        <w:rPr>
          <w:rFonts w:ascii="Arial;sans-serif" w:hAnsi="Arial;sans-serif"/>
          <w:b w:val="false"/>
          <w:color w:val="000000"/>
          <w:sz w:val="20"/>
        </w:rPr>
        <w:t>(l)</w:t>
      </w:r>
      <w:r>
        <w:rPr>
          <w:color w:val="000000"/>
        </w:rPr>
        <w:t>“</w:t>
      </w:r>
      <w:r>
        <w:rPr>
          <w:rFonts w:ascii="Arial;sans-serif" w:hAnsi="Arial;sans-serif"/>
          <w:b w:val="false"/>
          <w:color w:val="000000"/>
          <w:sz w:val="20"/>
          <w:u w:val="single"/>
        </w:rPr>
        <w:t>Look-Back Period</w:t>
      </w:r>
      <w:r>
        <w:rPr>
          <w:color w:val="000000"/>
        </w:rPr>
        <w:t xml:space="preserve">” </w:t>
      </w:r>
      <w:r>
        <w:rPr>
          <w:rFonts w:ascii="Arial;sans-serif" w:hAnsi="Arial;sans-serif"/>
          <w:b w:val="false"/>
          <w:color w:val="000000"/>
          <w:sz w:val="20"/>
        </w:rPr>
        <w:t>means, with respect to an Accounting Restatement, the three completed fiscal years of the Company immediately preceding the Restatement Date and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pStyle w:val="TextBody"/>
        <w:bidi w:val="0"/>
        <w:spacing w:lineRule="auto" w:line="288" w:before="0" w:after="120"/>
        <w:ind w:left="0" w:right="0" w:hanging="360"/>
        <w:jc w:val="both"/>
        <w:rPr/>
      </w:pPr>
      <w:r>
        <w:rPr>
          <w:rFonts w:ascii="Arial;sans-serif" w:hAnsi="Arial;sans-serif"/>
          <w:b w:val="false"/>
          <w:color w:val="000000"/>
          <w:sz w:val="20"/>
        </w:rPr>
        <w:t>(m)</w:t>
      </w:r>
      <w:r>
        <w:rPr>
          <w:color w:val="000000"/>
        </w:rPr>
        <w:t>“</w:t>
      </w:r>
      <w:r>
        <w:rPr>
          <w:rFonts w:ascii="Arial;sans-serif" w:hAnsi="Arial;sans-serif"/>
          <w:b w:val="false"/>
          <w:color w:val="000000"/>
          <w:sz w:val="20"/>
          <w:u w:val="single"/>
        </w:rPr>
        <w:t>Policy</w:t>
      </w:r>
      <w:r>
        <w:rPr>
          <w:color w:val="000000"/>
        </w:rPr>
        <w:t xml:space="preserve">” </w:t>
      </w:r>
      <w:r>
        <w:rPr>
          <w:rFonts w:ascii="Arial;sans-serif" w:hAnsi="Arial;sans-serif"/>
          <w:b w:val="false"/>
          <w:color w:val="000000"/>
          <w:sz w:val="20"/>
        </w:rPr>
        <w:t>means this Policy on Recovery of Erroneously Awarded Compensation as the same may be amended, modified, supplemented, and/or restated from time to time.</w:t>
      </w:r>
    </w:p>
    <w:p>
      <w:pPr>
        <w:pStyle w:val="TextBody"/>
        <w:bidi w:val="0"/>
        <w:spacing w:lineRule="auto" w:line="288" w:before="0" w:after="120"/>
        <w:ind w:left="0" w:right="0" w:hanging="360"/>
        <w:jc w:val="both"/>
        <w:rPr/>
      </w:pPr>
      <w:r>
        <w:rPr>
          <w:rFonts w:ascii="Arial;sans-serif" w:hAnsi="Arial;sans-serif"/>
          <w:b w:val="false"/>
          <w:color w:val="000000"/>
          <w:sz w:val="20"/>
        </w:rPr>
        <w:t>(n)</w:t>
      </w:r>
      <w:r>
        <w:rPr>
          <w:color w:val="000000"/>
        </w:rPr>
        <w:t>“</w:t>
      </w:r>
      <w:r>
        <w:rPr>
          <w:rFonts w:ascii="Arial;sans-serif" w:hAnsi="Arial;sans-serif"/>
          <w:b w:val="false"/>
          <w:color w:val="000000"/>
          <w:sz w:val="20"/>
          <w:u w:val="single"/>
        </w:rPr>
        <w:t>Received</w:t>
      </w:r>
      <w:r>
        <w:rPr>
          <w:color w:val="000000"/>
        </w:rPr>
        <w:t xml:space="preserve">” </w:t>
      </w:r>
      <w:r>
        <w:rPr>
          <w:rFonts w:ascii="Arial;sans-serif" w:hAnsi="Arial;sans-serif"/>
          <w:b w:val="false"/>
          <w:color w:val="000000"/>
          <w:sz w:val="20"/>
        </w:rPr>
        <w:t xml:space="preserve">means, with respect to Incentive-Based Compensation, actual or deemed receipt, and Incentive-Based Compensation shall be deemed “Received” in the Company’s fiscal period during which the applicable Financial Reporting Measure specified in the Incentive-Based Compensation award is attained, even if the payment or grant of such Incentive-Based Compensation occurs after the end of that period. If an equity award vests only upon satisfaction of a Financial Reporting Measure performance condition, the award shall be deemed Received in the fiscal period when it vests. Ministerial acts or other conditions necessary to effect issuance or payment, such as calculating the amount earned or obtaining Board approval of payment, do not affect the determination of the date Received. </w:t>
      </w:r>
    </w:p>
    <w:p>
      <w:pPr>
        <w:pStyle w:val="TextBody"/>
        <w:bidi w:val="0"/>
        <w:spacing w:lineRule="auto" w:line="288" w:before="0" w:after="120"/>
        <w:ind w:left="0" w:right="0" w:hanging="360"/>
        <w:jc w:val="both"/>
        <w:rPr/>
      </w:pPr>
      <w:r>
        <w:rPr>
          <w:rFonts w:ascii="Arial;sans-serif" w:hAnsi="Arial;sans-serif"/>
          <w:b w:val="false"/>
          <w:color w:val="000000"/>
          <w:sz w:val="20"/>
        </w:rPr>
        <w:t>(o)</w:t>
      </w:r>
      <w:r>
        <w:rPr>
          <w:color w:val="000000"/>
        </w:rPr>
        <w:t>“</w:t>
      </w:r>
      <w:r>
        <w:rPr>
          <w:rFonts w:ascii="Arial;sans-serif" w:hAnsi="Arial;sans-serif"/>
          <w:b w:val="false"/>
          <w:color w:val="000000"/>
          <w:sz w:val="20"/>
          <w:u w:val="single"/>
        </w:rPr>
        <w:t>Restatement Date</w:t>
      </w:r>
      <w:r>
        <w:rPr>
          <w:color w:val="000000"/>
        </w:rPr>
        <w:t xml:space="preserve">” </w:t>
      </w:r>
      <w:r>
        <w:rPr>
          <w:rFonts w:ascii="Arial;sans-serif" w:hAnsi="Arial;sans-serif"/>
          <w:b w:val="false"/>
          <w:color w:val="000000"/>
          <w:sz w:val="20"/>
        </w:rPr>
        <w:t xml:space="preserve">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body directs the Company to prepare an Accounting Restatement, in each case regardless of if or when the restated financial statements are filed.</w:t>
      </w:r>
    </w:p>
    <w:p>
      <w:pPr>
        <w:pStyle w:val="TextBody"/>
        <w:bidi w:val="0"/>
        <w:spacing w:lineRule="auto" w:line="288" w:before="0" w:after="120"/>
        <w:ind w:left="0" w:right="0" w:hanging="360"/>
        <w:jc w:val="both"/>
        <w:rPr/>
      </w:pPr>
      <w:r>
        <w:rPr>
          <w:rFonts w:ascii="Arial;sans-serif" w:hAnsi="Arial;sans-serif"/>
          <w:b w:val="false"/>
          <w:color w:val="000000"/>
          <w:sz w:val="20"/>
        </w:rPr>
        <w:t>(p)</w:t>
      </w:r>
      <w:r>
        <w:rPr>
          <w:color w:val="000000"/>
        </w:rPr>
        <w:t>“</w:t>
      </w:r>
      <w:r>
        <w:rPr>
          <w:rFonts w:ascii="Arial;sans-serif" w:hAnsi="Arial;sans-serif"/>
          <w:b w:val="false"/>
          <w:color w:val="000000"/>
          <w:sz w:val="20"/>
          <w:u w:val="single"/>
        </w:rPr>
        <w:t>SEC</w:t>
      </w:r>
      <w:r>
        <w:rPr>
          <w:color w:val="000000"/>
        </w:rPr>
        <w:t xml:space="preserve">” </w:t>
      </w:r>
      <w:r>
        <w:rPr>
          <w:rFonts w:ascii="Arial;sans-serif" w:hAnsi="Arial;sans-serif"/>
          <w:b w:val="false"/>
          <w:color w:val="000000"/>
          <w:sz w:val="20"/>
        </w:rPr>
        <w:t>means the U.S. Securities and Exchange Commission.</w:t>
      </w:r>
    </w:p>
    <w:p>
      <w:pPr>
        <w:pStyle w:val="TextBody"/>
        <w:bidi w:val="0"/>
        <w:spacing w:lineRule="auto" w:line="288" w:before="0" w:after="120"/>
        <w:ind w:left="0" w:right="0" w:hanging="360"/>
        <w:jc w:val="both"/>
        <w:rPr/>
      </w:pPr>
      <w:r>
        <w:rPr>
          <w:rFonts w:ascii="Arial;sans-serif" w:hAnsi="Arial;sans-serif"/>
          <w:b w:val="false"/>
          <w:color w:val="000000"/>
          <w:sz w:val="20"/>
        </w:rPr>
        <w:t>(q)</w:t>
      </w:r>
      <w:r>
        <w:rPr>
          <w:color w:val="000000"/>
        </w:rPr>
        <w:t>“</w:t>
      </w:r>
      <w:r>
        <w:rPr>
          <w:rFonts w:ascii="Arial;sans-serif" w:hAnsi="Arial;sans-serif"/>
          <w:b w:val="false"/>
          <w:color w:val="000000"/>
          <w:sz w:val="20"/>
          <w:u w:val="single"/>
        </w:rPr>
        <w:t>Senior Executives</w:t>
      </w:r>
      <w:r>
        <w:rPr>
          <w:color w:val="000000"/>
        </w:rPr>
        <w:t xml:space="preserve">” </w:t>
      </w:r>
      <w:r>
        <w:rPr>
          <w:rFonts w:ascii="Arial;sans-serif" w:hAnsi="Arial;sans-serif"/>
          <w:b w:val="false"/>
          <w:color w:val="000000"/>
          <w:sz w:val="20"/>
        </w:rPr>
        <w:t xml:space="preserve">means any person who was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performed a policy-making function, or any other person who performed similar policy-making functions for the Company and any other “key employees” who were designated as “Senior Executives” by the Committee. Executive officers of the Company’s parents or subsidiaries may be deemed Senior Executives if they perform policy-making functions for the Company. For purposes of this definition, policy-making function is not intended to include policy-making functions that are not significant. All executive officers of the Company identified by the Board pursuant to Item 401(b) of Regulation S-K shall be deemed Senior Executives. </w:t>
      </w:r>
    </w:p>
    <w:p>
      <w:pPr>
        <w:pStyle w:val="TextBody"/>
        <w:bidi w:val="0"/>
        <w:spacing w:lineRule="auto" w:line="288" w:before="0" w:after="120"/>
        <w:ind w:left="0" w:right="0" w:hanging="360"/>
        <w:jc w:val="both"/>
        <w:rPr/>
      </w:pPr>
      <w:r>
        <w:rPr>
          <w:rFonts w:ascii="Arial;sans-serif" w:hAnsi="Arial;sans-serif"/>
          <w:b w:val="false"/>
          <w:color w:val="000000"/>
          <w:sz w:val="20"/>
        </w:rPr>
        <w:t>(r)</w:t>
      </w:r>
      <w:r>
        <w:rPr>
          <w:color w:val="000000"/>
        </w:rPr>
        <w:t>“</w:t>
      </w:r>
      <w:r>
        <w:rPr>
          <w:rFonts w:ascii="Arial;sans-serif" w:hAnsi="Arial;sans-serif"/>
          <w:b w:val="false"/>
          <w:color w:val="000000"/>
          <w:sz w:val="20"/>
          <w:u w:val="single"/>
        </w:rPr>
        <w:t>TSR</w:t>
      </w:r>
      <w:r>
        <w:rPr>
          <w:color w:val="000000"/>
        </w:rPr>
        <w:t xml:space="preserve">” </w:t>
      </w:r>
      <w:r>
        <w:rPr>
          <w:rFonts w:ascii="Arial;sans-serif" w:hAnsi="Arial;sans-serif"/>
          <w:b w:val="false"/>
          <w:color w:val="000000"/>
          <w:sz w:val="20"/>
        </w:rPr>
        <w:t>means total stockholder return.</w:t>
      </w:r>
    </w:p>
    <w:p>
      <w:pPr>
        <w:pStyle w:val="TextBody"/>
        <w:bidi w:val="0"/>
        <w:spacing w:lineRule="auto" w:line="288" w:before="0" w:after="120"/>
        <w:jc w:val="left"/>
        <w:rPr/>
      </w:pPr>
      <w:r>
        <w:rPr>
          <w:rFonts w:ascii="Arial;sans-serif" w:hAnsi="Arial;sans-serif"/>
          <w:b w:val="false"/>
          <w:color w:val="000000"/>
          <w:sz w:val="20"/>
        </w:rPr>
        <w:t>3.</w:t>
      </w:r>
      <w:r>
        <w:rPr>
          <w:rFonts w:ascii="Arial;sans-serif" w:hAnsi="Arial;sans-serif"/>
          <w:b/>
          <w:color w:val="000000"/>
          <w:sz w:val="20"/>
          <w:u w:val="single"/>
        </w:rPr>
        <w:t>Administration of Policy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(a)The Policy shall be administrated by the Committee. All questions of interpretation or application of this Policy shall be determined by the Committee. All Committee decisions shall be final and binding upon all persons and shall be afforded the maximum deference permitted under applicable law. The Committee is authorized to make all determinations necessary, appropriate or advisable for the administration of this Policy and to use any of the Company’s resources it deems appropriate to recoup Erroneously Awarded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(b)Determinations of financial and/or accounting irregularities for purposes of this Policy shall be made by the Committee independently of, and the Committee shall not be bound by, determinations by management or by any other committee of the Board.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(c)In the administration of this Policy, the Committee is authorized and directed to consult with the full Board or such other committees of the Board as may be necessary or appropriate as to matters within the scope of such other committee’s responsibility and authority. Subject to any limitation under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88" w:before="0" w:after="120"/>
        <w:jc w:val="left"/>
        <w:rPr/>
      </w:pPr>
      <w:r>
        <w:rPr>
          <w:rFonts w:ascii="Arial;sans-serif" w:hAnsi="Arial;sans-serif"/>
          <w:b w:val="false"/>
          <w:color w:val="000000"/>
          <w:sz w:val="20"/>
        </w:rPr>
        <w:t>4.</w:t>
      </w:r>
      <w:r>
        <w:rPr>
          <w:rFonts w:ascii="Arial;sans-serif" w:hAnsi="Arial;sans-serif"/>
          <w:b/>
          <w:color w:val="000000"/>
          <w:sz w:val="20"/>
          <w:u w:val="single"/>
        </w:rPr>
        <w:t>Accounting Restatements; Recoupment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(a)If the Company is required to prepare an Accounting Restatement, the Company shall determine, in accordance with this Policy and the Applicable Rules, the amount of any Erroneously Awarded Compensation for each Senior Executive in connection with such Accounting Restatement, irrespective of any fault, misconduct or responsibility of any Senior Executive for the Accounting Restatement, and thereafter the Company shall reasonably promptly recover such amount of Erroneously Awarded Compensation. In connection with the foregoing, the Committee, which may act in conjunction with the Company’s Audit Committee, shall take all such actions required by this Policy and the Applicable Rules.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(b)If there was Erroneously Awarded Compensation, the Committee shall determine, in its sole discretion, the timing and method(s) for promptly recouping the same, which methods may include, without limitation, one or more of the following: (i) requiring reimbursement of any Erroneously Awarded Compensation; (ii) requiring reimbursement of any equity based compensation awarded; (iii) cancelling outstanding cash or equity-based awards, whether vested or unvested or paid or unpaid; (iv) cancelling or offsetting against any compensation otherwise owed by the Company to the Senior Executive, including any future cash or equity-based awards; (v) requiring the forfeiture of deferred compensation, subject to compliance with Section 409A of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Internal Revenue Code and the regulations promulgated thereunder; (vi) seeking recovery of any gain realized on the vesting, exercise, settlement, sale, transfer, or other disposition of any equity-based awards; and (viii) pursuing any other reasonable remedies. Subject to compliance with applicable law, the Committee may effect recoupment under this Policy from any amount otherwise payable to a Senior Executive, including amounts payable to such individual under any otherwise applicable Company plan or program, including base salary, bonuses or commissions and compensation previously deferred by the Senior Executive.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(c)To the extent that the Committee determines to recoup Erroneously Awarded Compensation from a Senior Executive by requiring the repayment of such Erroneously Awarded Compensation to the Company, and such Senior Executive fails to repay all Erroneously Awarded Compensation to the Company when due, the Company may take all actions reasonable and appropriate to recover such Erroneously Awarded Compensation from the applicable Senior Executive. The applicable Senior Executive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(d)In the event of an Accounting Restatement, except to the extent permitted by the Applicable Rules, the Committee will generally treat all Senior Executives (including former employees) the same with respect to any actions seeking to recoup Erroneously Awarded Compensation. </w:t>
      </w:r>
    </w:p>
    <w:p>
      <w:pPr>
        <w:pStyle w:val="TextBody"/>
        <w:bidi w:val="0"/>
        <w:spacing w:lineRule="auto" w:line="288" w:before="0" w:after="120"/>
        <w:jc w:val="left"/>
        <w:rPr/>
      </w:pPr>
      <w:r>
        <w:rPr>
          <w:rFonts w:ascii="Arial;sans-serif" w:hAnsi="Arial;sans-serif"/>
          <w:b w:val="false"/>
          <w:color w:val="000000"/>
          <w:sz w:val="20"/>
        </w:rPr>
        <w:t>5.</w:t>
      </w:r>
      <w:r>
        <w:rPr>
          <w:rFonts w:ascii="Arial;sans-serif" w:hAnsi="Arial;sans-serif"/>
          <w:b/>
          <w:color w:val="000000"/>
          <w:sz w:val="20"/>
          <w:u w:val="single"/>
        </w:rPr>
        <w:t>Impracticability</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Notwithstanding anything to the contrary herein, the Company shall not be required to recoup Erroneously Awarded Compensation under this Policy if the Compensation Committee of the Board, or in the absence of such a committee, a majority of the independent directors serving on the Board, has determined that recovery would be impracticable in accordance with the Applicable Rules and subject to the procedural and disclosure requirements in the Applicable Rules.</w:t>
      </w:r>
    </w:p>
    <w:p>
      <w:pPr>
        <w:pStyle w:val="TextBody"/>
        <w:bidi w:val="0"/>
        <w:spacing w:lineRule="auto" w:line="288" w:before="0" w:after="120"/>
        <w:jc w:val="left"/>
        <w:rPr/>
      </w:pPr>
      <w:r>
        <w:rPr>
          <w:rFonts w:ascii="Arial;sans-serif" w:hAnsi="Arial;sans-serif"/>
          <w:b w:val="false"/>
          <w:color w:val="000000"/>
          <w:sz w:val="20"/>
        </w:rPr>
        <w:t>6.</w:t>
      </w:r>
      <w:r>
        <w:rPr>
          <w:rFonts w:ascii="Arial;sans-serif" w:hAnsi="Arial;sans-serif"/>
          <w:b/>
          <w:color w:val="000000"/>
          <w:sz w:val="20"/>
          <w:u w:val="single"/>
        </w:rPr>
        <w:t>Other Recoupment Rights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Board intends that this Policy shall be applied to the fullest extent of the law. Any right of recoupment under this Policy is in addition to, and not in lieu of, any other remedies or rights of recoupment that may be available to the Company under applicable law (including, without limitation, Section 304 of the U.S. Sarbanes-Oxley Act of 2002, as amended, or Section 954 of the U.S. Dodd-Frank Wall Street Reform and Consumer Protection Act of 2010, as amended), pursuant to the terms of any other policy of the Company, pursuant to the terms of any employment agreement, equity award agreement, severance or other agreement, and any other legal remedies available to the Company. Nothing herein, and no recoupment or recovery as contemplated by this Policy, shall (i) limit any claims, damages or other legal remedies the Company or any of its affiliates may have against a Senior Executive arising out of or resulting from any actions or omissions by the Senior Executive or (ii) limit the Company’s ability to seek recovery, in appropriate circumstances (including circumstances beyond the scope of this Policy) as permitted by applicable law, of any amounts from any employee, whether or not the employee is a Senior Executive.</w:t>
      </w:r>
    </w:p>
    <w:p>
      <w:pPr>
        <w:pStyle w:val="TextBody"/>
        <w:bidi w:val="0"/>
        <w:spacing w:lineRule="auto" w:line="288" w:before="0" w:after="120"/>
        <w:jc w:val="left"/>
        <w:rPr/>
      </w:pPr>
      <w:r>
        <w:rPr>
          <w:rFonts w:ascii="Arial;sans-serif" w:hAnsi="Arial;sans-serif"/>
          <w:b w:val="false"/>
          <w:color w:val="000000"/>
          <w:sz w:val="20"/>
        </w:rPr>
        <w:t>7.</w:t>
      </w:r>
      <w:r>
        <w:rPr>
          <w:rFonts w:ascii="Arial;sans-serif" w:hAnsi="Arial;sans-serif"/>
          <w:b/>
          <w:color w:val="000000"/>
          <w:sz w:val="20"/>
          <w:u w:val="single"/>
        </w:rPr>
        <w:t>No Indemnification or Company-Paid Insurance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Notwithstanding the terms of any indemnification or insurance policy or any contractual arrangement with any Senior Executive that may be interpreted to the contrary: (a) the Company shall not indemnify any Senior Executive against (i) the loss of any Erroneously Awarded Compensation that is recouped, repaid, returned or recovered pursuant to the terms of this Policy; or (ii) any claims relating to the Company’s enforcement of its rights under this Policy; and (b) the Company is prohibited from paying or reimbursing a Senior Executive for the cost of or premiums of any third-party insurance purchased to fund any potential obligations of a Senior Executive under this Policy. Further, the Company shall not enter into any agreement that exempts any Incentive-Based Compensation from the application of this Policy or that waives the Company’s right to recoup any Erroneously Awarded Compensation, and this Policy shall supersede any such agreement (whether entered into before, on or after the Effective Date).</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Arial;sans-serif" w:hAnsi="Arial;sans-serif"/>
          <w:b w:val="false"/>
          <w:color w:val="000000"/>
          <w:sz w:val="20"/>
        </w:rPr>
        <w:t>8.</w:t>
      </w:r>
      <w:r>
        <w:rPr>
          <w:rFonts w:ascii="Arial;sans-serif" w:hAnsi="Arial;sans-serif"/>
          <w:b/>
          <w:color w:val="000000"/>
          <w:sz w:val="20"/>
          <w:u w:val="single"/>
        </w:rPr>
        <w:t xml:space="preserve">Committee Indemnification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No members of the Committee, nor any other members of the Board who assist in the administration of this Policy, nor any officer of employee of the Company authorized and empowered by the Committee who assists in the administration of this Policy shall be personally liable for any action, determination or interpretation made with respect to this Policy, and each of the foregoing shall be fully indemnified by the Company to the fullest extent under applicable law and Company policy with respect to any such action, determination or interpretation. The foregoing sentence shall not limit any other rights to indemnification of the members of the Board or any officer of employee of the Company under applicable law, Company policy or contractual arrangement.</w:t>
      </w:r>
    </w:p>
    <w:p>
      <w:pPr>
        <w:pStyle w:val="TextBody"/>
        <w:bidi w:val="0"/>
        <w:spacing w:lineRule="auto" w:line="288" w:before="0" w:after="120"/>
        <w:jc w:val="left"/>
        <w:rPr/>
      </w:pPr>
      <w:r>
        <w:rPr>
          <w:rFonts w:ascii="Arial;sans-serif" w:hAnsi="Arial;sans-serif"/>
          <w:b w:val="false"/>
          <w:color w:val="000000"/>
          <w:sz w:val="20"/>
        </w:rPr>
        <w:t>9.</w:t>
      </w:r>
      <w:r>
        <w:rPr>
          <w:rFonts w:ascii="Arial;sans-serif" w:hAnsi="Arial;sans-serif"/>
          <w:b/>
          <w:color w:val="000000"/>
          <w:sz w:val="20"/>
          <w:u w:val="single"/>
        </w:rPr>
        <w:t>Retroactive Application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This Policy applies to any Incentive-Based Compensation that is Received by a Senior Executive on or after the Effective Date, even if such Incentive-Based Compensation was approved, awarded, granted or paid to such Senior Executive prior to the Effective Date. Without limiting the generality of Section 4, and subject to applicable law, the Committee may recoup Erroneously Awarded Compensation under this Policy from any amount of compensation approved, awarded, granted, payable or paid to the Senior Executive prior to, on or after the Effective Date.</w:t>
      </w:r>
    </w:p>
    <w:p>
      <w:pPr>
        <w:pStyle w:val="TextBody"/>
        <w:bidi w:val="0"/>
        <w:spacing w:lineRule="auto" w:line="288" w:before="0" w:after="120"/>
        <w:jc w:val="left"/>
        <w:rPr/>
      </w:pPr>
      <w:r>
        <w:rPr>
          <w:rFonts w:ascii="Arial;sans-serif" w:hAnsi="Arial;sans-serif"/>
          <w:b w:val="false"/>
          <w:color w:val="000000"/>
          <w:sz w:val="20"/>
        </w:rPr>
        <w:t>10.</w:t>
      </w:r>
      <w:r>
        <w:rPr>
          <w:rFonts w:ascii="Arial;sans-serif" w:hAnsi="Arial;sans-serif"/>
          <w:b/>
          <w:color w:val="000000"/>
          <w:sz w:val="20"/>
          <w:u w:val="single"/>
        </w:rPr>
        <w:t>Notice to Senior Executives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shall provide notice and seek written agreement to this Policy from each Senior Executive in form attached hereto; provided, that the failure to obtain such agreement shall have no impact on the applicability or enforceability of this Policy.</w:t>
      </w:r>
    </w:p>
    <w:p>
      <w:pPr>
        <w:pStyle w:val="TextBody"/>
        <w:bidi w:val="0"/>
        <w:spacing w:lineRule="auto" w:line="288" w:before="0" w:after="120"/>
        <w:jc w:val="left"/>
        <w:rPr/>
      </w:pPr>
      <w:r>
        <w:rPr>
          <w:rFonts w:ascii="Arial;sans-serif" w:hAnsi="Arial;sans-serif"/>
          <w:b w:val="false"/>
          <w:color w:val="000000"/>
          <w:sz w:val="20"/>
        </w:rPr>
        <w:t>11.</w:t>
      </w:r>
      <w:r>
        <w:rPr>
          <w:rFonts w:ascii="Arial;sans-serif" w:hAnsi="Arial;sans-serif"/>
          <w:b/>
          <w:color w:val="000000"/>
          <w:sz w:val="20"/>
          <w:u w:val="single"/>
        </w:rPr>
        <w:t>Amendment and Termination; Interpretation; Successors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(a)The Board may amend, modify, supplement, restate, rescind, terminate or replace all or any portion of this Policy at any time and from time to time in its sole discretion, including, without limitation, as the Board deems necessary to reflect and comply with applicable law or any of the Applicable Rules. To the extent of any inconsistency between this Policy and any of the Applicable Rules, the Applicable Rules shall control and this Policy shall be deemed amended to incorporate such Applicable Rules unless the Committee shall expressly determine otherwise. Notwithstanding anything to the contrary herein, no amendment, modification, supplement, restatement, rescission, termination or replacement of this Policy shall be effective if such amendment, modification, supplement, restatement, rescission, termination or replacement would (after taking into account any actions taken by the Company contemporaneously with such amendment, modification, supplement, restatement, rescission, termination or replacement) cause the Company to violate any of the Applicable Rules or other applicable law.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(b)This Policy shall be binding and enforceable against all Senior Executives and their beneficiaries, heirs, executors, administrators or other legal representatives, to the fullest extent of the law. </w:t>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TextBody"/>
        <w:bidi w:val="0"/>
        <w:spacing w:lineRule="auto" w:line="288" w:before="0" w:after="120"/>
        <w:ind w:left="0" w:right="0" w:firstLine="72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This Policy was adopted by the Board on the date specified.</w:t>
      </w:r>
    </w:p>
    <w:p>
      <w:pPr>
        <w:pStyle w:val="TextBody"/>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401914/000156459018021487/dare-ex1010_233.htm" TargetMode="External"/><Relationship Id="rId6" Type="http://schemas.openxmlformats.org/officeDocument/2006/relationships/hyperlink" Target="http://www.sec.gov/Archives/edgar/data/1401914/000140191419000088/exhibit21.htm" TargetMode="External"/><Relationship Id="rId7" Type="http://schemas.openxmlformats.org/officeDocument/2006/relationships/hyperlink" Target="https://www.sec.gov/Archives/edgar/data/1401914/000140191422000075/exhibit31_amendedandrestat.htm" TargetMode="External"/><Relationship Id="rId8" Type="http://schemas.openxmlformats.org/officeDocument/2006/relationships/hyperlink" Target="https://www.sec.gov/Archives/edgar/data/1401914/000140191423000045/ex31_by-laws.htm" TargetMode="External"/><Relationship Id="rId9" Type="http://schemas.openxmlformats.org/officeDocument/2006/relationships/hyperlink" Target="http://www.sec.gov/Archives/edgar/data/1401914/000156459018006989/dare-ex41_433.htm" TargetMode="External"/><Relationship Id="rId10" Type="http://schemas.openxmlformats.org/officeDocument/2006/relationships/hyperlink" Target="https://www.sec.gov/Archives/edgar/data/1401914/000140191422000032/ex42_10kx2021.htm" TargetMode="External"/><Relationship Id="rId11" Type="http://schemas.openxmlformats.org/officeDocument/2006/relationships/hyperlink" Target="https://www.sec.gov/Archives/edgar/data/1401914/000149315223030659/ex4-1.htm" TargetMode="External"/><Relationship Id="rId12" Type="http://schemas.openxmlformats.org/officeDocument/2006/relationships/hyperlink" Target="http://www.sec.gov/Archives/edgar/data/1401914/000140191420000042/exhibit46.htm" TargetMode="External"/><Relationship Id="rId13" Type="http://schemas.openxmlformats.org/officeDocument/2006/relationships/hyperlink" Target="https://www.sec.gov/Archives/edgar/data/1401914/000140191422000051/ex101_10q033122.htm" TargetMode="External"/><Relationship Id="rId14" Type="http://schemas.openxmlformats.org/officeDocument/2006/relationships/hyperlink" Target="https://www.sec.gov/Archives/edgar/data/1401914/000140191423000048/exhibit102_10q20230930.htm" TargetMode="External"/><Relationship Id="rId15" Type="http://schemas.openxmlformats.org/officeDocument/2006/relationships/hyperlink" Target="https://www.sec.gov/Archives/edgar/data/1401914/000140191422000051/ex102_10q033122.htm" TargetMode="External"/><Relationship Id="rId16" Type="http://schemas.openxmlformats.org/officeDocument/2006/relationships/hyperlink" Target="http://www.sec.gov/Archives/edgar/data/1401914/000119312518143344/d575362dex101.htm" TargetMode="External"/><Relationship Id="rId17" Type="http://schemas.openxmlformats.org/officeDocument/2006/relationships/hyperlink" Target="http://www.sec.gov/Archives/edgar/data/1401914/000156459017023408/dare-ex101_371.htm" TargetMode="External"/><Relationship Id="rId18" Type="http://schemas.openxmlformats.org/officeDocument/2006/relationships/hyperlink" Target="http://www.sec.gov/Archives/edgar/data/1401914/000156459018021487/dare-ex101_230.htm" TargetMode="External"/><Relationship Id="rId19" Type="http://schemas.openxmlformats.org/officeDocument/2006/relationships/hyperlink" Target="http://www.sec.gov/Archives/edgar/data/1401914/000156459018021487/dare-ex105_237.htm" TargetMode="External"/><Relationship Id="rId20" Type="http://schemas.openxmlformats.org/officeDocument/2006/relationships/hyperlink" Target="http://www.sec.gov/Archives/edgar/data/1401914/000156459018021487/dare-ex106_236.htm" TargetMode="External"/><Relationship Id="rId21" Type="http://schemas.openxmlformats.org/officeDocument/2006/relationships/hyperlink" Target="http://www.sec.gov/Archives/edgar/data/1401914/000156459018021487/dare-ex107_234.htm" TargetMode="External"/><Relationship Id="rId22" Type="http://schemas.openxmlformats.org/officeDocument/2006/relationships/hyperlink" Target="https://www.sec.gov/Archives/edgar/data/1401914/000140191423000013/dare-20221231xex106d.htm" TargetMode="External"/><Relationship Id="rId23" Type="http://schemas.openxmlformats.org/officeDocument/2006/relationships/hyperlink" Target="http://www.sec.gov/Archives/edgar/data/1401914/000156459018021487/dare-ex108_235.htm" TargetMode="External"/><Relationship Id="rId24" Type="http://schemas.openxmlformats.org/officeDocument/2006/relationships/hyperlink" Target="http://www.sec.gov/Archives/edgar/data/1401914/000156459018021487/dare-ex109_232.htm" TargetMode="External"/><Relationship Id="rId25" Type="http://schemas.openxmlformats.org/officeDocument/2006/relationships/hyperlink" Target="http://www.sec.gov/Archives/edgar/data/1401914/000140191419000015/a1010ahammockassignment.htm" TargetMode="External"/><Relationship Id="rId26" Type="http://schemas.openxmlformats.org/officeDocument/2006/relationships/hyperlink" Target="http://www.sec.gov/Archives/edgar/data/1401914/000140191419000015/a1010b1stamtohamcklicnsagr.htm" TargetMode="External"/><Relationship Id="rId27" Type="http://schemas.openxmlformats.org/officeDocument/2006/relationships/hyperlink" Target="http://www.sec.gov/Archives/edgar/data/1401914/000140191420000042/exhibit1010c.htm" TargetMode="External"/><Relationship Id="rId28" Type="http://schemas.openxmlformats.org/officeDocument/2006/relationships/hyperlink" Target="http://www.sec.gov/Archives/edgar/data/1401914/000140191420000042/exhibit1010d.htm" TargetMode="External"/><Relationship Id="rId29" Type="http://schemas.openxmlformats.org/officeDocument/2006/relationships/hyperlink" Target="https://www.sec.gov/Archives/edgar/data/1401914/000140191421000137/ex101.htm" TargetMode="External"/><Relationship Id="rId30" Type="http://schemas.openxmlformats.org/officeDocument/2006/relationships/hyperlink" Target="http://www.sec.gov/Archives/edgar/data/1401914/000140191420000042/exhibit1016.htm" TargetMode="External"/><Relationship Id="rId31" Type="http://schemas.openxmlformats.org/officeDocument/2006/relationships/hyperlink" Target="https://www.sec.gov/Archives/edgar/data/1401914/000140191421000118/ex_10106302021.htm" TargetMode="External"/><Relationship Id="rId32" Type="http://schemas.openxmlformats.org/officeDocument/2006/relationships/hyperlink" Target="https://www.sec.gov/ix?doc=/Archives/edgar/data/1401914/000140191421000137/dare-20210930.htm" TargetMode="External"/><Relationship Id="rId33" Type="http://schemas.openxmlformats.org/officeDocument/2006/relationships/hyperlink" Target="https://www.sec.gov/Archives/edgar/data/1401914/000149315223030659/ex10-1.htm" TargetMode="External"/><Relationship Id="rId34" Type="http://schemas.openxmlformats.org/officeDocument/2006/relationships/hyperlink" Target="http://www.sec.gov/Archives/edgar/data/1401914/000119312518216324/d458206dex101.htm" TargetMode="External"/><Relationship Id="rId35" Type="http://schemas.openxmlformats.org/officeDocument/2006/relationships/hyperlink" Target="http://www.sec.gov/Archives/edgar/data/1401914/000156459018021487/dare-ex103_157.htm" TargetMode="External"/><Relationship Id="rId36" Type="http://schemas.openxmlformats.org/officeDocument/2006/relationships/hyperlink" Target="http://www.sec.gov/Archives/edgar/data/1401914/000156459018021487/dare-ex104_158.htm" TargetMode="External"/><Relationship Id="rId37" Type="http://schemas.openxmlformats.org/officeDocument/2006/relationships/hyperlink" Target="https://www.sec.gov/Archives/edgar/data/1401914/000119312514122758/d657877dex1026.htm" TargetMode="External"/><Relationship Id="rId38" Type="http://schemas.openxmlformats.org/officeDocument/2006/relationships/hyperlink" Target="https://www.sec.gov/Archives/edgar/data/1401914/000149315222017652/ex10-1a.htm" TargetMode="External"/><Relationship Id="rId39" Type="http://schemas.openxmlformats.org/officeDocument/2006/relationships/hyperlink" Target="https://www.sec.gov/Archives/edgar/data/1401914/000149315222017652/ex10-1b.htm" TargetMode="External"/><Relationship Id="rId40" Type="http://schemas.openxmlformats.org/officeDocument/2006/relationships/hyperlink" Target="https://www.sec.gov/Archives/edgar/data/1401914/000149315222017652/ex10-1c.htm" TargetMode="External"/><Relationship Id="rId41" Type="http://schemas.openxmlformats.org/officeDocument/2006/relationships/hyperlink" Target="https://www.sec.gov/Archives/edgar/data/1401914/000140191423000048/ex_103performancebonusplan.htm" TargetMode="External"/><Relationship Id="rId42" Type="http://schemas.openxmlformats.org/officeDocument/2006/relationships/hyperlink" Target="http://www.sec.gov/Archives/edgar/data/1401914/000119312514090300/d657877dex1016.htm" TargetMode="External"/><Relationship Id="rId43" Type="http://schemas.openxmlformats.org/officeDocument/2006/relationships/hyperlink" Target="https://www.sec.gov/Archives/edgar/data/1401914/000140191422000051/ex_102noneedirectorcomppol.htm" TargetMode="External"/><Relationship Id="rId44" Type="http://schemas.openxmlformats.org/officeDocument/2006/relationships/hyperlink" Target="http://www.sec.gov/Archives/edgar/data/1401914/000119312517262263/d425695dex101.htm" TargetMode="External"/><Relationship Id="rId45" Type="http://schemas.openxmlformats.org/officeDocument/2006/relationships/hyperlink" Target="http://www.sec.gov/Archives/edgar/data/0001401914/000140191420000068/ex1013b.htm" TargetMode="External"/><Relationship Id="rId46" Type="http://schemas.openxmlformats.org/officeDocument/2006/relationships/hyperlink" Target="http://www.sec.gov/Archives/edgar/data/1401914/000119312517262263/d425695dex102.htm" TargetMode="External"/><Relationship Id="rId47" Type="http://schemas.openxmlformats.org/officeDocument/2006/relationships/hyperlink" Target="http://www.sec.gov/Archives/edgar/data/0001401914/000140191420000068/ex1014b.htm" TargetMode="External"/><Relationship Id="rId48" Type="http://schemas.openxmlformats.org/officeDocument/2006/relationships/hyperlink" Target="http://www.sec.gov/Archives/edgar/data/0001401914/000140191421000010/fairjohnemploymentoffer24a.htm" TargetMode="External"/><Relationship Id="rId49" Type="http://schemas.openxmlformats.org/officeDocument/2006/relationships/hyperlink" Target="http://www.sec.gov/Archives/edgar/data/0001401914/000140191421000010/dare-changeincontrolpolicy.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145946</Words>
  <Characters>815686</Characters>
  <CharactersWithSpaces>958954</CharactersWithSpaces>
  <Paragraphs>3996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