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212090</wp:posOffset>
            </wp:positionH>
            <wp:positionV relativeFrom="page">
              <wp:posOffset>819150</wp:posOffset>
            </wp:positionV>
            <wp:extent cx="7125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335" cy="8255"/>
                    </a:xfrm>
                    <a:prstGeom prst="rect">
                      <a:avLst/>
                    </a:prstGeom>
                    <a:noFill/>
                  </pic:spPr>
                </pic:pic>
              </a:graphicData>
            </a:graphic>
          </wp:anchor>
        </w:drawing>
        <w:drawing>
          <wp:anchor simplePos="0" relativeHeight="251657728" behindDoc="1" locked="0" layoutInCell="0" allowOverlap="1">
            <wp:simplePos x="0" y="0"/>
            <wp:positionH relativeFrom="page">
              <wp:posOffset>212090</wp:posOffset>
            </wp:positionH>
            <wp:positionV relativeFrom="page">
              <wp:posOffset>843280</wp:posOffset>
            </wp:positionV>
            <wp:extent cx="7125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5335"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5" w:lineRule="exact"/>
        <w:rPr>
          <w:sz w:val="24"/>
          <w:szCs w:val="24"/>
          <w:color w:val="auto"/>
        </w:rPr>
      </w:pPr>
    </w:p>
    <w:p>
      <w:pPr>
        <w:ind w:left="3240"/>
        <w:spacing w:after="0"/>
        <w:rPr>
          <w:sz w:val="20"/>
          <w:szCs w:val="20"/>
          <w:color w:val="auto"/>
        </w:rPr>
      </w:pPr>
      <w:r>
        <w:rPr>
          <w:rFonts w:ascii="Arial" w:cs="Arial" w:eastAsia="Arial" w:hAnsi="Arial"/>
          <w:sz w:val="17"/>
          <w:szCs w:val="17"/>
          <w:b w:val="1"/>
          <w:bCs w:val="1"/>
          <w:color w:val="auto"/>
        </w:rPr>
        <w:t>___________________________________________________</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3" w:lineRule="exact"/>
        <w:rPr>
          <w:sz w:val="24"/>
          <w:szCs w:val="24"/>
          <w:color w:val="auto"/>
        </w:rPr>
      </w:pPr>
    </w:p>
    <w:p>
      <w:pPr>
        <w:ind w:left="3240"/>
        <w:spacing w:after="0"/>
        <w:rPr>
          <w:sz w:val="20"/>
          <w:szCs w:val="20"/>
          <w:color w:val="auto"/>
        </w:rPr>
      </w:pPr>
      <w:r>
        <w:rPr>
          <w:rFonts w:ascii="Arial" w:cs="Arial" w:eastAsia="Arial" w:hAnsi="Arial"/>
          <w:sz w:val="17"/>
          <w:szCs w:val="17"/>
          <w:b w:val="1"/>
          <w:bCs w:val="1"/>
          <w:color w:val="auto"/>
        </w:rPr>
        <w:t>___________________________________________________</w:t>
      </w:r>
    </w:p>
    <w:p>
      <w:pPr>
        <w:spacing w:after="0" w:line="122" w:lineRule="exact"/>
        <w:rPr>
          <w:sz w:val="24"/>
          <w:szCs w:val="24"/>
          <w:color w:val="auto"/>
        </w:rPr>
      </w:pPr>
    </w:p>
    <w:p>
      <w:pPr>
        <w:ind w:left="660" w:hanging="64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83" w:lineRule="exact"/>
        <w:rPr>
          <w:rFonts w:ascii="MS PGothic" w:cs="MS PGothic" w:eastAsia="MS PGothic" w:hAnsi="MS PGothic"/>
          <w:sz w:val="17"/>
          <w:szCs w:val="17"/>
          <w:color w:val="auto"/>
        </w:rPr>
      </w:pPr>
    </w:p>
    <w:p>
      <w:pPr>
        <w:ind w:left="386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fiscal year ended December 31, 2025</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31" w:lineRule="exact"/>
        <w:rPr>
          <w:sz w:val="24"/>
          <w:szCs w:val="24"/>
          <w:color w:val="auto"/>
        </w:rPr>
      </w:pPr>
    </w:p>
    <w:p>
      <w:pPr>
        <w:ind w:left="660" w:hanging="642"/>
        <w:spacing w:after="0"/>
        <w:tabs>
          <w:tab w:leader="none" w:pos="6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w:t>
      </w:r>
    </w:p>
    <w:p>
      <w:pPr>
        <w:ind w:left="66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_____ TO_____</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2030730</wp:posOffset>
            </wp:positionH>
            <wp:positionV relativeFrom="paragraph">
              <wp:posOffset>114935</wp:posOffset>
            </wp:positionV>
            <wp:extent cx="3081020" cy="1187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1020" cy="1187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DARÉ BIOSCIENCE,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14" w:lineRule="exact"/>
        <w:rPr>
          <w:sz w:val="24"/>
          <w:szCs w:val="24"/>
          <w:color w:val="auto"/>
        </w:rPr>
      </w:pPr>
    </w:p>
    <w:tbl>
      <w:tblPr>
        <w:tblLayout w:type="fixed"/>
        <w:tblInd w:w="1540" w:type="dxa"/>
        <w:tblCellMar>
          <w:top w:w="0" w:type="dxa"/>
          <w:left w:w="0" w:type="dxa"/>
          <w:bottom w:w="0" w:type="dxa"/>
          <w:right w:w="0" w:type="dxa"/>
        </w:tblCellMar>
      </w:tblPr>
      <w:tr>
        <w:trPr>
          <w:trHeight w:val="186"/>
        </w:trPr>
        <w:tc>
          <w:tcPr>
            <w:tcW w:w="4240" w:type="dxa"/>
            <w:vAlign w:val="bottom"/>
          </w:tcPr>
          <w:p>
            <w:pPr>
              <w:jc w:val="center"/>
              <w:ind w:right="1633"/>
              <w:spacing w:after="0"/>
              <w:rPr>
                <w:sz w:val="20"/>
                <w:szCs w:val="20"/>
                <w:color w:val="auto"/>
              </w:rPr>
            </w:pPr>
            <w:r>
              <w:rPr>
                <w:rFonts w:ascii="Arial" w:cs="Arial" w:eastAsia="Arial" w:hAnsi="Arial"/>
                <w:sz w:val="13"/>
                <w:szCs w:val="13"/>
                <w:b w:val="1"/>
                <w:bCs w:val="1"/>
                <w:color w:val="auto"/>
              </w:rPr>
              <w:t>Delaware</w:t>
            </w:r>
          </w:p>
        </w:tc>
        <w:tc>
          <w:tcPr>
            <w:tcW w:w="3640" w:type="dxa"/>
            <w:vAlign w:val="bottom"/>
          </w:tcPr>
          <w:p>
            <w:pPr>
              <w:jc w:val="right"/>
              <w:ind w:right="553"/>
              <w:spacing w:after="0"/>
              <w:rPr>
                <w:sz w:val="20"/>
                <w:szCs w:val="20"/>
                <w:color w:val="auto"/>
              </w:rPr>
            </w:pPr>
            <w:r>
              <w:rPr>
                <w:rFonts w:ascii="Arial" w:cs="Arial" w:eastAsia="Arial" w:hAnsi="Arial"/>
                <w:sz w:val="13"/>
                <w:szCs w:val="13"/>
                <w:b w:val="1"/>
                <w:bCs w:val="1"/>
                <w:color w:val="auto"/>
              </w:rPr>
              <w:t>20-4139823</w:t>
            </w:r>
          </w:p>
        </w:tc>
      </w:tr>
      <w:tr>
        <w:trPr>
          <w:trHeight w:val="182"/>
        </w:trPr>
        <w:tc>
          <w:tcPr>
            <w:tcW w:w="4240" w:type="dxa"/>
            <w:vAlign w:val="bottom"/>
          </w:tcPr>
          <w:p>
            <w:pPr>
              <w:jc w:val="center"/>
              <w:ind w:right="1633"/>
              <w:spacing w:after="0"/>
              <w:rPr>
                <w:sz w:val="20"/>
                <w:szCs w:val="20"/>
                <w:color w:val="auto"/>
              </w:rPr>
            </w:pPr>
            <w:r>
              <w:rPr>
                <w:rFonts w:ascii="Arial" w:cs="Arial" w:eastAsia="Arial" w:hAnsi="Arial"/>
                <w:sz w:val="13"/>
                <w:szCs w:val="13"/>
                <w:color w:val="auto"/>
              </w:rPr>
              <w:t>(State or other jurisdiction of incorporation)</w:t>
            </w:r>
          </w:p>
        </w:tc>
        <w:tc>
          <w:tcPr>
            <w:tcW w:w="3640" w:type="dxa"/>
            <w:vAlign w:val="bottom"/>
          </w:tcPr>
          <w:p>
            <w:pPr>
              <w:jc w:val="center"/>
              <w:ind w:left="1613"/>
              <w:spacing w:after="0"/>
              <w:rPr>
                <w:sz w:val="20"/>
                <w:szCs w:val="20"/>
                <w:color w:val="auto"/>
              </w:rPr>
            </w:pPr>
            <w:r>
              <w:rPr>
                <w:rFonts w:ascii="Arial" w:cs="Arial" w:eastAsia="Arial" w:hAnsi="Arial"/>
                <w:sz w:val="13"/>
                <w:szCs w:val="13"/>
                <w:color w:val="auto"/>
              </w:rPr>
              <w:t>(IRS Employer Identification No.)</w:t>
            </w:r>
          </w:p>
        </w:tc>
      </w:tr>
      <w:tr>
        <w:trPr>
          <w:trHeight w:val="151"/>
        </w:trPr>
        <w:tc>
          <w:tcPr>
            <w:tcW w:w="4240" w:type="dxa"/>
            <w:vAlign w:val="bottom"/>
          </w:tcPr>
          <w:p>
            <w:pPr>
              <w:jc w:val="center"/>
              <w:ind w:right="1633"/>
              <w:spacing w:after="0"/>
              <w:rPr>
                <w:sz w:val="20"/>
                <w:szCs w:val="20"/>
                <w:color w:val="auto"/>
              </w:rPr>
            </w:pPr>
            <w:r>
              <w:rPr>
                <w:rFonts w:ascii="Arial" w:cs="Arial" w:eastAsia="Arial" w:hAnsi="Arial"/>
                <w:sz w:val="13"/>
                <w:szCs w:val="13"/>
                <w:b w:val="1"/>
                <w:bCs w:val="1"/>
                <w:color w:val="auto"/>
              </w:rPr>
              <w:t>3655 Nobel Drive, Suite 260</w:t>
            </w:r>
          </w:p>
        </w:tc>
        <w:tc>
          <w:tcPr>
            <w:tcW w:w="3640" w:type="dxa"/>
            <w:vAlign w:val="bottom"/>
          </w:tcPr>
          <w:p>
            <w:pPr>
              <w:jc w:val="right"/>
              <w:ind w:right="733"/>
              <w:spacing w:after="0"/>
              <w:rPr>
                <w:sz w:val="20"/>
                <w:szCs w:val="20"/>
                <w:color w:val="auto"/>
              </w:rPr>
            </w:pPr>
            <w:r>
              <w:rPr>
                <w:rFonts w:ascii="Arial" w:cs="Arial" w:eastAsia="Arial" w:hAnsi="Arial"/>
                <w:sz w:val="13"/>
                <w:szCs w:val="13"/>
                <w:b w:val="1"/>
                <w:bCs w:val="1"/>
                <w:color w:val="auto"/>
              </w:rPr>
              <w:t>92122</w:t>
            </w:r>
          </w:p>
        </w:tc>
      </w:tr>
      <w:tr>
        <w:trPr>
          <w:trHeight w:val="136"/>
        </w:trPr>
        <w:tc>
          <w:tcPr>
            <w:tcW w:w="4240" w:type="dxa"/>
            <w:vAlign w:val="bottom"/>
          </w:tcPr>
          <w:p>
            <w:pPr>
              <w:jc w:val="center"/>
              <w:ind w:right="1633"/>
              <w:spacing w:after="0" w:line="136" w:lineRule="exact"/>
              <w:rPr>
                <w:sz w:val="20"/>
                <w:szCs w:val="20"/>
                <w:color w:val="auto"/>
              </w:rPr>
            </w:pPr>
            <w:r>
              <w:rPr>
                <w:rFonts w:ascii="Arial" w:cs="Arial" w:eastAsia="Arial" w:hAnsi="Arial"/>
                <w:sz w:val="13"/>
                <w:szCs w:val="13"/>
                <w:b w:val="1"/>
                <w:bCs w:val="1"/>
                <w:color w:val="auto"/>
              </w:rPr>
              <w:t>San Diego, CA</w:t>
            </w:r>
          </w:p>
        </w:tc>
        <w:tc>
          <w:tcPr>
            <w:tcW w:w="3640" w:type="dxa"/>
            <w:vAlign w:val="bottom"/>
          </w:tcPr>
          <w:p>
            <w:pPr>
              <w:jc w:val="center"/>
              <w:ind w:left="1613"/>
              <w:spacing w:after="0" w:line="136" w:lineRule="exact"/>
              <w:rPr>
                <w:sz w:val="20"/>
                <w:szCs w:val="20"/>
                <w:color w:val="auto"/>
              </w:rPr>
            </w:pPr>
            <w:r>
              <w:rPr>
                <w:rFonts w:ascii="Arial" w:cs="Arial" w:eastAsia="Arial" w:hAnsi="Arial"/>
                <w:sz w:val="13"/>
                <w:szCs w:val="13"/>
                <w:color w:val="auto"/>
              </w:rPr>
              <w:t>(Zip Code)</w:t>
            </w:r>
          </w:p>
        </w:tc>
      </w:tr>
      <w:tr>
        <w:trPr>
          <w:trHeight w:val="176"/>
        </w:trPr>
        <w:tc>
          <w:tcPr>
            <w:tcW w:w="4240" w:type="dxa"/>
            <w:vAlign w:val="bottom"/>
          </w:tcPr>
          <w:p>
            <w:pPr>
              <w:jc w:val="center"/>
              <w:ind w:right="1653"/>
              <w:spacing w:after="0"/>
              <w:rPr>
                <w:sz w:val="20"/>
                <w:szCs w:val="20"/>
                <w:color w:val="auto"/>
              </w:rPr>
            </w:pPr>
            <w:r>
              <w:rPr>
                <w:rFonts w:ascii="Arial" w:cs="Arial" w:eastAsia="Arial" w:hAnsi="Arial"/>
                <w:sz w:val="13"/>
                <w:szCs w:val="13"/>
                <w:color w:val="auto"/>
              </w:rPr>
              <w:t>(Address of Principal Executive Offices)</w:t>
            </w:r>
          </w:p>
        </w:tc>
        <w:tc>
          <w:tcPr>
            <w:tcW w:w="3640" w:type="dxa"/>
            <w:vAlign w:val="bottom"/>
          </w:tcPr>
          <w:p>
            <w:pPr>
              <w:spacing w:after="0"/>
              <w:rPr>
                <w:sz w:val="15"/>
                <w:szCs w:val="15"/>
                <w:color w:val="auto"/>
              </w:rPr>
            </w:pP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(858) 926-7655</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420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60"/>
        </w:trPr>
        <w:tc>
          <w:tcPr>
            <w:tcW w:w="16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440" w:type="dxa"/>
            <w:vAlign w:val="bottom"/>
          </w:tcPr>
          <w:p>
            <w:pPr>
              <w:spacing w:after="0"/>
              <w:rPr>
                <w:sz w:val="13"/>
                <w:szCs w:val="13"/>
                <w:color w:val="auto"/>
              </w:rPr>
            </w:pPr>
          </w:p>
        </w:tc>
        <w:tc>
          <w:tcPr>
            <w:tcW w:w="2420" w:type="dxa"/>
            <w:vAlign w:val="bottom"/>
          </w:tcPr>
          <w:p>
            <w:pPr>
              <w:jc w:val="center"/>
              <w:ind w:right="73"/>
              <w:spacing w:after="0"/>
              <w:rPr>
                <w:sz w:val="20"/>
                <w:szCs w:val="20"/>
                <w:color w:val="auto"/>
              </w:rPr>
            </w:pPr>
            <w:r>
              <w:rPr>
                <w:rFonts w:ascii="Arial" w:cs="Arial" w:eastAsia="Arial" w:hAnsi="Arial"/>
                <w:sz w:val="13"/>
                <w:szCs w:val="13"/>
                <w:color w:val="auto"/>
              </w:rPr>
              <w:t>Trading Symbol(s)</w:t>
            </w:r>
          </w:p>
        </w:tc>
        <w:tc>
          <w:tcPr>
            <w:tcW w:w="720" w:type="dxa"/>
            <w:vAlign w:val="bottom"/>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07"/>
        </w:trPr>
        <w:tc>
          <w:tcPr>
            <w:tcW w:w="4200" w:type="dxa"/>
            <w:vAlign w:val="bottom"/>
            <w:gridSpan w:val="3"/>
          </w:tcPr>
          <w:p>
            <w:pPr>
              <w:jc w:val="center"/>
              <w:ind w:left="93"/>
              <w:spacing w:after="0"/>
              <w:rPr>
                <w:sz w:val="20"/>
                <w:szCs w:val="20"/>
                <w:color w:val="auto"/>
              </w:rPr>
            </w:pPr>
            <w:r>
              <w:rPr>
                <w:rFonts w:ascii="Arial" w:cs="Arial" w:eastAsia="Arial" w:hAnsi="Arial"/>
                <w:sz w:val="13"/>
                <w:szCs w:val="13"/>
                <w:b w:val="1"/>
                <w:bCs w:val="1"/>
                <w:color w:val="auto"/>
              </w:rPr>
              <w:t>Common Stock, Par Value $0.0001 Per Share</w:t>
            </w:r>
          </w:p>
        </w:tc>
        <w:tc>
          <w:tcPr>
            <w:tcW w:w="2420" w:type="dxa"/>
            <w:vAlign w:val="bottom"/>
          </w:tcPr>
          <w:p>
            <w:pPr>
              <w:jc w:val="center"/>
              <w:ind w:right="93"/>
              <w:spacing w:after="0"/>
              <w:rPr>
                <w:sz w:val="20"/>
                <w:szCs w:val="20"/>
                <w:color w:val="auto"/>
              </w:rPr>
            </w:pPr>
            <w:r>
              <w:rPr>
                <w:rFonts w:ascii="Arial" w:cs="Arial" w:eastAsia="Arial" w:hAnsi="Arial"/>
                <w:sz w:val="13"/>
                <w:szCs w:val="13"/>
                <w:b w:val="1"/>
                <w:bCs w:val="1"/>
                <w:color w:val="auto"/>
              </w:rPr>
              <w:t>DARE</w:t>
            </w:r>
          </w:p>
        </w:tc>
        <w:tc>
          <w:tcPr>
            <w:tcW w:w="72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rPr>
              <w:t>Nasdaq Capital Market</w:t>
            </w:r>
          </w:p>
        </w:tc>
      </w:tr>
    </w:tbl>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67" w:lineRule="exact"/>
        <w:rPr>
          <w:sz w:val="24"/>
          <w:szCs w:val="24"/>
          <w:color w:val="auto"/>
        </w:rPr>
      </w:pPr>
    </w:p>
    <w:p>
      <w:pPr>
        <w:ind w:left="600" w:right="2680"/>
        <w:spacing w:after="0" w:line="314"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200" w:firstLine="607"/>
        <w:spacing w:after="0" w:line="283"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00" w:firstLine="607"/>
        <w:spacing w:after="0" w:line="265" w:lineRule="auto"/>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11" w:lineRule="exact"/>
        <w:rPr>
          <w:sz w:val="24"/>
          <w:szCs w:val="24"/>
          <w:color w:val="auto"/>
        </w:rPr>
      </w:pPr>
    </w:p>
    <w:p>
      <w:pPr>
        <w:ind w:right="560" w:firstLine="607"/>
        <w:spacing w:after="0" w:line="2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160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58"/>
        </w:trPr>
        <w:tc>
          <w:tcPr>
            <w:tcW w:w="188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tcPr>
          <w:p>
            <w:pPr>
              <w:ind w:left="480"/>
              <w:spacing w:after="0"/>
              <w:rPr>
                <w:sz w:val="20"/>
                <w:szCs w:val="20"/>
                <w:color w:val="auto"/>
              </w:rPr>
            </w:pPr>
            <w:r>
              <w:rPr>
                <w:rFonts w:ascii="Wingdings" w:cs="Wingdings" w:eastAsia="Wingdings" w:hAnsi="Wingdings"/>
                <w:sz w:val="13"/>
                <w:szCs w:val="13"/>
                <w:b w:val="1"/>
                <w:bCs w:val="1"/>
                <w:color w:val="auto"/>
              </w:rPr>
              <w:t>x</w:t>
            </w:r>
          </w:p>
        </w:tc>
        <w:tc>
          <w:tcPr>
            <w:tcW w:w="3660" w:type="dxa"/>
            <w:vAlign w:val="bottom"/>
          </w:tcPr>
          <w:p>
            <w:pPr>
              <w:ind w:left="160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460"/>
              <w:spacing w:after="0"/>
              <w:rPr>
                <w:sz w:val="20"/>
                <w:szCs w:val="20"/>
                <w:color w:val="auto"/>
              </w:rPr>
            </w:pPr>
            <w:r>
              <w:rPr>
                <w:rFonts w:ascii="Wingdings" w:cs="Wingdings" w:eastAsia="Wingdings" w:hAnsi="Wingdings"/>
                <w:sz w:val="13"/>
                <w:szCs w:val="13"/>
                <w:b w:val="1"/>
                <w:bCs w:val="1"/>
                <w:color w:val="auto"/>
                <w:w w:val="86"/>
              </w:rPr>
              <w:t>x</w:t>
            </w:r>
          </w:p>
        </w:tc>
      </w:tr>
      <w:tr>
        <w:trPr>
          <w:trHeight w:val="227"/>
        </w:trPr>
        <w:tc>
          <w:tcPr>
            <w:tcW w:w="1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660" w:type="dxa"/>
            <w:vAlign w:val="bottom"/>
          </w:tcPr>
          <w:p>
            <w:pPr>
              <w:ind w:left="1600"/>
              <w:spacing w:after="0"/>
              <w:rPr>
                <w:sz w:val="20"/>
                <w:szCs w:val="20"/>
                <w:color w:val="auto"/>
              </w:rPr>
            </w:pPr>
            <w:r>
              <w:rPr>
                <w:rFonts w:ascii="Arial" w:cs="Arial" w:eastAsia="Arial" w:hAnsi="Arial"/>
                <w:sz w:val="13"/>
                <w:szCs w:val="13"/>
                <w:color w:val="auto"/>
              </w:rPr>
              <w:t>Emerging growth company</w:t>
            </w:r>
          </w:p>
        </w:tc>
        <w:tc>
          <w:tcPr>
            <w:tcW w:w="60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120" w:lineRule="exact"/>
        <w:rPr>
          <w:sz w:val="24"/>
          <w:szCs w:val="24"/>
          <w:color w:val="auto"/>
        </w:rPr>
      </w:pPr>
    </w:p>
    <w:p>
      <w:pPr>
        <w:ind w:right="380" w:firstLine="607"/>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480" w:firstLine="607"/>
        <w:spacing w:after="0" w:line="17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40" w:firstLine="607"/>
        <w:spacing w:after="0" w:line="303" w:lineRule="auto"/>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540" w:firstLine="607"/>
        <w:spacing w:after="0" w:line="303" w:lineRule="auto"/>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left="6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spacing w:after="0" w:line="92" w:lineRule="exact"/>
        <w:rPr>
          <w:sz w:val="24"/>
          <w:szCs w:val="24"/>
          <w:color w:val="auto"/>
        </w:rPr>
      </w:pPr>
    </w:p>
    <w:p>
      <w:pPr>
        <w:ind w:right="160" w:firstLine="607"/>
        <w:spacing w:after="0" w:line="269"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the last business day of the registrant’s most recently completed second fiscal quarter was approximately $21,339,826 based on the closing price of the registrant's common stock as reported on the Nasdaq Capital Market on such day.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99" w:lineRule="exact"/>
        <w:rPr>
          <w:sz w:val="24"/>
          <w:szCs w:val="24"/>
          <w:color w:val="auto"/>
        </w:rPr>
      </w:pPr>
    </w:p>
    <w:p>
      <w:pPr>
        <w:ind w:left="600"/>
        <w:spacing w:after="0"/>
        <w:rPr>
          <w:sz w:val="20"/>
          <w:szCs w:val="20"/>
          <w:color w:val="auto"/>
        </w:rPr>
      </w:pPr>
      <w:r>
        <w:rPr>
          <w:rFonts w:ascii="Arial" w:cs="Arial" w:eastAsia="Arial" w:hAnsi="Arial"/>
          <w:sz w:val="13"/>
          <w:szCs w:val="13"/>
          <w:color w:val="auto"/>
        </w:rPr>
        <w:t>As of March 25, 2026, there were 14,559,502 shares of the registrant’s common stock, par value $0.0001 per share, outstanding.</w:t>
      </w:r>
    </w:p>
    <w:p>
      <w:pPr>
        <w:spacing w:after="0" w:line="170" w:lineRule="exact"/>
        <w:rPr>
          <w:sz w:val="24"/>
          <w:szCs w:val="24"/>
          <w:color w:val="auto"/>
        </w:rPr>
      </w:pPr>
    </w:p>
    <w:p>
      <w:pPr>
        <w:jc w:val="center"/>
        <w:ind w:left="60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68" w:lineRule="exact"/>
        <w:rPr>
          <w:sz w:val="24"/>
          <w:szCs w:val="24"/>
          <w:color w:val="auto"/>
        </w:rPr>
      </w:pPr>
    </w:p>
    <w:p>
      <w:pPr>
        <w:jc w:val="both"/>
        <w:ind w:firstLine="607"/>
        <w:spacing w:after="0" w:line="284" w:lineRule="auto"/>
        <w:rPr>
          <w:sz w:val="20"/>
          <w:szCs w:val="20"/>
          <w:color w:val="auto"/>
        </w:rPr>
      </w:pPr>
      <w:r>
        <w:rPr>
          <w:rFonts w:ascii="Arial" w:cs="Arial" w:eastAsia="Arial" w:hAnsi="Arial"/>
          <w:sz w:val="13"/>
          <w:szCs w:val="13"/>
          <w:color w:val="auto"/>
        </w:rPr>
        <w:t>Portions of the registrant’s definitive proxy statement relating to its 2026 annual meeting of shareholders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ectPr>
          <w:pgSz w:w="11900" w:h="16838" w:orient="portrait"/>
          <w:cols w:equalWidth="0" w:num="1">
            <w:col w:w="11220"/>
          </w:cols>
          <w:pgMar w:left="320" w:top="1415" w:right="359" w:bottom="18" w:gutter="0" w:footer="0" w:header="0"/>
        </w:sectPr>
      </w:pPr>
    </w:p>
    <w:bookmarkStart w:id="1" w:name="page2"/>
    <w:bookmarkEnd w:id="1"/>
    <w:p>
      <w:pPr>
        <w:jc w:val="both"/>
        <w:spacing w:after="0" w:line="28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220345</wp:posOffset>
            </wp:positionV>
            <wp:extent cx="716661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0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212090</wp:posOffset>
            </wp:positionH>
            <wp:positionV relativeFrom="page">
              <wp:posOffset>578485</wp:posOffset>
            </wp:positionV>
            <wp:extent cx="7125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5335" cy="8255"/>
                    </a:xfrm>
                    <a:prstGeom prst="rect">
                      <a:avLst/>
                    </a:prstGeom>
                    <a:noFill/>
                  </pic:spPr>
                </pic:pic>
              </a:graphicData>
            </a:graphic>
          </wp:anchor>
        </w:drawing>
        <w:drawing>
          <wp:anchor simplePos="0" relativeHeight="251657728" behindDoc="1" locked="0" layoutInCell="0" allowOverlap="1">
            <wp:simplePos x="0" y="0"/>
            <wp:positionH relativeFrom="page">
              <wp:posOffset>212090</wp:posOffset>
            </wp:positionH>
            <wp:positionV relativeFrom="page">
              <wp:posOffset>602615</wp:posOffset>
            </wp:positionV>
            <wp:extent cx="7125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5335" cy="8255"/>
                    </a:xfrm>
                    <a:prstGeom prst="rect">
                      <a:avLst/>
                    </a:prstGeom>
                    <a:noFill/>
                  </pic:spPr>
                </pic:pic>
              </a:graphicData>
            </a:graphic>
          </wp:anchor>
        </w:drawing>
        <w:t>Daré Bioscience, Inc. and Subsidiaries</w:t>
      </w:r>
    </w:p>
    <w:p>
      <w:pPr>
        <w:spacing w:after="0" w:line="57"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Form 10-K – ANNUAL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2025</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Page</w:t>
            </w:r>
          </w:p>
        </w:tc>
      </w:tr>
      <w:tr>
        <w:trPr>
          <w:trHeight w:val="186"/>
        </w:trPr>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2"/>
          </w:tcPr>
          <w:p>
            <w:pPr>
              <w:jc w:val="center"/>
              <w:ind w:right="4160"/>
              <w:spacing w:after="0" w:line="177" w:lineRule="exact"/>
              <w:rPr>
                <w:sz w:val="20"/>
                <w:szCs w:val="20"/>
                <w:color w:val="auto"/>
              </w:rPr>
            </w:pPr>
            <w:r>
              <w:rPr>
                <w:rFonts w:ascii="Arial" w:cs="Arial" w:eastAsia="Arial" w:hAnsi="Arial"/>
                <w:sz w:val="17"/>
                <w:szCs w:val="17"/>
                <w:b w:val="1"/>
                <w:bCs w:val="1"/>
                <w:color w:val="0000FF"/>
                <w:w w:val="96"/>
              </w:rPr>
              <w:t>PART I</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Business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6</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1A.</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Risk Factors</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59</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1B.</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Unresolved Staff Comments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115</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1C.</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Cybersecurity</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115</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2.</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Properties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116</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3.</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Legal Proceedings</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116</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86"/>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4.</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Mine Safety Disclosures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116</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left w:val="single" w:sz="8" w:color="CCEEFF"/>
            </w:tcBorders>
            <w:shd w:val="clear" w:color="auto" w:fill="CCEEFF"/>
          </w:tcPr>
          <w:p>
            <w:pPr>
              <w:spacing w:after="0"/>
              <w:rPr>
                <w:sz w:val="19"/>
                <w:szCs w:val="19"/>
                <w:color w:val="auto"/>
              </w:rPr>
            </w:pPr>
          </w:p>
        </w:tc>
        <w:tc>
          <w:tcPr>
            <w:tcW w:w="16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86"/>
        </w:trPr>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2"/>
          </w:tcPr>
          <w:p>
            <w:pPr>
              <w:jc w:val="center"/>
              <w:ind w:right="4140"/>
              <w:spacing w:after="0" w:line="177" w:lineRule="exact"/>
              <w:rPr>
                <w:sz w:val="20"/>
                <w:szCs w:val="20"/>
                <w:color w:val="auto"/>
              </w:rPr>
            </w:pPr>
            <w:r>
              <w:rPr>
                <w:rFonts w:ascii="Arial" w:cs="Arial" w:eastAsia="Arial" w:hAnsi="Arial"/>
                <w:sz w:val="17"/>
                <w:szCs w:val="17"/>
                <w:b w:val="1"/>
                <w:bCs w:val="1"/>
                <w:color w:val="0000FF"/>
                <w:w w:val="99"/>
              </w:rPr>
              <w:t>PART II</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117</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5.</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117</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6.</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Reserved</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117</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7.</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117</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7A.</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Quantitative and Qualitative Disclosures about Market Risk</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133</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8.</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Financial Statements and Supplementary Data</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133</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9.</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Changes in and Disagreement With Accountants on Accounting and Financial Disclosure</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133</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9A.</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Controls and Procedures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133</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9B.</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Other Information</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134</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86"/>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9C.</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134</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left w:val="single" w:sz="8" w:color="CCEEFF"/>
            </w:tcBorders>
            <w:shd w:val="clear" w:color="auto" w:fill="CCEEFF"/>
          </w:tcPr>
          <w:p>
            <w:pPr>
              <w:spacing w:after="0"/>
              <w:rPr>
                <w:sz w:val="19"/>
                <w:szCs w:val="19"/>
                <w:color w:val="auto"/>
              </w:rPr>
            </w:pPr>
          </w:p>
        </w:tc>
        <w:tc>
          <w:tcPr>
            <w:tcW w:w="16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8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4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500" w:type="dxa"/>
            <w:vAlign w:val="bottom"/>
            <w:tcBorders>
              <w:top w:val="single" w:sz="8" w:color="0000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86"/>
        </w:trPr>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60" w:type="dxa"/>
            <w:vAlign w:val="bottom"/>
            <w:gridSpan w:val="13"/>
          </w:tcPr>
          <w:p>
            <w:pPr>
              <w:jc w:val="center"/>
              <w:ind w:right="4120"/>
              <w:spacing w:after="0" w:line="177" w:lineRule="exact"/>
              <w:rPr>
                <w:sz w:val="20"/>
                <w:szCs w:val="20"/>
                <w:color w:val="auto"/>
              </w:rPr>
            </w:pPr>
            <w:r>
              <w:rPr>
                <w:rFonts w:ascii="Arial" w:cs="Arial" w:eastAsia="Arial" w:hAnsi="Arial"/>
                <w:sz w:val="17"/>
                <w:szCs w:val="17"/>
                <w:b w:val="1"/>
                <w:bCs w:val="1"/>
                <w:color w:val="0000FF"/>
                <w:w w:val="98"/>
              </w:rPr>
              <w:t>PART III</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135</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10.</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Directors, Executive Officers and Corporate Governance</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135</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11.</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Executive Compensation</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135</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12.</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135</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13.</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135</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86"/>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14.</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Principal Accountant Fees and Services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135</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left w:val="single" w:sz="8" w:color="CCEEFF"/>
            </w:tcBorders>
            <w:shd w:val="clear" w:color="auto" w:fill="CCEEFF"/>
          </w:tcPr>
          <w:p>
            <w:pPr>
              <w:spacing w:after="0"/>
              <w:rPr>
                <w:sz w:val="19"/>
                <w:szCs w:val="19"/>
                <w:color w:val="auto"/>
              </w:rPr>
            </w:pPr>
          </w:p>
        </w:tc>
        <w:tc>
          <w:tcPr>
            <w:tcW w:w="16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860" w:type="dxa"/>
            <w:vAlign w:val="bottom"/>
            <w:tcBorders>
              <w:top w:val="single" w:sz="8" w:color="0000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86"/>
        </w:trPr>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14"/>
          </w:tcPr>
          <w:p>
            <w:pPr>
              <w:jc w:val="center"/>
              <w:ind w:right="3640"/>
              <w:spacing w:after="0" w:line="177" w:lineRule="exact"/>
              <w:rPr>
                <w:sz w:val="20"/>
                <w:szCs w:val="20"/>
                <w:color w:val="auto"/>
              </w:rPr>
            </w:pPr>
            <w:r>
              <w:rPr>
                <w:rFonts w:ascii="Arial" w:cs="Arial" w:eastAsia="Arial" w:hAnsi="Arial"/>
                <w:sz w:val="17"/>
                <w:szCs w:val="17"/>
                <w:b w:val="1"/>
                <w:bCs w:val="1"/>
                <w:color w:val="0000FF"/>
                <w:w w:val="95"/>
              </w:rPr>
              <w:t>PART IV</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136</w:t>
            </w:r>
          </w:p>
        </w:tc>
      </w:tr>
      <w:tr>
        <w:trPr>
          <w:trHeight w:val="224"/>
        </w:trPr>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7"/>
                <w:szCs w:val="17"/>
                <w:color w:val="auto"/>
              </w:rPr>
              <w:t>ITEM 15.</w:t>
            </w: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Exhibits and Financial Statement Schedules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136</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ITEM 16.</w:t>
            </w: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Form 10-K Summary</w:t>
            </w:r>
          </w:p>
        </w:tc>
        <w:tc>
          <w:tcPr>
            <w:tcW w:w="10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0000FF"/>
              </w:rPr>
              <w:t>142</w:t>
            </w:r>
          </w:p>
        </w:tc>
      </w:tr>
      <w:tr>
        <w:trPr>
          <w:trHeight w:val="38"/>
        </w:trPr>
        <w:tc>
          <w:tcPr>
            <w:tcW w:w="10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7"/>
        </w:trPr>
        <w:tc>
          <w:tcPr>
            <w:tcW w:w="1080" w:type="dxa"/>
            <w:vAlign w:val="bottom"/>
          </w:tcPr>
          <w:p>
            <w:pPr>
              <w:spacing w:after="0"/>
              <w:rPr>
                <w:sz w:val="15"/>
                <w:szCs w:val="15"/>
                <w:color w:val="auto"/>
              </w:rPr>
            </w:pPr>
          </w:p>
        </w:tc>
        <w:tc>
          <w:tcPr>
            <w:tcW w:w="9080" w:type="dxa"/>
            <w:vAlign w:val="bottom"/>
            <w:gridSpan w:val="27"/>
          </w:tcPr>
          <w:p>
            <w:pPr>
              <w:ind w:left="360"/>
              <w:spacing w:after="0" w:line="177" w:lineRule="exact"/>
              <w:rPr>
                <w:sz w:val="20"/>
                <w:szCs w:val="20"/>
                <w:color w:val="auto"/>
              </w:rPr>
            </w:pPr>
            <w:r>
              <w:rPr>
                <w:rFonts w:ascii="Arial" w:cs="Arial" w:eastAsia="Arial" w:hAnsi="Arial"/>
                <w:sz w:val="17"/>
                <w:szCs w:val="17"/>
                <w:color w:val="0000FF"/>
              </w:rPr>
              <w:t>Signatures</w:t>
            </w:r>
          </w:p>
        </w:tc>
        <w:tc>
          <w:tcPr>
            <w:tcW w:w="1080" w:type="dxa"/>
            <w:vAlign w:val="bottom"/>
            <w:gridSpan w:val="3"/>
          </w:tcPr>
          <w:p>
            <w:pPr>
              <w:jc w:val="right"/>
              <w:spacing w:after="0" w:line="177" w:lineRule="exact"/>
              <w:rPr>
                <w:sz w:val="20"/>
                <w:szCs w:val="20"/>
                <w:color w:val="auto"/>
              </w:rPr>
            </w:pPr>
            <w:r>
              <w:rPr>
                <w:rFonts w:ascii="Arial" w:cs="Arial" w:eastAsia="Arial" w:hAnsi="Arial"/>
                <w:sz w:val="17"/>
                <w:szCs w:val="17"/>
                <w:color w:val="0000FF"/>
              </w:rPr>
              <w:t>143</w:t>
            </w:r>
          </w:p>
        </w:tc>
      </w:tr>
      <w:tr>
        <w:trPr>
          <w:trHeight w:val="29"/>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204"/>
        </w:trPr>
        <w:tc>
          <w:tcPr>
            <w:tcW w:w="1080" w:type="dxa"/>
            <w:vAlign w:val="bottom"/>
            <w:shd w:val="clear" w:color="auto" w:fill="CCEEFF"/>
          </w:tcPr>
          <w:p>
            <w:pPr>
              <w:spacing w:after="0"/>
              <w:rPr>
                <w:sz w:val="17"/>
                <w:szCs w:val="17"/>
                <w:color w:val="auto"/>
              </w:rPr>
            </w:pPr>
          </w:p>
        </w:tc>
        <w:tc>
          <w:tcPr>
            <w:tcW w:w="9080" w:type="dxa"/>
            <w:vAlign w:val="bottom"/>
            <w:gridSpan w:val="27"/>
            <w:shd w:val="clear" w:color="auto" w:fill="CCEEFF"/>
          </w:tcPr>
          <w:p>
            <w:pPr>
              <w:ind w:left="360"/>
              <w:spacing w:after="0" w:line="186" w:lineRule="exact"/>
              <w:rPr>
                <w:sz w:val="20"/>
                <w:szCs w:val="20"/>
                <w:color w:val="auto"/>
              </w:rPr>
            </w:pPr>
            <w:r>
              <w:rPr>
                <w:rFonts w:ascii="Arial" w:cs="Arial" w:eastAsia="Arial" w:hAnsi="Arial"/>
                <w:sz w:val="17"/>
                <w:szCs w:val="17"/>
                <w:color w:val="0000FF"/>
              </w:rPr>
              <w:t>Financial Statements</w:t>
            </w: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0000FF"/>
                <w:w w:val="70"/>
              </w:rPr>
              <w:t>F-1</w:t>
            </w:r>
          </w:p>
        </w:tc>
      </w:tr>
      <w:tr>
        <w:trPr>
          <w:trHeight w:val="1029"/>
        </w:trPr>
        <w:tc>
          <w:tcPr>
            <w:tcW w:w="10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i w:val="1"/>
          <w:iCs w:val="1"/>
          <w:color w:val="auto"/>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“plan,” “potential,” “predict,” “seek,” “pursue,” “should,” “would,” “contemplate,” “project,” “target,” “tend to,” or the negative version of these words and similar expressions.</w:t>
      </w:r>
    </w:p>
    <w:p>
      <w:pPr>
        <w:spacing w:after="0" w:line="137"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spacing w:after="0" w:line="102" w:lineRule="exact"/>
        <w:rPr>
          <w:sz w:val="20"/>
          <w:szCs w:val="20"/>
          <w:color w:val="auto"/>
        </w:rPr>
      </w:pPr>
    </w:p>
    <w:p>
      <w:pPr>
        <w:ind w:left="600" w:hanging="296"/>
        <w:spacing w:after="0"/>
        <w:tabs>
          <w:tab w:leader="none" w:pos="600" w:val="left"/>
        </w:tabs>
        <w:numPr>
          <w:ilvl w:val="0"/>
          <w:numId w:val="3"/>
        </w:numPr>
        <w:rPr>
          <w:rFonts w:ascii="Arial" w:cs="Arial" w:eastAsia="Arial" w:hAnsi="Arial"/>
          <w:sz w:val="20"/>
          <w:szCs w:val="20"/>
          <w:i w:val="1"/>
          <w:iCs w:val="1"/>
          <w:color w:val="auto"/>
        </w:rPr>
      </w:pPr>
      <w:r>
        <w:rPr>
          <w:rFonts w:ascii="Arial" w:cs="Arial" w:eastAsia="Arial" w:hAnsi="Arial"/>
          <w:sz w:val="17"/>
          <w:szCs w:val="17"/>
          <w:i w:val="1"/>
          <w:iCs w:val="1"/>
          <w:color w:val="auto"/>
        </w:rPr>
        <w:t>Inability to raise additional capital, under favorable terms or at all, to fund our operating needs and continue as a going concern;</w:t>
      </w:r>
    </w:p>
    <w:p>
      <w:pPr>
        <w:spacing w:after="0" w:line="123" w:lineRule="exact"/>
        <w:rPr>
          <w:rFonts w:ascii="Arial" w:cs="Arial" w:eastAsia="Arial" w:hAnsi="Arial"/>
          <w:sz w:val="20"/>
          <w:szCs w:val="20"/>
          <w:i w:val="1"/>
          <w:iCs w:val="1"/>
          <w:color w:val="auto"/>
        </w:rPr>
      </w:pPr>
    </w:p>
    <w:p>
      <w:pPr>
        <w:ind w:left="600" w:hanging="296"/>
        <w:spacing w:after="0"/>
        <w:tabs>
          <w:tab w:leader="none" w:pos="600" w:val="left"/>
        </w:tabs>
        <w:numPr>
          <w:ilvl w:val="0"/>
          <w:numId w:val="3"/>
        </w:numPr>
        <w:rPr>
          <w:rFonts w:ascii="Arial" w:cs="Arial" w:eastAsia="Arial" w:hAnsi="Arial"/>
          <w:sz w:val="20"/>
          <w:szCs w:val="20"/>
          <w:i w:val="1"/>
          <w:iCs w:val="1"/>
          <w:color w:val="auto"/>
        </w:rPr>
      </w:pPr>
      <w:r>
        <w:rPr>
          <w:rFonts w:ascii="Arial" w:cs="Arial" w:eastAsia="Arial" w:hAnsi="Arial"/>
          <w:sz w:val="17"/>
          <w:szCs w:val="17"/>
          <w:i w:val="1"/>
          <w:iCs w:val="1"/>
          <w:color w:val="auto"/>
        </w:rPr>
        <w:t>Failure to maintain the listing of our common stock on the Nasdaq Capital Market or another nationally recognized exchange;</w:t>
      </w:r>
    </w:p>
    <w:p>
      <w:pPr>
        <w:spacing w:after="0" w:line="120" w:lineRule="exact"/>
        <w:rPr>
          <w:rFonts w:ascii="Arial" w:cs="Arial" w:eastAsia="Arial" w:hAnsi="Arial"/>
          <w:sz w:val="20"/>
          <w:szCs w:val="20"/>
          <w:i w:val="1"/>
          <w:iCs w:val="1"/>
          <w:color w:val="auto"/>
        </w:rPr>
      </w:pPr>
    </w:p>
    <w:p>
      <w:pPr>
        <w:ind w:left="600" w:right="620" w:hanging="296"/>
        <w:spacing w:after="0" w:line="238" w:lineRule="auto"/>
        <w:tabs>
          <w:tab w:leader="none" w:pos="595" w:val="left"/>
        </w:tabs>
        <w:numPr>
          <w:ilvl w:val="0"/>
          <w:numId w:val="3"/>
        </w:numPr>
        <w:rPr>
          <w:rFonts w:ascii="Arial" w:cs="Arial" w:eastAsia="Arial" w:hAnsi="Arial"/>
          <w:sz w:val="20"/>
          <w:szCs w:val="20"/>
          <w:i w:val="1"/>
          <w:iCs w:val="1"/>
          <w:color w:val="auto"/>
        </w:rPr>
      </w:pPr>
      <w:r>
        <w:rPr>
          <w:rFonts w:ascii="Arial" w:cs="Arial" w:eastAsia="Arial" w:hAnsi="Arial"/>
          <w:sz w:val="17"/>
          <w:szCs w:val="17"/>
          <w:i w:val="1"/>
          <w:iCs w:val="1"/>
          <w:color w:val="auto"/>
        </w:rPr>
        <w:t>Inability to generate significant revenue from sales of DARE to PLAY and other potential compounded drugs under Section 503B of the Federal Food, Drug, and Cosmetic Act, or FDCA;</w:t>
      </w:r>
    </w:p>
    <w:p>
      <w:pPr>
        <w:spacing w:after="0" w:line="83" w:lineRule="exact"/>
        <w:rPr>
          <w:rFonts w:ascii="Arial" w:cs="Arial" w:eastAsia="Arial" w:hAnsi="Arial"/>
          <w:sz w:val="20"/>
          <w:szCs w:val="20"/>
          <w:i w:val="1"/>
          <w:iCs w:val="1"/>
          <w:color w:val="auto"/>
        </w:rPr>
      </w:pPr>
    </w:p>
    <w:p>
      <w:pPr>
        <w:ind w:left="600" w:right="500" w:hanging="296"/>
        <w:spacing w:after="0" w:line="278" w:lineRule="auto"/>
        <w:tabs>
          <w:tab w:leader="none" w:pos="59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Inability to maintain and enter into arrangements with outsourcing facilities on commercially reasonable terms required to compound and distribute the compounded drugs that we seek to make available under Section 503B of the FDCA;</w:t>
      </w:r>
    </w:p>
    <w:p>
      <w:pPr>
        <w:spacing w:after="0" w:line="90" w:lineRule="exact"/>
        <w:rPr>
          <w:rFonts w:ascii="Arial" w:cs="Arial" w:eastAsia="Arial" w:hAnsi="Arial"/>
          <w:sz w:val="17"/>
          <w:szCs w:val="17"/>
          <w:i w:val="1"/>
          <w:iCs w:val="1"/>
          <w:color w:val="auto"/>
        </w:rPr>
      </w:pPr>
    </w:p>
    <w:p>
      <w:pPr>
        <w:ind w:left="600" w:right="60" w:hanging="296"/>
        <w:spacing w:after="0" w:line="266" w:lineRule="auto"/>
        <w:tabs>
          <w:tab w:leader="none" w:pos="595" w:val="left"/>
        </w:tabs>
        <w:numPr>
          <w:ilvl w:val="0"/>
          <w:numId w:val="3"/>
        </w:numPr>
        <w:rPr>
          <w:rFonts w:ascii="Arial" w:cs="Arial" w:eastAsia="Arial" w:hAnsi="Arial"/>
          <w:sz w:val="19"/>
          <w:szCs w:val="19"/>
          <w:i w:val="1"/>
          <w:iCs w:val="1"/>
          <w:color w:val="auto"/>
        </w:rPr>
      </w:pPr>
      <w:r>
        <w:rPr>
          <w:rFonts w:ascii="Arial" w:cs="Arial" w:eastAsia="Arial" w:hAnsi="Arial"/>
          <w:sz w:val="16"/>
          <w:szCs w:val="16"/>
          <w:i w:val="1"/>
          <w:iCs w:val="1"/>
          <w:color w:val="auto"/>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spacing w:after="0" w:line="59" w:lineRule="exact"/>
        <w:rPr>
          <w:rFonts w:ascii="Arial" w:cs="Arial" w:eastAsia="Arial" w:hAnsi="Arial"/>
          <w:sz w:val="19"/>
          <w:szCs w:val="19"/>
          <w:i w:val="1"/>
          <w:iCs w:val="1"/>
          <w:color w:val="auto"/>
        </w:rPr>
      </w:pPr>
    </w:p>
    <w:p>
      <w:pPr>
        <w:ind w:left="600" w:hanging="296"/>
        <w:spacing w:after="0"/>
        <w:tabs>
          <w:tab w:leader="none" w:pos="6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performance of third parties on which we will rely to bring to market, or assist us in bringing to market, compounded drugs;</w:t>
      </w:r>
    </w:p>
    <w:p>
      <w:pPr>
        <w:spacing w:after="0" w:line="107" w:lineRule="exact"/>
        <w:rPr>
          <w:rFonts w:ascii="Arial" w:cs="Arial" w:eastAsia="Arial" w:hAnsi="Arial"/>
          <w:sz w:val="17"/>
          <w:szCs w:val="17"/>
          <w:i w:val="1"/>
          <w:iCs w:val="1"/>
          <w:color w:val="auto"/>
        </w:rPr>
      </w:pPr>
    </w:p>
    <w:p>
      <w:pPr>
        <w:ind w:left="600" w:hanging="296"/>
        <w:spacing w:after="0"/>
        <w:tabs>
          <w:tab w:leader="none" w:pos="6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 change in regulatory requirements related to compounded drugs under Section 503B of the FDCA;</w:t>
      </w:r>
    </w:p>
    <w:p>
      <w:pPr>
        <w:spacing w:after="0" w:line="107" w:lineRule="exact"/>
        <w:rPr>
          <w:rFonts w:ascii="Arial" w:cs="Arial" w:eastAsia="Arial" w:hAnsi="Arial"/>
          <w:sz w:val="17"/>
          <w:szCs w:val="17"/>
          <w:i w:val="1"/>
          <w:iCs w:val="1"/>
          <w:color w:val="auto"/>
        </w:rPr>
      </w:pPr>
    </w:p>
    <w:p>
      <w:pPr>
        <w:ind w:left="600" w:hanging="296"/>
        <w:spacing w:after="0"/>
        <w:tabs>
          <w:tab w:leader="none" w:pos="6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Difficulties or delays in commencement or completion, or the termination or suspension, of our current or planned clinical or preclinical studies;</w:t>
      </w:r>
    </w:p>
    <w:p>
      <w:pPr>
        <w:spacing w:after="0" w:line="119" w:lineRule="exact"/>
        <w:rPr>
          <w:rFonts w:ascii="Arial" w:cs="Arial" w:eastAsia="Arial" w:hAnsi="Arial"/>
          <w:sz w:val="16"/>
          <w:szCs w:val="16"/>
          <w:i w:val="1"/>
          <w:iCs w:val="1"/>
          <w:color w:val="auto"/>
        </w:rPr>
      </w:pPr>
    </w:p>
    <w:p>
      <w:pPr>
        <w:ind w:left="600" w:hanging="296"/>
        <w:spacing w:after="0"/>
        <w:tabs>
          <w:tab w:leader="none" w:pos="6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Clinical trial outcomes and results of preclinical development;</w:t>
      </w:r>
    </w:p>
    <w:p>
      <w:pPr>
        <w:spacing w:after="0" w:line="145" w:lineRule="exact"/>
        <w:rPr>
          <w:rFonts w:ascii="Arial" w:cs="Arial" w:eastAsia="Arial" w:hAnsi="Arial"/>
          <w:sz w:val="17"/>
          <w:szCs w:val="17"/>
          <w:i w:val="1"/>
          <w:iCs w:val="1"/>
          <w:color w:val="auto"/>
        </w:rPr>
      </w:pPr>
    </w:p>
    <w:p>
      <w:pPr>
        <w:ind w:left="600" w:hanging="296"/>
        <w:spacing w:after="0" w:line="238"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121" w:lineRule="exact"/>
        <w:rPr>
          <w:rFonts w:ascii="Arial" w:cs="Arial" w:eastAsia="Arial" w:hAnsi="Arial"/>
          <w:sz w:val="20"/>
          <w:szCs w:val="20"/>
          <w:color w:val="auto"/>
        </w:rPr>
      </w:pPr>
    </w:p>
    <w:p>
      <w:pPr>
        <w:ind w:left="600" w:hanging="296"/>
        <w:spacing w:after="0" w:line="238"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spacing w:after="0" w:line="111" w:lineRule="exact"/>
        <w:rPr>
          <w:rFonts w:ascii="Arial" w:cs="Arial" w:eastAsia="Arial" w:hAnsi="Arial"/>
          <w:sz w:val="20"/>
          <w:szCs w:val="20"/>
          <w:color w:val="auto"/>
        </w:rPr>
      </w:pPr>
    </w:p>
    <w:p>
      <w:pPr>
        <w:ind w:left="600" w:hanging="296"/>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The performance of third parties on which we rely to conduct nonclinical studies and clinical trials of our product candidates;</w:t>
      </w:r>
    </w:p>
    <w:p>
      <w:pPr>
        <w:spacing w:after="0" w:line="133" w:lineRule="exact"/>
        <w:rPr>
          <w:rFonts w:ascii="Arial" w:cs="Arial" w:eastAsia="Arial" w:hAnsi="Arial"/>
          <w:sz w:val="20"/>
          <w:szCs w:val="20"/>
          <w:color w:val="auto"/>
        </w:rPr>
      </w:pPr>
    </w:p>
    <w:p>
      <w:pPr>
        <w:ind w:left="600" w:hanging="296"/>
        <w:spacing w:after="0" w:line="238" w:lineRule="auto"/>
        <w:tabs>
          <w:tab w:leader="none" w:pos="595" w:val="left"/>
        </w:tabs>
        <w:numPr>
          <w:ilvl w:val="0"/>
          <w:numId w:val="3"/>
        </w:numPr>
        <w:rPr>
          <w:rFonts w:ascii="Arial" w:cs="Arial" w:eastAsia="Arial" w:hAnsi="Arial"/>
          <w:sz w:val="20"/>
          <w:szCs w:val="20"/>
          <w:i w:val="1"/>
          <w:iCs w:val="1"/>
          <w:color w:val="auto"/>
        </w:rPr>
      </w:pPr>
      <w:r>
        <w:rPr>
          <w:rFonts w:ascii="Arial" w:cs="Arial" w:eastAsia="Arial" w:hAnsi="Arial"/>
          <w:sz w:val="17"/>
          <w:szCs w:val="17"/>
          <w:i w:val="1"/>
          <w:iCs w:val="1"/>
          <w:color w:val="auto"/>
        </w:rPr>
        <w:t>Our failure, or a failure of a strategic collaborator, to successfully commercialize our product candidates, if approved, or our failure to otherwise monetize our portfolio programs and assets;</w:t>
      </w:r>
    </w:p>
    <w:p>
      <w:pPr>
        <w:spacing w:after="0" w:line="111" w:lineRule="exact"/>
        <w:rPr>
          <w:rFonts w:ascii="Arial" w:cs="Arial" w:eastAsia="Arial" w:hAnsi="Arial"/>
          <w:sz w:val="20"/>
          <w:szCs w:val="20"/>
          <w:i w:val="1"/>
          <w:iCs w:val="1"/>
          <w:color w:val="auto"/>
        </w:rPr>
      </w:pPr>
    </w:p>
    <w:p>
      <w:pPr>
        <w:ind w:left="600" w:hanging="296"/>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The number and scope of product development programs we pursue;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Termination by Organon of our out-license agreement for commercialization of XACIATO® (clindamycin phosphate) vaginal gel 2%, or</w:t>
      </w:r>
    </w:p>
    <w:p>
      <w:pPr>
        <w:ind w:left="300"/>
        <w:spacing w:after="0"/>
        <w:rPr>
          <w:rFonts w:ascii="Arial" w:cs="Arial" w:eastAsia="Arial" w:hAnsi="Arial"/>
          <w:sz w:val="20"/>
          <w:szCs w:val="20"/>
          <w:color w:val="auto"/>
        </w:rPr>
      </w:pPr>
      <w:r>
        <w:rPr>
          <w:rFonts w:ascii="Arial" w:cs="Arial" w:eastAsia="Arial" w:hAnsi="Arial"/>
          <w:sz w:val="17"/>
          <w:szCs w:val="17"/>
          <w:i w:val="1"/>
          <w:iCs w:val="1"/>
          <w:color w:val="auto"/>
        </w:rPr>
        <w:t>XACIATO;</w:t>
      </w:r>
    </w:p>
    <w:p>
      <w:pPr>
        <w:spacing w:after="0" w:line="131"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The timing and amount of future upside-sharing milestone payments from XOMA under our traditional and synthetic royalty purchase agreements, if any;</w:t>
      </w:r>
    </w:p>
    <w:p>
      <w:pPr>
        <w:spacing w:after="0" w:line="11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The performance of third parties on which we rely to commercialize, or assist us in commercializing, XACIATO and any future product;</w:t>
      </w:r>
    </w:p>
    <w:p>
      <w:pPr>
        <w:spacing w:after="0" w:line="133"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11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The terms and conditions of any future strategic collaborations relating to our product candidates;</w:t>
      </w:r>
    </w:p>
    <w:p>
      <w:pPr>
        <w:spacing w:after="0" w:line="11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The degree of market acceptance that XACIATO and any future product achieves;</w:t>
      </w:r>
    </w:p>
    <w:p>
      <w:pPr>
        <w:spacing w:after="0" w:line="120"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Coverage and reimbursement levels for XACIATO and any future product by government health care programs, private health insurance companies and other third-party payors;</w:t>
      </w:r>
    </w:p>
    <w:p>
      <w:pPr>
        <w:spacing w:after="0" w:line="11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Our loss of, or inability to attract, key personnel;</w:t>
      </w:r>
    </w:p>
    <w:p>
      <w:pPr>
        <w:spacing w:after="0" w:line="133"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A change in the FDA's prior determination that the Center for Devices and Radiological Health would lead the review of a premarket approval application for potential marketing approval of Ovaprene;</w:t>
      </w:r>
    </w:p>
    <w:p>
      <w:pPr>
        <w:spacing w:after="0" w:line="121"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A change in regulatory requirements for our product candidates, including the development pathway pursuant to Section 505(b)(2) of the FDCA, or the FDA's 505(b)(2) pathway;</w:t>
      </w:r>
    </w:p>
    <w:p>
      <w:pPr>
        <w:spacing w:after="0" w:line="11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Unfavorable differences between preliminary, interim or topline clinical study data reported by us and final study results;</w:t>
      </w:r>
    </w:p>
    <w:p>
      <w:pPr>
        <w:spacing w:after="0" w:line="120" w:lineRule="exact"/>
        <w:rPr>
          <w:rFonts w:ascii="Arial" w:cs="Arial" w:eastAsia="Arial" w:hAnsi="Arial"/>
          <w:sz w:val="20"/>
          <w:szCs w:val="20"/>
          <w:color w:val="auto"/>
        </w:rPr>
      </w:pPr>
    </w:p>
    <w:p>
      <w:pPr>
        <w:jc w:val="both"/>
        <w:ind w:left="300" w:hanging="296"/>
        <w:spacing w:after="0" w:line="244"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117"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121" w:lineRule="exact"/>
        <w:rPr>
          <w:rFonts w:ascii="Arial" w:cs="Arial" w:eastAsia="Arial" w:hAnsi="Arial"/>
          <w:sz w:val="20"/>
          <w:szCs w:val="20"/>
          <w:color w:val="auto"/>
        </w:rPr>
      </w:pPr>
    </w:p>
    <w:p>
      <w:pPr>
        <w:ind w:left="300" w:hanging="296"/>
        <w:spacing w:after="0" w:line="252"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Loss or impairment of our in-licensed rights to develop and commercialize XACIATO, our product candidates, and DARE to PLAY or potential other Section 503B compounded drugs;</w:t>
      </w:r>
    </w:p>
    <w:p>
      <w:pPr>
        <w:spacing w:after="0" w:line="109" w:lineRule="exact"/>
        <w:rPr>
          <w:rFonts w:ascii="Arial" w:cs="Arial" w:eastAsia="Arial" w:hAnsi="Arial"/>
          <w:sz w:val="20"/>
          <w:szCs w:val="20"/>
          <w:color w:val="auto"/>
        </w:rPr>
      </w:pPr>
    </w:p>
    <w:p>
      <w:pPr>
        <w:ind w:left="300" w:right="54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The timing and amount of our payment and other obligations under our in-license and acquisition agreements for XACIATO, our product candidates, and DARE to PLAY or potential other Section 503B compounded drugs;</w:t>
      </w:r>
    </w:p>
    <w:p>
      <w:pPr>
        <w:spacing w:after="0" w:line="99"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Developments by our competitors that make XACIATO, or any potential product we develop, less competitive or obsolete;</w:t>
      </w:r>
    </w:p>
    <w:p>
      <w:pPr>
        <w:spacing w:after="0" w:line="60"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Unfavorable or unanticipated macroeconomic factors, geopolitical events or conflicts, public health emergencies, or natural disasters;</w:t>
      </w:r>
    </w:p>
    <w:p>
      <w:pPr>
        <w:spacing w:after="0" w:line="70"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70" w:lineRule="exact"/>
        <w:rPr>
          <w:rFonts w:ascii="Arial" w:cs="Arial" w:eastAsia="Arial" w:hAnsi="Arial"/>
          <w:sz w:val="20"/>
          <w:szCs w:val="20"/>
          <w:color w:val="auto"/>
        </w:rPr>
      </w:pPr>
    </w:p>
    <w:p>
      <w:pPr>
        <w:ind w:left="300" w:hanging="296"/>
        <w:spacing w:after="0" w:line="238" w:lineRule="auto"/>
        <w:tabs>
          <w:tab w:leader="none" w:pos="295"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61"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Difficulty in introducing branded products in a market made up of generic products;</w:t>
      </w:r>
    </w:p>
    <w:p>
      <w:pPr>
        <w:spacing w:after="0" w:line="60" w:lineRule="exact"/>
        <w:rPr>
          <w:rFonts w:ascii="Arial" w:cs="Arial" w:eastAsia="Arial" w:hAnsi="Arial"/>
          <w:sz w:val="20"/>
          <w:szCs w:val="20"/>
          <w:color w:val="auto"/>
        </w:rPr>
      </w:pPr>
    </w:p>
    <w:p>
      <w:pPr>
        <w:ind w:left="300" w:hanging="296"/>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17"/>
          <w:szCs w:val="17"/>
          <w:i w:val="1"/>
          <w:iCs w:val="1"/>
          <w:color w:val="auto"/>
        </w:rPr>
        <w:t>Inability to adequately protect or enforce our, or our licensor’s, intellectual property rights;</w:t>
      </w:r>
    </w:p>
    <w:p>
      <w:pPr>
        <w:spacing w:after="0" w:line="39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66675</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40"/>
          </w:cols>
          <w:pgMar w:left="620" w:top="806" w:right="339" w:bottom="1440" w:gutter="0" w:footer="0" w:header="0"/>
        </w:sectPr>
      </w:pPr>
    </w:p>
    <w:bookmarkStart w:id="5" w:name="page6"/>
    <w:bookmarkEnd w:id="5"/>
    <w:p>
      <w:pPr>
        <w:ind w:left="600" w:hanging="296"/>
        <w:spacing w:after="0" w:line="238"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Lack of patent protection for the active ingredients in XACIATO and certain of our product candidates that expose them to competition from other formulations using the same active ingredients;</w:t>
      </w:r>
    </w:p>
    <w:p>
      <w:pPr>
        <w:spacing w:after="0" w:line="70" w:lineRule="exact"/>
        <w:rPr>
          <w:rFonts w:ascii="Arial" w:cs="Arial" w:eastAsia="Arial" w:hAnsi="Arial"/>
          <w:sz w:val="20"/>
          <w:szCs w:val="20"/>
          <w:color w:val="auto"/>
        </w:rPr>
      </w:pPr>
    </w:p>
    <w:p>
      <w:pPr>
        <w:ind w:left="600" w:hanging="296"/>
        <w:spacing w:after="0" w:line="238"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Higher risk of failure associated with product candidates in preclinical stages of development that may lead investors to assign them little to no value and make these assets difficult to fund;</w:t>
      </w:r>
    </w:p>
    <w:p>
      <w:pPr>
        <w:spacing w:after="0" w:line="70" w:lineRule="exact"/>
        <w:rPr>
          <w:rFonts w:ascii="Arial" w:cs="Arial" w:eastAsia="Arial" w:hAnsi="Arial"/>
          <w:sz w:val="20"/>
          <w:szCs w:val="20"/>
          <w:color w:val="auto"/>
        </w:rPr>
      </w:pPr>
    </w:p>
    <w:p>
      <w:pPr>
        <w:ind w:left="600" w:hanging="296"/>
        <w:spacing w:after="0" w:line="252"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Dependence on grants and other financial awards from governmental entities and private foundations to advance the development of several of our product candidates;</w:t>
      </w:r>
    </w:p>
    <w:p>
      <w:pPr>
        <w:spacing w:after="0" w:line="49" w:lineRule="exact"/>
        <w:rPr>
          <w:rFonts w:ascii="Arial" w:cs="Arial" w:eastAsia="Arial" w:hAnsi="Arial"/>
          <w:sz w:val="20"/>
          <w:szCs w:val="20"/>
          <w:color w:val="auto"/>
        </w:rPr>
      </w:pPr>
    </w:p>
    <w:p>
      <w:pPr>
        <w:ind w:left="600" w:hanging="296"/>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Disputes or other developments concerning our intellectual property rights;</w:t>
      </w:r>
    </w:p>
    <w:p>
      <w:pPr>
        <w:spacing w:after="0" w:line="70" w:lineRule="exact"/>
        <w:rPr>
          <w:rFonts w:ascii="Arial" w:cs="Arial" w:eastAsia="Arial" w:hAnsi="Arial"/>
          <w:sz w:val="20"/>
          <w:szCs w:val="20"/>
          <w:color w:val="auto"/>
        </w:rPr>
      </w:pPr>
    </w:p>
    <w:p>
      <w:pPr>
        <w:ind w:left="600" w:hanging="296"/>
        <w:spacing w:after="0"/>
        <w:tabs>
          <w:tab w:leader="none" w:pos="600" w:val="left"/>
        </w:tabs>
        <w:numPr>
          <w:ilvl w:val="0"/>
          <w:numId w:val="5"/>
        </w:numPr>
        <w:rPr>
          <w:rFonts w:ascii="Arial" w:cs="Arial" w:eastAsia="Arial" w:hAnsi="Arial"/>
          <w:sz w:val="19"/>
          <w:szCs w:val="19"/>
          <w:color w:val="auto"/>
        </w:rPr>
      </w:pPr>
      <w:r>
        <w:rPr>
          <w:rFonts w:ascii="Arial" w:cs="Arial" w:eastAsia="Arial" w:hAnsi="Arial"/>
          <w:sz w:val="16"/>
          <w:szCs w:val="16"/>
          <w:i w:val="1"/>
          <w:iCs w:val="1"/>
          <w:color w:val="auto"/>
        </w:rPr>
        <w:t>Actual and anticipated fluctuations in our quarterly or annual operating results or results that differ from investors' expectations for such results;</w:t>
      </w:r>
    </w:p>
    <w:p>
      <w:pPr>
        <w:spacing w:after="0" w:line="72" w:lineRule="exact"/>
        <w:rPr>
          <w:rFonts w:ascii="Arial" w:cs="Arial" w:eastAsia="Arial" w:hAnsi="Arial"/>
          <w:sz w:val="19"/>
          <w:szCs w:val="19"/>
          <w:color w:val="auto"/>
        </w:rPr>
      </w:pPr>
    </w:p>
    <w:p>
      <w:pPr>
        <w:ind w:left="600" w:hanging="296"/>
        <w:spacing w:after="0" w:line="238"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Price and volume fluctuations in the stock market, and in our stock in particular, which could cause investors to experience losses and subject us to securities class-action litigation;</w:t>
      </w:r>
    </w:p>
    <w:p>
      <w:pPr>
        <w:spacing w:after="0" w:line="32" w:lineRule="exact"/>
        <w:rPr>
          <w:rFonts w:ascii="Arial" w:cs="Arial" w:eastAsia="Arial" w:hAnsi="Arial"/>
          <w:sz w:val="20"/>
          <w:szCs w:val="20"/>
          <w:color w:val="auto"/>
        </w:rPr>
      </w:pPr>
    </w:p>
    <w:p>
      <w:pPr>
        <w:jc w:val="both"/>
        <w:ind w:left="600" w:hanging="296"/>
        <w:spacing w:after="0" w:line="263"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spacing w:after="0" w:line="14" w:lineRule="exact"/>
        <w:rPr>
          <w:rFonts w:ascii="Arial" w:cs="Arial" w:eastAsia="Arial" w:hAnsi="Arial"/>
          <w:sz w:val="17"/>
          <w:szCs w:val="17"/>
          <w:color w:val="auto"/>
        </w:rPr>
      </w:pPr>
    </w:p>
    <w:p>
      <w:pPr>
        <w:ind w:left="600" w:hanging="296"/>
        <w:spacing w:after="0"/>
        <w:tabs>
          <w:tab w:leader="none" w:pos="6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Product liability claims or governmental investigations;</w:t>
      </w:r>
    </w:p>
    <w:p>
      <w:pPr>
        <w:spacing w:after="0" w:line="57" w:lineRule="exact"/>
        <w:rPr>
          <w:rFonts w:ascii="Arial" w:cs="Arial" w:eastAsia="Arial" w:hAnsi="Arial"/>
          <w:sz w:val="17"/>
          <w:szCs w:val="17"/>
          <w:i w:val="1"/>
          <w:iCs w:val="1"/>
          <w:color w:val="auto"/>
        </w:rPr>
      </w:pPr>
    </w:p>
    <w:p>
      <w:pPr>
        <w:jc w:val="both"/>
        <w:ind w:left="600" w:hanging="296"/>
        <w:spacing w:after="0" w:line="258" w:lineRule="auto"/>
        <w:tabs>
          <w:tab w:leader="none" w:pos="59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spacing w:after="0" w:line="18" w:lineRule="exact"/>
        <w:rPr>
          <w:rFonts w:ascii="Arial" w:cs="Arial" w:eastAsia="Arial" w:hAnsi="Arial"/>
          <w:sz w:val="17"/>
          <w:szCs w:val="17"/>
          <w:i w:val="1"/>
          <w:iCs w:val="1"/>
          <w:color w:val="auto"/>
        </w:rPr>
      </w:pPr>
    </w:p>
    <w:p>
      <w:pPr>
        <w:ind w:left="600" w:hanging="296"/>
        <w:spacing w:after="0" w:line="278" w:lineRule="auto"/>
        <w:tabs>
          <w:tab w:leader="none" w:pos="59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Increased costs as a result of operating as a public company, and substantial time devoted by our management to compliance initiatives and corporate governance practices.</w:t>
      </w:r>
    </w:p>
    <w:p>
      <w:pPr>
        <w:spacing w:after="0" w:line="103"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7"/>
          <w:szCs w:val="17"/>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3"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7"/>
          <w:szCs w:val="17"/>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pelvic pain to fertility, vaginal health to infectious disease, we’re working to close critical gaps in care using science that serves her needs.</w:t>
      </w:r>
    </w:p>
    <w:p>
      <w:pPr>
        <w:spacing w:after="0" w:line="12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For decades, women have been told to “wait it out” or “live with it,” while innovations that could improve their quality of life languish in the regulatory or funding pipeline.</w:t>
      </w:r>
    </w:p>
    <w:p>
      <w:pPr>
        <w:spacing w:after="0" w:line="1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With growing awareness around menopause, sexual health, and vaginal health, the conversation is shifting. However, access to real, evidence-based solutions continues to lag. Daré was founded to change that. As a female-led health biotech company, we are accelerating the development of credible, science-based solutions that meet the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 w:name="page7"/>
    <w:bookmarkEnd w:id="6"/>
    <w:p>
      <w:pPr>
        <w:jc w:val="both"/>
        <w:spacing w:after="0" w:line="281" w:lineRule="auto"/>
        <w:rPr>
          <w:sz w:val="20"/>
          <w:szCs w:val="20"/>
          <w:color w:val="auto"/>
        </w:rPr>
      </w:pPr>
      <w:r>
        <w:rPr>
          <w:rFonts w:ascii="Arial" w:cs="Arial" w:eastAsia="Arial" w:hAnsi="Arial"/>
          <w:sz w:val="17"/>
          <w:szCs w:val="17"/>
          <w:color w:val="auto"/>
        </w:rPr>
        <w:t>high standards of clinical rigor – randomized, controlled trials; validated endpoints; peer-reviewed publications; and current Good Manufacturing Practice (cGMP) requirements.</w:t>
      </w:r>
    </w:p>
    <w:p>
      <w:pPr>
        <w:spacing w:after="0" w:line="12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regularly hear from healthcare providers, researchers, and women themselves about the urgent need for expanded access to evidenced-based and convenient options. Our goal is to fulfill that need by bringing innovative products to market as soon as practicable, whether as FDA-approved therapies or through alternative regulatory pathways that enable earlier availability, such as Section 503B compounding. Through a pipeline of investigational products and near-commercial, alternative pathway products, we aim to close persistent gaps in care and deliver clinically meaningful advances that redefine standards in women’s health.</w:t>
      </w:r>
    </w:p>
    <w:p>
      <w:pPr>
        <w:spacing w:after="0" w:line="133"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In March 2025, we announced an expansion of our business model to include a dual-path approach to bringing new products to market. For select proprietary formulations, we are pursuing both traditional FDA approval and earlier market access via outsourcing facilities registered under Section 503B of the Federal Food, Drug, and Cosmetic Act (FDCA), which may compound and distribute certain drugs without patient-specific prescriptions.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 the first of which, as discussed below, will be our DARE to RESTORE™ product offerings.</w:t>
      </w:r>
    </w:p>
    <w:p>
      <w:pPr>
        <w:spacing w:after="0" w:line="120"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December 2025 we initiated commercialization of DARE to PLAY™ Sildenafil Cream, which we also refer to as DARE to PLAY, a first-of-its-kind, topically applied formulation of sildenafil designed to improve female sexual arousal. We believe the product’s positioning – science-backed, evidence-driven, and female-focused – sets a new benchmark for credibility in the female sexual wellness category.</w:t>
      </w:r>
    </w:p>
    <w:p>
      <w:pPr>
        <w:spacing w:after="0" w:line="13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first product in our DARE to RESTORE™ vaginal probiotic suppositories product line, Flora Sync LF5™, is expected to become commercially available in the U.S. in the second quarter of 2026. The products we plan to bring to market under our DARE to RESTORE offerings align with our broader vision to integrate clinically credible, evidence-based products into women’s health routines, including select consumer health products.</w:t>
      </w:r>
    </w:p>
    <w:p>
      <w:pPr>
        <w:spacing w:after="0" w:line="192"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Our near-term commercial initiatives are designed not only to drive revenue but also to create a self-reinforcing ecosystem for growth. The commercial experience, brand awareness, and provider engagement generated through these products can position us to efficiently introduce additional pipeline candidates, including potential future FDA-approved products. By pursuing a balanced strategy that integrates short-term commercial execution with long-term R&amp;D investment, we aim to reduce reliance on dilutive capital and build a financially sustainable model for innovation in women’s health.</w:t>
      </w:r>
    </w:p>
    <w:p>
      <w:pPr>
        <w:spacing w:after="0" w:line="19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are pursuing a capital-efficient path to commercialization that leverages targeted direct-to-consumer and healthcare professional marketing initiatives to build awareness of our women’s health portfolio, including digital campaigns, webinars, social media education, and advocacy programs. We do not have sales, marketing or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third-party manufacturing, market preparation, and strategic partnerships.</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Prior to 2025, we were solely pursuing traditional FDA approval pathways to market for our product candidates. We began assembling our diverse portfolio of assets in 2017 through acquisitions, exclusive in-licenses and other collaborations. Our portfolio targets product categories we believe represent meaningful opportunities to improve women's health and quality of life. These include contraception, sexual health, pelvic pain, fertility, infectious disease, vaginal health, and menopause.</w:t>
      </w:r>
    </w:p>
    <w:p>
      <w:pPr>
        <w:spacing w:after="0" w:line="12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first FDA-approved product to emerge from our portfolio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2022, we entered into an agreement with an affiliate of Organon &amp; Co., Organon International GmbH, or Organon, whereby Organon licensed exclusive worldwide rights to develop, manufacture and commercialize XACIATO. In January 2024, Organon announced that XACIATO was available nationwide in the United States. As described below, to provide funding for the development of the product candidates in our pipeline, in April 2024, we entered into an agreement with XOMA (US) LLC, or XOMA, whereby we sold our rights to all royalty and potential milestone payments based on net sales of XACIATO under our agreement with Organon, net of our obligations to certain third parties, until XOMA receives 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both"/>
        <w:spacing w:after="0" w:line="281" w:lineRule="auto"/>
        <w:rPr>
          <w:sz w:val="20"/>
          <w:szCs w:val="20"/>
          <w:color w:val="auto"/>
        </w:rPr>
      </w:pPr>
      <w:r>
        <w:rPr>
          <w:rFonts w:ascii="Arial" w:cs="Arial" w:eastAsia="Arial" w:hAnsi="Arial"/>
          <w:sz w:val="17"/>
          <w:szCs w:val="17"/>
          <w:color w:val="auto"/>
        </w:rPr>
        <w:t>specified return on its investment, after which we will share equally in the royalty and milestone payments earned on net sales of XACIATO from Organon.</w:t>
      </w:r>
    </w:p>
    <w:p>
      <w:pPr>
        <w:spacing w:after="0" w:line="12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Our product candidates are in various stages of development, from pre-clinical through a pivotal Phase 3 clinical study. The most advanced product candidates we are developing are: Ovaprene®, an investigational, hormone-free, monthly intravaginal contraceptive currently being evaluated in a pivotal Phase 3 clinical study; Sildenafil Cream, 3.6%, a novel cream formulation of sildenafil for the treatment of female sexual arousal disorder (FSAD); DARE-HRT1, an intravaginal ring designed to deliver combination menopausal hormone therapy, bio-identical 17β-estradiol and progesterone together, continuously, over a 28-day period for the treatment of moderate to severe vasomotor symptoms, also known as hot flashes; and DARE-HPV, a proprietary fixed-dose formulation of lopinavir and ritonavir in a soft gel vaginal insert being developed as a non-surgical, localized, self-administered therapy for clearance of persistent high-risk human papillomavirus (HPV) infection.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Our Strategy</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business strategy is to in-license or otherwise acquire the rights to intellectual property and know-how that enables us to develop and bring to market differentiated evidence-based solutions that we believe can address unmet needs in women’s health and enhance outcomes and convenience, and that represent compelling and meaningful market opportunities. Certain assets we have in-licensed have existing clinical proof-of-concept data or an established safety profile for the active pharmaceutical ingredient that we seek to leverage. We may pursue regulatory approval of a product candidate through clinical development or, if the active pharmaceutical ingredient is on the FDA’s list of bulk drug substances for which there is a clinical need, we may seek to bring it to market under Section 503B of the FDCA. In certain circumstances, as discussed in more detail elsewhere in this "Business" section, we may pursue both pathways. Additionally, our strategy includes bringing Daré-branded non-prescription products to market, representing another pathway to expand our commercial portfolio and offer additional evidence-based solutions to address gaps in women's health. We believe having alternative pathways allows us to bring solutions to market as soon as practicable and optimizes access for women in a fiscally responsible manner.</w:t>
      </w:r>
    </w:p>
    <w:p>
      <w:pPr>
        <w:spacing w:after="0" w:line="7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are primarily focused on our existing programs. However, we also explore opportunities to expand our portfolio through both business development activities that may result in acquiring, or acquiring access to, new intellectual property rights and know-how through in-licensing or other collaborative arrangements, and leveraging platform technology assets we previously acquired or in-licensed from third parties that can be modified with different active pharmaceutical ingredients to address multiple indications. As with our current portfolio, we will opportunistically explore innovations in women’s health that have (a) attractive market opportunities with the potential to address an unmet need, including through new formulations, manners of application or delivery methods of well-characterized drug substances that could result in novel products customized for women, (b) human proof-of-concept clinical data previously generated by third parties, (c) potential to utilize the FDA's 505(b)(2) pathway or be brought to market via Section 503B compounding, and/or (d) potential to become a first-in-category or first-line product. We consider a candidate to have potential to become a “first-in-category” product when we believe that, if the candidate were to successfully complete clinical development and receive FDA marketing approval for the use for which it is being developed, or for which we anticipate developing it, the product would address a need in women’s health that is not being met by existing FDA-approved products.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Key elements of our business strategy are as follows:</w:t>
      </w:r>
    </w:p>
    <w:p>
      <w:pPr>
        <w:spacing w:after="0" w:line="110" w:lineRule="exact"/>
        <w:rPr>
          <w:sz w:val="20"/>
          <w:szCs w:val="20"/>
          <w:color w:val="auto"/>
        </w:rPr>
      </w:pPr>
    </w:p>
    <w:p>
      <w:pPr>
        <w:jc w:val="both"/>
        <w:ind w:left="1220" w:hanging="309"/>
        <w:spacing w:after="0" w:line="263"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Accelerate innovation in women’s health and bring our proprietary formulations and other assets to market as soon as practicable utilizing all available pathways for the asset</w:t>
      </w:r>
      <w:r>
        <w:rPr>
          <w:rFonts w:ascii="Arial" w:cs="Arial" w:eastAsia="Arial" w:hAnsi="Arial"/>
          <w:sz w:val="17"/>
          <w:szCs w:val="17"/>
          <w:color w:val="auto"/>
        </w:rPr>
        <w:t>, including as a compounded drug under Section 503B of the FDCA, as an FDA-approved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or as a consumer health product that does not require a physician’s prescription.</w:t>
      </w:r>
    </w:p>
    <w:p>
      <w:pPr>
        <w:spacing w:after="0" w:line="64" w:lineRule="exact"/>
        <w:rPr>
          <w:rFonts w:ascii="Arial" w:cs="Arial" w:eastAsia="Arial" w:hAnsi="Arial"/>
          <w:sz w:val="17"/>
          <w:szCs w:val="17"/>
          <w:color w:val="auto"/>
        </w:rPr>
      </w:pPr>
    </w:p>
    <w:p>
      <w:pPr>
        <w:jc w:val="both"/>
        <w:ind w:left="1220" w:hanging="309"/>
        <w:spacing w:after="0" w:line="263"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Advance clinical development of the product candidates in our portfolio through mid- to late-stage clinical development or regulatory approval</w:t>
      </w:r>
      <w:r>
        <w:rPr>
          <w:rFonts w:ascii="Arial" w:cs="Arial" w:eastAsia="Arial" w:hAnsi="Arial"/>
          <w:sz w:val="17"/>
          <w:szCs w:val="17"/>
          <w:color w:val="auto"/>
        </w:rPr>
        <w:t>. In 2025, we continued to make important progress in the clinical development of our product candidates, including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pivotal Phase 3 clinical study of Ovaprene.</w:t>
      </w:r>
    </w:p>
    <w:p>
      <w:pPr>
        <w:spacing w:after="0" w:line="64" w:lineRule="exact"/>
        <w:rPr>
          <w:rFonts w:ascii="Arial" w:cs="Arial" w:eastAsia="Arial" w:hAnsi="Arial"/>
          <w:sz w:val="17"/>
          <w:szCs w:val="17"/>
          <w:color w:val="auto"/>
        </w:rPr>
      </w:pPr>
    </w:p>
    <w:p>
      <w:pPr>
        <w:jc w:val="both"/>
        <w:ind w:left="1220" w:hanging="309"/>
        <w:spacing w:after="0" w:line="269" w:lineRule="auto"/>
        <w:tabs>
          <w:tab w:leader="none" w:pos="121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Pursue strategic collaborations to fund our business, enhance our development and commercialization capabilities, and/or commercial offerings, optimizing for access in a fiscally responsible manner. </w:t>
      </w:r>
      <w:r>
        <w:rPr>
          <w:rFonts w:ascii="Arial" w:cs="Arial" w:eastAsia="Arial" w:hAnsi="Arial"/>
          <w:sz w:val="16"/>
          <w:szCs w:val="16"/>
          <w:color w:val="auto"/>
        </w:rPr>
        <w:t>With respect to our product candidates, we intend to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strategic relationships with commercial-stage companies that are leaders or emerging leaders in women’s health, as well as with other entities, where we believe such collaborations will help fund our business or accelerate or otherwise improve upon our clinical development and regulatory strengths and/or product manufacturing and commercialization capabilities. With respect to 503B compounding, we intend to develop and maintain relationships with Section 503B-registered outsourcing facilities, dispensing pharmacies, telehealth providers, and other third parties to help bring our proprietary formulations to market. Examples of current strategic collaborations include our license agreement with Organon to commercialize XACIATO, and our arrangements with Bravado Pharmaceuticals, LLC, under which it manufactures DARE to PLAY and fulfills prescription, and Medvantx, a pharmacy services provider, acting as a logistics agent, telehealth platform provider, and dispensing pharmacy for DARE to PLAY.</w:t>
      </w:r>
    </w:p>
    <w:p>
      <w:pPr>
        <w:spacing w:after="0" w:line="58" w:lineRule="exact"/>
        <w:rPr>
          <w:rFonts w:ascii="Arial" w:cs="Arial" w:eastAsia="Arial" w:hAnsi="Arial"/>
          <w:sz w:val="16"/>
          <w:szCs w:val="16"/>
          <w:color w:val="auto"/>
        </w:rPr>
      </w:pPr>
    </w:p>
    <w:p>
      <w:pPr>
        <w:jc w:val="both"/>
        <w:ind w:left="1220" w:hanging="309"/>
        <w:spacing w:after="0" w:line="264"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Explore opportunities to expand our portfolio, with evidence-based solutions for women’s health as our sole focus</w:t>
      </w:r>
      <w:r>
        <w:rPr>
          <w:rFonts w:ascii="Arial" w:cs="Arial" w:eastAsia="Arial" w:hAnsi="Arial"/>
          <w:sz w:val="17"/>
          <w:szCs w:val="17"/>
          <w:color w:val="auto"/>
        </w:rPr>
        <w:t>. While</w:t>
      </w:r>
      <w:r>
        <w:rPr>
          <w:rFonts w:ascii="Arial" w:cs="Arial" w:eastAsia="Arial" w:hAnsi="Arial"/>
          <w:sz w:val="17"/>
          <w:szCs w:val="17"/>
          <w:i w:val="1"/>
          <w:iCs w:val="1"/>
          <w:color w:val="auto"/>
        </w:rPr>
        <w:t xml:space="preserve"> </w:t>
      </w:r>
      <w:r>
        <w:rPr>
          <w:rFonts w:ascii="Arial" w:cs="Arial" w:eastAsia="Arial" w:hAnsi="Arial"/>
          <w:sz w:val="17"/>
          <w:szCs w:val="17"/>
          <w:color w:val="auto"/>
        </w:rPr>
        <w:t>simultaneously advancing our current portfolio, we intend to continue to identify other important areas of unmet need in women’s health and to explore opportunities to build our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 w:name="page10"/>
    <w:bookmarkEnd w:id="9"/>
    <w:p>
      <w:pPr>
        <w:ind w:left="1220"/>
        <w:spacing w:after="0" w:line="281" w:lineRule="auto"/>
        <w:rPr>
          <w:sz w:val="20"/>
          <w:szCs w:val="20"/>
          <w:color w:val="auto"/>
        </w:rPr>
      </w:pPr>
      <w:r>
        <w:rPr>
          <w:rFonts w:ascii="Arial" w:cs="Arial" w:eastAsia="Arial" w:hAnsi="Arial"/>
          <w:sz w:val="17"/>
          <w:szCs w:val="17"/>
          <w:color w:val="auto"/>
        </w:rPr>
        <w:t>portfolio by acquiring or in-licensing new programs or leveraging assets we previously acquired or in-licensed to create new programs that meet our selection criteria.</w:t>
      </w:r>
    </w:p>
    <w:p>
      <w:pPr>
        <w:spacing w:after="0" w:line="48" w:lineRule="exact"/>
        <w:rPr>
          <w:sz w:val="20"/>
          <w:szCs w:val="20"/>
          <w:color w:val="auto"/>
        </w:rPr>
      </w:pPr>
    </w:p>
    <w:p>
      <w:pPr>
        <w:jc w:val="both"/>
        <w:ind w:left="1220" w:hanging="309"/>
        <w:spacing w:after="0" w:line="254" w:lineRule="auto"/>
        <w:tabs>
          <w:tab w:leader="none" w:pos="12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Seek non-dilutive sources of funding to support product development. </w:t>
      </w:r>
      <w:r>
        <w:rPr>
          <w:rFonts w:ascii="Arial" w:cs="Arial" w:eastAsia="Arial" w:hAnsi="Arial"/>
          <w:sz w:val="17"/>
          <w:szCs w:val="17"/>
          <w:color w:val="auto"/>
        </w:rPr>
        <w:t>We intend to advance development of our product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variety of means, including through non-dilutive funding and revenue from 503B compounding and non-prescription products. To date, we have received non-dilutive funding from U.S. federal government agencies and/or a private foundation to support various aspects of our research and development activities, from preclinical discovery to a Phase 3 clinical study, for eight of our programs. We intend to continue to explore grants and other forms of non-dilutive funding to support development of our product candidates.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503B Compounding</w:t>
      </w:r>
    </w:p>
    <w:p>
      <w:pPr>
        <w:spacing w:after="0" w:line="18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As discussed above, in March 2025, we announced an expansion of our business model to include bringing to market select proprietary formulations as compounded drug products via Section 503B-registered outsourcing facilities. In assessing which of our proprietary formulations are candidates for Section 503B compounding, in addition to the drug substance(s) being on the FDA’s interim 503B Category 1 list of bulk drug substances, we take into account whether we believe the formulation is ready for cGMP manufacturing at scale to meet potential market demand and that the data from nonclinical and clinical studies of the formulation to date will be compelling to healthcare providers. Our 503B compounding products are and will be prescription drug products as required by Section 503B of the FDCA. Section 503B-registered outsourcing facilities must be registered with the FDA, must comply with cGMP requirements, which better ensures quality, strength and consistency of the product, and are subject to FDA inspections. Compounded drugs are not FDA-approved products. The FDA does not evaluate compounded drug products for safety or effectiveness. We do not believe bringing our select proprietary formulations to market via Section 503B compounding will negatively impact the regulatory process or commercial opportunity for an FDA-approved product utilizing the same proprietary formulation.</w:t>
      </w:r>
    </w:p>
    <w:p>
      <w:pPr>
        <w:spacing w:after="0" w:line="7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To execute our Section 503B compounding strategy, among other things, we have entered into and will need to maintain arrangements with one or more FDA-registered Section 503B outsourcing facilities, dispensing pharmacies, telehealth platform providers, and other third parties with marketing, sales or distribution capabilities in the Section 503B market, and we intend to expand our collaborations and vendors as we grow this aspect of our business. We will oversee the overall brand direction for our 503B compounding products , as well as medical education and awareness, including marketing, advertising, and healthcare provider and patient education. We intend to focus our resources on provider-to -provider education about disease states and our proprietary formulations, leveraging online resources, including web-based ordering platforms and collaborations with telehealth platforms and other third parties. We do not have sales, marketing or distribution infrastructure, and currently, we do not intend to build our own sales force or marketing and distribution infrastructure to bring our proprietary formulations to market under Section 503B.</w:t>
      </w:r>
    </w:p>
    <w:p>
      <w:pPr>
        <w:spacing w:after="0" w:line="7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DARE Health Hub was created as a branded online platform through which healthcare providers can submit prescriptions for our Section 503B compounded drugs, and to support integrated telehealth services and to provide patient-facing order management and communications.</w:t>
      </w:r>
    </w:p>
    <w:p>
      <w:pPr>
        <w:spacing w:after="0" w:line="4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When we use the term “Section 503B,” “Section 503B compounding,” "503B compounding," or similar terms, we refer to Section 503B of the FDCA and the production and supply of compounded drugs by FDA-registered Section 503B outsourcing facilities without patient-specific prescriptions in accordance with Section 503B of the FDCA. See "Government Regulation—U.S. Government Regulation—Regulation of Compounded Drugs” below for additional information regarding compounding under Section 503B of the FDCA.</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 to PLAY Sildenafil Cream</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proprietary topical cream formulation of sildenafil will be our first product to market under Section 503B. As discussed in more detail below, in 2018, we acquired exclusive, worldwide rights to develop and commercialize this formulation for all indications for women related to female sexual dysfunction and/or female reproductive health under a license and collaboration agreement with Strategic Science &amp; Technologies-D LLC and Strategic Science &amp; Technologies, LLC (referred to collectively as SST), and we have completed a Phase 2b clinical study of this formulation that, to our knowledge, was the first clinical trial specifically evaluating a potential therapy for the treatment of female sexual arousal disorder, for which there currently are no FDA-approved products. DARE to PLAY Sildenafil Cream is our branded 503B-compounded drug product utilizing the same formulation of sildenafil citrate evaluated in our completed Phase 2b clinical study. Sildenafil citrate is on the FDA's interim 503B Category 1 list of bulk drug substances that may be used in compounding.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 w:name="page11"/>
    <w:bookmarkEnd w:id="10"/>
    <w:p>
      <w:pPr>
        <w:jc w:val="both"/>
        <w:ind w:firstLine="607"/>
        <w:spacing w:after="0" w:line="256" w:lineRule="auto"/>
        <w:rPr>
          <w:sz w:val="20"/>
          <w:szCs w:val="20"/>
          <w:color w:val="auto"/>
        </w:rPr>
      </w:pPr>
      <w:r>
        <w:rPr>
          <w:rFonts w:ascii="Arial" w:cs="Arial" w:eastAsia="Arial" w:hAnsi="Arial"/>
          <w:sz w:val="17"/>
          <w:szCs w:val="17"/>
          <w:color w:val="auto"/>
        </w:rPr>
        <w:t>DARE to PLAY, a topically applied formulation of sildenafil, will address an area of women’s health that has been historically underserved and stigmatized, and will be a first-of-its-kind product in that, to our knowledge, there are no other topical cream sildenafil products manufactured in accordance with cGMP requirements and supported by clinical data demonstrating increased genital blood flow within 10-15 minutes of application and improvements in arousal sensations using clinically validated and FDA-reviewed endpoints. We believe the product’s positioning – science-backed, evidence-driven, and female-focused – sets a new benchmark for credibility in the female sexual wellness category.</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product currently is available for pre-fulfillment, which means that women may complete a telehealth consultation or in-person clinician visit and have a prescription written and held at the dispensing pharmacy, with prescription fulfillment and payment to occur once the product is available for pharmacy dispensing. We expect pharmacy dispensing to commence, and to begin recording revenue from sales of DARE to PLAY, in the second quarter of 2026.</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have entered into an arrangement with a Section 503B-registered outsourcing facility, Bravado Pharmaceuticals, LLC, or Bravado, under which Bravado manufactures DARE to PLAY and fulfills prescription orders through Medvantx, a dispensing pharmacy. Bravado is responsible for obtaining all state-level pharmacy and outsourcing facility licenses required to fulfill DARE to PLAY prescriptions. DARE to PLAY’s availability in any given state depends on Bravado's maintenance of the requisite licensure in that state. We have sublicensed our proprietary topical cream formulation of sildenafil to Bravado for use in manufacturing DARE to PLAY.</w:t>
      </w:r>
    </w:p>
    <w:p>
      <w:pPr>
        <w:spacing w:after="0" w:line="6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 xml:space="preserve">Medvantx </w:t>
      </w:r>
      <w:r>
        <w:rPr>
          <w:rFonts w:ascii="Arial" w:cs="Arial" w:eastAsia="Arial" w:hAnsi="Arial"/>
          <w:sz w:val="17"/>
          <w:szCs w:val="17"/>
          <w:color w:val="212529"/>
        </w:rPr>
        <w:t>operates</w:t>
      </w:r>
      <w:r>
        <w:rPr>
          <w:rFonts w:ascii="Arial" w:cs="Arial" w:eastAsia="Arial" w:hAnsi="Arial"/>
          <w:sz w:val="17"/>
          <w:szCs w:val="17"/>
          <w:color w:val="auto"/>
        </w:rPr>
        <w:t xml:space="preserve"> the DARE Health Hub and, on behalf of Bravado, verifies and processes healthcare provider-submitted prescriptions for DARE to PLAY. Medvantx also manages patient communications and coordinates with Bravado for the shipment and delivery of fulfilled prescriptions to patients. Medvantx also collects payment from patients at the time of order and, following fulfillment of prescriptions, remits our portion of the revenue to us, after deduction of its fees. Royalties payable to third parties based upon net sales of DARE to PLAY are paid out of the amounts we receive from Medvantx. See "Strategic Agreements for Pipeline Development—SST License and Collaboration Agreement" and “Royalty Monetization Transactions—Traditional and Synthetic Royalty Purchase Agreements with XOMA,” below for discussion of such royalties.</w:t>
      </w:r>
    </w:p>
    <w:p>
      <w:pPr>
        <w:spacing w:after="0" w:line="7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DARE to PLAY is currently offered on a cash-pay basis only, and patients pay for the product directly when they place their order. As a compounded drug, DARE to PLAY is not covered by insurance and is not eligible for reimbursement through government or commercial health plans, including Medicare and Medicaid, or under insurance formularies applicable to FDA-approved prescription drug products.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 to RECLAIM™ estradiol progesterone intravaginal ring</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are also taking action to bring our proprietary estradiol progesterone intravaginal ring (DARE-HRT1) to market under Section 503B. As discussed in more detail below, in 2018, we acquired exclusive, worldwide rights enabling us to develop and commercialize this product via a license agreement with Catalent JNP (formerly known as Juniper Pharmaceuticals, Inc.), and we have completed Phase 1 and Phase 1/2 clinical studies of DARE-HRT1. The 503B-compounded product will be branded as DARE to RECLAIM estradiol progesterone intravaginal ring, or DARE to RECLAIM. DARE to RECLAIM will utilize the same formulation of bio-identical 17β-estradiol and bio-identical progesterone and intravaginal ring technology evaluated in our completed Phase 1 and Phase 1/2 clinical studies of DARE-HRT1. Each of estradiol and progesterone is on the FDA’s interim 503B Category 1 list of bulk drug substances. We are targeting to have DARE to RECLAIM available for prescription fulfillment in early 2027.</w:t>
      </w:r>
    </w:p>
    <w:p>
      <w:pPr>
        <w:spacing w:after="0" w:line="7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DARE to RECLAIM, our intravaginal ring formulation of bioidentical 17β-estradiol and bio-identical progesterone will be a non-oral, monthly hormone therapy. While there are many products on the market targeted to or FDA-approved for the treatment of menopausal symptoms, and both the supplement and compounded hormone therapy markets are very significant, we believe DARE to RECLAIM has the potential to address a preference among some women and healthcare providers for bio-identical hormones delivered in a non-oral route, as well as offer the convenience of an option that is self-administered and does not require daily intervention because each intravaginal ring is meant to be in place for 28 days. There are no FDA-approved products that provide estradiol and progesterone together in a non-oral monthly form, and, to our knowledge, there are no compounded products that provide estradiol and progesterone together in a self-administrable, non-oral, monthly form.</w:t>
      </w:r>
    </w:p>
    <w:p>
      <w:pPr>
        <w:spacing w:after="0" w:line="7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As with DARE to PLAY, we intend to make DARE to RECLAIM available for prescription fulfillment in the United States through a Section 503B registered outsourcing facility, which will not be the same facility that manufactures DARE to PLAY, and Medvantx as the dispensing pharmacy.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 w:name="page12"/>
    <w:bookmarkEnd w:id="11"/>
    <w:p>
      <w:pPr>
        <w:jc w:val="both"/>
        <w:ind w:firstLine="607"/>
        <w:spacing w:after="0" w:line="281" w:lineRule="auto"/>
        <w:rPr>
          <w:sz w:val="20"/>
          <w:szCs w:val="20"/>
          <w:color w:val="auto"/>
        </w:rPr>
      </w:pPr>
      <w:r>
        <w:rPr>
          <w:rFonts w:ascii="Arial" w:cs="Arial" w:eastAsia="Arial" w:hAnsi="Arial"/>
          <w:sz w:val="17"/>
          <w:szCs w:val="17"/>
          <w:color w:val="auto"/>
        </w:rPr>
        <w:t>We intend to utilize the DARE Health Hub as the commercial platform through which healthcare provider-submitted prescriptions will be verified and processed, and we expect it will be available on a cash-pay basis only, without insurance coverage or third-party payor reimbursement.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Health Products - DARE to RESTORE</w:t>
      </w:r>
    </w:p>
    <w:p>
      <w:pPr>
        <w:spacing w:after="0" w:line="23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As part of our expanded business model, in addition to 503B compounding, we are working to bring to market in the United States a line of consumer health products branded as the DARE to RESTORE family of products. When we use the term “consumer health products,” we refer to consumer health products that can be obtained without a physician's prescription, because they are all classified as cosmetics.</w:t>
      </w:r>
    </w:p>
    <w:p>
      <w:pPr>
        <w:spacing w:after="0" w:line="6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DARE to RESTORE products will be vaginal probiotic suppositories designed to support vaginal microbiome balance. Our first DARE to RESTORE product, Flora Sync LF5, a vaginal probiotic suppository sourced from Italy, is expected to become commercially available in the U.S. in the second quarter of 2026. The formulation, developed by Probiotical S.p.A. using its proprietary LF5 probiotic strain, is based on scientific research into vaginal microbiome composition and health. Probiotical will manufacture Flora Sync LF5 exclusively for us in the U.S.</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Because of the low regulatory barriers to entry, numerous vaginal probiotic products are marketed directly to consumers as dietary supplements or cosmetics. Since no clinical studies or evidence of effect on the vaginal microbiome are required for these products to reach market, most lack strain-specific clinical data. By contrast, Probiotical has invested in research to characterize and clinically evaluate its proprietary LF5 strain, which has been studied in multiple human clinical trials, with findings published in peer-reviewed journals. We believe that level of evidence distinguishes Flora Sync LF5 from the majority of vaginal probiotic products currently available to consumers.</w:t>
      </w:r>
    </w:p>
    <w:p>
      <w:pPr>
        <w:spacing w:after="0" w:line="69"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Probiotical has additional proprietary strains and products that align with the objectives of the DARE to RESTORE brand family, and we expect to continue exploring opportunities to expand the DARE to RESTORE commercial offering through additional collaborations with Probiotical.</w:t>
      </w:r>
    </w:p>
    <w:p>
      <w:pPr>
        <w:spacing w:after="0" w:line="4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Similar to our plans with respect to our Section 503B business strategy, we do not have, and currently do not intend to build, our own marketing, sales or distribution infrastructure to commercialize our DARE to RESTORE products, but rather we plan to utilize a capital-efficient path to market that leverages targeted direct-to-consumer and healthcare professional marketing initiatives to build awareness, including digital campaigns, webinars, social media education, and advocacy programs, as well as strategic agreements and collaborations with third parties with marketing, sales or distribution capabilities in the consumer health products market.</w:t>
      </w:r>
    </w:p>
    <w:p>
      <w:pPr>
        <w:spacing w:after="0" w:line="6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intend to distribute DARE to RESTORE products through the DARE Health Hub, consistent with the commercial infrastructure being built around DARE to PLAY. The dispensing pharmacy's role for DARE to RESTORE product offerings is expected to include online order management, payment processing, and fulfillment logistics, similar to its role in connection with DARE to PLAY, though the absence of a prescription requirement simplifies certain aspects of the fulfillment process for DARE to RESTORE product offerings. We may also pursue additional distribution channels for DARE to RESTORE product offerings, including direct-to-consumer e-commerce and consumer retail.</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DARE to RESTORE vaginal probiotic products are intended to be complementary to our Section 503B prescription offerings. For example, healthcare providers may recommend DARE to RESTORE products in conjunction with DARE to PLAY as part of a comprehensive approach to women's vaginal and sexual health. We intend to build awareness of the DARE to RESTORE products among the consumer and the healthcare provider community that is already engaged with the DARE Health Hub in connection with DARE to PLAY.</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XACIATO™</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XACIATO (clindamycin phosphate) vaginal gel, a lincosamide antibacterial, received FDA approval in December 2021 as a single-dose prescription medication for the treatment of bacterial vaginosis in female patients 12 years of age and older. XACIATO is our first, and to date, our only product with FDA approval for marketing. We achieved FDA approval of XACIATO three years after acquiring rights to the program. In 2022, we licensed to Organon exclusive worldwide rights to develop, manufacture and commercialize XACIATO. In January 2024, Organon announced that XACIATO was available nationwide in the U.S. See "Organon Exclusive License Agreement," below for further discussion of the terms of our license agreement with Organon.</w:t>
      </w:r>
    </w:p>
    <w:p>
      <w:pPr>
        <w:spacing w:after="0" w:line="13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XACIATO previously received both Qualified Infectious Disease Product (QIDP) and Fast Track designations from the FDA for the treatment of bacterial vaginosis in women. As a result of the QIDP designation, XACIATO was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7"/>
          <w:szCs w:val="17"/>
          <w:color w:val="auto"/>
        </w:rPr>
        <w:t>eligible to receive a five-year extension of the three years of data exclusivity in the U.S. available to the product based on the submission of new clinical data that were essential to its approval. The FDA granted XACIATO for the treatment of bacterial vaginosis in female patients 12 years of age and older three years of data exclusivity, which was extended by five years, such that the data exclusivity period will expire on December 7, 2029. XACIATO has also been designated as a reference listed drug by the FDA for purposes of future generic drug development. The data exclusivity period should block the FDA from approving either a subsequent abbreviated NDA or 505(b)(2) NDA that relies in whole or in part on our protected clinical data. See also "Government Regulation - U.S. Government Regulation- New Drug Marketing Exclusivity under the Hatch-Waxman Act Amendments &amp; GAIN Exclusivity Extension" below. Additionally, see the discussion of patents and patent applications related to XACIATO under "Intellectual Property—Patents" below.</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 Clinical-Stage Programs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Ovaprene®</w:t>
      </w:r>
    </w:p>
    <w:p>
      <w:pPr>
        <w:spacing w:after="0" w:line="20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12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Ovaprene is a novel, investigational hormone-free monthly intravaginal contraceptive designed to be worn conveniently over multiple weeks (one menstrual cycle) that currently is being evaluated in a pivotal Phase 3 clinical study. Based on the results of our pre-pivotal postcoital test, or PCT, clinical trial, as discussed below, we believe Ovaprene has the potential to achieve “typical use” contraceptive efficacy in the range of approximately 86% to 91% during the first six months of use, which approaches the approximately 93% typical use efficacy rate expected during the first year of use of current FDA-approved non-implanted, non-injected hormonal contraceptive methods (pills, patches and vaginal rings). Typical use contraceptive efficacy refers to the expected rate of pregnancy prevention during the first year of actual use of a method, including sometimes using the 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 monthly, self-administered product. If approved, Ovaprene could be the first hormone-free, monthly contraceptive option for women.</w:t>
      </w:r>
    </w:p>
    <w:p>
      <w:pPr>
        <w:spacing w:after="0" w:line="139"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7"/>
          <w:szCs w:val="17"/>
          <w:color w:val="auto"/>
        </w:rPr>
        <w:t>Ovaprene is composed of both device and drug components and is considered a combination product by the FDA. There is no predicate device for Ovaprene (i.e., there is no existing FDA-approved product that the FDA can use to compare with Ovaprene). As such, Ovaprene will be reviewed via a premarket approval, or PMA, process and not a 510(k) premarket submission. While the regulatory process for such a novel product can require more interactions and research to support FDA approval, the benefit is a clearly differentiated product. Ovaprene previously underwent a request for designation process with the FDA that determined that the Center for Devices and Radiological Health, or CDRH, would lead the review of a PMA application for potential marketing approval in the U.S.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 xml:space="preserve">In a PCT pilot clinical study conducted by the previous sponsor in 20 women and published in </w:t>
      </w:r>
      <w:r>
        <w:rPr>
          <w:rFonts w:ascii="Arial" w:cs="Arial" w:eastAsia="Arial" w:hAnsi="Arial"/>
          <w:sz w:val="17"/>
          <w:szCs w:val="17"/>
          <w:i w:val="1"/>
          <w:iCs w:val="1"/>
          <w:color w:val="auto"/>
        </w:rPr>
        <w:t>The Journal of Reproductive Medicine®</w:t>
      </w:r>
      <w:r>
        <w:rPr>
          <w:rFonts w:ascii="Arial" w:cs="Arial" w:eastAsia="Arial" w:hAnsi="Arial"/>
          <w:sz w:val="17"/>
          <w:szCs w:val="17"/>
          <w:color w:val="auto"/>
        </w:rPr>
        <w:t xml:space="preserv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2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November 2019, we announced positive topline results of our PCT clinical trial of Ovaprene (ClinicalTrials.gov ID: NCT03598088).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jc w:val="both"/>
        <w:ind w:firstLine="607"/>
        <w:spacing w:after="0" w:line="253" w:lineRule="auto"/>
        <w:rPr>
          <w:sz w:val="20"/>
          <w:szCs w:val="20"/>
          <w:color w:val="auto"/>
        </w:rPr>
      </w:pPr>
      <w:r>
        <w:rPr>
          <w:rFonts w:ascii="Arial" w:cs="Arial" w:eastAsia="Arial" w:hAnsi="Arial"/>
          <w:sz w:val="17"/>
          <w:szCs w:val="17"/>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37"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 xml:space="preserve">Ovaprene use did not result in cervicovaginal irritation or adverse effects on resident vaginal microbiota, and did not impact transitions from a Lactobacillus-dominated community state type to an anaerobic, diverse vaginal microbiota community state type IV. Use of Ovaprene resulted in meeting the prespecified criterion for contraceptive effect by all participants during all postcoital test cycles. The safety and PCT results from this study were published in the peer-reviewed journal </w:t>
      </w:r>
      <w:r>
        <w:rPr>
          <w:rFonts w:ascii="Arial" w:cs="Arial" w:eastAsia="Arial" w:hAnsi="Arial"/>
          <w:sz w:val="17"/>
          <w:szCs w:val="17"/>
          <w:i w:val="1"/>
          <w:iCs w:val="1"/>
          <w:color w:val="auto"/>
        </w:rPr>
        <w:t>Contraception</w:t>
      </w:r>
      <w:r>
        <w:rPr>
          <w:rFonts w:ascii="Arial" w:cs="Arial" w:eastAsia="Arial" w:hAnsi="Arial"/>
          <w:sz w:val="17"/>
          <w:szCs w:val="17"/>
          <w:color w:val="auto"/>
        </w:rPr>
        <w:t>, an international reproductive health journal and the official journal of the Society for Family Planning.</w:t>
      </w:r>
    </w:p>
    <w:p>
      <w:pPr>
        <w:spacing w:after="0" w:line="145"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 xml:space="preserve">PCT clinical trials have been used as a surrogate marker for contraceptive effectiveness. Infertility research suggests that higher rates of pregnancy are associated with PMS per HPF of from greater than one to greater than 20 PMS, and less than five PMS per HPF is considered indicative of contraceptive effectiveness. In a peer-reviewed article published in the journal </w:t>
      </w:r>
      <w:r>
        <w:rPr>
          <w:rFonts w:ascii="Arial" w:cs="Arial" w:eastAsia="Arial" w:hAnsi="Arial"/>
          <w:sz w:val="17"/>
          <w:szCs w:val="17"/>
          <w:i w:val="1"/>
          <w:iCs w:val="1"/>
          <w:color w:val="auto"/>
        </w:rPr>
        <w:t>Biology of Reproduction</w:t>
      </w:r>
      <w:r>
        <w:rPr>
          <w:rFonts w:ascii="Arial" w:cs="Arial" w:eastAsia="Arial" w:hAnsi="Arial"/>
          <w:sz w:val="17"/>
          <w:szCs w:val="17"/>
          <w:color w:val="auto"/>
        </w:rPr>
        <w:t xml:space="preserve"> that analyzed the use of PCT studies in the development of vaginal contraceptives, the authors observed, for instance, that Lea’s Shield and the Ortho and Caya diaphragms had 0 PMS/HPF in their respective PCT studies and six-month typical use failure rates in contraceptive effectiveness trials of 8.7, 7.9, and 12.5%, respectively. The article concluded that, although ultimate contraceptive efficacy is influenced by the ease and convenience of use of a product, along with patient compliance, a PCT study of a test product can be predictive of contraceptive effectiveness, and PCT results similar to results seen with products such as Lea’s Shield and the Ortho and Caya diaphragms is the best indicator of likely success of the test product in a contraceptive effectiveness study.</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Pivotal Phase 3 Clinical Study</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Enrollment is ongoing in our pivotal Phase 3 multi-center, single arm, non-comparative clinical study of Ovaprene to evaluate its effectiveness as a contraceptive along with its safety and acceptability (ClinicalTrials.gov ID: NCT06127199). The study aims to enroll sufficient participants to have approximately 250 participants complete approximately 12 months (13 menstrual cycles) of use. Based on typical dropout rates for contraceptive efficacy studies, we may seek to enroll more than double the number of subjects we target to complete 13 menstrual cycles of use. Participants are being recruited and enrolled at five study sites in the U.S. that were initiated in 2025 with the support of grant funding we received in November 2024. We do not anticipate initiating additional study sites.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the submission of a premarket approval application for Ovaprene to the FDA, as well as regulatory filings in Europe and other countries worldwide, to allow for marketing approvals of Ovaprene.</w:t>
      </w:r>
    </w:p>
    <w:p>
      <w:pPr>
        <w:spacing w:after="0" w:line="7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currently anticipate enrollment will be completed in 2026, and plan to provide further updates regarding anticipated enrollment and study completion targets in the second half of this year.</w:t>
      </w:r>
    </w:p>
    <w:p>
      <w:pPr>
        <w:spacing w:after="0" w:line="4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July 2025, the study’s data safety monitoring board (DSMB), an independent group of experts which evaluates the safety and integrity of the study, conducted a planned interim analysis and recommended the study continue without modification. No new safety or tolerability concerns were identified. At the time of the interim analysis, approximately 9% of the women treated in the study had experienced a pregnancy. Approximately 17% of participants discontinued the study due to vaginal odor, the most commonly reported product-related adverse event. No serious safety concerns were identified, and overall tolerability was favorable. As of the interim analysis, approximately 115 participants were ongoing or had completed the study. In accordance with the Investigational Device Exemption for Ovaprene, we provided an annual report to the FDA with data collected from the study through September 15, 2025 regarding safety, tolerability and pregnancy experiences. Such data was consistent with the data analyzed by the DSMB during the July 2025 planned interim analysis.</w:t>
      </w:r>
    </w:p>
    <w:p>
      <w:pPr>
        <w:spacing w:after="0" w:line="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Phase 3 study is being conducted, in part, under our Cooperative Research and Development Agreement, or CRADA, with the U.S. Department of Health and Human Services (HHS), as represented by the Eunice Kennedy Shriver National Institute of Child Health and Human Development's (NICHD), part of the U.S. National Institutes of Health (NIH). Twenty clinical research sites from within NICHD's Contraceptive Clinical Trials Network (CCTN) were trained on the protocol and were initiated to start screening and enrolling participants in late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7"/>
          <w:szCs w:val="17"/>
          <w:color w:val="auto"/>
        </w:rPr>
        <w:t>2023 and early 2024. In the first quarter of 2025, in connection with the change in U.S. presidential administrations and due to uncertainty regarding the future NICHD budget for the CRADA following U.S. federal policy changes and executive orders, we and NICHD agreed to pause recruitment of new participants at all 15 of the CCTN study sites then following enrolled participants to help ensure the CCTN sites would remain active for continued follow-up with those participants. We will not resume recruitment of participants at the CCTN sites. CCTN sites with ongoing subjects are expected to remain open to complete follow-up visits with those participants. The CRADA will expire in accordance with its terms in July 2026. We do not expect the expiration of the CRADA to have a negative impact on the Phase 3 study. See "Strategic Agreements for Pipeline Development—Cooperative Research and Development Agreement with NICHD, below for additional information regarding the CRADA.</w:t>
      </w:r>
    </w:p>
    <w:p>
      <w:pPr>
        <w:spacing w:after="0" w:line="11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 xml:space="preserve">We are collaborating with ADVA-Tec, Inc., or ADVA-Tec, for the development and commercialization of Ovaprene as part of a strategic collaboration announced in March 2017. See "Strategic Agreements for Pipeline Development" below for discussion of the terms of the </w:t>
      </w:r>
      <w:r>
        <w:rPr>
          <w:rFonts w:ascii="Arial" w:cs="Arial" w:eastAsia="Arial" w:hAnsi="Arial"/>
          <w:sz w:val="17"/>
          <w:szCs w:val="17"/>
          <w:color w:val="191C1F"/>
        </w:rPr>
        <w:t>collaboration.</w:t>
      </w:r>
    </w:p>
    <w:p>
      <w:pPr>
        <w:spacing w:after="0" w:line="11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191C1F"/>
        </w:rPr>
        <w:t xml:space="preserve">We previously were also collaborating on Ovaprene with Bayer Healthcare LLC, or Bayer, under a license agreement entered into in January 2020. Under the license agreement, Bayer was supporting the Ovaprene program by providing the equivalent of two experts to advise us in clinical, regulatory, preclinical, commercial, chemistry, manufacturing and controls, and product supply matters, and Bayer had the right to obtain an exclusive license with regard to the commercialization of Ovaprene in the U.S. for human contraception by paying us an additional $20 million fee. </w:t>
      </w:r>
      <w:r>
        <w:rPr>
          <w:rFonts w:ascii="Arial" w:cs="Arial" w:eastAsia="Arial" w:hAnsi="Arial"/>
          <w:sz w:val="17"/>
          <w:szCs w:val="17"/>
          <w:color w:val="000000"/>
        </w:rPr>
        <w:t>We received a</w:t>
      </w:r>
      <w:r>
        <w:rPr>
          <w:rFonts w:ascii="Arial" w:cs="Arial" w:eastAsia="Arial" w:hAnsi="Arial"/>
          <w:sz w:val="17"/>
          <w:szCs w:val="17"/>
          <w:color w:val="191C1F"/>
        </w:rPr>
        <w:t xml:space="preserve"> </w:t>
      </w:r>
      <w:r>
        <w:rPr>
          <w:rFonts w:ascii="Arial" w:cs="Arial" w:eastAsia="Arial" w:hAnsi="Arial"/>
          <w:sz w:val="17"/>
          <w:szCs w:val="17"/>
          <w:color w:val="000000"/>
        </w:rPr>
        <w:t>notice of termination of the license agreement from Bayer in November 2025, and we agreed with Bayer to terminate the license agreement effective December 2, 2025</w:t>
      </w:r>
      <w:r>
        <w:rPr>
          <w:rFonts w:ascii="Arial" w:cs="Arial" w:eastAsia="Arial" w:hAnsi="Arial"/>
          <w:sz w:val="17"/>
          <w:szCs w:val="17"/>
          <w:color w:val="191C1F"/>
        </w:rPr>
        <w:t>. Bayer’s election to terminate the license agreement was due to its strategic prioritization. We do not expect the termination of the</w:t>
      </w:r>
      <w:r>
        <w:rPr>
          <w:rFonts w:ascii="Arial" w:cs="Arial" w:eastAsia="Arial" w:hAnsi="Arial"/>
          <w:sz w:val="17"/>
          <w:szCs w:val="17"/>
          <w:color w:val="000000"/>
        </w:rPr>
        <w:t xml:space="preserve"> </w:t>
      </w:r>
      <w:r>
        <w:rPr>
          <w:rFonts w:ascii="Arial" w:cs="Arial" w:eastAsia="Arial" w:hAnsi="Arial"/>
          <w:sz w:val="17"/>
          <w:szCs w:val="17"/>
          <w:color w:val="191C1F"/>
        </w:rPr>
        <w:t>license agreement to have a material impact on the ongoing pivotal Phase 3 study of Ovaprene.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Sildenafil Cream, 3.6%</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While numerous pharmaceutical products have been developed and approved to treat erectile dysfunction (ED) in men, women continue to lack effective options for female sexual arousal disorder, or FSAD, which is clinically analogous to ED in men. To date, there are no FDA-approved pharmacological treatments for FSAD. Market research conducted in 2015 suggests that approximately 33% of women in the U.S. ages 21 to 60 are not satisfied with their sexual arousal, and half of those women, 16% of women in the U.S. ages 21 to 60, or approximately 10 million women, are distressed from experiencing symptoms associated with FSAD, including lack of or low sexual arousal, and are actively seeking solutions to improve their condition. In comparison, the prevalence of complete ED in men is estimated to be about 5% of men at age 40, increasing to about 15% at age</w:t>
      </w:r>
    </w:p>
    <w:p>
      <w:pPr>
        <w:spacing w:after="0" w:line="2" w:lineRule="exact"/>
        <w:rPr>
          <w:sz w:val="20"/>
          <w:szCs w:val="20"/>
          <w:color w:val="auto"/>
        </w:rPr>
      </w:pPr>
    </w:p>
    <w:p>
      <w:pPr>
        <w:jc w:val="both"/>
        <w:ind w:firstLine="1"/>
        <w:spacing w:after="0" w:line="250" w:lineRule="auto"/>
        <w:tabs>
          <w:tab w:leader="none" w:pos="28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developing Sildenafil Cream, 3.6%, or Sildenafil Cream, an investigational proprietary cream formulation of sildenafil, a phosphodiesterase-5 inhibitor and the active ingredient in the male erectile dysfunction drug Viagra®, for topical administration to the female genitalia for treatment of FSAD. Because, today, there are no treatments approved by the FDA for FSAD, there are no efficacy endpoints that have been previously validated in a Phase 3 pivotal study for potential treatments for FSAD. Our Phase 2b RESPOND clinical study of Sildenafil Cream, which is discussed below, was a first of its kind Phase 2b clinical study that included patient reported outcome (PRO) instruments to screen eligible women and a number of primary, secondary, and exploratory PRO assessments to measure improvement in localized genital sensations of arousal and reduction in the distress that women experience with FSAD. The study enabled us to identify a subgroup of patients who are most likely to benefit from Sildenafil Cream therapy and achieve meaningful improvement in their symptoms.</w:t>
      </w:r>
    </w:p>
    <w:p>
      <w:pPr>
        <w:spacing w:after="0" w:line="14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Based on data from the Phase 2b RESPOND study and feedback from the FDA, we are preparing to advance Sildenafil Cream into a Phase 3 clinical study for the treatment of FSAD. Based on prior communications with the FDA, we currently believe a second confirmatory Phase 3 study will be required to support an NDA submission. We plan to leverage the existing data and established safety profile of sildenafil and the Viagra® brand to utilize the FDA’s 505(b)(2) pathway to obtain marketing approval of Sildenafil Cream in the U.S. for the treatment of women suffering from FSAD. If approved, Sildenafil Cream could be the first FDA-approved FSAD treatment option for women.</w:t>
      </w:r>
    </w:p>
    <w:p>
      <w:pPr>
        <w:spacing w:after="0" w:line="69"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FSAD, as described in the Diagnostic and Statistical Manual of Mental Disorders 4th Edition Text Revision ("DSM IV TR"),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(also described in DSM IV TR), which is characterized primarily by lack or absence of sexual fantasies and desire for sexual activity (also commonly</w:t>
      </w:r>
    </w:p>
    <w:p>
      <w:pPr>
        <w:jc w:val="both"/>
        <w:spacing w:after="0" w:line="264" w:lineRule="auto"/>
        <w:rPr>
          <w:sz w:val="20"/>
          <w:szCs w:val="20"/>
          <w:color w:val="auto"/>
        </w:rPr>
      </w:pPr>
      <w:r>
        <w:rPr>
          <w:rFonts w:ascii="Arial" w:cs="Arial" w:eastAsia="Arial" w:hAnsi="Arial"/>
          <w:sz w:val="17"/>
          <w:szCs w:val="17"/>
          <w:color w:val="auto"/>
        </w:rPr>
        <w:t>referred to as low libido). As with erectile dysfunction in men, FSAD in women is associated with insufficient blood flow to the genitalia. Sildenafil Cream is designed to facilitate vasodilation and increase genital blood flow, and, as a result, to provide improvements in the female genital arousal response, while avoiding systemic side effects observed with oral formulations of sildenafil.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5" w:name="page16"/>
    <w:bookmarkEnd w:id="15"/>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a Phase 1 clinical study conducted by our licensor SST of three escalating doses of topical sildenafil cream (1 g cream with 50 mg sildenafil; 2 g cream with 100 mg sildenafil; and 4 g cream with 200 mg sildenafil) in 20 healthy postmenopausal women using a crossover study design, Sildenafil Cream (then known as SST-6007) demonstrated significantly lower systemic exposure to sildenafil compared to a 100 mg oral sildenafil dose administered to men in a separate clinical study, and was well tolerated at clinically relevant doses (1-2 g cream). Study subjects reported favorable product characteristics: easy to use and readily absorbed. Specifically, the geometric mean maximum plasma concentration of sildenafil in the postmenopausal women in the Phase 1 stucy, after exposure to the 200 mg dose, was 5,262 pg/mL compared to the maximum plasma concentration of sildenafil of 450,000 pg/ML, after exposure to a 100 mg oral dose administered to men in the separate clinical study. Therefore, systemic exposure after the administration of topical sildenafil to postmenopausal women was almost two orders of magnitude lower than seen with oral administration in that separate study. All treatment emergent adverse events were mild, with the most common event being headache, followed by a mild genital burning sensation with product application.</w:t>
      </w:r>
    </w:p>
    <w:p>
      <w:pPr>
        <w:spacing w:after="0" w:line="78"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color w:val="auto"/>
        </w:rPr>
        <w:t>In a Phase 2a, single center, single-dose, double-blind, placebo-controlled, 2-way crossover study conducted by SST, women with FSAD, ages 21 to 60, received a single 2 g dose of Sildenafil Cream (then known as SST 6007). Of the 35 women enrolled, 31 (15 premenopausal and 16 postmenopausal) completed the study. The co-primary objectives were (1) to evaluate the preliminary efficacy of Sildenafil Cream compared to placebo cream in women with FSAD assessed by participant-reported levels of subjective sexual arousal measured continuously by the Arousometer, and (2) to evaluate the effect of Sildenafil Cream compared to a placebo cream on physiological genital response in women with FSAD assessed using the vaginal photoplethysmography amplitude (VPP) and by physiological genital arousal response. Each participant was randomized to the order of use of the placebo cream and Sildenafil Cream in a cross over design. There was a 4-8 day washout between treatments. For each treatment, participants had Arousometer and VPP data collected while viewing a 3-minute neutral, non-erotic film. After the neutral film, the study product was applied and after 5-11 minutes, the participant viewed a 6-minute erotic film with collection of Arousometer and VPP data. There were two different 6-minute erotic films so that the participant did not view the same erotic film with both study product treatments. The VPP data was used to calculate vaginal pulse amplitude (VPA) as a more objective measure of arousal. For the intent to treat population, there was no significant difference in the VPA while viewing the erotic film when participants used Sildenafil Cream versus when they used placebo cream. There was also no significant differences in the VPA when the per protocol population was analyzed by menopausal status (pre versus postmenopausal). Similarly, for the subjective arousal response, measured by the Arousometer, for the intent to treat population, the Arousometer scores were similar when patients viewed the erotic film using Sildenafil Cream versus when they viewed the other erotic film using placebo cream. The results remained not significant when the data was analyzed based on the per protocol population or by menopausal status. Treatment with a single dose of 2 grams of Sildenafil Cream (71 mg sildenafil) applied intravaginally and externally to the labia minora and clitoris in study participants was well tolerated. No serious adverse events (SAEs) were reported. A total of 18 treatment emergent adverse events (TEAEs) were reported, with a similar incidence under Sildenafil Cream treatment (8 events in 4 participants [12.1%]) and under placebo treatment (10 events in 4 participants [12.1%]). The majority of these TEAEs were considered to be related to treatment (14 out of 18). All TEAEs were all mild or moderate in severity; in particular, TEAEs reported under Sildenafil Cream treatment were all mild. Half of the 18 TEAEs reported were in the system organ classification of “Reproductive system and breast disorders”, and events included vaginismus, vulvovaginal burning sensation, vulvovaginal discomfort, and vulvovaginal pain. There were more of these TEAEs under Sildenafil Cream treatment than under placebo (6 and 3, respectively). However, these events were typically transient (lasting less than 1 minute) and resolved without medical attention.</w:t>
      </w:r>
    </w:p>
    <w:p>
      <w:pPr>
        <w:spacing w:after="0" w:line="8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 Phase 1, single-dose, double-blind, placebo-controlled, two-way crossover study to evaluate the feasibility of using thermography to assess the pharmacodynamics (PD) of Sildenafil Cream in normal healthy women was conducted at a single center. During the thermography study, genital temperature, a surrogate for genital blood flow, was 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demonstrated significantly greater increases in genital temperature compared to placebo cream, indicating a positive impact on genital blood flow during the 30-minute post-dosing testing session, with statistical separation from placebo cream within the first 15 minutes after dosing. Additionally, significantly greater self-reported arousal responses were reported during Sildenafil Cream visits compared to placebo cream visits. One postmenopausal subject had a mild vaginal burning sensation following application of both the placebo cream and Sildenafil Cream, which resolved itself and did not require any additional intervention or study withdrawal. One subject had a small laceration to the perineum post coitus, which was unrelated to study treatment and participation, resolved itself, and did not require additional intervention or withdrawal.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jc w:val="both"/>
        <w:ind w:firstLine="607"/>
        <w:spacing w:after="0" w:line="254" w:lineRule="auto"/>
        <w:rPr>
          <w:sz w:val="20"/>
          <w:szCs w:val="20"/>
          <w:color w:val="auto"/>
        </w:rPr>
      </w:pPr>
      <w:r>
        <w:rPr>
          <w:rFonts w:ascii="Arial" w:cs="Arial" w:eastAsia="Arial" w:hAnsi="Arial"/>
          <w:sz w:val="17"/>
          <w:szCs w:val="17"/>
          <w:color w:val="auto"/>
        </w:rPr>
        <w:t>In 2019, as part of our exploratory Phase 2b clinical program for Sildenafil Cream,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exploratory Phase 2b clinical study and future Phase 3 program, including with respect to the patient reported outcome, or PRO, instruments to be used to screen eligible patients with FSAD and to measure achievement of the primary efficacy endpoint in the Phase 2b study.</w:t>
      </w:r>
    </w:p>
    <w:p>
      <w:pPr>
        <w:spacing w:after="0" w:line="13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April 2023, we initiated subject enrollment in a Phase 1, single-dose, double-blind, placebo-controlled, 3-way crossover clinical study of Sildenafil Cream using thermography to assess the PD and pharmacokinetic (PK) characterization of Sildenafil Cream. The study was closed in March 2024. Sildenafil Cream was well tolerated in the study. Among the 13 enrolled participants, two subjects had a mild vaginal burning sensation following application of Sildenafil Cream and placebo cream. One subject had a mild vaginal burning sensation following application of Sildenafil Cream and placebo cream, which resolved itself and did not require any additional intervention or study withdrawal. Three subjects withdrew from the study for asymptomatic orthostatic tachycardia that occurred during the multiple serial blood draws for pharmacokinetics and one subject withdrew due to bacterial vaginosis. Among the 13 enrolled subjects, ten had adequate paired plasma samples from all three treatments to evaluate. Plasma PK of sildenafil following a single topical (applied externally to the pre-specified vulvar area and internally intravaginally) administration of Sildenafil Cream was characterized and findings were similar to those reported in a prior Phase 1 PK study conducted by our licensor SST.</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 xml:space="preserve">In June 2023, we announced topline results from our exploratory Phase 2b RESPOND clinical study of Sildenafil Cream in premenopausal women with FSAD, and in July and November 2023, we announced additional findings based on further analyses of data from the study. In 2024, several peer-reviewed journal articles were published on the study, including efficacy findings in </w:t>
      </w:r>
      <w:r>
        <w:rPr>
          <w:rFonts w:ascii="Arial" w:cs="Arial" w:eastAsia="Arial" w:hAnsi="Arial"/>
          <w:sz w:val="17"/>
          <w:szCs w:val="17"/>
          <w:i w:val="1"/>
          <w:iCs w:val="1"/>
          <w:color w:val="auto"/>
        </w:rPr>
        <w:t>Obstetrics &amp; Gynecology</w:t>
      </w:r>
      <w:r>
        <w:rPr>
          <w:rFonts w:ascii="Arial" w:cs="Arial" w:eastAsia="Arial" w:hAnsi="Arial"/>
          <w:sz w:val="17"/>
          <w:szCs w:val="17"/>
          <w:color w:val="auto"/>
        </w:rPr>
        <w:t xml:space="preserve"> (2024 Aug 144(2):p 144-152), the official journal of the American College of Obstetricians and Gynecologists (ACOG), and safety findings in </w:t>
      </w:r>
      <w:r>
        <w:rPr>
          <w:rFonts w:ascii="Arial" w:cs="Arial" w:eastAsia="Arial" w:hAnsi="Arial"/>
          <w:sz w:val="17"/>
          <w:szCs w:val="17"/>
          <w:i w:val="1"/>
          <w:iCs w:val="1"/>
          <w:color w:val="auto"/>
        </w:rPr>
        <w:t>The Journal of Sexual Medicine</w:t>
      </w:r>
      <w:r>
        <w:rPr>
          <w:rFonts w:ascii="Arial" w:cs="Arial" w:eastAsia="Arial" w:hAnsi="Arial"/>
          <w:sz w:val="17"/>
          <w:szCs w:val="17"/>
          <w:color w:val="auto"/>
        </w:rPr>
        <w:t xml:space="preserve"> (2024 Sep 3;21(9):793-799), the official journal of the International Society for the Study of Women’s Sexual Health (ISSWHS). In February 2024, we presented additional findings from the study at the Annual Meeting of ISSWHS. In addition, efficacy findings from the study were the featured topic of ACOG Green Room Gynecology Podcast in August 2024.</w:t>
      </w:r>
    </w:p>
    <w:p>
      <w:pPr>
        <w:spacing w:after="0" w:line="137"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During the multi-center, double-blind, randomized, placebo-controlled study (ClinicalTrials.gov ID: NCT04948151), subjects used Sildenafil Cream and placebo cream in their home setting over 12 weeks following a 4-week non-drug run-in period and a 4-week, single-blind placebo run-in period. A total of 252 subjects were enrolled in the 4-week single-blind placebo run-in period and a total of 200 subjects were randomized to the 12-week double-blind dosing period. A total of seven subjects were randomized but not treated in the double-blind dosing period. In the intent to treat (ITT) population, 99 subjects were randomized to the Sildenafil Cream group and 94 subjects were randomized to the placebo cream group. A total of 174 participants completed the study (Sildenafil Cream, n=90, placebo cream, n=84). The study did not meet its co-primary or secondary endpoints, which were measured based on the ITT population. Among the ITT population, which included women with only FSAD as well as those with FSAD and concomitant sexual dysfunction diagnoses or genital pain, though the Sildenafil Cream group demonstrated greater improvement in the Sexual Function Questionnaire (SFQ28) Arousal Sensation (AS) Domain scores, there were no statistically significant differences between Sildenafil Cream and placebo cream users in the co-primary and secondary efficacy endpoints. An exploratory post-hoc subset of the ITT population with an enrollment diagnosis of FSAD with or without concomitant decreased desire randomized to Sildenafil Cream reported significant increases in their SFQ28 AS Domain score (LS Mean [SE] 2.03 [0.62]) compared to placebo cream (LS Mean [SE] 0.08 [0.71]), p=0.04. This subset achieved a larger mean improvement in the SFQ28 Desire and Orgasm Domain scores. This subset population also had significantly reduced sexual distress and interpersonal difficulties with Sildenafil Cream use, as measured by Female Sexual Distress Scale-Desire, Arousal, Orgasm (FSDS-DAO) questions 3, 5, and 10 (all p values≤0.04). In summary, Sildenafil Cream improved outcomes among women with FSAD, most significantly in those who did not have concomitant orgasmic dysfunction. In particular, in an exploratory analysis of a subset of women with FSAD with or without concomitant decreased desire, Sildenafil Cream increased sexual arousal sensation, desire, and orgasm and reduced sexual distress.</w:t>
      </w:r>
    </w:p>
    <w:p>
      <w:pPr>
        <w:spacing w:after="0" w:line="14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During the 12-week double-blind dosing period, there were 78 TEAEs reported by 29 of the 99 Sildenafil Cream-assigned participants and 65 TEAEs reported by 28 of the 94 placebo cream-assigned participants (p=0.76). All TEAEs were mild or moderate in severity. The most common treatment-related TEAE among these participants was application site discomfort. There were no differences in the number of treatment-related TEAEs among Sildenafil Cream versus placebo cream users (p&gt;0.99). Four Sildenafil Cream participants and three placebo cream participants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7"/>
          <w:szCs w:val="17"/>
          <w:color w:val="auto"/>
        </w:rPr>
        <w:t>discontinued the study due to TEAEs involving application site discomfort (p&gt;0.99). There were 9 TEAEs reported by 7 of 91 sexual partners exposed to Sildenafil Cream versus 4 TEAEs reported by 4 of 84 sexual partners exposed to placebo cream (p=0.54). These data demonstrate that Sildenafil Cream was well tolerated by exposed users and their sexual partners.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Phase 3 Program</w:t>
      </w:r>
    </w:p>
    <w:p>
      <w:pPr>
        <w:spacing w:after="0" w:line="18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January 2024, we announced the successful completion of an end-of-Phase 2 meeting with the FDA. We and the FDA aligned on key elements of the Phase 3 program to support an NDA filing, including confirming that FSAD is acceptable as an indication, the clinical trials can be conducted in a premenopausal-only FSAD population, and 12-weeks of blinded treatment to assess efficacy may be acceptable, provided that the trials are adequately powered for efficacy assessment. This is a shorter period of blinded treatment than the 24 weeks recommended in the FDA's 2016 draft guidance for industry on developing drugs for the treatment of low sexual interest, desire and/or arousal in women.</w:t>
      </w:r>
    </w:p>
    <w:p>
      <w:pPr>
        <w:spacing w:after="0" w:line="13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December 2024, we announced plans for a Phase 3 study of Sildenafil Cream reflecting further FDA feedback for safety and efficacy evaluations to support the indication of treatment of FSAD in premenopausal women. Consistent with the Phase 2b RESPOND study, the planned Phase 3 study will include a 12-week, double-blind treatment period evaluating Sildenafil Cream compared to placebo cream in patients with FSAD with or without concomitant decreased desire. The currently planned Phase 3 study will have co-primary efficacy endpoints- one assessing arousal sensations and one assessing associated distress. The SFQ28 Arousal Sensation Domain endpoint used in the Phase 2b RESPOND study will also be used in the planned Phase 3 study. The question used to assess distress is anticipated to be from the same FSDS-DAO questionnaire used in the Phase 2b RESPOND study, but may be a different question about interpersonal difficulty. In addition, secondary efficacy endpoints to assess improvement in orgasm, desire, and distress and interpersonal difficulties will be included in the Phase 3 study, as they were in the Phase 2b RESPOND study. Based on prior communications with the FDA, we currently believe a second confirmatory Phase 3 study will be required to support an NDA submission.</w:t>
      </w:r>
    </w:p>
    <w:p>
      <w:pPr>
        <w:spacing w:after="0" w:line="142"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April 2025, we received additional input and information requests from the FDA regarding our patient reported outcomes (PRO) psychometrics for the Phase 3 study. The PRO psychometrics analysis has bearing on efficacy endpoint selection and the statistical analysis plan for the Phase 3 study. We submitted additional requested information to the FDA in the second quarter of 2025 related to the FSDS-DAO questions. Pending additional feedback from the FDA, the timing of which is uncertain, and alignment with the FDA on the protocol and statistical analysis plan, we cannot determine whether our prior estimate of capital required to conduct the Phase 3 studies is appropriate. We do not plan to conduct the Phase 3 study until after we achieve alignment with the FDA on the protocol and statistical analysis plan and secure the capital required to conduct the Phase 3 study based on such protocol and statistical analysis plan. We do not anticipate initiating the first Phase 3 study in 2026 and cannot at this time reasonably predict when the study will commence.</w:t>
      </w:r>
    </w:p>
    <w:p>
      <w:pPr>
        <w:spacing w:after="0" w:line="15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are developing Sildenafil Cream with SST under our license and collaboration agreement announced in February 2018. See “Strategic Agreements for Pipeline Development” below for discussion of the terms of this collaboration.</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DARE-HRT1</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DARE-HRT1 is a unique intravaginal ring, or IVR, designed to deliver bio-identical 17β-estradiol and bio-identical progesterone continuously over a 28-day period as part of a menopausal hormone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 Hormone therapy is considered the most effective treatment for vasomotor symptoms, or VMS, commonly referred to as hot flashes, and the genitourinary syndrome of menopause, or GSM, and it has been shown to prevent bone loss and fracture.</w:t>
      </w:r>
    </w:p>
    <w:p>
      <w:pPr>
        <w:spacing w:after="0" w:line="150"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Following clinical development, we intend to leverage the large body of existing safety and efficacy data on estradiol and progesterone, the active ingredients in DARE-HRT1, to utilize the FDA's 505(b)(2) pathway to obtain marketing approval in the U.S. of DARE-HRT1 for the treatment of moderate-to-severe VMS due to menopause in women with intact uteri. Based on pre-IND communications with the FDA and the PK data from our Phase 1/2 clinical trial of DARE-HRT1, which is discussed below, we believe FDA approval of DARE-HRT1 for that indication is achievable via the FDA's 505(b)(2) pathway supported by a single, placebo-controlled Phase 3 clinical trial of DARE-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7"/>
          <w:szCs w:val="17"/>
          <w:color w:val="auto"/>
        </w:rPr>
        <w:t>HRT1, with safety evaluations out to 12 months, and a scientifically justified PK “bridge” (via a relative bioavailability trial) between DARE-HRT1 and the selected listed estradiol and progesterone drugs. We are conducting activities necessary to enable submission of an IND application to the FDA for a pivotal Phase 3 clinical study of DARE-HRT1. We do not plan to conduct the Phase 3 study until after we secure additional capital.</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There are currently no FDA-approved IVRs that deliver bio-identical progesterone in combination with bio-identical estradiol. As such, DARE-HRT1 has the potential to be a first-in-category product that offers monthly convenience for women, and non-oral concurrent dosing of bio-identical progesterone in combination with bio-identical estradiol.</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In January 2023, data from our Phase 1 clinical trial of DARE-HRT1 conducted by our wholly owned subsidiary in Australia were published in </w:t>
      </w:r>
      <w:r>
        <w:rPr>
          <w:rFonts w:ascii="Arial" w:cs="Arial" w:eastAsia="Arial" w:hAnsi="Arial"/>
          <w:sz w:val="17"/>
          <w:szCs w:val="17"/>
          <w:i w:val="1"/>
          <w:iCs w:val="1"/>
          <w:color w:val="auto"/>
        </w:rPr>
        <w:t xml:space="preserve">Menopause: The Journal of The North American Menopause Society, </w:t>
      </w:r>
      <w:r>
        <w:rPr>
          <w:rFonts w:ascii="Arial" w:cs="Arial" w:eastAsia="Arial" w:hAnsi="Arial"/>
          <w:sz w:val="17"/>
          <w:szCs w:val="17"/>
          <w:color w:val="auto"/>
        </w:rPr>
        <w:t>or the</w:t>
      </w:r>
      <w:r>
        <w:rPr>
          <w:rFonts w:ascii="Arial" w:cs="Arial" w:eastAsia="Arial" w:hAnsi="Arial"/>
          <w:sz w:val="17"/>
          <w:szCs w:val="17"/>
          <w:i w:val="1"/>
          <w:iCs w:val="1"/>
          <w:color w:val="auto"/>
        </w:rPr>
        <w:t xml:space="preserve"> Menopause </w:t>
      </w:r>
      <w:r>
        <w:rPr>
          <w:rFonts w:ascii="Arial" w:cs="Arial" w:eastAsia="Arial" w:hAnsi="Arial"/>
          <w:sz w:val="17"/>
          <w:szCs w:val="17"/>
          <w:color w:val="auto"/>
        </w:rPr>
        <w:t>journal, in an article entitled, “Evaluation of 28-day estradiol</w:t>
      </w:r>
      <w:r>
        <w:rPr>
          <w:rFonts w:ascii="Arial" w:cs="Arial" w:eastAsia="Arial" w:hAnsi="Arial"/>
          <w:sz w:val="17"/>
          <w:szCs w:val="17"/>
          <w:i w:val="1"/>
          <w:iCs w:val="1"/>
          <w:color w:val="auto"/>
        </w:rPr>
        <w:t xml:space="preserve"> </w:t>
      </w:r>
      <w:r>
        <w:rPr>
          <w:rFonts w:ascii="Arial" w:cs="Arial" w:eastAsia="Arial" w:hAnsi="Arial"/>
          <w:sz w:val="17"/>
          <w:szCs w:val="17"/>
          <w:color w:val="auto"/>
        </w:rPr>
        <w:t>and progesterone vaginal rings in a phase 1 clinical pharmacokinetic study” (30(4):p 427-436, April 2023). We previously announced positive topline results from the study in June 2021. The randomized, open-label, three-arm, parallel group trial evaluated the PK and safety of DARE-HRT1 in approximately 30 healthy, postmenopausal women with intact uteri, and was conducted by our wholly-owned Australian subsidiary at two specialty women's health sites in Australia. Women in the first arm received one IVR designed to release 17β-estradiol (E2) at a rate of 80 μg/d and progesterone (P4) at 4 mg/d, or the 80/4 IVR. Women in the second arm received one IVR designed to release E2 at a rate of 160 μg/d and P4 at 8 mg/d, or the 160/8 IVR. Women in the third arm received oral Estrofem® (1 mg E2) and oral Prometrium® (100 mg P4) both daily for 29 days. The primary objective of the study was to describe the PK parameters of the 80/4 IVR and the 160/8 IVR. Secondary endpoints of the study were to assess the safety and tolerability of the IVRs and compare the systemic exposure of E2, estrone, and P4 in the IVR groups with the oral group. Blood samples were taken predose then intensively over the first day (Day 1) and periodically thereafter over the remaining 27 days. After removal of the IVRs on the morning of Day 29, intensive samples were collected. Similar procedures were conducted with women enrolled in the oral group.</w:t>
      </w:r>
    </w:p>
    <w:p>
      <w:pPr>
        <w:spacing w:after="0" w:line="13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journal article concluded that the 80/4 IVR and the 160/8 IVR gave similar steady-state concentrations of E2 as seen with drug products approved by the FDA for treatment of VMS and genitourinary symptoms of menopause, and that the E2 concentrations of the study support the potential of DARE-HRT1 as a new option for hormone therapy for treatment of VMS and vaginal symptoms associated with menopause. The IVRs were well tolerated, and no SAEs were reported.</w:t>
      </w:r>
    </w:p>
    <w:p>
      <w:pPr>
        <w:spacing w:after="0" w:line="142"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DARE-HRT1 has also been evaluated in a Phase 1/2 clinical trial conducted by our wholly owned subsidiary in Australia. The randomized, open-label, two-arm, parallel group Phase 1/2 study of DARE-HRT1 was designed to evaluate the PK of the same two versions of DARE-HRT1 as were evaluated in our earlier Phase 1 clinical study, the 80/4 IVR and the 160/8 IVR, in approximately 20 healthy, postmenopausal women with intact uteri. In the study, women were randomized (1:1) to either the 80/4 IVR or the 160/8 IVR and used DARE-HRT1 for three 28-day cycles, inserting a new IVR monthly. The study also collected safety, usability, acceptability and symptom-relief data, including VMS as well as the vaginal symptoms of menopause. Preliminary GSM treatment efficacy was estimated by measuring changes from baseline in vaginal pH, vaginal maturation index (VMI), and changes in the severity of GSM symptoms. Preliminary systemic VMS efficacy was measured by changes in responses to the Menopause-Specific Quality of Life (MENQOL) questionnaire. Acceptability was assessed by product experience surveys.</w:t>
      </w:r>
    </w:p>
    <w:p>
      <w:pPr>
        <w:spacing w:after="0" w:line="140"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 xml:space="preserve">In 2023, data from the Phase 1/2 study of DARE-HRT1 were published in the </w:t>
      </w:r>
      <w:r>
        <w:rPr>
          <w:rFonts w:ascii="Arial" w:cs="Arial" w:eastAsia="Arial" w:hAnsi="Arial"/>
          <w:sz w:val="17"/>
          <w:szCs w:val="17"/>
          <w:i w:val="1"/>
          <w:iCs w:val="1"/>
          <w:color w:val="auto"/>
        </w:rPr>
        <w:t>Menopause</w:t>
      </w:r>
      <w:r>
        <w:rPr>
          <w:rFonts w:ascii="Arial" w:cs="Arial" w:eastAsia="Arial" w:hAnsi="Arial"/>
          <w:sz w:val="17"/>
          <w:szCs w:val="17"/>
          <w:color w:val="auto"/>
        </w:rPr>
        <w:t xml:space="preserve"> journal in articles entitled, “A phase 1/2, open-label, parallel group study to evaluate the safety and pharmacokinetics of DARE-HRT1 (80 μg estradiol/4 mg progesterone and 160 μg estradiol/8 mg progesterone intravaginal rings) over 12 weeks in healthy postmenopausal women” (</w:t>
      </w:r>
      <w:r>
        <w:rPr>
          <w:rFonts w:ascii="Arial" w:cs="Arial" w:eastAsia="Arial" w:hAnsi="Arial"/>
          <w:sz w:val="17"/>
          <w:szCs w:val="17"/>
          <w:i w:val="1"/>
          <w:iCs w:val="1"/>
          <w:color w:val="auto"/>
        </w:rPr>
        <w:t>Menopause</w:t>
      </w:r>
      <w:r>
        <w:rPr>
          <w:rFonts w:ascii="Arial" w:cs="Arial" w:eastAsia="Arial" w:hAnsi="Arial"/>
          <w:sz w:val="17"/>
          <w:szCs w:val="17"/>
          <w:color w:val="auto"/>
        </w:rPr>
        <w:t xml:space="preserve"> 30(8):p 817-823, August 2023) and “A phase 1/2, open-label, parallel group study to evaluate the preliminary efficacy and usability of DARE-HRT1 (80 μg estradiol/4 mg progesterone and 160 μg estradiol/8 mg progesterone intravaginal rings) over 12 weeks in healthy postmenopausal women” (</w:t>
      </w:r>
      <w:r>
        <w:rPr>
          <w:rFonts w:ascii="Arial" w:cs="Arial" w:eastAsia="Arial" w:hAnsi="Arial"/>
          <w:sz w:val="17"/>
          <w:szCs w:val="17"/>
          <w:i w:val="1"/>
          <w:iCs w:val="1"/>
          <w:color w:val="auto"/>
        </w:rPr>
        <w:t>Menopause</w:t>
      </w:r>
      <w:r>
        <w:rPr>
          <w:rFonts w:ascii="Arial" w:cs="Arial" w:eastAsia="Arial" w:hAnsi="Arial"/>
          <w:sz w:val="17"/>
          <w:szCs w:val="17"/>
          <w:color w:val="auto"/>
        </w:rPr>
        <w:t xml:space="preserve"> 30(9):p 940-946, September 2023).</w:t>
      </w:r>
    </w:p>
    <w:p>
      <w:pPr>
        <w:spacing w:after="0" w:line="13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first article (</w:t>
      </w:r>
      <w:r>
        <w:rPr>
          <w:rFonts w:ascii="Arial" w:cs="Arial" w:eastAsia="Arial" w:hAnsi="Arial"/>
          <w:sz w:val="17"/>
          <w:szCs w:val="17"/>
          <w:i w:val="1"/>
          <w:iCs w:val="1"/>
          <w:color w:val="auto"/>
        </w:rPr>
        <w:t>Menopause</w:t>
      </w:r>
      <w:r>
        <w:rPr>
          <w:rFonts w:ascii="Arial" w:cs="Arial" w:eastAsia="Arial" w:hAnsi="Arial"/>
          <w:sz w:val="17"/>
          <w:szCs w:val="17"/>
          <w:color w:val="auto"/>
        </w:rPr>
        <w:t xml:space="preserve"> 30(8):p 817-823, August 2023) found that both versions of DARE-HRT1 evaluated in the Phase 1/2 study released E2 in systemic concentrations, which were in the low, normal premenopausal early folicular range and that systemic P4 concentrations were all in the normal post ovulatory range, which predicts endometrial protection. All TEAEs were mild or moderate and were distributed similarly among the 80/4 IVR and the 160/8 IVR users. The second article (</w:t>
      </w:r>
      <w:r>
        <w:rPr>
          <w:rFonts w:ascii="Arial" w:cs="Arial" w:eastAsia="Arial" w:hAnsi="Arial"/>
          <w:sz w:val="17"/>
          <w:szCs w:val="17"/>
          <w:i w:val="1"/>
          <w:iCs w:val="1"/>
          <w:color w:val="auto"/>
        </w:rPr>
        <w:t>Menopause</w:t>
      </w:r>
      <w:r>
        <w:rPr>
          <w:rFonts w:ascii="Arial" w:cs="Arial" w:eastAsia="Arial" w:hAnsi="Arial"/>
          <w:sz w:val="17"/>
          <w:szCs w:val="17"/>
          <w:color w:val="auto"/>
        </w:rPr>
        <w:t xml:space="preserve"> 30(9):p 940-946, September 2023) found that (a) preliminary local GSM treatment efficacy was supported by significant decreases in vaginal pH and percentage (%) parabasal cells, and significant increases in the overall VMI and % superficial cells for both DARE-HRT1 groups (all P</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7"/>
          <w:szCs w:val="17"/>
          <w:color w:val="auto"/>
        </w:rPr>
        <w:t>values &lt;0.01) and (b) preliminary VMS efficacy was supported by significant decreases in all domains of the MENQOL questionnaire from baseline for both dosing groups (all P values &lt;0.01). Both articles concluded that data from the Phase 1/2 study support further development of DARE-HRT1 for the treatment of menopausal symptoms.</w:t>
      </w:r>
    </w:p>
    <w:p>
      <w:pPr>
        <w:spacing w:after="0" w:line="12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are developing DARE-HRT1 under our license agreement with Catalent JNP, Inc. See “Strategic Agreements for Pipeline Development” below for discussion of the terms of that agreement.</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DARE-HPV</w:t>
      </w:r>
    </w:p>
    <w:p>
      <w:pPr>
        <w:spacing w:after="0" w:line="171"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DARE-HPV (formerly referred to as R-131-2 and DARE-CIN) is an investigational, proprietary fixed-dose formulation of lopinavir and ritonavir in a soft gel vaginal insert, which we plan to develop for the treatment of genital human papillomavirus (HPV) infection in women as well as treatment of cervical intraepithelial neoplasia, or CIN (also known as cervical dysplasia), and other HPV-related pathologies. CIN is a precancerous condition in women strongly linked to HPV infection, the most common sexually transmitted infection in the U.S. Disease severity is classified on a scale from one to three based on how much epithelial tissue in the cervix has abnormal cells. Essentially all cervical cancers worldwide are caused by infection with one of 14 carcinogenic, or “high-risk” HPV types. While HPV vaccination continues to be a key tool, we believe HPV treatments will also continue to be a key pillar in cervical cancer prevention due to suboptimal vaccine uptake and because the vaccine doesn’t cover all strains of high-risk HPV. While most HPV infections resolve spontaneously, millions of women experience persistent high-risk HPV infection. There is no FDA-approved treatment for HPV infection and no non-surgical pharmaceutical intervention to treat CIN2 or CIN3 (collectively referred to as CIN2+). Today, the standard of care does not treat the virus. Instead, women with persistent high-risk HPV infection are monitored through repeated screening. Intervention typically occurs only after late-stage cervical lesions develop, often requiring surgical procedures such as excisional or ablative treatments of cervical tissue. Current surgical procedures to treat cervical dysplasia are invasive and can adversely impact future pregnancies. We believe a non-surgical, self-administered localized pharmaceutical approach that targets the virus itself rather than waiting for cellular changes to develop has the potential to redefine the treatment paradigm in cervical disease prevention.</w:t>
      </w:r>
    </w:p>
    <w:p>
      <w:pPr>
        <w:spacing w:after="0" w:line="8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October 2024, we announced that we were selected by the Advanced Research Projects Agency for Health (ARPA-H), part of HHS, to receive up to $10 million in milestone-based payments over approximately two years to support the development of DARE-HPV, including commencement of a Phase 2 clinical study to evaluate the safety and preliminary efficacy of DARE-HPV for the clearance of high-risk HPV infection in women. For more information about this funding, see Note 15, “Grant Awards," to our consolidated financial statements included in this report. To date, we have received $7.5 million of the ARPA-H award.</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February 2026, we announced FDA clearance of our IND application for a Phase 2 clinical study of DARE-HPV to evaluate the safety and antiviral activity of DARE-HPV in women with persistent high-risk HPV infection. The planned Phase 2 study is expected to be supported by ARPA-H award funding. We will provide additional details regarding the Phase 2 study design and anticipated timelines for study initiation, which we are preparing for 2026, in the coming months.</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An earlier non-optimized formulation of the same two active pharmaceutical ingredients in DARE-HPV was previously evaluated in 23 non-pregnant, healthy, premenopausal, HIV un-infected Kenyan women with CIN2 or CIN3 in an open-label, proof-of-concept clinical study with all women receiving a 4:1 (133 mg lopinavir and 33 mg ritonavir) oral tablet (Lopimune) which is FDA approved for the treatment of human immunodeficiency virus (HIV), but dosed vaginally twice daily for 14 days in this study. There were no SAEs. The most common TEAEs were headache (3/23, 13%) followed by vaginal irritation (2/23, 8.7%); nausea (2/23, 8.7%); feeling faint/dizziness (2/23, 8.7%), abnormal vaginal discharge (2/23 8.7%); and abdominal pains (1/23 4.3%). In total, 5/23 or 21.7% of study subjects experienced some form of minor complaint within the first month of taking Lopimune as described. The results demonstrated its potential as a self-applied therapy for HPV infection and related cervical lesions. The proof-of-concept study is published in the Public Library of Science (PLoS) One. DARE-HPV was also previously evaluated in 12 healthy, non-pregnant, premenopausal women without high-risk HPV or CIN. Participants inserted one tablet vaginally daily for 21 days. Participants reported the amount of vaginal or vulvar irritation they experienced daily using a Likert scale ranging from 0 (none) to 1 (mild, does not require medical attention) to 2 (moderate, requires medical attention) to 3 (severe, requires medical attention and results in study medication being stopped). The mean daily vaginal irritation score was 1.47 ± 1.29 for active product users (n=8) versus 1.40 ± 0.9 for placebo product users (n=4).</w:t>
      </w:r>
    </w:p>
    <w:p>
      <w:pPr>
        <w:spacing w:after="0" w:line="137"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are developing DARE-HPV under our license agreement with Douglas Pharmaceuticals, Limited. See "Strategic Agreements for Pipeline Development" below for discussion of the terms of that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0" w:name="page21"/>
    <w:bookmarkEnd w:id="20"/>
    <w:p>
      <w:pPr>
        <w:ind w:left="600"/>
        <w:spacing w:after="0"/>
        <w:rPr>
          <w:sz w:val="20"/>
          <w:szCs w:val="20"/>
          <w:color w:val="auto"/>
        </w:rPr>
      </w:pPr>
      <w:r>
        <w:rPr>
          <w:rFonts w:ascii="Arial" w:cs="Arial" w:eastAsia="Arial" w:hAnsi="Arial"/>
          <w:sz w:val="17"/>
          <w:szCs w:val="17"/>
          <w:b w:val="1"/>
          <w:bCs w:val="1"/>
          <w:i w:val="1"/>
          <w:iCs w:val="1"/>
          <w:u w:val="single" w:color="auto"/>
          <w:color w:val="auto"/>
        </w:rPr>
        <w:t>DARE-VVA1</w:t>
      </w:r>
    </w:p>
    <w:p>
      <w:pPr>
        <w:spacing w:after="0" w:line="171"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DARE-VVA1 is a proprietary investigational formulation of tamoxifen in a soft gelatin capsule for intravaginal administration. We are developing DARE-VVA1 as a hormone-free alternative to estrogen-based therapies for the treatment of moderate-to-severe dyspareunia, or pain during sexual intercourse, a symptom of GSM (formerly called vulvar and vaginal atrophy or vulvovaginal atrophy (VVA)). Tamoxifen is a well-known and well-characterized selective estrogen receptor modulator, or SERM. Tamoxifen has unique properties that produce different effects (estrogen agonist or estrogen antagonist) in different types of tissues. In breast tissue, tamoxifen acts as an estrogen antagonist, meaning that it can inhibit estrogen's effect at the tissue level and hence why it may be effective in treating hormone-receptor positive (HR+) breast cancer. However, in other tissue, including vaginal tissue, tamoxifen has been reported to elicit an estrogen-like response. This has the potential to have a favorable effect on vaginal cytology and atrophy. GSM is an inflammation and thinning of the vaginal epithelium due to chronic hypo-estrogenism, which is the reduction in levels of circulating estrogen. Typical symptoms include vaginal dryness, itching and burning, and dyspareunia. GSM is a common condition in postmenopausal women and women with, or with a history of, HR+ breast cancer who received anti-cancer therapy. The prevalence of GSM in postmenopausal women is over 50% and survey data indicate only 56% of women experiencing menopausal vaginal changes discuss these symptoms with healthcare professionals, indicating that the syndrome is often underdiagnosed. Commonly used therapies for GSM are estrogen-based and are often contraindicated in HR+ breast cancer patients, or patients with a genetic predisposition or history of familial disease, because of the concern that estrogen use will promote recurrence or occurrence of disease. We believe there is a clear unmet medical need for an effective non-hormonal treatment for moderate-to-severe dyspareunia, a symptom of GSM .</w:t>
      </w:r>
    </w:p>
    <w:p>
      <w:pPr>
        <w:spacing w:after="0" w:line="14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December 2023, we announced FDA clearance of our IND application for DARE-VVA1, which was supported by results from our Phase 1/2 clinical study of DARE-VVA1 (discussed below), and we are conducting activities in preparation for a Phase 2 randomized, double-blinded, placebo-controlled, dose-finding clinical study of DARE-VVA1 for moderate-to-severe dyspareunia. At the conclusion of our development program, if successful, we intend to leverage the existing safety and efficacy data for tamoxifen to utilize the FDA’s 505(b)(2) pathway to obtain marketing approval of DARE-VVA1 in the U.S. We do not plan to conduct the Phase 2 study until after we secure additional capital.</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8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An exploratory study of vaginal administration of tamoxifen in four healthy postmenopausal women diagnosed with VVA published in </w:t>
      </w:r>
      <w:r>
        <w:rPr>
          <w:rFonts w:ascii="Arial" w:cs="Arial" w:eastAsia="Arial" w:hAnsi="Arial"/>
          <w:sz w:val="17"/>
          <w:szCs w:val="17"/>
          <w:i w:val="1"/>
          <w:iCs w:val="1"/>
          <w:color w:val="auto"/>
        </w:rPr>
        <w:t>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Experimental Obstetrics &amp; Gynecology </w:t>
      </w:r>
      <w:r>
        <w:rPr>
          <w:rFonts w:ascii="Arial" w:cs="Arial" w:eastAsia="Arial" w:hAnsi="Arial"/>
          <w:sz w:val="17"/>
          <w:szCs w:val="17"/>
          <w:color w:val="auto"/>
        </w:rPr>
        <w:t>(2019, 46(2), 285-288) demonstrated that tamoxifen self-administered intravaginally for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clinically benefited women with symptoms of VVA without significant systemic absorption of the study drug. In the open-label prospective cohort study with no placebo arm, participants were instructed to self-administer a vaginal suppository containing tamoxifen (20 mg) daily for one week and twice weekly for three months. Overall, the study drug was well tolerated. The primary efficacy endpoints evaluated normalization of vaginal pH and improvement of vaginal dryness. Vaginal pH and dryness scores using a visual analog scale were recorded at enrollment and subsequent assessments were recorded using self-assessment questionnaires over a three-month period. Both vaginal pH and vaginal dryness symptoms showed significant improvement after three months compared to baseline, with an approximately 30% improvement in vaginal pH scores and an approximately 63% improvement in vaginal dryness scores. The secondary endpoint was the measurement of tamoxifen concentrations after eight weeks of vaginal tamoxifen administration. When measured after eight weeks on the study treatment, serum tamoxifen levels were negligible, 5.8 ng/ml (median), with a range of 1.0 to 10.0 ng/ml. In comparison, after three months of once daily administration of oral dose of 20-mg tamoxifen, Nolvadex® (tamoxifen citrate) tablets, the average steady state plasma concentration of tamoxifen is 122 ng/ml (range of 71 to 183 ng/ml).</w:t>
      </w:r>
    </w:p>
    <w:p>
      <w:pPr>
        <w:spacing w:after="0" w:line="20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DARE-VVA1 has also been evaluated in a Phase 1/2 clinical study conducted by our wholly-owned subsidiary in Australia. The randomized, multi-center, double-blind, parallel-arm, placebo-controlled, dose-ranging study enrolled 17 postmenopausal women with moderate-to-severe VVA and evaluated the safety, tolerability, plasma PK and PD of DARE-VVA1. The age of the 17 study participants ranged from 49 to 68 years, with an average age of 60.9 years. Participants were randomly allocated to one of five treatment groups (approximately four participants per group) that evaluated four dose levels of DARE-VVA1 (1 mg, 5 mg, 10 mg, and 20 mg tamoxifen) and a placebo. Following a screening visit, DARE-VVA1 was self-administered by study participants intravaginally once a day for the first two weeks, and then twice a week for the following six weeks for a total treatment period of 56 days. In each treatment group, participants had serial blood sampling for PK analysis and underwent safety evaluations and preliminary assessments of effectiveness. Following the completion of the treatment period, participants attended a safety follow -up visit. Fourteen participants completed the study. The primary endpoints of the study evaluated the safety and tolerability of DARE-VVA1 by vaginal administration and determined the plasma PK of DARE-VVA1 after intravaginal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1" w:name="page22"/>
    <w:bookmarkEnd w:id="21"/>
    <w:p>
      <w:pPr>
        <w:jc w:val="both"/>
        <w:spacing w:after="0" w:line="281" w:lineRule="auto"/>
        <w:rPr>
          <w:sz w:val="20"/>
          <w:szCs w:val="20"/>
          <w:color w:val="auto"/>
        </w:rPr>
      </w:pPr>
      <w:r>
        <w:rPr>
          <w:rFonts w:ascii="Arial" w:cs="Arial" w:eastAsia="Arial" w:hAnsi="Arial"/>
          <w:sz w:val="17"/>
          <w:szCs w:val="17"/>
          <w:color w:val="auto"/>
        </w:rPr>
        <w:t>application. Secondary endpoints evaluated preliminary efficacy and PD of DARE-VVA1 in terms of the most bothersome vaginal symptom and changes in vaginal cytology and pH.</w:t>
      </w:r>
    </w:p>
    <w:p>
      <w:pPr>
        <w:spacing w:after="0" w:line="111" w:lineRule="exact"/>
        <w:rPr>
          <w:sz w:val="20"/>
          <w:szCs w:val="20"/>
          <w:color w:val="auto"/>
        </w:rPr>
      </w:pPr>
    </w:p>
    <w:p>
      <w:pPr>
        <w:jc w:val="both"/>
        <w:ind w:firstLine="607"/>
        <w:spacing w:after="0" w:line="265" w:lineRule="auto"/>
        <w:rPr>
          <w:sz w:val="20"/>
          <w:szCs w:val="20"/>
          <w:color w:val="auto"/>
        </w:rPr>
      </w:pPr>
      <w:r>
        <w:rPr>
          <w:rFonts w:ascii="Arial" w:cs="Arial" w:eastAsia="Arial" w:hAnsi="Arial"/>
          <w:sz w:val="16"/>
          <w:szCs w:val="16"/>
          <w:color w:val="auto"/>
        </w:rPr>
        <w:t>Data from the study were published in Climacteric, the official journal of the International Menopause Society, in an article entitled, “Pharmacokinetics, safety and preliminary pharmacodynamic evaluation of DARE-VVA1: a soft gelatin capsule containing tamoxifen for the treatment of vulvovaginal atrophy” (2023, 26(5), 479-488). The article concluded that DARE-VVA1 resulted in minimal systemic exposure to tamoxifen. Adverse events were mild to moderate in severity and distributed similarly among the DARE-VVA1 and placebo groups. Of the 15 participants who reported at least one TEAE, nine reported a TEAE related to the reproductive system, with vulvovaginal discomfort (n=5 participant reports) and vulvovaginal pruritus (n=4 participants reports) being the most common organ system preferred term. The mean local erythema scores for all visits, for all dosing groups, were in the none\absent (0) to mild (1) range, with a few outliers in the moderate (2) grading, with no discernible pattern or correlation to group. All endometrial width measurements assessed with transvaginal ultrasound were normal at baseline and at 57 days of treatment, with the maximum measurement not exceeding 4.0 mm. Plasma tamoxifen concentrations were highest among women using DARE-VVA1 20 mg, but the maximum mean (standard deviation) plasma tamoxifen concentrations on day 1 and day 56 of the treatment period were less than 14% of those measured after one oral tamoxifen dose. The article also concluded that preliminary efficacy data support further development of DARE-VVA1. The article found that DARE-VVA1 users had significant decreases from pre-treatment baseline in vaginal pH and proportion of vaginal parabasal cells (p = 0.04 for both endpoints). Plasma tamoxifen concentrations were significantly and negatively correlated with vaginal pH (Spearman R = -0.51, p&lt;0.01) and % vaginal parabasal cells (Spearman R = -0.53, p&lt;0.01). Plasma tamoxifen concentrations were significantly and positively correlated with % vaginal superficial cells (Spearman R = 0.45, p&lt;0.01), % vaginal intermediate cells (Spearman R = 0.45, p &lt;0.01) and total vaginal maturation index (VMI) (Spearman R</w:t>
      </w:r>
    </w:p>
    <w:p>
      <w:pPr>
        <w:spacing w:after="0" w:line="1" w:lineRule="exact"/>
        <w:rPr>
          <w:sz w:val="20"/>
          <w:szCs w:val="20"/>
          <w:color w:val="auto"/>
        </w:rPr>
      </w:pPr>
    </w:p>
    <w:p>
      <w:pPr>
        <w:ind w:firstLine="1"/>
        <w:spacing w:after="0" w:line="261" w:lineRule="auto"/>
        <w:tabs>
          <w:tab w:leader="none" w:pos="169" w:val="left"/>
        </w:tabs>
        <w:numPr>
          <w:ilvl w:val="0"/>
          <w:numId w:val="9"/>
        </w:numPr>
        <w:rPr>
          <w:rFonts w:ascii="Arial" w:cs="Arial" w:eastAsia="Arial" w:hAnsi="Arial"/>
          <w:sz w:val="17"/>
          <w:szCs w:val="17"/>
          <w:color w:val="auto"/>
        </w:rPr>
      </w:pPr>
      <w:r>
        <w:rPr>
          <w:rFonts w:ascii="Arial" w:cs="Arial" w:eastAsia="Arial" w:hAnsi="Arial"/>
          <w:sz w:val="17"/>
          <w:szCs w:val="17"/>
          <w:color w:val="auto"/>
        </w:rPr>
        <w:t>0.62, p&lt;0.01). Women randomized to use DARE-VVA1 10 mg or DARE-VVA1 20 mg experienced the largest treatment impact. The severity of vaginal dryness and dyspareunia decreased significantly from baseline with DARE-VVA1 use (p = 0.02 for both endpoints).</w:t>
      </w:r>
    </w:p>
    <w:p>
      <w:pPr>
        <w:spacing w:after="0" w:line="140"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acquired the DARE-VVA1 program through our acquisition of Pear Tree Pharmaceuticals in 2018. See "Strategic Agreements for Pipeline Development" below for discussion of that merger agreement and related license agreements.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DARE-PDM1</w:t>
      </w:r>
    </w:p>
    <w:p>
      <w:pPr>
        <w:spacing w:after="0" w:line="13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DARE-PDM1 is an investigational proprietary hydrogel formulation of diclofenac for vaginal administration designed to treat primary dysmenorrhea. DARE-PDM1 utilizes our proprietary hydrogel technology (the same technology utilized for XACIATO) to vaginally deliver the active pharmaceutical ingredient, diclofenac, a nonsteroidal anti-inflammatory drug (NSAID), in a novel way for the treatment of primary dysmenorrhea. Primary dysmenorrhea is defined as painful menstruation in girls and women with normal pelvic anatomy, typically described as cramping pain in the low back or lower abdomen before or during the menstrual period. Oral NSAIDs, such as diclofenac, are often recommended for temporary relief from the painful symptoms of primary dysmenorrhea. Because there are currently no FDA-approved vaginal diclofenac treatment options for primary dysmenorrhea, DARE-PDM1 has the potential to be a first-in-category product, delivering diclofenac in a convenient vaginal format that may extend the duration of pain relief and reduce the risks associated with the oral delivery of NSAIDs. According to the American College of Obstetricians and Gynecologists’ Committee on Adolescent Health Care, dysmenorrhea is the most common menstrual symptom among adolescent girls and young women, and most adolescents experiencing dysmenorrhea have primary dysmenorrhea. Prevalence rates of dysmenorrhea vary but range from 50% to 90%.</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Clinical Data</w:t>
      </w:r>
    </w:p>
    <w:p>
      <w:pPr>
        <w:spacing w:after="0" w:line="133"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DARE-PDM1 has been evaluated in a Phase 1 clinical study, DARE-PDM1-001, conducted by our wholly-owned subsidiary in Australia. DARE-PDM1-001 was a multi-center, randomized, placebo-controlled, double-blind, three-arm parallel group study that enrolled approximately 42 healthy, premenopausal women with symptomatic primary dysmenorrhea. This study was designed to assess the systemic (plasma) and local mucosal (vaginal fluid) diclofenac PK and safety after a single dose and during three daily doses of vaginally administered DARE-PDM1, given in two different strengths (1% or 3% diclofenac in 2.5 mL of hydrogel) versus placebo (vaginal hydrogel, no active ingredient). The study also assessed, as an exploratory endpoint, the preliminary dysmenorrhea treatment efficacy of DARE-PDM1, when dosed in three daily doses at the onset of dysmenorrhea symptoms, compared to a no-treatment, baseline, control cycle. The study observation period encompassed approximately three menstrual cycles.</w:t>
      </w:r>
    </w:p>
    <w:p>
      <w:pPr>
        <w:spacing w:after="0" w:line="57"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Participants received 1% diclofenac (n=14), 3% diclofenac (n=14) or placebo (n=14). All 42 participants completed the nine study visits. The data indicate that the study treatment was well-tolerated, and TEAE profiles were comparable between the DARE-PDM1 treatment groups and the placebo group. There were no differences in the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7"/>
          <w:szCs w:val="17"/>
          <w:color w:val="auto"/>
        </w:rPr>
        <w:t>frequency of reported TEAEs (P=0.41) or treatment related TEAEs (P=0.13) between the 1% and 3% diclofenac strengths, and placebo groups. All TEAEs were mild or moderate in severity. No SAEs were reported, and no TEAEs led to study drug discontinuation or study discontinuation. There were two adverse drug reactions in the 1% diclofenac strength group which included mild vomiting and a mild burning sensation in the lower abdomen. There was a slightly higher frequency of TEAEs reported by participants in the 1% and 3% diclofenac strength groups compared to participants in the placebo group; these were not statistically significant. Three participants (21.4%) and four participants (28.6%) in the 1% and 3% diclofenac strength groups, respectively, reported a total of nine treatment related TEAEs. Gastrointestinal symptoms were the most common treatment related TEAE. Eight of the nine total treatment related TEAEs reported during the study were considered to be mild in severity. One participant in the 3% diclofenac strength group experienced a moderate treatment related TEAE of nausea.</w:t>
      </w:r>
    </w:p>
    <w:p>
      <w:pPr>
        <w:spacing w:after="0" w:line="11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vaginal fluid PK results exhibited dose proportionality for the 1% and 3% diclofenac strengths of the DARE-PDM1 study treatment. Additionally, the vaginal fluid PK results demonstrated that for approximately 75% (21/28) of the women in the DARE-PDM1 treatment groups the product was retained in the vaginal canal through 24 hours. The plasma PK results similarly exhibited dose proportionality for the 1% and 3% diclofenac strengths of the DARE-PDM1 study treatment. Plasma levels of diclofenac were at peak plasma concentrations within 3-4 hours for both diclofenac strengths of the DARE-PDM1 study treatment, and diclofenac was no longer detectable in the plasma by 48 hours post study treatment for the majority of subjects in the study. The plasma PK results for both DARE-PDM1 treatment groups indicate that vaginal dosing could result in systemic exposure which is approximately 1,000 times less than that seen from oral use of diclofenac.</w:t>
      </w:r>
    </w:p>
    <w:p>
      <w:pPr>
        <w:spacing w:after="0" w:line="9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exploratory endpoint that evaluated the preliminary efficacy of DARE-PDM1 versus placebo in reducing dysmenorrhea-associated pain showed a promising signal, with a statistically significant decrease in pelvic/vaginal and lower back pain scores in the 1% diclofenac DARE-PDM1 treatment group compared to the placebo group, as well as a decrease in pain scores in the 3% diclofenac DARE-PDM1 treatment group. Additionally, while most participants used at least one non-pharmacologic pain relief method (e.g., heating pad) for dysmenorrhea-associated pain during the no-treatment, baseline, control cycle, the proportion of participants who used at least one non-pharmacologic pain relief method for dysmenorrhea-associated pain decreased significantly in the DARE-PDM1 treatment groups during the dosing period, but not in the placebo group. There was no difference in the exploratory assessment of frequency of use of rescue medications in the treatment phase between the three groups.</w:t>
      </w:r>
    </w:p>
    <w:p>
      <w:pPr>
        <w:spacing w:after="0" w:line="112"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believe the results of the Phase 1 study support continued clinical development of DARE-PDM1 as a treatment for primary dysmenorrhea. At the conclusion of the development program, if successful, we intend to leverage the existing safety and efficacy data for diclofenac to utilize the FDA's 505(b)(2) pathway to obtain marketing approval of DARE-PDM1 in the U.S.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are developing DARE-PDM1 under our agreements with TriLogic Pharma, LLC, MilanaPharm LLC and Hammock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See "Strategic Agreements for Pipeline Development" below for discussion of those agreements.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DARE-204 and DARE-214</w:t>
      </w:r>
    </w:p>
    <w:p>
      <w:pPr>
        <w:spacing w:after="0" w:line="95"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DARE-204 and DARE-214 are formulations of etonogestrel designed to provide contraception over 6-month and 12-month periods, respectively. These product candidates are being developed as a sub-cutaneous injectable, longer-acting, reversible method of contraception with a more predictable return to fertility. We plan to conduct Phase 1 clinical studies of DARE-204 and DARE-214 in Australia through our wholly-owned subsidiary in Australia. Additional manufacturing activities are necessary to commence the Phase 1 studies and these activities have not commenced. If we exercise our option and enter into an exclusive worldwide license agreement for DARE-204 and/or DARE-214, at the conclusion of these development programs, if successful, we intend to leverage the existing safety and efficacy data for etonogestrel to utilize the FDA's 505(b)(2) pathway to obtain marketing approval in the U.S.</w:t>
      </w:r>
    </w:p>
    <w:p>
      <w:pPr>
        <w:spacing w:after="0" w:line="11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are developing DARE-204 and DARE-214 under our development and option agreement with Adare Pharmaceuticals USA, Inc. See "Strategic Agreements for Pipeline Development" below for discussion of the terms of that agreement.</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DARE-FRT1 and DARE-PTB1</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DARE-FRT1 and DARE-PTB1 are IVRs designed to release bio-identical progesterone continuously for up to 14 days. DARE-FRT1 is being developed for luteal phase support as part of an in vitro fertilization, or IVF, treatment plan. DARE-PTB1 is being developed for the prevention of preterm birth. DARE-FRT1 and DARE-PTB1 use the same IVR technology platform as utilized for DARE-HRT1 and DARE to RECLAIM. We are conducting development activities to support IND submissions and Phase 1 clinical studies of these product candidates. We have a Small Business Innovation Research (SBIR) grant award from the NIH to support a Phase 1 study of DARE-PTB1, but do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7"/>
          <w:szCs w:val="17"/>
          <w:color w:val="auto"/>
        </w:rPr>
        <w:t>not plan to conduct the Phase 1 studies until after we secure additional capital. At the conclusion of these development programs, if successful, we intend to leverage the existing safety and efficacy data for progesterone to utilize the FDA’s 505(b)(2) pathway to obtain marketing approval of DARE-FRT1 and DARE-PTB1 in the U.S.</w:t>
      </w:r>
    </w:p>
    <w:p>
      <w:pPr>
        <w:spacing w:after="0" w:line="12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are developing DARE-FRT1 and DARE-PTB1 under our license agreement with Catalent JNP, Inc. See "Strategic Agreements for Pipeline Development" below for discussion of the terms of that agreement.</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Casea 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Casea S is an investigational biodegradable contraceptive implant. Casea S is designed to control release of a well-characterized contraceptive, etonogestrel, for a set period of time (18-24 months) before dissolving. It is designed to provide women with a long-acting, minimally-invasive contraceptive method that will not require surgical removal by a healthcare provider, which would improve convenience and could eliminate one of the barriers to use associated with existing implanted contraceptives. Casea S is being tested in a single-center, two-part Phase 1 clinical study to evaluate the PK of etonogestrel, removability, safety, and tolerability of Casea S pellets inserted subdermally in healthy women of reproductive age (ClinicalTrials.gov ID: NCT05174884). The ongoing Phase 1 study is being conducted by FHI 360, a nonprofit organization, with support from a grant award. There are no development costs to us at this time.</w:t>
      </w:r>
    </w:p>
    <w:p>
      <w:pPr>
        <w:spacing w:after="0" w:line="7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February 2025, we entered into a co-development and licensing agreement with Theramex for the development of Casea S in the U.S. If we determine that the results from the Phase 1 study are positive and elect to proceed with development, we would be responsible for conducting a Phase 2 study in the U.S., In accordance with our agreement, the costs of such Phase 2 study would be shared by us and Theramex on terms to be agreed upon, taking into account the size of the opportunity for Casea S in our respective markets. See "Strategic Agreements for Pipeline Development" below for discussion of the terms of that agreement.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 Pre-Clinical Stage Programs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pre-clinical stage programs include:</w:t>
      </w:r>
    </w:p>
    <w:p>
      <w:pPr>
        <w:spacing w:after="0" w:line="108" w:lineRule="exact"/>
        <w:rPr>
          <w:sz w:val="20"/>
          <w:szCs w:val="20"/>
          <w:color w:val="auto"/>
        </w:rPr>
      </w:pPr>
    </w:p>
    <w:p>
      <w:pPr>
        <w:ind w:left="1220" w:hanging="309"/>
        <w:spacing w:after="0" w:line="281" w:lineRule="auto"/>
        <w:tabs>
          <w:tab w:leader="none" w:pos="1216"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DARE-LARC1</w:t>
      </w:r>
      <w:r>
        <w:rPr>
          <w:rFonts w:ascii="Arial" w:cs="Arial" w:eastAsia="Arial" w:hAnsi="Arial"/>
          <w:sz w:val="17"/>
          <w:szCs w:val="17"/>
          <w:color w:val="auto"/>
        </w:rPr>
        <w:t>, a contraceptive implant delivering levonorgestrel with a woman-centered design that has the potential to be a long-acting, yet convenient and user-controlled contraceptive option;</w:t>
      </w:r>
    </w:p>
    <w:p>
      <w:pPr>
        <w:spacing w:after="0" w:line="47" w:lineRule="exact"/>
        <w:rPr>
          <w:rFonts w:ascii="Arial" w:cs="Arial" w:eastAsia="Arial" w:hAnsi="Arial"/>
          <w:sz w:val="17"/>
          <w:szCs w:val="17"/>
          <w:b w:val="1"/>
          <w:bCs w:val="1"/>
          <w:color w:val="auto"/>
        </w:rPr>
      </w:pPr>
    </w:p>
    <w:p>
      <w:pPr>
        <w:ind w:left="1200" w:hanging="289"/>
        <w:spacing w:after="0"/>
        <w:tabs>
          <w:tab w:leader="none" w:pos="12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DARE-RH1</w:t>
      </w:r>
      <w:r>
        <w:rPr>
          <w:rFonts w:ascii="Arial" w:cs="Arial" w:eastAsia="Arial" w:hAnsi="Arial"/>
          <w:sz w:val="17"/>
          <w:szCs w:val="17"/>
          <w:color w:val="auto"/>
        </w:rPr>
        <w:t>, a novel approach to non-hormonal contraception for both men and women by targeting the CatSper ion channel; and</w:t>
      </w:r>
    </w:p>
    <w:p>
      <w:pPr>
        <w:spacing w:after="0" w:line="107" w:lineRule="exact"/>
        <w:rPr>
          <w:rFonts w:ascii="Arial" w:cs="Arial" w:eastAsia="Arial" w:hAnsi="Arial"/>
          <w:sz w:val="17"/>
          <w:szCs w:val="17"/>
          <w:b w:val="1"/>
          <w:bCs w:val="1"/>
          <w:color w:val="auto"/>
        </w:rPr>
      </w:pPr>
    </w:p>
    <w:p>
      <w:pPr>
        <w:ind w:left="1220" w:hanging="309"/>
        <w:spacing w:after="0" w:line="281"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DARE-PTB2</w:t>
      </w:r>
      <w:r>
        <w:rPr>
          <w:rFonts w:ascii="Arial" w:cs="Arial" w:eastAsia="Arial" w:hAnsi="Arial"/>
          <w:sz w:val="17"/>
          <w:szCs w:val="17"/>
          <w:color w:val="auto"/>
        </w:rPr>
        <w:t>, a novel approach for the prevention and treatment of idiopathic preterm birth through inhibition of a stress response</w:t>
      </w:r>
      <w:r>
        <w:rPr>
          <w:rFonts w:ascii="Arial" w:cs="Arial" w:eastAsia="Arial" w:hAnsi="Arial"/>
          <w:sz w:val="17"/>
          <w:szCs w:val="17"/>
          <w:b w:val="1"/>
          <w:bCs w:val="1"/>
          <w:color w:val="auto"/>
        </w:rPr>
        <w:t xml:space="preserve"> </w:t>
      </w:r>
      <w:r>
        <w:rPr>
          <w:rFonts w:ascii="Arial" w:cs="Arial" w:eastAsia="Arial" w:hAnsi="Arial"/>
          <w:sz w:val="17"/>
          <w:szCs w:val="17"/>
          <w:color w:val="auto"/>
        </w:rPr>
        <w:t>protein.</w:t>
      </w:r>
    </w:p>
    <w:p>
      <w:pPr>
        <w:spacing w:after="0" w:line="14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DARE-LARC1, our potential user-controlled, long-acting reversible contraceptive, is designed to store and precisely deliver hundreds of therapeutic doses of the contraceptive levonorgestrel over a period of years and to be controlled by the user, without further intervention by a healthcare provider. DARE-LARC1’s woman-centered design seeks to offer the benefits of traditional long-acting reversible contraceptives with the added flexibility and convenience for the user to pause and resume release of levonorgestrel, depending on her desire for fertility or contraceptive protection. Under a grant agreement we entered into in June 2021, as amended, we may receive up to approximately $ 49.0 million to advance development of the technology through nonclinical proof of principle studies to enable an IND submission. As of the date of this report, we have received payments totaling approximately $41.8 million under the grant agreement, the term of which was recently extended to December 31, 2027. Additional payments are contingent upon the DARE-LARC1 program's achievement of development and reporting milestones specified in the grant agreement.</w:t>
      </w:r>
    </w:p>
    <w:p>
      <w:pPr>
        <w:spacing w:after="0" w:line="17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refer to the technology underlying DARE-LARC1 as our intelligent drug delivery system, or DARE-IDDS, platform. We believe DARE-IDDS has broad potential application beyond contraception in therapeutic areas that currently rely on frequent injections or daily oral dosing, and we are exploring strategic collaboration discussions to expand evaluation of DARE-IDDS for uses outside of reproductive health.</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do not have established marketing, sales or distribution infrastructure or capabilities. In order to commercialize any of our product candidates that would be a new drug, medical device, or drug-device combination product if approved for commercial sale by the FDA or comparable foreign regulatory authorities, we must either establish a sales and marketing organization with technical expertise and supporting distribution capabilities or collaborate with third-parties that have sales and marketing experience. Our approach is to develop an appropriate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7"/>
          <w:szCs w:val="17"/>
          <w:color w:val="auto"/>
        </w:rPr>
        <w:t>commercialization strategy for each of our product candidates based on the size of the market opportunity, the level of competition and the anticipated complexity of the launch. As we move our product candidates through preclinical and clinical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Organon, which has established marketing, sales and distribution capabilities for prescription products in women's health, has global commercial rights to XACIATO under our exclusive license agreement. We expect to continue to evaluate each product opportunity and pursue the commercialization strategy that we believe will maximize the return on our assets in and outside of the U.S. for our stockholders. We have engaged third parties to assist in commercial planning and other commercial readiness activities for our product candidates and intend to continue to do so, as needed.</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below for a discussion of the terms of our exclusive out-license agreement with Organon.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do not own or operate, nor do we expect to own or operate, facilities for manufacturing, storage and distribution, or testing of our product candidates. We rely on third parties to supply and manufacture our product candidates and other materials necessary to conduct pre-clinical testing, clinical trials and other activities required for regulatory approval of our product candidates, and expect to continue to do so in the future. In addition, to the extent our commercialization strategy for any future approved product requires that we undertake commercial supply obligations, we intend to rely on contract manufacturers and suppliers for manufacture, storage, distribution and testing of our finished commercial products and their respective components, including the active pharmaceutical ingredients, or API. These arrangements require less upfront capital expenditure and allow us to maintain a smaller and more flexible infrastructure.</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terms of our license agreement with Organon, Organon is responsible for the manufacture and distribution of XACIATO.</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Under our agreement with ADVA-Tec, ADVA-Tec is responsible for providing all clinical trial and commercial supplies of Ovaprene, either directly or through a CMO, and except under limited circumstances, we may not obtain supplies of Ovaprene from any source other than ADVA-Tec or its CMO and licensor, Poly-Med, Inc. Other than our agreement with ADVA-Tec, we have no long-term arrangements for the production or supply of our product candidates or the materials required to produce them.</w:t>
      </w:r>
    </w:p>
    <w:p>
      <w:pPr>
        <w:spacing w:after="0" w:line="129"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For Phase 3 clinical development of Sildenafil Cream and, if approved, for marketing and sale, currently, we plan to obtain clinical supplies from a single source CMO.</w:t>
      </w:r>
    </w:p>
    <w:p>
      <w:pPr>
        <w:spacing w:after="0" w:line="11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expect that our current arrangements will meet our foreseeable needs for clinical trial materials or, generally, that alternative supply sources will be readily available. However, we may experience manufacturing and supply delays and disruptions in the event we need to engage alternative supply sources, as well as in connection with our current CMOs scaling up production to meet our clinical supply requirements for later stage clinical studies. In addition, some key raw materials or components of our clinical-stage product candidates, including Ovaprene and Sildenafil Cream, have only a single source of supply and alternative supply sources may not be readily available. Global supply chain disruptions, including those related to recent and ongoing geopolitical events, may contribute to manufacturing and supply delays. See ITEM 1A. "RISK FACTORS – Risks Related to Product Research &amp; Development and Regulatory Approval –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below.</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Agreements for Pipeline Development</w:t>
      </w:r>
    </w:p>
    <w:p>
      <w:pPr>
        <w:spacing w:after="0" w:line="23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following is a summary of certain rights and obligations under our strategic agreements and describes expenses incurred during 2025 and our future payment or potential future payment obligations thereunder.</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Theramex Co-Development and License Agreement</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February 2025, we entered into a co-development and licensing agreement with Theramex for an investigational biodegradable contraceptive implant called Casea S recently acquired by Theramex. Under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7"/>
          <w:szCs w:val="17"/>
          <w:color w:val="auto"/>
        </w:rPr>
        <w:t>agreement, we received a royalty-free, exclusive, fully paid up, sublicensable license to the U.S. patents Theramex recently acquired for Casea S. We paid a minimal fee to Theramex in connection with entering into the agreement. There are no development costs to us at this time. If we determine that the results from the ongoing Phase 1 clinical study are positive and elect to proceed with development, we would be responsible for conducting a Phase 2 study in the U.S. In accordance with our agreement, the costs of such Phase 2 study, and the costs of a future Phase 3 study in the U.S., would be shared by us and Theramex on terms to be agreed upon, taking into account the size of the opportunity for Casea S in our respective markets. If we do not elect to proceed with development after reviewing the results from the Phase 1 study, we may terminate the agreement upon notice to Theramex.</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Douglas License Agreement / The University of Manchester Stand-by Direct License Arrangement</w:t>
      </w:r>
    </w:p>
    <w:p>
      <w:pPr>
        <w:spacing w:after="0" w:line="20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August 2023, we entered into a license agreement with Douglas Pharmaceuticals Limited, or Douglas, under which we acquired the exclusive rights to develop and commercialize a lopinavir and ritonavir combination soft gel vaginal insert for the treatment of CIN and other HPV-related pathologies, and an agreement with The University of Manchester, pursuant to which The University of Manchester consented to Douglas' sublicense to us of certain rights it previously granted to Douglas and agreed to grant us a direct license to such rights if its license agreement with Douglas is terminated. As a result of these agreements, we commenced our DARE-HPV program. Under our agreement with Douglas, we received an exclusive, royalty-bearing license to research, develop and commercialize the licensed intellectual property in the United States for the treatment or prevention of all indications for women in female reproductive health. We are entitled to sublicense the rights granted to us under the agreement.</w:t>
      </w:r>
    </w:p>
    <w:p>
      <w:pPr>
        <w:spacing w:after="0" w:line="17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We agreed to make potential future milestone payments to Douglas of (1) up to $5.25 million in the aggregate upon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achieving certain development and regulatory milestones, which may be paid in shares of our common stock, in our sole discretion subject to specified limitations, and (2) up to $64.0 million in the aggregate upon achieving certain commercial sales milestones for each product covered by the licenses granted under the agreement.</w:t>
      </w:r>
    </w:p>
    <w:p>
      <w:pPr>
        <w:spacing w:after="0" w:line="129" w:lineRule="exact"/>
        <w:rPr>
          <w:sz w:val="20"/>
          <w:szCs w:val="20"/>
          <w:color w:val="auto"/>
        </w:rPr>
      </w:pPr>
    </w:p>
    <w:p>
      <w:pPr>
        <w:jc w:val="both"/>
        <w:ind w:firstLine="607"/>
        <w:spacing w:after="0" w:line="258" w:lineRule="auto"/>
        <w:rPr>
          <w:sz w:val="20"/>
          <w:szCs w:val="20"/>
          <w:color w:val="auto"/>
        </w:rPr>
      </w:pPr>
      <w:r>
        <w:rPr>
          <w:rFonts w:ascii="Arial" w:cs="Arial" w:eastAsia="Arial" w:hAnsi="Arial"/>
          <w:sz w:val="17"/>
          <w:szCs w:val="17"/>
          <w:i w:val="1"/>
          <w:iCs w:val="1"/>
          <w:color w:val="auto"/>
        </w:rPr>
        <w:t xml:space="preserve">Royalty Payments. </w:t>
      </w:r>
      <w:r>
        <w:rPr>
          <w:rFonts w:ascii="Arial" w:cs="Arial" w:eastAsia="Arial" w:hAnsi="Arial"/>
          <w:sz w:val="17"/>
          <w:szCs w:val="17"/>
          <w:color w:val="auto"/>
        </w:rPr>
        <w:t>Douglas is eligible to receive tiered royalties in low single-digit to low double-digit percentages based on annual net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processes covered by the licenses granted under the agreement.</w:t>
      </w:r>
    </w:p>
    <w:p>
      <w:pPr>
        <w:ind w:left="600"/>
        <w:spacing w:after="0"/>
        <w:rPr>
          <w:sz w:val="20"/>
          <w:szCs w:val="20"/>
          <w:color w:val="auto"/>
        </w:rPr>
      </w:pPr>
      <w:r>
        <w:rPr>
          <w:rFonts w:ascii="Arial" w:cs="Arial" w:eastAsia="Arial" w:hAnsi="Arial"/>
          <w:sz w:val="17"/>
          <w:szCs w:val="17"/>
          <w:i w:val="1"/>
          <w:iCs w:val="1"/>
          <w:color w:val="auto"/>
        </w:rPr>
        <w:t xml:space="preserve">Efforts. </w:t>
      </w:r>
      <w:r>
        <w:rPr>
          <w:rFonts w:ascii="Arial" w:cs="Arial" w:eastAsia="Arial" w:hAnsi="Arial"/>
          <w:sz w:val="17"/>
          <w:szCs w:val="17"/>
          <w:color w:val="auto"/>
        </w:rPr>
        <w:t>We must use commercially reasonable efforts to develop and introduce to market at least one product or process.</w:t>
      </w:r>
    </w:p>
    <w:p>
      <w:pPr>
        <w:spacing w:after="0" w:line="16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Unless earlier terminated, the agreement expires upon the expiration of the last-to -expire royalty term. In addition to customary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rights for both parties, we may elect to terminate the agreement at any time, with or without cause, upon advance written notice to Douglas, and Douglas may terminate the agreement if we materially fail to fulfill diligence requirements with respect to product development.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Hennepin License Agreement</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August 2022, we entered into a license agreement with Hennepin Life Sciences LLC, or Hennepin, under which we acquired the exclusive global rights to develop and commercialize treatments delivering the novel antimicrobial glycerol monolaurate (GML) intravaginally for a variety of health conditions including bacterial, fungal, and viral infections. As a result of this license agreement, we commenced our DARE-GML program. Under the agreement, we received an exclusive, worldwide, royalty-bearing license to research, develop and commercialize the licensed technology. We are entitled to sublicense the rights granted to us under the agreement.</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We agreed to make potential future development and sales milestone payments of (1) up to $6.25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upon achieving certain development and regulatory milestones, and (2) up to $45.0 million in the aggregate upon achieving certain commercial sales milestones for each product covered by the licenses granted under the agreement, which may be paid, in our sole discretion, in cash or shares of our common stock.</w:t>
      </w:r>
    </w:p>
    <w:p>
      <w:pPr>
        <w:spacing w:after="0" w:line="14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 xml:space="preserve">Royalty Payments. </w:t>
      </w:r>
      <w:r>
        <w:rPr>
          <w:rFonts w:ascii="Arial" w:cs="Arial" w:eastAsia="Arial" w:hAnsi="Arial"/>
          <w:sz w:val="17"/>
          <w:szCs w:val="17"/>
          <w:color w:val="auto"/>
        </w:rPr>
        <w:t>Hennepin is eligible to receive tiered royalties in low single-digit to low double-digit percentages based on worldwide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of products and processes covered by the licenses granted under the agreement.</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Efforts. </w:t>
      </w:r>
      <w:r>
        <w:rPr>
          <w:rFonts w:ascii="Arial" w:cs="Arial" w:eastAsia="Arial" w:hAnsi="Arial"/>
          <w:sz w:val="17"/>
          <w:szCs w:val="17"/>
          <w:color w:val="auto"/>
        </w:rPr>
        <w:t>We must use commercially reasonable efforts to develop and introduce to market at least one product.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6" w:name="page27"/>
    <w:bookmarkEnd w:id="26"/>
    <w:p>
      <w:pPr>
        <w:jc w:val="both"/>
        <w:ind w:firstLine="607"/>
        <w:spacing w:after="0" w:line="259" w:lineRule="auto"/>
        <w:rPr>
          <w:sz w:val="20"/>
          <w:szCs w:val="20"/>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Unless earlier terminated, the agreement expires in its entirety upon the last to expire royalty term. In addition to customary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for both parties, we may elect to terminate the agreement at any time, with or without cause, on a country-by-country basis, and Hennepin may terminate the agreement if we do not undertake any development work with respect to the licensed intellectual property for five consecutive years from the date of the agreement.</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Cooperative Research and Development Agreement with NICHD</w:t>
      </w:r>
    </w:p>
    <w:p>
      <w:pPr>
        <w:spacing w:after="0" w:line="171"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6"/>
          <w:szCs w:val="16"/>
          <w:color w:val="auto"/>
        </w:rPr>
        <w:t>In July 2021, we entered into a CRADA with the U.S. Department of Health and Human Services (HHS), as represented by NICHD, part of the NIH, for the conduct of a pivotal Phase 3 clinical study of Ovaprene. Pursuant to the terms of the CRADA, we are responsible for providing clinical supplies of Ovaprene, coordinating interactions with the FDA, preparing and submitting supportive regulatory documentation, and providing a total of $5.5 million to NICHD to be applied toward the costs of conducting the Phase 3 study, all of which had been paid as of September 30, 2024. Unless earlier terminated, the CRADA will expire in accordance with its terms in July 2026.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MBI Acquisition</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November 2019, we acquired Dare MB Inc. (formerly, Microchips Biotech, Inc.), or MBI, to secure the rights to develop a long-acting reversible contraception method that a woman can turn on or off herself, according to her own needs. This candidate is now known as DARE-LARC1 and an enhanced version of the drug delivery technology underlying DARE-LARC1 is now known as our intelligent drug delivery system platform, DARE-IDDS.</w:t>
      </w:r>
    </w:p>
    <w:p>
      <w:pPr>
        <w:spacing w:after="0" w:line="12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3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June 2021, a total of $1.25 million of the contingent consideration became payable upon the achievement of certain of the funding and product development milestone events. In accordance with the terms of the merger agreement with MBI, $75,000 of the amount payable was paid in cash and the balance was paid in shares of our common stock.</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TriLogic and MilanaPharm License Agreement / Hammock Assignment Agreement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December 2018, we entered into (a) an Assignment Agreement with Hammock Pharmaceuticals, Inc., or the Assignment Agreement, and</w:t>
      </w:r>
    </w:p>
    <w:p>
      <w:pPr>
        <w:spacing w:after="0" w:line="23" w:lineRule="exact"/>
        <w:rPr>
          <w:sz w:val="20"/>
          <w:szCs w:val="20"/>
          <w:color w:val="auto"/>
        </w:rPr>
      </w:pPr>
    </w:p>
    <w:p>
      <w:pPr>
        <w:jc w:val="both"/>
        <w:ind w:firstLine="1"/>
        <w:spacing w:after="0" w:line="251" w:lineRule="auto"/>
        <w:tabs>
          <w:tab w:leader="none" w:pos="2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7"/>
          <w:szCs w:val="17"/>
          <w:color w:val="auto"/>
        </w:rPr>
        <w:t>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we entered into amendments to each of the Assignment Agreement and License Amendment. In September 2021, we entered into a second amendment to the License Agreement. In 2022, in connection with entering into our exclusive license agreement with Organon, we entered into a consent, waiver and stand-by license agreement with TriLogic, MilanaPharm and Organon, which further amended the License Agreement.</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terms of the License Amendment, as amended:</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We paid MilanaPharm $500,000 in connection with the first commercial sale in the United States of XACIATO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fourth quarter of 2023. We may pay up to $250,000 upon the first commercial sale in the United States of successive licensed products for each vaginal or urological use. In addition, upon achievement of $50.0 million in cumulative worldwide net sales of licensed products, we must pay $1.0 million to MilanaPharm.</w:t>
      </w:r>
    </w:p>
    <w:p>
      <w:pPr>
        <w:spacing w:after="0" w:line="129"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Foreign Sublicense Income</w:t>
      </w:r>
      <w:r>
        <w:rPr>
          <w:rFonts w:ascii="Arial" w:cs="Arial" w:eastAsia="Arial" w:hAnsi="Arial"/>
          <w:sz w:val="17"/>
          <w:szCs w:val="17"/>
          <w:color w:val="auto"/>
        </w:rPr>
        <w:t>. MilanaPharm is eligible to receive a low double-digit percentage of all income received by us or our affiliates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sublicense granted to a third party for use outside of the United States, subject to certain exclusions.</w:t>
      </w:r>
    </w:p>
    <w:p>
      <w:pPr>
        <w:spacing w:after="0" w:line="12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 xml:space="preserve">Royalty Payments. </w:t>
      </w:r>
      <w:r>
        <w:rPr>
          <w:rFonts w:ascii="Arial" w:cs="Arial" w:eastAsia="Arial" w:hAnsi="Arial"/>
          <w:sz w:val="17"/>
          <w:szCs w:val="17"/>
          <w:color w:val="auto"/>
        </w:rPr>
        <w:t>During the royalty term, MilanaPharm is eligible to receive high single-digit to low double-digit royalties based on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4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Efforts</w:t>
      </w:r>
      <w:r>
        <w:rPr>
          <w:rFonts w:ascii="Arial" w:cs="Arial" w:eastAsia="Arial" w:hAnsi="Arial"/>
          <w:sz w:val="17"/>
          <w:szCs w:val="17"/>
          <w:color w:val="auto"/>
        </w:rPr>
        <w:t>. We must use commercially reasonable efforts and resources to (1) develop and commercialize at least one licensed product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2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i w:val="1"/>
          <w:iCs w:val="1"/>
          <w:color w:val="auto"/>
        </w:rPr>
        <w:t xml:space="preserve">Term. </w:t>
      </w:r>
      <w:r>
        <w:rPr>
          <w:rFonts w:ascii="Arial" w:cs="Arial" w:eastAsia="Arial" w:hAnsi="Arial"/>
          <w:sz w:val="17"/>
          <w:szCs w:val="17"/>
          <w:color w:val="auto"/>
        </w:rPr>
        <w:t>Unless earlier terminated, the license term continues until (1) on a licensed product-by-product (or process-by-process basis) and</w:t>
      </w:r>
      <w:r>
        <w:rPr>
          <w:rFonts w:ascii="Arial" w:cs="Arial" w:eastAsia="Arial" w:hAnsi="Arial"/>
          <w:sz w:val="17"/>
          <w:szCs w:val="17"/>
          <w:i w:val="1"/>
          <w:iCs w:val="1"/>
          <w:color w:val="auto"/>
        </w:rPr>
        <w:t xml:space="preserve"> </w:t>
      </w:r>
      <w:r>
        <w:rPr>
          <w:rFonts w:ascii="Arial" w:cs="Arial" w:eastAsia="Arial" w:hAnsi="Arial"/>
          <w:sz w:val="17"/>
          <w:szCs w:val="17"/>
          <w:color w:val="auto"/>
        </w:rPr>
        <w:t>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terms of the Assignment Agreement, as amended:</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Assignment; Technology Transfer</w:t>
      </w:r>
      <w:r>
        <w:rPr>
          <w:rFonts w:ascii="Arial" w:cs="Arial" w:eastAsia="Arial" w:hAnsi="Arial"/>
          <w:sz w:val="17"/>
          <w:szCs w:val="17"/>
          <w:color w:val="auto"/>
        </w:rPr>
        <w:t>. Hammock assigned and transferred to us all of its right, title and interest in and to the MilanaPharm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p>
      <w:pPr>
        <w:jc w:val="both"/>
        <w:ind w:firstLine="607"/>
        <w:spacing w:after="0" w:line="281" w:lineRule="auto"/>
        <w:rPr>
          <w:sz w:val="20"/>
          <w:szCs w:val="20"/>
          <w:color w:val="auto"/>
        </w:rPr>
      </w:pPr>
      <w:r>
        <w:rPr>
          <w:rFonts w:ascii="Arial" w:cs="Arial" w:eastAsia="Arial" w:hAnsi="Arial"/>
          <w:sz w:val="17"/>
          <w:szCs w:val="17"/>
          <w:i w:val="1"/>
          <w:iCs w:val="1"/>
          <w:color w:val="auto"/>
        </w:rPr>
        <w:t>Milestone Payments</w:t>
      </w:r>
      <w:r>
        <w:rPr>
          <w:rFonts w:ascii="Arial" w:cs="Arial" w:eastAsia="Arial" w:hAnsi="Arial"/>
          <w:sz w:val="17"/>
          <w:szCs w:val="17"/>
          <w:color w:val="auto"/>
        </w:rPr>
        <w:t>. Hammock is eligible to receive up to $250,000 in the aggregate upon achievement of a regulatory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related to a non-bacterial vaginosis product.</w:t>
      </w:r>
    </w:p>
    <w:p>
      <w:pPr>
        <w:spacing w:after="0" w:line="12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Assignment Agreement will terminate upon the later of (1) completion of the parties’ technology transfer plan, and (2) payment to</w:t>
      </w:r>
      <w:r>
        <w:rPr>
          <w:rFonts w:ascii="Arial" w:cs="Arial" w:eastAsia="Arial" w:hAnsi="Arial"/>
          <w:sz w:val="17"/>
          <w:szCs w:val="17"/>
          <w:i w:val="1"/>
          <w:iCs w:val="1"/>
          <w:color w:val="auto"/>
        </w:rPr>
        <w:t xml:space="preserve"> </w:t>
      </w:r>
      <w:r>
        <w:rPr>
          <w:rFonts w:ascii="Arial" w:cs="Arial" w:eastAsia="Arial" w:hAnsi="Arial"/>
          <w:sz w:val="17"/>
          <w:szCs w:val="17"/>
          <w:color w:val="auto"/>
        </w:rPr>
        <w:t>Hammock of the last of the milestone payments.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Pear Tree Acquisition and License Agreements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May 2018, we completed our acquisition of Pear Tree Pharmaceuticals, Inc., or Pear Tree. We acquired Pear Tree to secure exclusive, sublicensable, worldwide rights under certain patents and know-how to develop and commercialize a proprietary formulation of tamoxifen for vaginal administration. This acquisition led to our DARE-VVA1 program. Under the merger agreement, former stockholders of Pear Tree are eligible to receive tiered royalties based on net sales of licensed products by us or our affiliates, subject to customary reductions and offsets and to offset by royalty and sublicense revenue share payments payable to Pear Tree’s licensors as further described below, and a percentage of sublicense revenue. Former stockholders of Pear Tree and Pear Tree’s licensors are also eligible to receive payments based on achievement of specified clinical development, regulatory and commercial milestones by licensed products as further described below.</w:t>
      </w:r>
    </w:p>
    <w:p>
      <w:pPr>
        <w:spacing w:after="0" w:line="137"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Former stockholders of Pear Tree are eligible to receive up to $ 15.5 million in the aggregate in payments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clinical development and regulatory milestones by licensed products and up to $47.0 million in the aggregate in payments based on the achievement of commercial milestones by licensed products. These payments shall only be due once upon the first occurrence any of the specified milestone events. In addition, licensors of Pear Tree are eligible to receive up to approximately $3.2 million in the aggregate in payments based on the achievement of clinical development, regulatory and commercial milestones by each licensed product. These milestone payments may be made, in our sole discretion, in cash or in shares of our common stock in accordance with the terms of the merger agreement and the license agreements.</w:t>
      </w:r>
    </w:p>
    <w:p>
      <w:pPr>
        <w:spacing w:after="0" w:line="13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Royalty Payments; Sublicense Revenue Share</w:t>
      </w:r>
      <w:r>
        <w:rPr>
          <w:rFonts w:ascii="Arial" w:cs="Arial" w:eastAsia="Arial" w:hAnsi="Arial"/>
          <w:sz w:val="17"/>
          <w:szCs w:val="17"/>
          <w:color w:val="auto"/>
        </w:rPr>
        <w:t>. Former stockholders of Pear Tree are eligible to receive tiered royalties based on single-digit</w:t>
      </w:r>
      <w:r>
        <w:rPr>
          <w:rFonts w:ascii="Arial" w:cs="Arial" w:eastAsia="Arial" w:hAnsi="Arial"/>
          <w:sz w:val="17"/>
          <w:szCs w:val="17"/>
          <w:i w:val="1"/>
          <w:iCs w:val="1"/>
          <w:color w:val="auto"/>
        </w:rPr>
        <w:t xml:space="preserve"> </w:t>
      </w:r>
      <w:r>
        <w:rPr>
          <w:rFonts w:ascii="Arial" w:cs="Arial" w:eastAsia="Arial" w:hAnsi="Arial"/>
          <w:sz w:val="17"/>
          <w:szCs w:val="17"/>
          <w:color w:val="auto"/>
        </w:rPr>
        <w:t>to low double-digit percentages of annual net sales of licensed products by us or our affiliates, subject to customary reductions and offsets, and a portion of royalties we receive from sublicensees. These payments may be made, in our sole discretion, in cash or in shares of our common stock in accordance with the terms of the merger agreement. Pear Tree’s licensors are eligible to receive semi-annual royalties based on a single-digit percentage of net sales of licensed products by us or our affiliates, subject to customary reductions and offsets, or a portion of any royalties received by us or our affiliates from sublicensees, and a low double-digit percentage of all sublicensing fees or other lump sum payments or compensation we receive from sublicensees, subject to customary exclusions. Portions of certain milestone payments made to Pear Tree’s licensors may be creditable against royalty payments due to Pear Tree’s licensors.</w:t>
      </w:r>
    </w:p>
    <w:p>
      <w:pPr>
        <w:spacing w:after="0" w:line="140"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License Agreements Revenue Share Offset</w:t>
      </w:r>
      <w:r>
        <w:rPr>
          <w:rFonts w:ascii="Arial" w:cs="Arial" w:eastAsia="Arial" w:hAnsi="Arial"/>
          <w:sz w:val="17"/>
          <w:szCs w:val="17"/>
          <w:color w:val="auto"/>
        </w:rPr>
        <w:t>. Under the merger agreement, in addition to customary royalty reductions and offsets,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and payments based on income received from sublicensees of licensed products made by us to Pear Tree’s licensors are creditable against all royalty and sublicense revenue share payments payable to former stockholders of Pear Tree.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Catalent JNP License Agreement</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we commenced our DARE-HRT1, DARE-FRT1 and DARE-PTB1 programs. We are entitled to sublicense the rights granted to us under this agreement.</w:t>
      </w:r>
    </w:p>
    <w:p>
      <w:pPr>
        <w:spacing w:after="0" w:line="17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 xml:space="preserve">Annual Maintenance Fee. </w:t>
      </w:r>
      <w:r>
        <w:rPr>
          <w:rFonts w:ascii="Arial" w:cs="Arial" w:eastAsia="Arial" w:hAnsi="Arial"/>
          <w:sz w:val="17"/>
          <w:szCs w:val="17"/>
          <w:color w:val="auto"/>
        </w:rPr>
        <w:t>We pay an annual license maintenance fee of $100,000 to Catalent on each anniversary of the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which will be creditable against royalties and other payments due to Catalent in the same calendar year (including milestone payments and sublicense income), but may not be carried forward to any other year.</w:t>
      </w:r>
    </w:p>
    <w:p>
      <w:pPr>
        <w:spacing w:after="0" w:line="12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Catalent is eligible to receive (1) up to $12.5 million in the aggregate in payments based on the achievement of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and regulatory milestones, and (2) up to $30.3 million in the aggregate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9" w:name="page30"/>
    <w:bookmarkEnd w:id="29"/>
    <w:p>
      <w:pPr>
        <w:jc w:val="both"/>
        <w:spacing w:after="0" w:line="281" w:lineRule="auto"/>
        <w:rPr>
          <w:sz w:val="20"/>
          <w:szCs w:val="20"/>
          <w:color w:val="auto"/>
        </w:rPr>
      </w:pPr>
      <w:r>
        <w:rPr>
          <w:rFonts w:ascii="Arial" w:cs="Arial" w:eastAsia="Arial" w:hAnsi="Arial"/>
          <w:sz w:val="17"/>
          <w:szCs w:val="17"/>
          <w:color w:val="auto"/>
        </w:rPr>
        <w:t>payments based on the achievement of specified commercial sales milestones for each product or process covered by the licenses granted under the agreement.</w:t>
      </w:r>
    </w:p>
    <w:p>
      <w:pPr>
        <w:spacing w:after="0" w:line="11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Royalty Payments</w:t>
      </w:r>
      <w:r>
        <w:rPr>
          <w:rFonts w:ascii="Arial" w:cs="Arial" w:eastAsia="Arial" w:hAnsi="Arial"/>
          <w:sz w:val="17"/>
          <w:szCs w:val="17"/>
          <w:color w:val="auto"/>
        </w:rPr>
        <w:t>. During the royalty term, Catalent is eligible to receive mid single-digit to low double-digit royalties based on worldwide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of products and 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49"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 xml:space="preserve">Efforts. </w:t>
      </w:r>
      <w:r>
        <w:rPr>
          <w:rFonts w:ascii="Arial" w:cs="Arial" w:eastAsia="Arial" w:hAnsi="Arial"/>
          <w:sz w:val="17"/>
          <w:szCs w:val="17"/>
          <w:color w:val="auto"/>
        </w:rPr>
        <w:t>We must use commercially reasonable efforts to develop and make at least one product or process available to the public, which</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include achieving specific diligence requirements by specific dates specified in the agreement.</w:t>
      </w:r>
    </w:p>
    <w:p>
      <w:pPr>
        <w:spacing w:after="0" w:line="111" w:lineRule="exact"/>
        <w:rPr>
          <w:sz w:val="20"/>
          <w:szCs w:val="20"/>
          <w:color w:val="auto"/>
        </w:rPr>
      </w:pPr>
    </w:p>
    <w:p>
      <w:pPr>
        <w:jc w:val="both"/>
        <w:ind w:firstLine="607"/>
        <w:spacing w:after="0" w:line="241" w:lineRule="auto"/>
        <w:rPr>
          <w:sz w:val="20"/>
          <w:szCs w:val="20"/>
          <w:color w:val="auto"/>
        </w:rPr>
      </w:pPr>
      <w:r>
        <w:rPr>
          <w:rFonts w:ascii="Arial" w:cs="Arial" w:eastAsia="Arial" w:hAnsi="Arial"/>
          <w:sz w:val="17"/>
          <w:szCs w:val="17"/>
          <w:i w:val="1"/>
          <w:iCs w:val="1"/>
          <w:color w:val="auto"/>
        </w:rPr>
        <w:t xml:space="preserve">Term. </w:t>
      </w:r>
      <w:r>
        <w:rPr>
          <w:rFonts w:ascii="Arial" w:cs="Arial" w:eastAsia="Arial" w:hAnsi="Arial"/>
          <w:sz w:val="17"/>
          <w:szCs w:val="17"/>
          <w:color w:val="auto"/>
        </w:rPr>
        <w:t>Unless earlier terminated, the term of the agreement will continue on a country-by-country basis until the later of (1) the expiration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Adare Development and Option Agreement</w:t>
      </w:r>
    </w:p>
    <w:p>
      <w:pPr>
        <w:spacing w:after="0" w:line="45"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March 2018, we entered into an exclusive development and option agreement with Adare Pharmaceuticals USA, Inc. (formerly known as Orbis Biosciences, Inc., and which we refer to as Adare), for the development and potential exclusive worldwide license of injectable formulations of etonogestrel for contraceptive protection over 6-month and 12-month periods (which we refer to as DARE-204 and DARE-214, respectively). The agreement, as amended, provides us with an option to negotiate an exclusive, worldwide, royalty-bearing license, with rights to sublicense, for the programs if we fund the conduct of specified development work. We have no obligation to exercise our option.</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SST License and Collaboration Agreement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February 2018, we entered into a license and collaboration agreement with Strategic Science &amp; Technologies-D LLC and Strategic Science</w:t>
      </w:r>
    </w:p>
    <w:p>
      <w:pPr>
        <w:spacing w:after="0" w:line="34" w:lineRule="exact"/>
        <w:rPr>
          <w:sz w:val="20"/>
          <w:szCs w:val="20"/>
          <w:color w:val="auto"/>
        </w:rPr>
      </w:pPr>
    </w:p>
    <w:p>
      <w:pPr>
        <w:jc w:val="both"/>
        <w:ind w:firstLine="1"/>
        <w:spacing w:after="0" w:line="250" w:lineRule="auto"/>
        <w:tabs>
          <w:tab w:leader="none" w:pos="1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40"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i w:val="1"/>
          <w:iCs w:val="1"/>
          <w:color w:val="auto"/>
        </w:rPr>
        <w:t xml:space="preserve">Invention Ownership. </w:t>
      </w:r>
      <w:r>
        <w:rPr>
          <w:rFonts w:ascii="Arial" w:cs="Arial" w:eastAsia="Arial" w:hAnsi="Arial"/>
          <w:sz w:val="17"/>
          <w:szCs w:val="17"/>
          <w:color w:val="auto"/>
        </w:rPr>
        <w:t>We retain rights to inventions made by our employees, SST retains rights to inventions made by its employees,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party owns a 50% undivided interest in all joint inventions.</w:t>
      </w:r>
    </w:p>
    <w:p>
      <w:pPr>
        <w:spacing w:after="0" w:line="124"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i w:val="1"/>
          <w:iCs w:val="1"/>
          <w:color w:val="auto"/>
        </w:rPr>
        <w:t xml:space="preserve">Joint Development Committee. </w:t>
      </w:r>
      <w:r>
        <w:rPr>
          <w:rFonts w:ascii="Arial" w:cs="Arial" w:eastAsia="Arial" w:hAnsi="Arial"/>
          <w:sz w:val="17"/>
          <w:szCs w:val="17"/>
          <w:color w:val="auto"/>
        </w:rPr>
        <w:t>The parties will collaborate through a joint development committee that will determine the strategic objectives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and generally oversee, the development efforts of both parties under the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0" w:name="page31"/>
    <w:bookmarkEnd w:id="30"/>
    <w:p>
      <w:pPr>
        <w:jc w:val="both"/>
        <w:ind w:firstLine="607"/>
        <w:spacing w:after="0" w:line="264" w:lineRule="auto"/>
        <w:rPr>
          <w:sz w:val="20"/>
          <w:szCs w:val="20"/>
          <w:color w:val="auto"/>
        </w:rPr>
      </w:pPr>
      <w:r>
        <w:rPr>
          <w:rFonts w:ascii="Arial" w:cs="Arial" w:eastAsia="Arial" w:hAnsi="Arial"/>
          <w:sz w:val="17"/>
          <w:szCs w:val="17"/>
          <w:i w:val="1"/>
          <w:iCs w:val="1"/>
          <w:color w:val="auto"/>
        </w:rPr>
        <w:t>Development</w:t>
      </w:r>
      <w:r>
        <w:rPr>
          <w:rFonts w:ascii="Arial" w:cs="Arial" w:eastAsia="Arial" w:hAnsi="Arial"/>
          <w:sz w:val="17"/>
          <w:szCs w:val="17"/>
          <w:color w:val="auto"/>
        </w:rPr>
        <w:t>. We must use commercially reasonable efforts to develop the Licensed Products in the Field of Use in accordance with a</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plan in the agreement, 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3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Royalty Payments</w:t>
      </w:r>
      <w:r>
        <w:rPr>
          <w:rFonts w:ascii="Arial" w:cs="Arial" w:eastAsia="Arial" w:hAnsi="Arial"/>
          <w:sz w:val="17"/>
          <w:szCs w:val="17"/>
          <w:color w:val="auto"/>
        </w:rPr>
        <w:t>. SST will be eligible to receive tiered royalties based on percentages of annual net sales of Licensed Products in the single</w:t>
      </w:r>
      <w:r>
        <w:rPr>
          <w:rFonts w:ascii="Arial" w:cs="Arial" w:eastAsia="Arial" w:hAnsi="Arial"/>
          <w:sz w:val="17"/>
          <w:szCs w:val="17"/>
          <w:i w:val="1"/>
          <w:iCs w:val="1"/>
          <w:color w:val="auto"/>
        </w:rPr>
        <w:t xml:space="preserve"> </w:t>
      </w:r>
      <w:r>
        <w:rPr>
          <w:rFonts w:ascii="Arial" w:cs="Arial" w:eastAsia="Arial" w:hAnsi="Arial"/>
          <w:sz w:val="17"/>
          <w:szCs w:val="17"/>
          <w:color w:val="auto"/>
        </w:rPr>
        <w:t>digits to the mid double digits, subject to customary royalty reductions and offsets, and a percentage of sublicense revenue.</w:t>
      </w:r>
    </w:p>
    <w:p>
      <w:pPr>
        <w:spacing w:after="0" w:line="1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Milestone Payments</w:t>
      </w:r>
      <w:r>
        <w:rPr>
          <w:rFonts w:ascii="Arial" w:cs="Arial" w:eastAsia="Arial" w:hAnsi="Arial"/>
          <w:sz w:val="17"/>
          <w:szCs w:val="17"/>
          <w:color w:val="auto"/>
        </w:rPr>
        <w:t>. SST will be eligible to receive payments (1) ranging from $0.5 million to $18.0 million in the aggregate upon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clinical and regulatory milestones in the U.S. and worldwide, and (2) between $10.0 million to $100.0 million in the aggregate upon achieving certain commercial sales milestones. If we enter into strategic development or distribution partnerships related to the Licensed Products, additional milestone payments would be due to SST.</w:t>
      </w:r>
    </w:p>
    <w:p>
      <w:pPr>
        <w:spacing w:after="0" w:line="12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License Term</w:t>
      </w:r>
      <w:r>
        <w:rPr>
          <w:rFonts w:ascii="Arial" w:cs="Arial" w:eastAsia="Arial" w:hAnsi="Arial"/>
          <w:sz w:val="17"/>
          <w:szCs w:val="17"/>
          <w:color w:val="auto"/>
        </w:rPr>
        <w:t>. Our license continues on a country-by-country basis until the later of 10 years from the date of the first commercial sale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Product or the 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142"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In addition to customary termination rights for both parties: (1) prior to receipt of approval by a regulatory authority necessary for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 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ADVA-Tec License Agreement</w:t>
      </w:r>
    </w:p>
    <w:p>
      <w:pPr>
        <w:spacing w:after="0" w:line="20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March 2017, we entered into a license agreement with ADVA-Tec, Inc., under which we were granted an exclusive license to develop and commercialize Ovaprene for human contraceptive use worldwide. We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us to seek a PMA from the FDA. ADVA-Tec is responsible for providing us with clinical trial and commercial supplies of Ovaprene, either directly or through a CMO, on commercially reasonable terms, and, except under limited circumstances, we may not obtain supplies of Ovaprene from another source.</w:t>
      </w:r>
    </w:p>
    <w:p>
      <w:pPr>
        <w:spacing w:after="0" w:line="150"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the license agreement, in addition to an exclusive, sublicensable license to ADVA-Tec’s and its affiliates’ intellectual property rights for all uses of Ovaprene as a human contraceptive device, we have a right of first refusal to license these patents and patent applications for additional indications.</w:t>
      </w:r>
    </w:p>
    <w:p>
      <w:pPr>
        <w:spacing w:after="0" w:line="12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We may pay to ADVA-Tec: (1) up to $13.0 million in the aggregate based on the achievement of specified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regulatory milestones and (2) up to $20 million in the aggregate based on the achievement of certain worldwide net sales milestones. The future development and regulatory milestones include: successful completion of a Phase 3/pivotal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spacing w:after="0" w:line="13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 xml:space="preserve">Royalty Payments. </w:t>
      </w:r>
      <w:r>
        <w:rPr>
          <w:rFonts w:ascii="Arial" w:cs="Arial" w:eastAsia="Arial" w:hAnsi="Arial"/>
          <w:sz w:val="17"/>
          <w:szCs w:val="17"/>
          <w:color w:val="auto"/>
        </w:rPr>
        <w:t>ADVA-Tec is eligible to receive royalties based on aggregate annual net sales of Ovaprene in specified regions at a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rate that will vary between 1% and 10% and will increase based on various net sales thresholds, subject to customary reductions and offsets.</w:t>
      </w:r>
    </w:p>
    <w:p>
      <w:pPr>
        <w:spacing w:after="0" w:line="111"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i w:val="1"/>
          <w:iCs w:val="1"/>
          <w:color w:val="auto"/>
        </w:rPr>
        <w:t>Sublicense Revenue Payments</w:t>
      </w:r>
      <w:r>
        <w:rPr>
          <w:rFonts w:ascii="Arial" w:cs="Arial" w:eastAsia="Arial" w:hAnsi="Arial"/>
          <w:sz w:val="17"/>
          <w:szCs w:val="17"/>
          <w:color w:val="auto"/>
        </w:rPr>
        <w:t>. If we sublicense our rights under the license agreement, in lieu of royalty payments to ADVA-Tec, ADVA-Tec is</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receive a double-digit percentage of sublicense revenue received by us during the royalty term; provided, however, that for sublicense revenue we receive prior to the first commercial sale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7"/>
          <w:szCs w:val="17"/>
          <w:color w:val="auto"/>
        </w:rPr>
        <w:t>of a licensed product that represents an upfront payment or license fee due on or around the effective date of the sublicense, ADVA-Tec is eligible to receive a single-digit percentage of that sublicense revenue.</w:t>
      </w:r>
    </w:p>
    <w:p>
      <w:pPr>
        <w:spacing w:after="0" w:line="12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 xml:space="preserve">Term. </w:t>
      </w:r>
      <w:r>
        <w:rPr>
          <w:rFonts w:ascii="Arial" w:cs="Arial" w:eastAsia="Arial" w:hAnsi="Arial"/>
          <w:sz w:val="17"/>
          <w:szCs w:val="17"/>
          <w:color w:val="auto"/>
        </w:rPr>
        <w:t>Unless earlier terminated, the license we received under the agreement continues on a country-by-country basis until the later of the life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licensed 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or (4) conduct clinical trials as set forth in the development plan to which we and ADVA-Tec agree, and as may be modified by a joint research committee, unless such failure is caused by events outside of our reasonable control.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Organon Exclusive License Agreement</w:t>
      </w:r>
    </w:p>
    <w:p>
      <w:pPr>
        <w:spacing w:after="0" w:line="20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2022, we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us. Organon has all manufacturing, regulatory, and compliance responsibilities for XACIATO and is also responsible for commercializing, promoting, determining pricing, and negotiating reimbursement matters related to XACIATO</w:t>
      </w:r>
    </w:p>
    <w:p>
      <w:pPr>
        <w:spacing w:after="0" w:line="12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Under the terms of our license agreement, as amended, Organon agreed to pay tiered double -digit royalties based on net sales and up to $180.0 million in tiered commercial sales milestones and regulatory milestones. Royalty payments are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36" w:lineRule="exact"/>
        <w:rPr>
          <w:sz w:val="20"/>
          <w:szCs w:val="20"/>
          <w:color w:val="auto"/>
        </w:rPr>
      </w:pPr>
    </w:p>
    <w:p>
      <w:pPr>
        <w:jc w:val="both"/>
        <w:ind w:firstLine="607"/>
        <w:spacing w:after="0" w:line="242" w:lineRule="auto"/>
        <w:rPr>
          <w:sz w:val="20"/>
          <w:szCs w:val="20"/>
          <w:color w:val="auto"/>
        </w:rPr>
      </w:pPr>
      <w:r>
        <w:rPr>
          <w:rFonts w:ascii="Arial" w:cs="Arial" w:eastAsia="Arial" w:hAnsi="Arial"/>
          <w:sz w:val="17"/>
          <w:szCs w:val="17"/>
          <w:color w:val="auto"/>
        </w:rPr>
        <w:t>In April 2024, we sold to XOMA our rights to all royalty and potential milestone payments based on net sales of XACIATO under our license agreement with Organon, net of our obligations to certain third parties, until XOMA receives a specified return on its investment, after which we will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share equally in the royalty and milestone payments earned on net sales of XACIATO from Organon. See below under "Royalty Monetization Transactions" for additional information.</w:t>
      </w:r>
    </w:p>
    <w:p>
      <w:pPr>
        <w:spacing w:after="0" w:line="2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Unless terminated earlier, our license agreement with Organon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13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Our license agreement with Organon includes customary representations and warranties, covenants and indemnification obligations of each party. In addition, the agreement provides Organon exclusive worldwide rights of first negotiation for specified potential future products of ours.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Monetization Transactions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Traditional and Synthetic Royalty Purchase Agreements with XOMA</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April 2024, we entered into a traditional royalty purchase agreement and a synthetic royalty purchase agreement with XOMA (which, together, we refer to as the Royalty Purchase Agreements), and XOMA paid $22.0 million to us. In addition, if XOMA receives total payments under the Royalty Purchase Agreements (as described below) equal to an amount that exceeds $88.0 million (which we refer to as the Revenue Sharing Threshold), XOMA will pay $11.0 million to us for each successive $22.0 million XOMA receives under the Royalty Purchase Agreements (such $11.0 million payments to us we refer to as the Contingent Purchase Price Payments).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Royalty Purchase Agreements, we sold, assigned, transferred and conveyed our right, title and interest in and to the following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XOMA: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32" w:name="page33"/>
    <w:bookmarkEnd w:id="32"/>
    <w:p>
      <w:pPr>
        <w:jc w:val="both"/>
        <w:ind w:firstLine="1214"/>
        <w:spacing w:after="0" w:line="256" w:lineRule="auto"/>
        <w:tabs>
          <w:tab w:leader="none" w:pos="14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100% of the royalties and potential milestone payments we would otherwise have the right to receive from and after April 1, 2024 under our exclusive license agreement with Organon, based on net sales of XACIATO, net of (i) all royalty and milestone payments due and payable and actually paid by or on behalf of us under our exclusive license agreement with third-party licensors TriLogic and MilanaPharm, and (ii) all payments due and payable and actually paid by or on behalf of us under our royalty interest financing agreement with United in Endeavour, LLC, or UiE (such net amount we refer to as the Purchased Receivables);</w:t>
      </w:r>
    </w:p>
    <w:p>
      <w:pPr>
        <w:spacing w:after="0" w:line="145" w:lineRule="exact"/>
        <w:rPr>
          <w:rFonts w:ascii="Arial" w:cs="Arial" w:eastAsia="Arial" w:hAnsi="Arial"/>
          <w:sz w:val="17"/>
          <w:szCs w:val="17"/>
          <w:color w:val="auto"/>
        </w:rPr>
      </w:pPr>
    </w:p>
    <w:p>
      <w:pPr>
        <w:ind w:firstLine="1214"/>
        <w:spacing w:after="0" w:line="281" w:lineRule="auto"/>
        <w:tabs>
          <w:tab w:leader="none" w:pos="14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25% of the $20.0 million payment that we could have potentially received under our since terminated license agreement with Bayer relating to Ovaprene; and</w:t>
      </w:r>
    </w:p>
    <w:p>
      <w:pPr>
        <w:spacing w:after="0" w:line="110" w:lineRule="exact"/>
        <w:rPr>
          <w:rFonts w:ascii="Arial" w:cs="Arial" w:eastAsia="Arial" w:hAnsi="Arial"/>
          <w:sz w:val="17"/>
          <w:szCs w:val="17"/>
          <w:color w:val="auto"/>
        </w:rPr>
      </w:pPr>
    </w:p>
    <w:p>
      <w:pPr>
        <w:jc w:val="both"/>
        <w:ind w:firstLine="1214"/>
        <w:spacing w:after="0" w:line="280" w:lineRule="auto"/>
        <w:tabs>
          <w:tab w:leader="none" w:pos="14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 synthetic royalty of 4.0% of our, our affiliates’ and our sublicensees’ future net sales of Ovaprene, and 2.0% of our, our affiliates’ and our sublicensees’ future net sales of Sildenafil Cream;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XOMA receives total payments under the Royalty Purchase Agreements, net of any Contingent Purchase Price Payments made to us, equal to an amount that exceeds $110.0 million, the foregoing percentages will be reduced to 2.5% and 1.25%, respectively (we refer to the amounts described in this clause (c) as the Revenue Participation Right).</w:t>
      </w:r>
    </w:p>
    <w:p>
      <w:pPr>
        <w:spacing w:after="0" w:line="11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under the traditional royalty purchase agreement. Under the traditional royalty purchase agreement, we cannot elect to receive any additional funding from UiE under our royalty interest financing agreement with UiE without XOMA’s prior written consent.</w:t>
      </w:r>
    </w:p>
    <w:p>
      <w:pPr>
        <w:spacing w:after="0" w:line="145"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connection with the synthetic royalty purchase agreement, we granted to XOMA a security interest in certain product assets related to Ovaprene and Sildenafil Cream.</w:t>
      </w:r>
    </w:p>
    <w:p>
      <w:pPr>
        <w:spacing w:after="0" w:line="11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Royalty Purchase Agreements contain certain representations and warranties regarding our rights and obligations with respect to our license agreement with Organon and our in-license agreements relating to XACIATO, Ovaprene and Sildenafil Cream, as well as customary representations and warranties for a transaction of this nature. The Royalty Purchase Agreements also contain customary covenants for a transaction of this nature, including covenants that limit or restrict our ability to incur indebtedness or liens related to the Purchased Receivables, the Revenue Participation Right, and certain product assets related to Ovaprene and Sildenafil Cream (except pursuant to a suitable intercreditor agreement). The Royalty Purchase Agreements do not restrict our ability to out-license any of our products or product candidates.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Interest Financing Agreement</w:t>
      </w:r>
    </w:p>
    <w:p>
      <w:pPr>
        <w:spacing w:after="0" w:line="18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December 2023, we entered into a royalty interest financing agreement with United in Endeavour, LLC, or UiE, pursuant to which we sold to UiE an interest in the royalty and milestone payments we receive from Organon in respect of net sales of XACIATO. On the effective date of the agreement, we received a payment of $5.0 million, or the Initial Investment, from UiE. Until December 31, 2026, we may, at our sole discretion, elect to receive three additional payments of up to an aggregate of $7.0 million. We refer to each such payment as a Supplemental Discretionary Investment Amount, and collectively, as the Total Supplemental Discretionary Investment Amount.</w:t>
      </w:r>
    </w:p>
    <w:p>
      <w:pPr>
        <w:spacing w:after="0" w:line="133"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Under the agreement, we agreed to make the following payments to UiE until such time when UiE has received aggregate payments equaling a 12% internal rate of return, or the IRR, on the Initial Investment and the Total Supplemental Discretionary Investment Amount, if any: (i) from the date of the agreement through December 31, 2025, 50% of the amount of royalty payments remaining after all amounts that are due and payable and actually paid by us to any licensor or sublicensee on the royalty payments generated and received by us on net sales of XACIATO by Organon have been deducted (such payments referred to as the Net Royalty Payments), (ii) from January 1, 2026 through December 31, 2029, 75% of the Net Royalty Payments, and (iii) from the date of the agreement through December 31, 2029, 10% of the amount of milestone payments remaining after all amounts that are due and payable and actually paid by us to any licensor or sublicensee on the milestone payments generated and received by us on net sales of XACIATO by Organon have been deducted. After December 31, 2029, we will be required to make certain additional payments to UiE to the extent UiE has not received payments equaling the IRR by December 31, 2029, December 31, 2033, and December 31, 2034, respectively. In addition, if UiE has not received payments equaling the IRR by December 31, 2035 and we have other sources of assets or income (besides XACIATO) sufficient to complete such payments, we have agreed to pay UiE quarterly payments evenly divided over a two-year term (such payments referred to as Catch-up Payments), such that UiE will have obtained the IRR, taking into account all other payments received by UiE from us under the agreement. UiE’s right to receive payments will terminate when UiE has received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7"/>
          <w:szCs w:val="17"/>
          <w:color w:val="auto"/>
        </w:rPr>
        <w:t>payments in an amount equal to the IRR (such period of time referred to as the Financing Term). Under the agreement, we have the right, at any time and from time to time, to make voluntary prepayments to UiE, and such payments will be credited against the IRR. In addition, we have the right at any time to pay in full and retire all of our payment obligations to UiE by paying the full amount of the IRR, calculated as of the date of the payment.</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agreement contains representations and warranties, covenants, indemnification obligations, and other provisions customary for transactions of this nature and will terminate on the date that is the earlier of (i) the date upon which the payment of the purchased interest in respect of XACIATO is made in full to UiE, and (ii) the payment to UiE of an aggregate amount equal to the IRR.</w:t>
      </w:r>
    </w:p>
    <w:p>
      <w:pPr>
        <w:spacing w:after="0" w:line="13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connection with the agreement, we issued to UiE a warrant to purchase up to 422,804 shares of our common stock. In addition, for every $1.0 million of Supplemental Discretionary Investment Amount, we agreed to issue an additional warrant to purchase up to 84,561 shares of our common stock, for an aggregate of additional warrants to purchase up to 591,927 shares of our common stock.</w:t>
      </w:r>
    </w:p>
    <w:p>
      <w:pPr>
        <w:spacing w:after="0" w:line="12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warrants are exercisable, in full or in part, at any time on or prior to the fifth anniversary of the date of issuance of the particular warrant at an exercise price of $4.10 per share, subject to customary adjustment for stock splits and similar transactions. The warrants may be exercised for cash, or if at the time of exercise there is no effective registration statement registering for resale the shares underlying the warrants, then in lieu of paying the exercise price in cash, the holder may elect to exercise the warrant on a cashless basis.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8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Patents</w:t>
      </w:r>
    </w:p>
    <w:p>
      <w:pPr>
        <w:spacing w:after="0" w:line="169"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5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Under the terms of the Assignment Agreement with Hammock Pharmaceuticals, Inc. and the License Amendment with TriLogic Pharma, LLC and MilanaPharm, LLC, regarding the thermosetting hydrogel platform which includes XACIATO, we are the exclusive licensee of four issued U.S. patents, two of which are set to expire in December 2028 and two of which are set to expire in September 2036, subject to any extensions or disclaimers, and two foreign patents, including one European Patent Office, or EPO, patent validated in four countries, that expire in December 2028, subject to any extensions or disclaimers, as well as three foreign patents, including one EPO patent validated in 22 countries, that expire in July 2036, subject to any extensions or disclaimers. Two of the four issued U.S. patents are listed in the FDA’s compendium of “Approved Drug Products with Therapeutic Equivalence Evaluation," known as the Orange Book, under the Patent Exclusivity Information for XACIATO. In addition, we have rights to two pending foreign patent applications and one pending U.S. patent application. If issued, the patent term for any patents issuing from these pending applications would be expected to expire in 2036, subject to any extensions or disclaimers. We own a pending U.S. application and 16 pending foreign applications regarding XACIATO, and a pending U.S. and five pending foreign applications directed to the thermosetting hydrogel platform. The patent term for any patents issuing from these pending applications would be expected to expire in 2042, subject to any extensions or disclaimers. Organon has licensed XACIATO-specific patents and applications from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4" w:name="page35"/>
    <w:bookmarkEnd w:id="34"/>
    <w:p>
      <w:pPr>
        <w:jc w:val="both"/>
        <w:ind w:firstLine="607"/>
        <w:spacing w:after="0" w:line="254" w:lineRule="auto"/>
        <w:rPr>
          <w:sz w:val="20"/>
          <w:szCs w:val="20"/>
          <w:color w:val="auto"/>
        </w:rPr>
      </w:pPr>
      <w:r>
        <w:rPr>
          <w:rFonts w:ascii="Arial" w:cs="Arial" w:eastAsia="Arial" w:hAnsi="Arial"/>
          <w:sz w:val="17"/>
          <w:szCs w:val="17"/>
          <w:color w:val="auto"/>
        </w:rPr>
        <w:t>Under the terms of the ADVA-Tec license agreement, regarding Ovaprene, we are the exclusive licensee of four granted U.S. patents, one pending U.S. patent application, seven granted foreign patents, including two EPO patents validated in a total of 36 countries, and two pending foreign patent applications. Two of the U.S. patents have terms until August 2028, which includes days added to the term by patent term adjustment, and a third patent has a term that expires in July 2027, including patent term adjustment, each of such terms being subject to any future extensions or disclaimers. The other U.S. and foreign patents are expected to expire in 2026. The patent terms for any patents issuing from the pending applications would be expected to expire in 2035, subject to any extensions or disclaimers.</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Under the terms of the SST license agreement, regarding Sildenafil Cream, we are the exclusive licensee in the Field of Use of 28 issued patents worldwide (11 U.S. patents and 17 foreign patents, including three EPO patents validated in a total of 20 countries). Additionally, there is one patent application pending in the US, one in Europe, and three in other international markets. The issued U.S. patents have a patent term that expires in June 2029, including any patent term adjustment, and may be eligible for regulatory exclusivity under the Hatch-Waxman Act, while several foreign patents have a term that is set to expire in late 2031, each of such terms being subject to any future extensions or disclaimers. Additionally, relative to the sildenafil program, we are the sole owner one patent application pending in the U.S., one in Europe, and five in other international markets with an expected term, if granted, until 2044, subject to any extensions or disclaimers.</w:t>
      </w:r>
    </w:p>
    <w:p>
      <w:pPr>
        <w:spacing w:after="0" w:line="13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Under the terms of the Catalent license agreement, regarding our intravaginal ring platform which includes DARE-HRT1, we are the exclusive licensee of one issued U.S. patent with patent terms set to expire in September 2027, including patent term adjustment. Additionally, relative to the DARE-HRT1 program, we are the sole owner of one patent application pending in the U.S., one in Europe, and eight in other international markets with an expected term, if granted, until 2044, subject to any extensions or disclaimers.</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When we acquired Pear Tree Pharmaceuticals, Inc. in 2018, regarding DARE-VVA1, we obtained the rights to three U.S. patents and one Japanese patent. The patent terms for the U.S. patents are expected to expire in June 2027, June 2028, and May 2035 including any patent term adjustment, extensions or disclaimers. The Japanese patent has a term that is set to expire in June 2027. Additionally, relative to the DARE-VVA1 program, we are the sole owner of one patent application pending in the U.S., one in Europe, and one in Canada with an expected term, if granted, until 2044, subject to any extensions or disclaimers.</w:t>
      </w:r>
    </w:p>
    <w:p>
      <w:pPr>
        <w:spacing w:after="0" w:line="6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When we acquired MBI in 2019, we obtained the rights to over 100 patents and applications. The key technology underlying the platform currently is supported by 10 U.S. patents and 35 foreign patents, including four EPO patents validated in various European countries, and 13 pending patent applications. We believe that the five most recently filed patent families are directly applicable to our DARE-LARC1 program. Those patent families have patent terms that are set to expire 2032, 2033, 2034, 2040, and 2046 respectively, subject to any extensions or disclaimers. Those patent families include patents granted in the U.S., E.U. and other key international markets.</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Under the terms of the Hennepin license agreement, we are the exclusive licensee of six issued U.S. patents and four foreign patents, as well as two pending U.S. applications and seven pending foreign applications. The U.S. patents are set to expire in 2026, 2028, 2033 and 2034 including any patent term adjustment, extensions or disclaimers, and the foreign patents have patent terms until 2033. The U.S. and foreign applications, if granted, are expected to have patent terms that expire in 2033, 2037, 2038, and 2042, subject to any extensions or disclaimers.</w:t>
      </w:r>
    </w:p>
    <w:p>
      <w:pPr>
        <w:spacing w:after="0" w:line="6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the terms of the Douglas license agreement, we are the exclusive licensee of five granted U.S. patents and four pending U.S. patent applications. The granted patents are expected to expire in 2034, 2039, or 2042, including any patent term adjustment, extensions or disclaimers, and the U.S. applications, if granted, are expected to have patent terms that expire in 2039 and 2040.</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Trademarks</w:t>
      </w:r>
    </w:p>
    <w:p>
      <w:pPr>
        <w:spacing w:after="0" w:line="1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own trademark applications and registrations in the United States Patent &amp; Trademark Office for the DARÉ BIOSCIENCE mark, as well as marks related to various taglines, product candidate and product names, including DARE to PLAY, DARE to RESTORE, and DARE to RECLAIM. According to our agreement with Organon, all XACIATO trademarks have been assigned. In accordance with the terms of the ADVA-Tec license agreement, we are the exclusive licensee of the OVAPRENE registered trademark.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Competition</w:t>
      </w:r>
    </w:p>
    <w:p>
      <w:pPr>
        <w:spacing w:after="0" w:line="184"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6"/>
          <w:szCs w:val="16"/>
          <w:color w:val="auto"/>
        </w:rPr>
        <w:t>We are solely focused on women’s health. Women’s health is a broad category that encompasses health conditions that are unique to women, as well as conditions that affect both men and women, but that may affect women differently. Women’s health products include drug, medical device, cosmetic and dietary supplement products, and generally are products designed for post-pubescent females. The women’s health sector is very fragmented, highly competitive and subject to rapid and significant change. We anticipate that our products and, if approved, our product candidates may compete not only with FDA-approved, prescription and over-the-counter, branded and generic drug products, but also compounded drug products, medical devices, dietary supplements, and cosmetics. We face and will continue to face intense competition from a variety of businesses, including large, fully integrated, well-established pharmaceutical companies and specialty pharmaceutical companies that already possess a significant share of the women’s health market, as well as generics manufacturers, compounding pharmacies and other drug compounding facilities, and cosmetics and dietary supplements manufacturers. In addition, academic and other research institutions are and could be engaged in research and development efforts for products in the therapeutic areas targeted by our product candidates. Our success is highly dependent upon our ability to acquire or in-license, develop and obtain regulatory approval for innovative products on a cost-effective basis and to market them successfully, either on our own or together with strategic partners, or to make our proprietary formulations available as compounded drugs. Many of our potential competitors have greater clinical, regulatory, manufacturing, marketing, distribution, compliance and financial resources and experience than we do. See ITEM 1A. "RISK FACTORS—Risks Related to Commercialization of Products We Develop" and "Risks Related to 503B Compounding" below.</w:t>
      </w:r>
    </w:p>
    <w:p>
      <w:pPr>
        <w:spacing w:after="0" w:line="12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XACIATO competes directly with the multiple generic and branded prescription drug products currently approved in the U.S. for the treatment of bacterial vaginosis, including oral and vaginal gel formulations of metronidazole and vaginal cream formulations of clindamycin. As a result of our exclusive license agreement with Organon, the commercial success of XACIATO is outside of our control.</w:t>
      </w:r>
    </w:p>
    <w:p>
      <w:pPr>
        <w:spacing w:after="0" w:line="12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Our investigational contraceptive products, including Ovaprene, if approved, will compete with a wide range of prescription and over-the-counter contraceptive options, including hormone-free options such as condoms, diaphragms, cervical caps, sponges, copper intrauterine devices (IUDs), spermicides and vaginal gels, as well as hormonal products such as pills, patches, vaginal rings, IUDs, implantable rods and injectables. In addition, multiple new methods of pregnancy prevention are in development, including hormone-free options, and some may be marketed in the U.S. before Ovaprene, potentially adding to the level of market competition Ovaprene will face, if approved.</w:t>
      </w:r>
    </w:p>
    <w:p>
      <w:pPr>
        <w:spacing w:after="0" w:line="145"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Currently, there are no FDA-approved therapies for FSAD. Sildenafil Cream has the potential to be the first FDA-approved product for the treatment of FSAD. However, Sildenafil Cream, if approved, may compete directly with compounded drugs available in the market, including those from outsourcing facilities that compound topical cream formulations of sildenafil citrate, the active ingredient in Sildenafil Cream. In addition, some compounding entities have partnered with telemedicine providers, enabling them to expand the potential market for their compounded drugs. While, as of the filing date of this report, to our knowledge, DARE to PLAY will be the only compounded form of sildenafil citrate that has completed toxicology studies and Phase 1 and Phase 2 human clinical studies, the availability of other sildenafil products, could potentially make it more challenging for DARE to PLAY and, in the future, if approved by the FDA, Sildenafil Cream, to build and maintain market share.</w:t>
      </w:r>
    </w:p>
    <w:p>
      <w:pPr>
        <w:spacing w:after="0" w:line="137"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If we are successful in bringing DARE to RECLAIM, or DARE-HRT1 to market, these products will compete with the many products on the market targeted to or FDA-approved for the treatment of menopausal symptoms, including VMS. Such products include hormone therapies in the form of pills, patches and creams, some of which are FDA-approved products and others which are supplied by compounding entities, as well as non-hormonal products, including FDA-approved medications Veozah® (fezolinetant) marketed by Astellas Pharma and Lynkuet® (elinzanetant) marketed by Bayer, and dietary supplements. Both the supplement and the compounded hormone therapy markets are very significant. A considerable segment of the compounded hormone therapy market is comprised of compounded hormones in pellet form that are implanted under the skin as a non-daily alternative, which could be directly competitive with DARE to RECLAIM and, in the future, if approved by the FDA, DARE-HRT1. We expect the options for hormone therapy and non -hormonal therapies to continue to expand with time. We intend for DARE-HRT1, if approved by the FDA, to offer advantages to currently available compounded hormone therapy products, including by providing a product with a well characterized safety and efficacy profile that will have been vetted by the FDA. We believe DARE to RECLAIM and DARE-HRT1 each has the potential to address a preference among some women and health care providers for bio-identical hormones delivered in a non-oral route, as well as offer convenience compared to existing FDA-approved hormone therapies in that one IVR is designed to deliver the bio-identical hormones together over 28 days without any daily intervention.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6" w:name="page37"/>
    <w:bookmarkEnd w:id="36"/>
    <w:p>
      <w:pPr>
        <w:jc w:val="both"/>
        <w:ind w:firstLine="607"/>
        <w:spacing w:after="0" w:line="253" w:lineRule="auto"/>
        <w:rPr>
          <w:sz w:val="20"/>
          <w:szCs w:val="20"/>
          <w:color w:val="auto"/>
        </w:rPr>
      </w:pPr>
      <w:r>
        <w:rPr>
          <w:rFonts w:ascii="Arial" w:cs="Arial" w:eastAsia="Arial" w:hAnsi="Arial"/>
          <w:sz w:val="17"/>
          <w:szCs w:val="17"/>
          <w:color w:val="auto"/>
        </w:rPr>
        <w:t>DARE-VVA1, if approved as a treatment for moderate-to-severe dyspareunia, or pain during sexual intercourse, a symptom of GSM, will compete with other hormonal and non-hormonal products for the treatment of dyspareunia or other GSM symptoms. Such products include hormone therapies in the form of pills, patches and creams, some of which are FDA-approved products and others which are supplied by compounding entities, as well as non-hormonal products in the form of pills and vaginal inserts, such as FDA-approved Osphena® (ospemifene) oral tablet, which is a SERM, and Intrarosa® (prasterone) vaginal insert, which is a steroid. We believe that DARE-VVA1 has the potential to address a preference due to personal or medical reasons among some women and healthcare providers to avoid estrogen and/or treatments with active ingredients that are estrogen-like or can metabolize into estrogen.</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Currently, there are no FDA-approved therapies for HPV-related cervical disease. DARE-HPV has the potential to be the first FDA-approved product for the treatment of genital HPV infection in women and/or CIN (also known as cervical dysplasia). Persistent HPV infections can progress to cervical cancer through a series of cervical lesions. Currently, there are no FDA-approved therapeutic treatments for HPV infections and no non-surgical pharmaceutical intervention to treat CIN2+. Surgical procedures are performed to remove late-stage cervical lesions to prevent the development of cervical cancer. We are aware of other product candidates in development to treat HPV-related cervical diseases, including an investigational vaginal insert being developed by Antiva Biosciences as a topical treatment for high-grade cervical intraepithelial neoplasia (HSIL, CIN2+) and for high-risk HPV infection, which currently is being evaluated in two Phase 1/2 clinical trials. These candidates may complete development, achieve FDA approval and be marketed in the U.S. before DARE-HPV, potentially creating direct market competition for DARE-HPV, if approved.</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Over the longer term, our ability, independently or otherwise, to successfully develop, manufacture, market, distribute and sell any approved products, expand their usage, or bring additional new products or compounded drugs to the marketplace will depend on many factors, including, but not limited to, FDA and foreign regulatory agency approval of new products and of new indications for existing products, changes in 503B compounding regulations, whether the drug substances in our proprietary formulations appear and remain on the FDA’s list of bulk drug substances that may be used in 503B compounding, the actual and perceived efficacy and safety of our products or our proprietary formulations made available via 503B compounding (alone and relative to other treatment options), the degree of patent or other protection afforded to particular products, and coverage and reimbursement by third-party payors.</w:t>
      </w:r>
    </w:p>
    <w:p>
      <w:pPr>
        <w:spacing w:after="0" w:line="137"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71" w:lineRule="exact"/>
        <w:rPr>
          <w:sz w:val="20"/>
          <w:szCs w:val="20"/>
          <w:color w:val="auto"/>
        </w:rPr>
      </w:pPr>
    </w:p>
    <w:p>
      <w:pPr>
        <w:jc w:val="both"/>
        <w:ind w:firstLine="607"/>
        <w:spacing w:after="0" w:line="248" w:lineRule="auto"/>
        <w:rPr>
          <w:sz w:val="20"/>
          <w:szCs w:val="20"/>
          <w:color w:val="auto"/>
        </w:rPr>
      </w:pPr>
      <w:r>
        <w:rPr>
          <w:rFonts w:ascii="Arial" w:cs="Arial" w:eastAsia="Arial" w:hAnsi="Arial"/>
          <w:sz w:val="17"/>
          <w:szCs w:val="17"/>
          <w:color w:val="auto"/>
        </w:rPr>
        <w:t>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 foreign countries and jurisdictions, and the subsequent compliance with appropriate federal, state, local and foreign statutes and regulations, require the expenditure of substantial time and financial resources.</w:t>
      </w:r>
    </w:p>
    <w:p>
      <w:pPr>
        <w:spacing w:after="0" w:line="12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U.S. Government Regulation</w:t>
      </w:r>
    </w:p>
    <w:p>
      <w:pPr>
        <w:spacing w:after="0" w:line="171"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7" w:name="page38"/>
    <w:bookmarkEnd w:id="37"/>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refusal to approve pending or future marketing applications;</w:t>
      </w:r>
    </w:p>
    <w:p>
      <w:pPr>
        <w:spacing w:after="0" w:line="26"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5"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10"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19"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voluntary product recalls;</w:t>
      </w:r>
    </w:p>
    <w:p>
      <w:pPr>
        <w:spacing w:after="0" w:line="15"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seizures or administrative detention of product;</w:t>
      </w:r>
    </w:p>
    <w:p>
      <w:pPr>
        <w:spacing w:after="0" w:line="10"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w:t>
      </w:r>
    </w:p>
    <w:p>
      <w:pPr>
        <w:spacing w:after="0" w:line="19" w:lineRule="exact"/>
        <w:rPr>
          <w:rFonts w:ascii="Arial" w:cs="Arial" w:eastAsia="Arial" w:hAnsi="Arial"/>
          <w:sz w:val="17"/>
          <w:szCs w:val="17"/>
          <w:color w:val="auto"/>
        </w:rPr>
      </w:pPr>
    </w:p>
    <w:p>
      <w:pPr>
        <w:ind w:left="900" w:hanging="29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injunctions, fines, disgorgement, civil penalties or criminal prosecution.</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FDA Approval Process for Prescription Drugs</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process required by the FDA before a new drug may be marketed in the U.S. generally involves some or all of the following key steps:</w:t>
      </w:r>
    </w:p>
    <w:p>
      <w:pPr>
        <w:spacing w:after="0" w:line="171" w:lineRule="exact"/>
        <w:rPr>
          <w:sz w:val="20"/>
          <w:szCs w:val="20"/>
          <w:color w:val="auto"/>
        </w:rPr>
      </w:pPr>
    </w:p>
    <w:p>
      <w:pPr>
        <w:ind w:left="920" w:hanging="312"/>
        <w:spacing w:after="0" w:line="279"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completion of nonclinical studies, such as laboratory tests, potentially animal studies, and formulation studies, performed in compliance with FDA regulations for good laboratory practices, or GLPs, and other applicable regulations;</w:t>
      </w:r>
    </w:p>
    <w:p>
      <w:pPr>
        <w:ind w:left="920" w:hanging="312"/>
        <w:spacing w:after="0" w:line="279"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design of a clinical protocol and its submission to the FDA as part of an IND, which must become effective before human clinical trials may begin;</w:t>
      </w:r>
    </w:p>
    <w:p>
      <w:pPr>
        <w:ind w:left="920" w:hanging="312"/>
        <w:spacing w:after="0" w:line="279"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good clinical practices, or GCPs, to establish the safety and efficacy of the product candidate for its intended use;</w:t>
      </w:r>
    </w:p>
    <w:p>
      <w:pPr>
        <w:ind w:left="900" w:hanging="292"/>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submission of an NDA to the FDA along with payment of the application user fee and FDA acceptance of that NDA;</w:t>
      </w:r>
    </w:p>
    <w:p>
      <w:pPr>
        <w:spacing w:after="0" w:line="57" w:lineRule="exact"/>
        <w:rPr>
          <w:rFonts w:ascii="Arial" w:cs="Arial" w:eastAsia="Arial" w:hAnsi="Arial"/>
          <w:sz w:val="17"/>
          <w:szCs w:val="17"/>
          <w:color w:val="auto"/>
        </w:rPr>
      </w:pPr>
    </w:p>
    <w:p>
      <w:pPr>
        <w:jc w:val="both"/>
        <w:ind w:left="920" w:hanging="312"/>
        <w:spacing w:after="0" w:line="256"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practices, or cGMP, in order to assure that the facilities, methods and controls are adequate to preserve the drug candidate’s identity, strength, quality and purity;</w:t>
      </w:r>
    </w:p>
    <w:p>
      <w:pPr>
        <w:spacing w:after="0" w:line="18" w:lineRule="exact"/>
        <w:rPr>
          <w:rFonts w:ascii="Arial" w:cs="Arial" w:eastAsia="Arial" w:hAnsi="Arial"/>
          <w:sz w:val="17"/>
          <w:szCs w:val="17"/>
          <w:color w:val="auto"/>
        </w:rPr>
      </w:pPr>
    </w:p>
    <w:p>
      <w:pPr>
        <w:ind w:left="900" w:hanging="292"/>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possible inspection of selected clinical study sites to confirm compliance with GCP requirements and data integrity; and</w:t>
      </w:r>
    </w:p>
    <w:p>
      <w:pPr>
        <w:spacing w:after="0" w:line="57" w:lineRule="exact"/>
        <w:rPr>
          <w:rFonts w:ascii="Arial" w:cs="Arial" w:eastAsia="Arial" w:hAnsi="Arial"/>
          <w:sz w:val="17"/>
          <w:szCs w:val="17"/>
          <w:color w:val="auto"/>
        </w:rPr>
      </w:pPr>
    </w:p>
    <w:p>
      <w:pPr>
        <w:ind w:left="920" w:hanging="312"/>
        <w:spacing w:after="0" w:line="281"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FDA review and approval of the NDA, including satisfactory completion of an FDA advisory committee review of the product candidate, if applicable, which must occur prior to any commercial marketing or sale of the drug product in the U.S.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Preclinical Studies</w:t>
      </w:r>
    </w:p>
    <w:p>
      <w:pPr>
        <w:spacing w:after="0" w:line="182"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After a therapeutic candidate is identified for development, it enters the preclinical or nonclinical testing stage. Preclinical studies include laboratory evaluation of product chemistry, toxicity and formulation, as well as animal studies to assess potential safety and efficacy. The Consolidated Appropriations Act for 2023 amended the FDCA to specify that nonclinical testing for drugs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Nonclinical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 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8" w:name="page39"/>
    <w:bookmarkEnd w:id="38"/>
    <w:p>
      <w:pPr>
        <w:jc w:val="both"/>
        <w:ind w:firstLine="607"/>
        <w:spacing w:after="0" w:line="256" w:lineRule="auto"/>
        <w:rPr>
          <w:sz w:val="20"/>
          <w:szCs w:val="20"/>
          <w:color w:val="auto"/>
        </w:rPr>
      </w:pPr>
      <w:r>
        <w:rPr>
          <w:rFonts w:ascii="Arial" w:cs="Arial" w:eastAsia="Arial" w:hAnsi="Arial"/>
          <w:sz w:val="17"/>
          <w:szCs w:val="17"/>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Human Clinical Trials in Support of an NDA</w:t>
      </w:r>
    </w:p>
    <w:p>
      <w:pPr>
        <w:spacing w:after="0" w:line="169"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clinical investigation of an investigational new drug is divided into three phases that typically are conducted sequentially but may overlap or be combined. The three phases are as follows:</w:t>
      </w:r>
    </w:p>
    <w:p>
      <w:pPr>
        <w:spacing w:after="0" w:line="1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Phase 1 includes initial clinical trials introducing an investigational new drug into humans and may be conducted in subjects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target disease or healthy volunteers. These trials are designed to determine the metabolism and pharmacologic actions of the drug in humans, the side effects associated with increasing doses, and, if possible, to gain early evidence on effectiveness.</w:t>
      </w:r>
    </w:p>
    <w:p>
      <w:pPr>
        <w:spacing w:after="0" w:line="13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includes the controlled clinical trials conducted to evaluate the effectiveness of the drug candidate for a particular indication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or indications in subjects 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2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Phase 3 trials are typically large trials performed after preliminary evidence suggesting effectiveness of the drug candidate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obtained. They 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2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spacing w:after="0" w:line="145"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Congress also amended the FDCA in 2022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If the FDA objects to a sponsor’s diversity action plan or otherwise requires significant changes to be made, it could delay initiation of the relevant clinical trial.</w:t>
      </w:r>
    </w:p>
    <w:p>
      <w:pPr>
        <w:spacing w:after="0" w:line="137"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 xml:space="preserve">In February 2026, via an editorial published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the FDA Commissioner and the director of the FDA’s Center for Biologics Evaluation and Research announced a policy shift whereby, going forward, the FDA’s default position will be a “a one-trial requirement,” meaning that one adequate and well-controlled study, combined with confirmatory evidence, will serve as the basis of marketing authorization of novel product candidates. Confirmatory evidence can include mechanistic science, data from a related indication, animal models, information from other drugs of the same class, real-world evidence, or a second adequate and well-controlled study. The announcement represents a major shift from the FDA’s historical default requirement of two pivotal clinical trials. However, as indicated by FDA representatives during informal interviews and other media appearances, if FDA shifts to only requiring a single trial, it may heighten the standard for these trials in terms of quality. For example, the FDA indicated it will carefully examine all aspects of study design with particular focus on controls, end points, effect size, and statistical protocols. The FDA may still require additional adequate and well-controlled studies if a product candidate has a nebulous, pluripotent, or nonspecific mechanism of action; if it affects a labile, short-term, or surrogate outcome; or if a trial has some underlying limitation or deficiency. The editorial also referenced a new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9" w:name="page40"/>
    <w:bookmarkEnd w:id="39"/>
    <w:p>
      <w:pPr>
        <w:jc w:val="both"/>
        <w:spacing w:after="0" w:line="281" w:lineRule="auto"/>
        <w:rPr>
          <w:sz w:val="20"/>
          <w:szCs w:val="20"/>
          <w:color w:val="auto"/>
        </w:rPr>
      </w:pPr>
      <w:r>
        <w:rPr>
          <w:rFonts w:ascii="Arial" w:cs="Arial" w:eastAsia="Arial" w:hAnsi="Arial"/>
          <w:sz w:val="17"/>
          <w:szCs w:val="17"/>
          <w:color w:val="auto"/>
        </w:rPr>
        <w:t>postmarket initiative being rolled out synchronously to collect robust data on all drugs and devices. The FDA has not published formal guidance regarding the new one-trial default option or postmarket surveillance initiative.</w:t>
      </w:r>
    </w:p>
    <w:p>
      <w:pPr>
        <w:spacing w:after="0" w:line="124"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 xml:space="preserve">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spacing w:after="0" w:line="14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w:t>
      </w:r>
    </w:p>
    <w:p>
      <w:pPr>
        <w:spacing w:after="0" w:line="13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3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Marketing Application Submission and FDA Review</w:t>
      </w:r>
    </w:p>
    <w:p>
      <w:pPr>
        <w:spacing w:after="0" w:line="16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4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Under the Prescription Drug User Fee Act, or PDUFA, each NDA must be accompanied by a significant user fee. The FDA adjusts the PDUFA user fees on an annual basis. PDUFA also imposes an annual program fee for marketed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 Congress is required to re-authorize the agency's user fee programs every five years, and current legislative provisions supporting the PDUFA program are set to expire on September 30, 2027.</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0" w:name="page41"/>
    <w:bookmarkEnd w:id="40"/>
    <w:p>
      <w:pPr>
        <w:jc w:val="both"/>
        <w:ind w:firstLine="607"/>
        <w:spacing w:after="0" w:line="250" w:lineRule="auto"/>
        <w:rPr>
          <w:sz w:val="20"/>
          <w:szCs w:val="20"/>
          <w:color w:val="auto"/>
        </w:rPr>
      </w:pPr>
      <w:r>
        <w:rPr>
          <w:rFonts w:ascii="Arial" w:cs="Arial" w:eastAsia="Arial" w:hAnsi="Arial"/>
          <w:sz w:val="17"/>
          <w:szCs w:val="17"/>
          <w:color w:val="auto"/>
        </w:rPr>
        <w:t>Under the current PDUFA goals and policies agreed to by the FDA, the agency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the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nonclinical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149"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14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w:t>
      </w:r>
    </w:p>
    <w:p>
      <w:pPr>
        <w:spacing w:after="0" w:line="13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1" w:name="page42"/>
    <w:bookmarkEnd w:id="41"/>
    <w:p>
      <w:pPr>
        <w:jc w:val="both"/>
        <w:ind w:firstLine="607"/>
        <w:spacing w:after="0" w:line="250"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 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CRL may include recommended actions that the applicant might take to place the application in a condition for approval. In September 2025, the FDA began publishing CRLs soon after issuing them to the respective sponsors, breaking with long standing agency tradition of publishing CRLs with approval documentation after the product is approved.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w:t>
      </w:r>
    </w:p>
    <w:p>
      <w:pPr>
        <w:spacing w:after="0" w:line="15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Special FDA Programs to Facilitate and Expedite Development and Review of Certain New Drugs</w:t>
      </w:r>
    </w:p>
    <w:p>
      <w:pPr>
        <w:spacing w:after="0" w:line="16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priority review designation, and the Commissioner's National Priority Voucher pilot program. The purpose of these programs is to provide important new drugs to patients earlier than could occur under standard FDA procedures for interacting with and responding to product sponsors during development and regulatory review.</w:t>
      </w:r>
    </w:p>
    <w:p>
      <w:pPr>
        <w:spacing w:after="0" w:line="145"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or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Under the Generating Antibiotics Incentives Now Act, or the GAIN Act, Congress directed the FDA to implement the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2" w:name="page43"/>
    <w:bookmarkEnd w:id="42"/>
    <w:p>
      <w:pPr>
        <w:jc w:val="both"/>
        <w:ind w:firstLine="607"/>
        <w:spacing w:after="0" w:line="252" w:lineRule="auto"/>
        <w:rPr>
          <w:sz w:val="20"/>
          <w:szCs w:val="20"/>
          <w:color w:val="auto"/>
        </w:rPr>
      </w:pPr>
      <w:r>
        <w:rPr>
          <w:rFonts w:ascii="Arial" w:cs="Arial" w:eastAsia="Arial" w:hAnsi="Arial"/>
          <w:sz w:val="17"/>
          <w:szCs w:val="17"/>
          <w:color w:val="auto"/>
        </w:rPr>
        <w:t>Additionally,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52"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2025, the FDA created a new voucher program called the Commissioners National Priority Voucher, or CNPV, with the goal of radically expediting therapeutic product review and approval processes. The agency may award a CNPV to a company or a specific product candidate that demonstrates alignment with certain national health priorities. The FDA aims to take action on a marketing application for which a CNPV is issued within one to two months after the filing date.</w:t>
      </w:r>
    </w:p>
    <w:p>
      <w:pPr>
        <w:spacing w:after="0" w:line="12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none of these programs changes the standards for marketing approval and may not ultimately expedite the development or approval process.</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Post-Approval Requirements for Prescription Drugs</w:t>
      </w:r>
    </w:p>
    <w:p>
      <w:pPr>
        <w:spacing w:after="0" w:line="169" w:lineRule="exact"/>
        <w:rPr>
          <w:sz w:val="20"/>
          <w:szCs w:val="20"/>
          <w:color w:val="auto"/>
        </w:rPr>
      </w:pPr>
    </w:p>
    <w:p>
      <w:pPr>
        <w:jc w:val="both"/>
        <w:ind w:firstLine="607"/>
        <w:spacing w:after="0" w:line="205" w:lineRule="exact"/>
        <w:rPr>
          <w:sz w:val="20"/>
          <w:szCs w:val="20"/>
          <w:color w:val="auto"/>
        </w:rPr>
      </w:pPr>
      <w:r>
        <w:rPr>
          <w:rFonts w:ascii="Arial" w:cs="Arial" w:eastAsia="Arial" w:hAnsi="Arial"/>
          <w:sz w:val="17"/>
          <w:szCs w:val="17"/>
          <w:color w:val="auto"/>
        </w:rPr>
        <w:t>Following approval of a new drug product, the manufacturer and the approved drug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As noted above, in February 2026, the FDA announced a new postmarket data</w:t>
      </w:r>
      <w:r>
        <w:rPr>
          <w:rFonts w:ascii="MS PGothic" w:cs="MS PGothic" w:eastAsia="MS PGothic" w:hAnsi="MS PGothic"/>
          <w:sz w:val="17"/>
          <w:szCs w:val="17"/>
          <w:color w:val="auto"/>
        </w:rPr>
        <w:t>‑</w:t>
      </w:r>
      <w:r>
        <w:rPr>
          <w:rFonts w:ascii="Arial" w:cs="Arial" w:eastAsia="Arial" w:hAnsi="Arial"/>
          <w:sz w:val="17"/>
          <w:szCs w:val="17"/>
          <w:color w:val="auto"/>
        </w:rPr>
        <w:t>collection initiative applicable to all drugs and devices, but the FDA has not yet published guidance specific to this new program.</w:t>
      </w:r>
    </w:p>
    <w:p>
      <w:pPr>
        <w:spacing w:after="0" w:line="14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49"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3" w:name="page44"/>
    <w:bookmarkEnd w:id="43"/>
    <w:p>
      <w:pPr>
        <w:jc w:val="both"/>
        <w:spacing w:after="0" w:line="281" w:lineRule="auto"/>
        <w:rPr>
          <w:sz w:val="20"/>
          <w:szCs w:val="20"/>
          <w:color w:val="auto"/>
        </w:rPr>
      </w:pPr>
      <w:r>
        <w:rPr>
          <w:rFonts w:ascii="Arial" w:cs="Arial" w:eastAsia="Arial" w:hAnsi="Arial"/>
          <w:sz w:val="17"/>
          <w:szCs w:val="17"/>
          <w:color w:val="auto"/>
        </w:rPr>
        <w:t>assurance, and to ensure ongoing compliance with other statutory requirements of the FDCA, such as the requirements for making manufacturing changes to an approved NDA.</w:t>
      </w:r>
    </w:p>
    <w:p>
      <w:pPr>
        <w:spacing w:after="0" w:line="12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136" w:lineRule="exact"/>
        <w:rPr>
          <w:sz w:val="20"/>
          <w:szCs w:val="20"/>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fines, warning letters or other enforcement-related letters or clinical holds on post-approval clinical trials;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 care programs; or</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addition, the distribution of prescription pharmaceutical products is subject to a variety of federal and state laws.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The Drug Supply Chain Security Act, or DSCSA, was enacted in 2013 to, among other things, require use of an electronic system to identify and trace certain prescription drugs distributed in the United States. The DSCSA mandates resource-intensive obligations for pharmaceutical manufacturers, repackagers, wholesale distributors, and dispensers (primarily pharmacies). It also replaced certain provisions from the PDMA pertaining to wholesale distribution of prescription drugs with a more comprehensive statutory scheme, requiring uniform national standards for wholesale distribution and, for the first time, for third-party logistics providers. Most recently, the FDA announced trading partner-specific exemptions through specified dates in 2025,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prescription drug products regulated by the FDA.</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FDA Review and Approval of Medical Devices</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spacing w:after="0" w:line="14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Unless an exemption applies, a new medical device may not be marketed in the United States unless and until it has been cleared through the premarket notification, or 510(k), process, or approved by the FDA pursuant to a PMA. The information that must be submitted to the FDA in order to obtain clearance or approval to market a new medical device varies depending on how the medical device is classified by the FDA.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7"/>
          <w:szCs w:val="17"/>
          <w:color w:val="auto"/>
        </w:rPr>
        <w:t>recent years, the FDA has increased its scrutiny of this issue as part of the review and marketing authorization process for new medical devices; the agency also monitors reports of cybersecurity risks as part of its post-marketing device surveillance activities. In addition, as part of the Consolidated Appropriations Act for 2023, Congress created new premarket requirements for developers of “cyber devices,” defined as medical devices that include software, connect to the internet, and contain any technological features that could be vulnerable to cybersecurity threats.</w:t>
      </w:r>
    </w:p>
    <w:p>
      <w:pPr>
        <w:spacing w:after="0" w:line="142"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Medical devices are classified into one of three classes on the basis of the controls deemed by the FDA to be necessary to reasonably assure their safety and effectiveness. Class I devices are those low risk devices for which reasonable assurance of safety and effectiveness can be provided by adherence to the FDA’s general controls for medical devices, which include applicable portions of the FDA’s Quality Management System Regulation, or QMSR;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 Notably, the QMSR was developed and implemented to harmonize the FDA's previous medical device current good manufacturing practice regulations (referred to as the Quality System Regulation, or QSR) with the International Organization for Standardization, or ISO, standard for device quality management systems (ISO 13485:2016); it became effective on February 2, 2026.</w:t>
      </w:r>
    </w:p>
    <w:p>
      <w:pPr>
        <w:spacing w:after="0" w:line="126"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w:t>
      </w:r>
    </w:p>
    <w:p>
      <w:pPr>
        <w:spacing w:after="0" w:line="2" w:lineRule="exact"/>
        <w:rPr>
          <w:sz w:val="20"/>
          <w:szCs w:val="20"/>
          <w:color w:val="auto"/>
        </w:rPr>
      </w:pPr>
    </w:p>
    <w:p>
      <w:pPr>
        <w:jc w:val="both"/>
        <w:ind w:firstLine="1"/>
        <w:spacing w:after="0" w:line="250" w:lineRule="auto"/>
        <w:tabs>
          <w:tab w:leader="none" w:pos="184"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 data from clinical trials, but such data is typically required if the predicate device relied in part on clinical trial data to obtain clearance.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spacing w:after="0" w:line="137"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Class III devices are deemed by the FDA to pose the greatest risk to patients, such as life-sustaining or life-supporting devices, devices that present a potential unreasonable risk of illness or injury, or, more generally, devices whose safety and effectiveness cannot be assured solely by the general controls and special controls described above. All Class III devices must be reviewed and approved by the FDA through the PMA process. A PMA must be supported by extensive data including, but not limited to, technical data, nonclinical studies, clinical trials, manufacturing and labeling to demonstrate to the FDA’s satisfaction the safety and effectiveness of the device for its intended use. After a PMA is submitted and the FDA determines the application is sufficiently complete, the agency will accept it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QMSR. New PMA applications or supplements are also required for product modifications that affect the safety and efficacy of the device. PMA (and supplemental PMAs) are subject to significantly higher user fees than are 510(k) premarket notifications.</w:t>
      </w:r>
    </w:p>
    <w:p>
      <w:pPr>
        <w:spacing w:after="0" w:line="158"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 xml:space="preserve">Novel medical device types that the FDA has not previously classified as Class I, II or III are automatically classified into Class III regardless of the level of risk they ultimately pose to patients and/or users. The Food and Drug Administration Modernization Act of 1997 established an alternative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Today, as a result of certain amendments to the FDCA, manufacturers may request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from the FDA without first submitting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6"/>
          <w:szCs w:val="16"/>
          <w:color w:val="auto"/>
        </w:rPr>
        <w:t xml:space="preserve">510(k) premarket notification and receiving a not substantially equivalent determination. The FDA is required under the statute to classify the device within 120 days following receipt of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however, the most recent FDA premarket review goals state that in fiscal year 2026, FDA will attempt to issue a decision on 80% of all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requests are also subject to user fees, unless a specific exemption applies.</w:t>
      </w:r>
    </w:p>
    <w:p>
      <w:pPr>
        <w:spacing w:after="0" w:line="132"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Clinical trials are almost always required to support a PMA application and are sometimes required for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form are approved by a duly-appointed IRB at each clinical trial site. A diversity action plan will be required for most clinical studies of investigational medical devices intended to support marketing authorization as a result of the 2022 FDCA amendments.</w:t>
      </w:r>
    </w:p>
    <w:p>
      <w:pPr>
        <w:spacing w:after="0" w:line="142"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Post-Marketing Requirements for Medical Devices</w:t>
      </w:r>
    </w:p>
    <w:p>
      <w:pPr>
        <w:spacing w:after="0" w:line="182"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After a medical device is placed on the market, numerous regulatory requirements apply that in some ways mirror the post-approval requirements for prescription drugs. These include, but are not limited to:</w:t>
      </w:r>
    </w:p>
    <w:p>
      <w:pPr>
        <w:ind w:left="900" w:hanging="29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submitting and updating establishment registration and device listings with the FDA;</w:t>
      </w:r>
    </w:p>
    <w:p>
      <w:pPr>
        <w:spacing w:after="0" w:line="57" w:lineRule="exact"/>
        <w:rPr>
          <w:rFonts w:ascii="Arial" w:cs="Arial" w:eastAsia="Arial" w:hAnsi="Arial"/>
          <w:sz w:val="17"/>
          <w:szCs w:val="17"/>
          <w:color w:val="auto"/>
        </w:rPr>
      </w:pPr>
    </w:p>
    <w:p>
      <w:pPr>
        <w:ind w:left="920" w:hanging="312"/>
        <w:spacing w:after="0" w:line="280" w:lineRule="auto"/>
        <w:tabs>
          <w:tab w:leader="none" w:pos="9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compliance with the QMSR, which requires manufacturers to follow stringent design, testing, control, documentation, record maintenance, including maintenance of complaint and related investigation files, and other quality assurance controls during the manufacturing process;</w:t>
      </w:r>
    </w:p>
    <w:p>
      <w:pPr>
        <w:ind w:left="900" w:hanging="29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pre-scheduled or unannounced device facility inspections by the FDA;</w:t>
      </w:r>
    </w:p>
    <w:p>
      <w:pPr>
        <w:spacing w:after="0" w:line="57" w:lineRule="exact"/>
        <w:rPr>
          <w:rFonts w:ascii="Arial" w:cs="Arial" w:eastAsia="Arial" w:hAnsi="Arial"/>
          <w:sz w:val="17"/>
          <w:szCs w:val="17"/>
          <w:color w:val="auto"/>
        </w:rPr>
      </w:pPr>
    </w:p>
    <w:p>
      <w:pPr>
        <w:ind w:left="920" w:hanging="312"/>
        <w:spacing w:after="0" w:line="271" w:lineRule="auto"/>
        <w:tabs>
          <w:tab w:leader="none" w:pos="9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labeling regulations, which prohibit the promotion of devices for uncleared or unapproved (or “off-label”) uses and impose other restrictions relating to promotional activities;</w:t>
      </w:r>
    </w:p>
    <w:p>
      <w:pPr>
        <w:ind w:left="920" w:hanging="312"/>
        <w:spacing w:after="0" w:line="265" w:lineRule="auto"/>
        <w:tabs>
          <w:tab w:leader="none" w:pos="9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correction and removal reporting regulations, which require that manufacturers report to the FDA field corrections or removals if undertaken to reduce a risk to health posed by a device or to remedy a violation of the FDCA that may present a risk to health; and</w:t>
      </w:r>
    </w:p>
    <w:p>
      <w:pPr>
        <w:spacing w:after="0" w:line="10" w:lineRule="exact"/>
        <w:rPr>
          <w:rFonts w:ascii="Arial" w:cs="Arial" w:eastAsia="Arial" w:hAnsi="Arial"/>
          <w:sz w:val="17"/>
          <w:szCs w:val="17"/>
          <w:color w:val="auto"/>
        </w:rPr>
      </w:pPr>
    </w:p>
    <w:p>
      <w:pPr>
        <w:ind w:left="920" w:hanging="312"/>
        <w:spacing w:after="0" w:line="265" w:lineRule="auto"/>
        <w:tabs>
          <w:tab w:leader="none" w:pos="9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post-market surveillance regulations, which apply to certain Class II or III devices when necessary to protect the public health or to provide additional safety and effectiveness data for the device.</w:t>
      </w:r>
    </w:p>
    <w:p>
      <w:pPr>
        <w:spacing w:after="0" w:line="12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2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6" w:name="page47"/>
    <w:bookmarkEnd w:id="46"/>
    <w:p>
      <w:pPr>
        <w:ind w:firstLine="607"/>
        <w:spacing w:after="0" w:line="279" w:lineRule="auto"/>
        <w:rPr>
          <w:sz w:val="20"/>
          <w:szCs w:val="20"/>
          <w:color w:val="auto"/>
        </w:rPr>
      </w:pPr>
      <w:r>
        <w:rPr>
          <w:rFonts w:ascii="Arial" w:cs="Arial" w:eastAsia="Arial" w:hAnsi="Arial"/>
          <w:sz w:val="17"/>
          <w:szCs w:val="17"/>
          <w:color w:val="auto"/>
        </w:rPr>
        <w:t>As with prescription drugs, the failure to comply with applicable device regulatory requirements can result in enforcement action by the FDA, which may include any of the following sanctions:</w:t>
      </w: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warning letters, fines, injunctions or civil penalties;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recalls, detentions or seizures of products;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restrictions;</w:t>
      </w:r>
    </w:p>
    <w:p>
      <w:pPr>
        <w:spacing w:after="0" w:line="44"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the introduction of products into the market;</w:t>
      </w:r>
    </w:p>
    <w:p>
      <w:pPr>
        <w:spacing w:after="0" w:line="44"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or refusal of the FDA or other regulators to grant 510(k) clearance or PMA approvals of new or modified devices;</w:t>
      </w:r>
    </w:p>
    <w:p>
      <w:pPr>
        <w:spacing w:after="0" w:line="44"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withdrawals of marketing authorization; or</w:t>
      </w:r>
    </w:p>
    <w:p>
      <w:pPr>
        <w:spacing w:after="0" w:line="44" w:lineRule="exact"/>
        <w:rPr>
          <w:rFonts w:ascii="Arial" w:cs="Arial" w:eastAsia="Arial" w:hAnsi="Arial"/>
          <w:sz w:val="17"/>
          <w:szCs w:val="17"/>
          <w:color w:val="auto"/>
        </w:rPr>
      </w:pPr>
    </w:p>
    <w:p>
      <w:pPr>
        <w:ind w:left="900" w:hanging="29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most serious cases, criminal prosecution.</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To ensure compliance with regulatory requirements, medical device manufacturers are subject to market surveillance and periodic, prescheduled or unannounced inspections by the FDA, and these inspections may include the manufacturing facilities of subcontractors and third-party component suppliers.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FDA Review and Approval Process for Combination Products</w:t>
      </w:r>
    </w:p>
    <w:p>
      <w:pPr>
        <w:spacing w:after="0" w:line="18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 combination product is a product composed of a combination of two or more FDA-regulated product constituent parts or products, e.g., drug-device or biologic-device. Such products often raise regulatory, policy and review management challenges because they integrate constituent parts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constituent part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spacing w:after="0" w:line="74" w:lineRule="exact"/>
        <w:rPr>
          <w:sz w:val="20"/>
          <w:szCs w:val="20"/>
          <w:color w:val="auto"/>
        </w:rPr>
      </w:pPr>
    </w:p>
    <w:p>
      <w:pPr>
        <w:ind w:left="920" w:hanging="312"/>
        <w:spacing w:after="0" w:line="281" w:lineRule="auto"/>
        <w:tabs>
          <w:tab w:leader="none" w:pos="9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product comprising two or more regulated constituent parts that are physically, chemically, or otherwise combined or mixed and produced as a single entity;</w:t>
      </w:r>
    </w:p>
    <w:p>
      <w:pPr>
        <w:spacing w:after="0" w:line="47" w:lineRule="exact"/>
        <w:rPr>
          <w:rFonts w:ascii="Arial" w:cs="Arial" w:eastAsia="Arial" w:hAnsi="Arial"/>
          <w:sz w:val="17"/>
          <w:szCs w:val="17"/>
          <w:color w:val="auto"/>
        </w:rPr>
      </w:pPr>
    </w:p>
    <w:p>
      <w:pPr>
        <w:ind w:left="900" w:hanging="29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two or more separate products packaged together in a single package or as a unit and comprised of drug and device components;</w:t>
      </w:r>
    </w:p>
    <w:p>
      <w:pPr>
        <w:spacing w:after="0" w:line="107" w:lineRule="exact"/>
        <w:rPr>
          <w:rFonts w:ascii="Arial" w:cs="Arial" w:eastAsia="Arial" w:hAnsi="Arial"/>
          <w:sz w:val="17"/>
          <w:szCs w:val="17"/>
          <w:color w:val="auto"/>
        </w:rPr>
      </w:pPr>
    </w:p>
    <w:p>
      <w:pPr>
        <w:jc w:val="both"/>
        <w:ind w:left="920" w:hanging="312"/>
        <w:spacing w:after="0" w:line="259" w:lineRule="auto"/>
        <w:tabs>
          <w:tab w:leader="none" w:pos="9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updated to reflect its new use as part of the combination; or</w:t>
      </w:r>
    </w:p>
    <w:p>
      <w:pPr>
        <w:spacing w:after="0" w:line="65" w:lineRule="exact"/>
        <w:rPr>
          <w:rFonts w:ascii="Arial" w:cs="Arial" w:eastAsia="Arial" w:hAnsi="Arial"/>
          <w:sz w:val="17"/>
          <w:szCs w:val="17"/>
          <w:color w:val="auto"/>
        </w:rPr>
      </w:pPr>
    </w:p>
    <w:p>
      <w:pPr>
        <w:ind w:left="920" w:hanging="312"/>
        <w:spacing w:after="0" w:line="281" w:lineRule="auto"/>
        <w:tabs>
          <w:tab w:leader="none" w:pos="9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FDA’s Office of Combination Products, or OCP, provides sponsors with a prompt determination of the FDA Center with primary jurisdiction over a combination product; ensures timely and effective premarket review by coordinating reviews involving more than one center; ensures consistent and appropriate post-market regulation; resolves disputes regarding review timeliness; and reviews/revises agreements, guidance and practices specific to combination products.</w:t>
      </w:r>
    </w:p>
    <w:p>
      <w:pPr>
        <w:spacing w:after="0" w:line="12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a 510(k), PMA,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7" w:name="page48"/>
    <w:bookmarkEnd w:id="47"/>
    <w:p>
      <w:pPr>
        <w:jc w:val="both"/>
        <w:ind w:firstLine="607"/>
        <w:spacing w:after="0" w:line="254" w:lineRule="auto"/>
        <w:rPr>
          <w:sz w:val="20"/>
          <w:szCs w:val="20"/>
          <w:color w:val="auto"/>
        </w:rPr>
      </w:pPr>
      <w:r>
        <w:rPr>
          <w:rFonts w:ascii="Arial" w:cs="Arial" w:eastAsia="Arial" w:hAnsi="Arial"/>
          <w:sz w:val="17"/>
          <w:szCs w:val="17"/>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the sponsor may request that OCP reconsider its decision.</w:t>
      </w:r>
    </w:p>
    <w:p>
      <w:pPr>
        <w:spacing w:after="0" w:line="14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Combination products are subject to FDA user fees based on the type of application submitted for the product’s premarket approval or clearance. For example, a combination product for which an NDA is submitted is subject to the NDA fee under PDUFA. Likewise, a combination product for which a PMA is submitted is subject to the PMA user fee.</w:t>
      </w:r>
    </w:p>
    <w:p>
      <w:pPr>
        <w:spacing w:after="0" w:line="12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Since a combination product incorporates two or more constituent parts that have different regulatory requirements, a combination product manufacturer must comply with all cGMP and QMSR requirements that apply to each constituent part.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 regulated constituent part included in the combination product; or (2) either the drug cGMP or the QMSR, as well as with specified provisions from the other of these two sets of requirements (also called the “streamlined approach”). In addition, the 21st Century Cures Act, or the Cures Act, amended the FDCA to clarify that for drug-device combination products with a device PMOA and an FDA-approved drug constituent part, Hatch-Waxman Act requirements apply. Accordingly, a potential patent dispute regarding the listed drug that is being referenced by the combination product sponsor may delay the marketing authorization of the combination product. Furthermore, the Cures Act amendments applied Hatch-Waxman Act exclusivity provisions (e.g., new chemical entity and new clinical investigation) to the device clearance and approval process for combination products with a device PMOA.</w:t>
      </w:r>
    </w:p>
    <w:p>
      <w:pPr>
        <w:spacing w:after="0" w:line="142" w:lineRule="exact"/>
        <w:rPr>
          <w:sz w:val="20"/>
          <w:szCs w:val="20"/>
          <w:color w:val="auto"/>
        </w:rPr>
      </w:pPr>
    </w:p>
    <w:p>
      <w:pPr>
        <w:ind w:left="600" w:right="2160"/>
        <w:spacing w:after="0" w:line="457" w:lineRule="auto"/>
        <w:rPr>
          <w:sz w:val="20"/>
          <w:szCs w:val="20"/>
          <w:color w:val="auto"/>
        </w:rPr>
      </w:pPr>
      <w:r>
        <w:rPr>
          <w:rFonts w:ascii="Arial" w:cs="Arial" w:eastAsia="Arial" w:hAnsi="Arial"/>
          <w:sz w:val="17"/>
          <w:szCs w:val="17"/>
          <w:b w:val="1"/>
          <w:bCs w:val="1"/>
          <w:i w:val="1"/>
          <w:iCs w:val="1"/>
          <w:color w:val="auto"/>
        </w:rPr>
        <w:t xml:space="preserve">New Drug Marketing Exclusivity under the Hatch-Waxman Act Amendments &amp; GAIN Exclusivity Extension </w:t>
      </w:r>
      <w:r>
        <w:rPr>
          <w:rFonts w:ascii="Arial" w:cs="Arial" w:eastAsia="Arial" w:hAnsi="Arial"/>
          <w:sz w:val="17"/>
          <w:szCs w:val="17"/>
          <w:i w:val="1"/>
          <w:iCs w:val="1"/>
          <w:color w:val="auto"/>
        </w:rPr>
        <w:t>Orange Book Listing &amp; Patent Certification</w:t>
      </w:r>
    </w:p>
    <w:p>
      <w:pPr>
        <w:spacing w:after="0" w:line="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5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As part of the NDA review and approval process, applicants are required to list with the FDA each patent that has claims that cover the applicant’s product or method of therapeutic use. Upon approval of a new drug, each of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7"/>
          <w:szCs w:val="17"/>
          <w:color w:val="auto"/>
        </w:rPr>
        <w:t>patents listed in the application for the drug is then published in the Orange Book. Drugs listed in the Orange Book can, in turn, be cited by potential follow-on competitors in support of approval of an ANDA or a 505(b)(2) NDA that relies in full or in part on the reference product. Patents for drug-device combination products that are listed in the Orange Book have recently come under scrutiny by the Federal Trade Commission, and the controversy regarding the appropriateness of listing such patents has led to numerous lawsuits alleging anticompetitive conduct by biopharmaceutical companies.</w:t>
      </w:r>
    </w:p>
    <w:p>
      <w:pPr>
        <w:spacing w:after="0" w:line="145"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3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Non-Patent Exclusivity</w:t>
      </w:r>
    </w:p>
    <w:p>
      <w:pPr>
        <w:spacing w:after="0" w:line="16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4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Qualified Infectious Disease Product Exclusivity</w:t>
      </w:r>
    </w:p>
    <w:p>
      <w:pPr>
        <w:spacing w:after="0" w:line="16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9" w:name="page50"/>
    <w:bookmarkEnd w:id="49"/>
    <w:p>
      <w:pPr>
        <w:jc w:val="both"/>
        <w:spacing w:after="0" w:line="252" w:lineRule="auto"/>
        <w:rPr>
          <w:sz w:val="20"/>
          <w:szCs w:val="20"/>
          <w:color w:val="auto"/>
        </w:rPr>
      </w:pPr>
      <w:r>
        <w:rPr>
          <w:rFonts w:ascii="Arial" w:cs="Arial" w:eastAsia="Arial" w:hAnsi="Arial"/>
          <w:sz w:val="17"/>
          <w:szCs w:val="17"/>
          <w:color w:val="auto"/>
        </w:rPr>
        <w:t>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Patent Term Extension</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18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Other U.S. Health Care Laws and Compliance Requirements</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are subject to additional health care statutory and regulatory requirements and enforcement by federal government and the states and foreign governments in the jurisdictions in which we conduct our business. Health care providers, physicians and third-party payors play a primary role in the recommendation and prescription of any product candidates for which we may obtain marketing approval as well as prescription drug products that are being manufactured and distributed by 503B outsourcing facilities. Arrangements we may enter into with third-party payors or other customers expose us to broadly applicable fraud and abuse and other health care laws and regulations that constrain the business or financial arrangements and relationships through which we market, sell, and distribute any products for which we obtain marketing approval.</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Violations of the fraud and abuse laws, or other health care laws, are punishable by criminal and civil sanctions, including, in some instances, the possibility of exclusion from participation in federal and state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7"/>
          <w:szCs w:val="17"/>
          <w:color w:val="auto"/>
        </w:rPr>
        <w:t>monetary penalties, and corporate integrity agreements. If the government were to allege or convict us or our executive officers, employees or consultants of violating these laws, our business could be harmed. In addition, private individuals have the ability to bring similar actions under some of the fraud and abuse laws described below.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145"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These applicable health care industry laws include, among others, health care information and data privacy and security laws, transparency laws, and fraud and abuse laws, such as:</w:t>
      </w:r>
    </w:p>
    <w:p>
      <w:pPr>
        <w:spacing w:after="0" w:line="48" w:lineRule="exact"/>
        <w:rPr>
          <w:sz w:val="20"/>
          <w:szCs w:val="20"/>
          <w:color w:val="auto"/>
        </w:rPr>
      </w:pPr>
    </w:p>
    <w:p>
      <w:pPr>
        <w:jc w:val="both"/>
        <w:ind w:left="920" w:hanging="312"/>
        <w:spacing w:after="0" w:line="270" w:lineRule="auto"/>
        <w:tabs>
          <w:tab w:leader="none" w:pos="9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62" w:lineRule="exact"/>
        <w:rPr>
          <w:rFonts w:ascii="Arial" w:cs="Arial" w:eastAsia="Arial" w:hAnsi="Arial"/>
          <w:sz w:val="16"/>
          <w:szCs w:val="16"/>
          <w:color w:val="auto"/>
        </w:rPr>
      </w:pPr>
    </w:p>
    <w:p>
      <w:pPr>
        <w:jc w:val="both"/>
        <w:ind w:left="920" w:hanging="312"/>
        <w:spacing w:after="0" w:line="252" w:lineRule="auto"/>
        <w:tabs>
          <w:tab w:leader="none" w:pos="9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76" w:lineRule="exact"/>
        <w:rPr>
          <w:rFonts w:ascii="Arial" w:cs="Arial" w:eastAsia="Arial" w:hAnsi="Arial"/>
          <w:sz w:val="17"/>
          <w:szCs w:val="17"/>
          <w:color w:val="auto"/>
        </w:rPr>
      </w:pPr>
    </w:p>
    <w:p>
      <w:pPr>
        <w:jc w:val="both"/>
        <w:ind w:left="920" w:hanging="312"/>
        <w:spacing w:after="0" w:line="253" w:lineRule="auto"/>
        <w:tabs>
          <w:tab w:leader="none" w:pos="9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created new federal, civil and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73" w:lineRule="exact"/>
        <w:rPr>
          <w:rFonts w:ascii="Arial" w:cs="Arial" w:eastAsia="Arial" w:hAnsi="Arial"/>
          <w:sz w:val="17"/>
          <w:szCs w:val="17"/>
          <w:color w:val="auto"/>
        </w:rPr>
      </w:pPr>
    </w:p>
    <w:p>
      <w:pPr>
        <w:jc w:val="both"/>
        <w:ind w:left="920" w:hanging="312"/>
        <w:spacing w:after="0" w:line="254" w:lineRule="auto"/>
        <w:tabs>
          <w:tab w:leader="none" w:pos="9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spacing w:after="0" w:line="72" w:lineRule="exact"/>
        <w:rPr>
          <w:rFonts w:ascii="Arial" w:cs="Arial" w:eastAsia="Arial" w:hAnsi="Arial"/>
          <w:sz w:val="17"/>
          <w:szCs w:val="17"/>
          <w:color w:val="auto"/>
        </w:rPr>
      </w:pPr>
    </w:p>
    <w:p>
      <w:pPr>
        <w:jc w:val="both"/>
        <w:ind w:left="920" w:hanging="312"/>
        <w:spacing w:after="0" w:line="252" w:lineRule="auto"/>
        <w:tabs>
          <w:tab w:leader="none" w:pos="9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respective implementing regulations impose specified requirements relating to the privacy, security and electronic exchange of individually identifiable health information (called "protected health information" under HIPAA) as well as requirements for notification to affected individuals and the government in the event of a breach. Among other things, HITECH makes certain of HIPAA’s privacy and all of HIPAA's security standards directly applicable to “business associates,” defined as independent contractors or agents of "covered entities," or organizations subject to HIPAA which include certain health care providers, health plans, and health care clearinghouses. Business associates create, receive, maintain or transmit protected health information in connection with providing a service for or on behalf of a covered entity. HITECH also increased the civil and criminal penalties that may be imposed against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1" w:name="page52"/>
    <w:bookmarkEnd w:id="51"/>
    <w:p>
      <w:pPr>
        <w:jc w:val="both"/>
        <w:ind w:left="920"/>
        <w:spacing w:after="0" w:line="264" w:lineRule="auto"/>
        <w:rPr>
          <w:sz w:val="20"/>
          <w:szCs w:val="20"/>
          <w:color w:val="auto"/>
        </w:rPr>
      </w:pPr>
      <w:r>
        <w:rPr>
          <w:rFonts w:ascii="Arial" w:cs="Arial" w:eastAsia="Arial" w:hAnsi="Arial"/>
          <w:sz w:val="17"/>
          <w:szCs w:val="17"/>
          <w:color w:val="auto"/>
        </w:rPr>
        <w:t>covered entities, business associates and created penalties for third parties that unlawfully acquire protected health information. HITECH also gave state attorneys general new authority to file civil actions for damages or injunctions in federal courts to enforce HIPAA and seek attorney’s fees and costs associated with pursuing federal civil actions; and</w:t>
      </w:r>
    </w:p>
    <w:p>
      <w:pPr>
        <w:spacing w:after="0" w:line="63" w:lineRule="exact"/>
        <w:rPr>
          <w:sz w:val="20"/>
          <w:szCs w:val="20"/>
          <w:color w:val="auto"/>
        </w:rPr>
      </w:pPr>
    </w:p>
    <w:p>
      <w:pPr>
        <w:ind w:left="900" w:hanging="29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and local laws which require the registration of pharmaceutical sales representatives.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expanding and complicating compliance requirements.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15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To the extent we commercialize or co-promote our products, if approved, and because such products could be reimbursed under federal and other governmental health care programs, we have developed an appropriate compliance program, commensurate to the limited commercial activities in which we engage,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Moreover,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Sales of our drug and drug-device combination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4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w:t>
      </w:r>
    </w:p>
    <w:p>
      <w:pPr>
        <w:spacing w:after="0" w:line="129"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One third-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party payor’s determination to provide coverage for a product does not assure that other payors will also provide coverage for the product.</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36"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Additionally, the containment of health care costs has become a priority of federal and state governments and the prices of drug products have been a focus in this effort. Recent U.S. federal actions include initiatives incorporating "most favored nation" (international reference pricing) concepts for certain prescription drugs, as well as agency testing of new payment models that could tie Medicare reimbursement or manufacturer rebates to prices in specified reference countries. For example, in August 2022, President Biden signed into the law the Inflation Reduction Act of 2022, or the IRA, which includes (among other things) multiple provisions that may impact the prices of drug products that are both sold into the Medicare program and throughout the United States. Starting in 2023, a manufacturer of drug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CMS is negotiating drug prices annually for a select number of single source Part D drugs without generic competition. CMS is also negotiating drug prices for a select number of Part B drugs starting for payment year 2028. If a drug product is selected by CMS for negotiation, it is expected that the revenue generated from such drug will decrease. CMS has begun to implement these new authorities, announcing the first round of negotiated "maximum fair prices" for the first 10 drugs in August 2024, which became effective as of January 1, 2026 (payment year 2026). The second round of negotiated prices for 15 drug products was announced in November 2025, and CMS published the next group of drugs selected for negotiation in January 2026.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in the future.</w:t>
      </w:r>
    </w:p>
    <w:p>
      <w:pPr>
        <w:spacing w:after="0" w:line="13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Separately, the Trump Administration announced the creation of a government website called TrumpRx, which will allow consumers to purchase certain drugs at reduced prices as negotiated between the drug manufacturers and the administration. As of January 2026, the Trump Administration had secured deals with 16 major drug manufacturers to offer certain drugs at most-favored-nation prices.</w:t>
      </w:r>
    </w:p>
    <w:p>
      <w:pPr>
        <w:spacing w:after="0" w:line="138"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6"/>
          <w:szCs w:val="16"/>
          <w:color w:val="auto"/>
        </w:rPr>
        <w:t>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or PBMs, and other members of the health care and pharmaceutical supply chain, an important decision that has led to further and more aggressive efforts by states in this area. The Federal Trade Commission in mid-2022 also launched sweeping investigations into the practices of the PBM industry, and published interim reports with its findings in mid-2024 and January 2025, that also appear to be contributing to additional federal and state legislative and regulatory proposals, as well as enforcement action and private litigation, targeting such entities’ operations, pharmacy networks, and financial arrangements. In February 2026, President Trump signed into law several PBM regulatory reforms as part of a federal budget package. The Department of Labor (DOL) also issued a proposed rule in January 2026 that would mandate specific PBM fee disclosures to self-insured plan fiduciaries under the Employment Retirement Income Act (ERISA). If finalized as proposed, the DOL rule would also allow plan fiduciaries to audit those PBM disclosures to confirm accuracy. Additional proposals and legislative changes aimed at PBMs and their business practices are likely to continue to be introduced and considered in Congress and by executive agencies. Significant efforts to change the PBM industry as it currently exists in the U.S.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may affect the entire pharmaceutical supply chain and the business of other stakeholders, including medical product developers like us.</w:t>
      </w:r>
    </w:p>
    <w:p>
      <w:pPr>
        <w:spacing w:after="0" w:line="18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contained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Further legislative and regulatory changes under the ACA remain possible, although it is unknown what form any such changes or any law would take, and how or whether it may affect the biopharmaceutical industry as a whole or our business in the future.</w:t>
      </w:r>
    </w:p>
    <w:p>
      <w:pPr>
        <w:spacing w:after="0" w:line="139" w:lineRule="exact"/>
        <w:rPr>
          <w:sz w:val="20"/>
          <w:szCs w:val="20"/>
          <w:color w:val="auto"/>
        </w:rPr>
      </w:pPr>
    </w:p>
    <w:p>
      <w:pPr>
        <w:jc w:val="both"/>
        <w:ind w:firstLine="607"/>
        <w:spacing w:after="0" w:line="248" w:lineRule="auto"/>
        <w:rPr>
          <w:sz w:val="20"/>
          <w:szCs w:val="20"/>
          <w:color w:val="auto"/>
        </w:rPr>
      </w:pPr>
      <w:r>
        <w:rPr>
          <w:rFonts w:ascii="Arial" w:cs="Arial" w:eastAsia="Arial" w:hAnsi="Arial"/>
          <w:sz w:val="17"/>
          <w:szCs w:val="17"/>
          <w:color w:val="auto"/>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Federal Regulation of Compounded Drugs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Drug compounding is a practice in which a licensed pharmacist, a licensed physician, or in the case of an outsourcing facility, a person under the supervision of a licensed pharmacist, combines, mixes, or alters ingredients of a drug to create a customized medication.</w:t>
      </w:r>
    </w:p>
    <w:p>
      <w:pPr>
        <w:spacing w:after="0" w:line="1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Compounded drugs are regulated at the federal level primarily under Section 503A and Section 503B of the FDCA. The FDA does not evaluate compounded drug products for safety, effectiveness, or quality, although it does have oversight over the compounding pharmacies and outsourcing facilities producing such drugs in compliance with the conditions of Section 503A and 503B, respectively.</w:t>
      </w:r>
    </w:p>
    <w:p>
      <w:pPr>
        <w:spacing w:after="0" w:line="13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As discussed above, we are making our proprietary sildenafil cream formulation available to patients by prescription as a compounded drug under the brand name DARE to PLAY Sildenafil Cream via an outsourcing facility operating under Section 503B, and we plan to make our proprietary estradiol progesterone intravaginal ring available to patients by prescription as a compounded drug under the brand name DARE to RECLAIM™ estradiol progesterone intravaginal ring via another outsourcing facility operating under Section 503B.</w:t>
      </w:r>
    </w:p>
    <w:p>
      <w:pPr>
        <w:spacing w:after="0" w:line="12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term “outsourcing facility” refers to a facility that produces compounded drugs in accordance with Section 503B and distributes them either pursuant to a patient-specific prescription or in response to an order from a health care provider, such as a hospital, that is not for an identified individual patient (e.g., for office stock). Outsourcing facilities must be registered with the FDA and are subject to cGMP requirements and FDA inspections. In addition, an outsourcing facility must meet other conditions described in Section 503B, including reporting adverse events, labeling compounded products with certain information, reporting specific information about the drugs that it compounds, including a list of all of drugs it compounded during the previous six months and the FDA-registered source of the active ingredients used to compound. Under Section 503B, outsourcing facilities are prohibited from selling compounded drugs through a wholesale distributor, subject to certain exceptions set forth in FDA guidance.</w:t>
      </w:r>
    </w:p>
    <w:p>
      <w:pPr>
        <w:spacing w:after="0" w:line="14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Outsourcing facilities may only compound using bulk drug substances that either appear on a list established by the FDA of bulk drug substances for which there is a clinical need or are for drug products on FDA's Drug Shortage List. Although the FDA has not yet finalized its list of bulk drug substances for which there is a clinical need, the FDA has announced an interim policy pursuant to which bulk drug substances may be nominated for inclusion on such list and, provided certain conditions are met, outsourcing facilities may compound with such bulk drug substances pending evaluation of the substances for inclusion on the FDA’s list of bulk drug substances for which there is a clinical need. Each of sildenafil citrate, estradiol, and progesterone as a bulk drug substance that is a component of FDA-approved drugs, is currently listed in FDA's interim Category 1 List of bulk substances that have been nominated, reviewed by FDA, and may be compounded by outsourcing facilities pending FDA’s final evaluation. FDA does not intend to take action against an outsourcing facility for compounding drugs using bulk drug substances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classified as Category 1 substances provided that the conditions described in the agency's January 2025 interim enforcement policy are met.</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Under Section 503B, outsourcing facilities are prohibited from compounding a drug that is “essentially a copy” of an FDA-approved drug, unless the drug is on the FDA’s Drug Shortage List at the time of compounding, distribution, and dispensing. A drug is essentially a copy of an FDA-approved drug if it is identical or nearly identical to the FDA-approved drug, which the FDA has interpreted to mean that it has the same active ingredient(s), route of administration, dosage form, dosage strength and excipients as the approved drug, or if it has the same active ingredient as an approved drug and there is not a change from the approved drug that produces a clinical difference for an individual patient, as determined by the prescribing practitioner.</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Data Privacy and the Protection of Personal Information</w:t>
      </w:r>
    </w:p>
    <w:p>
      <w:pPr>
        <w:spacing w:after="0" w:line="171"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We are subject to numerous laws and regulations governing data privacy and the protection of personal information of patients, clinical investigators, employees, and vendors/business contacts including in relation to medical records and other health information, credit card data and financial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as well as reputational harm. Our customers and research partners must comply with laws governing the privacy and security of health information, including HIPAA, HITECH and state health information privacy laws. If we knowingly obtain protected health information without the authority to do so, our customers or research collaborators may be subject to enforcement and we may have direct liability for the unlawful receipt of protected health information or for aiding and abetting a HIPAA violation.</w:t>
      </w:r>
    </w:p>
    <w:p>
      <w:pPr>
        <w:spacing w:after="0" w:line="14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Even when HIPAA does not apply, according to the Federal Trade Commission, or the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or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The FTC and states' Attorneys General have brought enforcement actions and prosecuted some data breach cases as unfair and/or deceptive acts or practices under the FTC Act and comparable state laws.</w:t>
      </w:r>
    </w:p>
    <w:p>
      <w:pPr>
        <w:spacing w:after="0" w:line="137"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adopted the California Consumer Privacy Act of 2018, or CCPA, which went into effect in January of 2020.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requiring covered companies to provide new disclosures to consumers about such companies' practices for collection and use of consumer data, and providing customers new ways to opt-out of certain sales or transfers of personal information. In addition, the CCPA creates a new and potentially severe statutory damages framework for violations of the CCPA and for businesses that fail to implement reasonable security procedures and practices to prevent data breaches. While there is currently an exception for protected health information that is subject to HIPAA and clinical trial regulations, as currently written, the CCPA may impact our business activities. More recently, the California Privacy Rights Act, or CPRA, was approved by California voters in the election on November 3, 2020. The CPRA went into effect in January of 2023, modifying and strengthening the CCPA significantly,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will be enacting new regulations and will have expanded enforcement authority. Numerous other states have either enacted or are considering enacting their own privacy laws similar to the CCPA.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5" w:name="page56"/>
    <w:bookmarkEnd w:id="55"/>
    <w:p>
      <w:pPr>
        <w:ind w:left="600"/>
        <w:spacing w:after="0"/>
        <w:rPr>
          <w:sz w:val="20"/>
          <w:szCs w:val="20"/>
          <w:color w:val="auto"/>
        </w:rPr>
      </w:pPr>
      <w:r>
        <w:rPr>
          <w:rFonts w:ascii="Arial" w:cs="Arial" w:eastAsia="Arial" w:hAnsi="Arial"/>
          <w:sz w:val="17"/>
          <w:szCs w:val="17"/>
          <w:b w:val="1"/>
          <w:bCs w:val="1"/>
          <w:i w:val="1"/>
          <w:iCs w:val="1"/>
          <w:color w:val="auto"/>
        </w:rPr>
        <w:t>Health Care Reform and Potential Changes to Laws and Regulations</w:t>
      </w:r>
    </w:p>
    <w:p>
      <w:pPr>
        <w:spacing w:after="0" w:line="184" w:lineRule="exact"/>
        <w:rPr>
          <w:sz w:val="20"/>
          <w:szCs w:val="20"/>
          <w:color w:val="auto"/>
        </w:rPr>
      </w:pPr>
    </w:p>
    <w:p>
      <w:pPr>
        <w:jc w:val="both"/>
        <w:ind w:firstLine="607"/>
        <w:spacing w:after="0" w:line="243"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that receive marketing approval. FDA and other regulatory authority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Government Regulation Outside the U.S.</w:t>
      </w:r>
    </w:p>
    <w:p>
      <w:pPr>
        <w:spacing w:after="0" w:line="171"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color w:val="auto"/>
        </w:rPr>
        <w:t>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International marketing and distribution of medical devices are also subject to foreign government regulations, which may vary substantially from country to country. There is a trend towards harmonization of quality system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standards for medical device products among the European Union, United States, Canada and various other industrialized countries.</w:t>
      </w:r>
    </w:p>
    <w:p>
      <w:pPr>
        <w:spacing w:after="0" w:line="18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Review and Approval of Medicinal Products in the European Union</w:t>
      </w:r>
    </w:p>
    <w:p>
      <w:pPr>
        <w:spacing w:after="0" w:line="158" w:lineRule="exact"/>
        <w:rPr>
          <w:sz w:val="20"/>
          <w:szCs w:val="20"/>
          <w:color w:val="auto"/>
        </w:rPr>
      </w:pPr>
    </w:p>
    <w:p>
      <w:pPr>
        <w:jc w:val="both"/>
        <w:ind w:firstLine="607"/>
        <w:spacing w:after="0" w:line="248" w:lineRule="auto"/>
        <w:rPr>
          <w:sz w:val="20"/>
          <w:szCs w:val="20"/>
          <w:color w:val="auto"/>
        </w:rPr>
      </w:pPr>
      <w:r>
        <w:rPr>
          <w:rFonts w:ascii="Arial" w:cs="Arial" w:eastAsia="Arial" w:hAnsi="Arial"/>
          <w:sz w:val="17"/>
          <w:szCs w:val="17"/>
          <w:color w:val="auto"/>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spacing w:after="0" w:line="140"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Pursuant to the European Clinical Trials Directive, a system for the approval of clinical trials in the EU had been implemented through national legislation of the member states. Under the previous system, an applicant obtained approval from the competent national authority of an EU member state in which the clinical trial was conducted. Furthermore, the applicant could only start a clinical trial after a competent ethics committee had issued a favorable opinion. In April 2014, the new Clinical Trials Regulation, (EU) No 536/2014 (Clinical Trials Regulation) was adopted and became effective on January 31, 2022. The Clinical Trials Regulation is directly applicable in all the EU Member States.</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main characteristics of the regulation include: a streamlined application procedure via a single entry point, the “EU portal” called the Clinical Trial Information System, or CTIS; a single set of documents to be 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w:t>
      </w:r>
    </w:p>
    <w:p>
      <w:pPr>
        <w:spacing w:after="0" w:line="142"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To obtain marketing approval of a drug in the EU, an applicant must submit a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37"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7"/>
          <w:szCs w:val="17"/>
          <w:color w:val="auto"/>
        </w:rPr>
        <w:t>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4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spacing w:after="0" w:line="137"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Notably, the European Commission issued a proposal in 2023 to revise and replace the existing general pharmaceutical legislation for the EU. As of January 2026, the three EU institutions, the European Commission, the European Parliament and the Council of the EU, are in the process of negotiating the final content of the new Directive and Regulation. Once negotiations are complete, the European Parliament and the Council of the EU will vote on whether to approve the Directive and Regulation. If adopted and implemented, these revisions will significantly change several aspects of drug development and approval in the European Union.</w:t>
      </w:r>
    </w:p>
    <w:p>
      <w:pPr>
        <w:spacing w:after="0" w:line="13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Prior to May 26, 2021, the date on which the new Medical Device Regulation ("MDR") became effective, medical devices marketed in Europe were required to comply with the Essential Requirements defined in Annex I to the EU Medical Devices Directive, or MDD, a coordinated system for the authorization of medical devices. The MDD regulated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depended on the class of the product, but normally involved a combination of self-assessment by the manufacturer and a third-party assessment by a “Notified Body.” This third-party assessment may consist of an audit of the manufacturer’s quality system and specific testing of the manufacturer’s product.</w:t>
      </w:r>
    </w:p>
    <w:p>
      <w:pPr>
        <w:spacing w:after="0" w:line="15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2017, European Union regulatory bodies finalized the MDR, which provided three years for transition and compliance, for a final effective date of May 26, 2020. A further transition period was provided until May 26, 2024 to give the medical device industry and Notified Bodies additional time to come into compliance. The MDR changed several aspects of the existing regulatory framework for medical device marketing in Europe and increased regulatory oversight of all medical devices marketed in the EU, which may, in turn, increase the costs, time and requirements that need to be met in order to place an innovative or high-risk medical device on the European market. Specifically, the MDR requires post-market clinical follow-up evidence for medical devices, annual reporting of safety information for Class III products, and bi-annual reporting for Class II products, unique device identification, or UDI, for all products, submission of core data elements to a European UDI database prior to placement of a device on the market, reclassification of medical devices, and multiple other labeling changes. A CE certificate issued under the MDD before May 26, 2021 may remain valid until May 25, 2024 under certain conditions.</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new market entrant, we must acquire any necessary device approvals under the MDR for new products, which could be challenging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costly.</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Review and Approval of Medicinal Products in Canada</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8" w:name="page59"/>
    <w:bookmarkEnd w:id="58"/>
    <w:p>
      <w:pPr>
        <w:jc w:val="both"/>
        <w:ind w:firstLine="607"/>
        <w:spacing w:after="0" w:line="253" w:lineRule="auto"/>
        <w:rPr>
          <w:sz w:val="20"/>
          <w:szCs w:val="20"/>
          <w:color w:val="auto"/>
        </w:rPr>
      </w:pPr>
      <w:r>
        <w:rPr>
          <w:rFonts w:ascii="Arial" w:cs="Arial" w:eastAsia="Arial" w:hAnsi="Arial"/>
          <w:sz w:val="17"/>
          <w:szCs w:val="17"/>
          <w:color w:val="auto"/>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50"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spacing w:after="0" w:line="13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12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spacing w:after="0" w:line="145"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addition to regulations in the United States,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cGMPs during manufacturing. The process of new drug approvals by regulators in the United States, Canada and the European Union are generally considered to be among the most rigorous in the world.</w:t>
      </w:r>
    </w:p>
    <w:p>
      <w:pPr>
        <w:spacing w:after="0" w:line="14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 clinical studies, product licensing, pricing and reimbursement vary greatly from country to country. In some international markets, additional clinical trials may be required prior to the filing or approval of marketing applications within the country.</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9" w:name="page60"/>
    <w:bookmarkEnd w:id="59"/>
    <w:p>
      <w:pPr>
        <w:jc w:val="both"/>
        <w:ind w:firstLine="607"/>
        <w:spacing w:after="0" w:line="281"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Europe – Data Privacy</w:t>
      </w:r>
    </w:p>
    <w:p>
      <w:pPr>
        <w:spacing w:after="0" w:line="158" w:lineRule="exact"/>
        <w:rPr>
          <w:sz w:val="20"/>
          <w:szCs w:val="20"/>
          <w:color w:val="auto"/>
        </w:rPr>
      </w:pPr>
    </w:p>
    <w:p>
      <w:pPr>
        <w:jc w:val="both"/>
        <w:ind w:firstLine="607"/>
        <w:spacing w:after="0"/>
        <w:rPr>
          <w:sz w:val="20"/>
          <w:szCs w:val="20"/>
          <w:color w:val="auto"/>
        </w:rPr>
      </w:pPr>
      <w:r>
        <w:rPr>
          <w:rFonts w:ascii="Arial" w:cs="Arial" w:eastAsia="Arial" w:hAnsi="Arial"/>
          <w:sz w:val="17"/>
          <w:szCs w:val="17"/>
          <w:color w:val="auto"/>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limitations on retention of personal data, higher standards for organizations to demonstrate that they have obtained valid consent or have another legal basis in place to justify their data processing activities; requirements to conduct data protection impact assessments for "high risk" processing;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continue to reframe their national legislation to harmonize with the GDPR, we will need to monitor compliance with all relevant EU member states’ laws and regulations, including where permitted derogations from the GDPR are introduced.</w:t>
      </w:r>
    </w:p>
    <w:p>
      <w:pPr>
        <w:spacing w:after="0" w:line="15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will also be subject to evolving EU laws on data export, if we transfer data outside the EU to ourselves or third parties outside of the EU. The GDPR only permits exports of data outside the EU to countries deemed by the European Commission to have adequate data privacy laws or where there is a suitable data transfer solution in place to safeguard personal data (e.g., the European Union Commission approved Standard Contractual Clauses).</w:t>
      </w:r>
    </w:p>
    <w:p>
      <w:pPr>
        <w:spacing w:after="0" w:line="129"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previously raised by the Court of Justice of the European Union, or the CJEU, in </w:t>
      </w:r>
      <w:r>
        <w:rPr>
          <w:rFonts w:ascii="Arial" w:cs="Arial" w:eastAsia="Arial" w:hAnsi="Arial"/>
          <w:sz w:val="17"/>
          <w:szCs w:val="17"/>
          <w:i w:val="1"/>
          <w:iCs w:val="1"/>
          <w:color w:val="auto"/>
        </w:rPr>
        <w:t>a</w:t>
      </w:r>
      <w:r>
        <w:rPr>
          <w:rFonts w:ascii="Arial" w:cs="Arial" w:eastAsia="Arial" w:hAnsi="Arial"/>
          <w:sz w:val="17"/>
          <w:szCs w:val="17"/>
          <w:color w:val="auto"/>
        </w:rPr>
        <w:t xml:space="preserve"> decision that invalidated the former EU-U.S. Privacy Shield.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39" w:lineRule="exact"/>
        <w:rPr>
          <w:sz w:val="20"/>
          <w:szCs w:val="20"/>
          <w:color w:val="auto"/>
        </w:rPr>
      </w:pPr>
    </w:p>
    <w:p>
      <w:pPr>
        <w:jc w:val="both"/>
        <w:ind w:firstLine="607"/>
        <w:spacing w:after="0" w:line="243" w:lineRule="auto"/>
        <w:rPr>
          <w:sz w:val="20"/>
          <w:szCs w:val="20"/>
          <w:color w:val="auto"/>
        </w:rPr>
      </w:pPr>
      <w:r>
        <w:rPr>
          <w:rFonts w:ascii="Arial" w:cs="Arial" w:eastAsia="Arial" w:hAnsi="Arial"/>
          <w:sz w:val="17"/>
          <w:szCs w:val="17"/>
          <w:color w:val="auto"/>
        </w:rPr>
        <w:t xml:space="preserve">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and may have an adverse impact on cross-border transfers of personal data, or increase costs of compliance.</w:t>
      </w:r>
    </w:p>
    <w:p>
      <w:pPr>
        <w:spacing w:after="0" w:line="144" w:lineRule="exact"/>
        <w:rPr>
          <w:sz w:val="20"/>
          <w:szCs w:val="20"/>
          <w:color w:val="auto"/>
        </w:rPr>
      </w:pPr>
    </w:p>
    <w:p>
      <w:pPr>
        <w:jc w:val="both"/>
        <w:ind w:firstLine="607"/>
        <w:spacing w:after="0" w:line="244" w:lineRule="auto"/>
        <w:rPr>
          <w:sz w:val="20"/>
          <w:szCs w:val="20"/>
          <w:color w:val="auto"/>
        </w:rPr>
      </w:pPr>
      <w:r>
        <w:rPr>
          <w:rFonts w:ascii="Arial" w:cs="Arial" w:eastAsia="Arial" w:hAnsi="Arial"/>
          <w:sz w:val="17"/>
          <w:szCs w:val="17"/>
          <w:color w:val="auto"/>
        </w:rPr>
        <w:t>The GDPR provides an enforcement authority 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U.S. Foreign Corrupt Practices Act</w:t>
      </w:r>
    </w:p>
    <w:p>
      <w:pPr>
        <w:spacing w:after="0" w:line="171"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 care professionals in many countries, either directly or through third parties. Our present and future business has been and will continue to be subject to various other U.S. and foreign laws, rules and/or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Health and Safety Regulation</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As of March 25, 2026, we had 24 employees. Of those 24 employees, 21 were full-time and three were part-time, and 17 were in research and development and seven were in selling, general and administrative. Our approach is to engage consultants with experience in varying specialties to help us develop our diverse portfolio of product candidates and bring to market 503B compounded products and consumer health products. Our numerous consultants serve as an extension to our employee base. We believe this approach enables us to access the expertise needed in a cost-efficient manner and without the need to rapidly increase the number of full-time employees and their associated costs. In the future, if we select a commercialization strategy for a product candidate that requires us to establish marketing, sales or distribution infrastructure and capabilities, we may need to rapidly increase our employee base.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Information</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color w:val="auto"/>
        </w:rPr>
        <w:t>http://www.darebioscience.com</w:t>
      </w:r>
      <w:r>
        <w:rPr>
          <w:rFonts w:ascii="Arial" w:cs="Arial" w:eastAsia="Arial" w:hAnsi="Arial"/>
          <w:sz w:val="17"/>
          <w:szCs w:val="17"/>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7"/>
          <w:szCs w:val="17"/>
          <w:i w:val="1"/>
          <w:iCs w:val="1"/>
          <w:u w:val="single" w:color="auto"/>
          <w:color w:val="auto"/>
        </w:rPr>
        <w:t>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173" w:lineRule="exact"/>
        <w:rPr>
          <w:sz w:val="20"/>
          <w:szCs w:val="20"/>
          <w:color w:val="auto"/>
        </w:rPr>
      </w:pPr>
    </w:p>
    <w:p>
      <w:pPr>
        <w:jc w:val="both"/>
        <w:ind w:firstLine="607"/>
        <w:spacing w:after="0" w:line="258" w:lineRule="auto"/>
        <w:rPr>
          <w:sz w:val="20"/>
          <w:szCs w:val="20"/>
          <w:color w:val="auto"/>
        </w:rPr>
      </w:pPr>
      <w:r>
        <w:rPr>
          <w:rFonts w:ascii="Arial" w:cs="Arial" w:eastAsia="Arial" w:hAnsi="Arial"/>
          <w:sz w:val="17"/>
          <w:szCs w:val="17"/>
          <w:i w:val="1"/>
          <w:iCs w:val="1"/>
          <w:color w:val="auto"/>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before making investment decisions regarding our securities.</w:t>
      </w:r>
    </w:p>
    <w:p>
      <w:pPr>
        <w:spacing w:after="0" w:line="67" w:lineRule="exact"/>
        <w:rPr>
          <w:sz w:val="20"/>
          <w:szCs w:val="20"/>
          <w:color w:val="auto"/>
        </w:rPr>
      </w:pPr>
    </w:p>
    <w:p>
      <w:pPr>
        <w:jc w:val="both"/>
        <w:ind w:left="600" w:hanging="296"/>
        <w:spacing w:after="0" w:line="254"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need to raise substantial additional capital to continue our operations, execute our business strategy and remain a going concern, and we may not be able to raise adequate capital on a timely basis, on favorable terms, or at all. Raising additional capital may cause substantial dilution to our stockholders, restrict our operations or require us to relinquish rights in our technologies or product candidates and their future revenue streams. Our ability to obtain additional capital through stock sales or other securities offerings may be more costly or dilutive to our stockholders than in the past, or may not be available to us at all, due to our current inability to use a Form S-3 “shelf” registration statement for primary offerings.</w:t>
      </w:r>
    </w:p>
    <w:p>
      <w:pPr>
        <w:spacing w:after="0" w:line="22" w:lineRule="exact"/>
        <w:rPr>
          <w:rFonts w:ascii="Arial" w:cs="Arial" w:eastAsia="Arial" w:hAnsi="Arial"/>
          <w:sz w:val="17"/>
          <w:szCs w:val="17"/>
          <w:color w:val="auto"/>
        </w:rPr>
      </w:pPr>
    </w:p>
    <w:p>
      <w:pPr>
        <w:jc w:val="both"/>
        <w:ind w:left="600" w:hanging="296"/>
        <w:spacing w:after="0" w:line="252"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is no assurance that we will continue to satisfy the listing requirements of the Nasdaq Capital Market. Until July 24, 2026, we are subject to a Nasdaq discretionary panel monitor. If we fail to maintain compliance with any continued listing requirement in Nasdaq’s Listing Rules through July 24, 2026, Nasdaq will issue a delist determination letter, and we will have an opportunity to request a new hearing with Nasdaq’s hearing panel. Based on information currently available to us, our stockholders' equity is expected to be below the $2.5 million threshold as of March 31, 2026, which, if not remedied prior to the time our quarterly report for the first quarter is filed with the SEC, is expected to result in Nasdaq issuing a delist determination letter, with no guarantee that a subsequent hearing before Nasdaq's hearings panel would result in a favorable outcome. The delisting of our common stock or the commencement of delisting proceedings could materially impair our ability to raise capital and limit financing and business opportunities.</w:t>
      </w:r>
    </w:p>
    <w:p>
      <w:pPr>
        <w:spacing w:after="0" w:line="13" w:lineRule="exact"/>
        <w:rPr>
          <w:rFonts w:ascii="Arial" w:cs="Arial" w:eastAsia="Arial" w:hAnsi="Arial"/>
          <w:sz w:val="17"/>
          <w:szCs w:val="17"/>
          <w:color w:val="auto"/>
        </w:rPr>
      </w:pPr>
    </w:p>
    <w:p>
      <w:pPr>
        <w:jc w:val="both"/>
        <w:ind w:left="600" w:hanging="296"/>
        <w:spacing w:after="0" w:line="249"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a limited operating history, a history of significant losses from operations, and expect significant losses from operations, net losses and negative cash flows from operations to continue for the foreseeable future, which, together with our limited financial resources, make it difficult to assess our prospects.</w:t>
      </w:r>
    </w:p>
    <w:p>
      <w:pPr>
        <w:spacing w:after="0" w:line="23" w:lineRule="exact"/>
        <w:rPr>
          <w:rFonts w:ascii="Arial" w:cs="Arial" w:eastAsia="Arial" w:hAnsi="Arial"/>
          <w:sz w:val="17"/>
          <w:szCs w:val="17"/>
          <w:color w:val="auto"/>
        </w:rPr>
      </w:pPr>
    </w:p>
    <w:p>
      <w:pPr>
        <w:jc w:val="both"/>
        <w:ind w:left="600" w:hanging="296"/>
        <w:spacing w:after="0" w:line="256"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plan to generate revenue from sales of DARE to PLAY and other potential compounded drugs under Section 503B of the FDCA. We have limited experience in this line of business and may not succeed in our efforts. We rely on, and will rely on, third parties for the compounding and distribution of DARE to PLAY and other potential compounded drugs, and the failure of such third parties to perform as expected could harm our reputation and negatively impact our ability to succeed. In addition, this line of business subjects us to additional regulations and potential liability.</w:t>
      </w:r>
    </w:p>
    <w:p>
      <w:pPr>
        <w:spacing w:after="0" w:line="18" w:lineRule="exact"/>
        <w:rPr>
          <w:rFonts w:ascii="Arial" w:cs="Arial" w:eastAsia="Arial" w:hAnsi="Arial"/>
          <w:sz w:val="17"/>
          <w:szCs w:val="17"/>
          <w:color w:val="auto"/>
        </w:rPr>
      </w:pPr>
    </w:p>
    <w:p>
      <w:pPr>
        <w:jc w:val="both"/>
        <w:ind w:left="600" w:hanging="296"/>
        <w:spacing w:after="0" w:line="259"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business depends on obtaining the approval of regulatory authorities, and in particular, FDA approval, to market products that we develop. All of our product candidates are investigational, require the conduct and successful completion of clinical studies and nonclinical work, and may never complete development or be submitted for or receive regulatory approval. The FDA's approval of XACIATO is not predictive of favorable development or marketing approval outcomes for our product candidates.</w:t>
      </w:r>
    </w:p>
    <w:p>
      <w:pPr>
        <w:spacing w:after="0" w:line="15" w:lineRule="exact"/>
        <w:rPr>
          <w:rFonts w:ascii="Arial" w:cs="Arial" w:eastAsia="Arial" w:hAnsi="Arial"/>
          <w:sz w:val="17"/>
          <w:szCs w:val="17"/>
          <w:color w:val="auto"/>
        </w:rPr>
      </w:pPr>
    </w:p>
    <w:p>
      <w:pPr>
        <w:jc w:val="both"/>
        <w:ind w:left="600" w:hanging="296"/>
        <w:spacing w:after="0" w:line="259"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and Sildenafil Cream, could have a material adverse effect on our business, operating results and financial condition.</w:t>
      </w:r>
    </w:p>
    <w:p>
      <w:pPr>
        <w:spacing w:after="0" w:line="15" w:lineRule="exact"/>
        <w:rPr>
          <w:rFonts w:ascii="Arial" w:cs="Arial" w:eastAsia="Arial" w:hAnsi="Arial"/>
          <w:sz w:val="17"/>
          <w:szCs w:val="17"/>
          <w:color w:val="auto"/>
        </w:rPr>
      </w:pPr>
    </w:p>
    <w:p>
      <w:pPr>
        <w:jc w:val="both"/>
        <w:ind w:left="600" w:hanging="296"/>
        <w:spacing w:after="0" w:line="264"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11" w:lineRule="exact"/>
        <w:rPr>
          <w:rFonts w:ascii="Arial" w:cs="Arial" w:eastAsia="Arial" w:hAnsi="Arial"/>
          <w:sz w:val="17"/>
          <w:szCs w:val="17"/>
          <w:color w:val="auto"/>
        </w:rPr>
      </w:pPr>
    </w:p>
    <w:p>
      <w:pPr>
        <w:jc w:val="both"/>
        <w:ind w:left="600" w:hanging="296"/>
        <w:spacing w:after="0" w:line="259"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rely on in-license agreements with third parties for rights to develop and commercialize XACIATO, our product candidates, and DARE to PLAY and other potential compounded drugs. The loss or impairment of our rights under these agreements could disrupt or require us to discontinue development or commercialization activities, or impair our rights to receive payments from our sublicensees, which could have a material adverse effect on our operations and business prospects and viability.</w:t>
      </w:r>
    </w:p>
    <w:p>
      <w:pPr>
        <w:spacing w:after="0" w:line="15" w:lineRule="exact"/>
        <w:rPr>
          <w:rFonts w:ascii="Arial" w:cs="Arial" w:eastAsia="Arial" w:hAnsi="Arial"/>
          <w:sz w:val="17"/>
          <w:szCs w:val="17"/>
          <w:color w:val="auto"/>
        </w:rPr>
      </w:pPr>
    </w:p>
    <w:p>
      <w:pPr>
        <w:jc w:val="both"/>
        <w:ind w:left="600" w:hanging="296"/>
        <w:spacing w:after="0" w:line="259"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Strategic collaborations are a key part of our strategy and our existing strategic collaboration related to XACIATO is important to our business. If we are unable to maintain our existing strategic collaboration or establish new ones, or if they are not successful, we may require substantial additional capital to develop and commercialize XACIATO and our product candidates, and our business and prospects may be materially harmed.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2" w:name="page63"/>
    <w:bookmarkEnd w:id="62"/>
    <w:p>
      <w:pPr>
        <w:jc w:val="both"/>
        <w:ind w:left="300" w:hanging="296"/>
        <w:spacing w:after="0" w:line="264"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and disruptions in the supply and manufacturing of our product candidates could postpone the initiation of or interrupt our clinical studies, extend the timeframe and cost of development of our product candidates, delay potential regulatory approvals and adversely impact the commercialization of any approved products.</w:t>
      </w:r>
    </w:p>
    <w:p>
      <w:pPr>
        <w:spacing w:after="0" w:line="11" w:lineRule="exact"/>
        <w:rPr>
          <w:rFonts w:ascii="Arial" w:cs="Arial" w:eastAsia="Arial" w:hAnsi="Arial"/>
          <w:sz w:val="17"/>
          <w:szCs w:val="17"/>
          <w:color w:val="auto"/>
        </w:rPr>
      </w:pPr>
    </w:p>
    <w:p>
      <w:pPr>
        <w:jc w:val="both"/>
        <w:ind w:left="300" w:hanging="296"/>
        <w:spacing w:after="0" w:line="256"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 Failure of these third parties to perform as expected could result in substantial delays, increased costs or failures of our product development programs, delayed or unsuccessful commercialization of any approved products, and the need for significant additional capital.</w:t>
      </w:r>
    </w:p>
    <w:p>
      <w:pPr>
        <w:spacing w:after="0" w:line="18" w:lineRule="exact"/>
        <w:rPr>
          <w:rFonts w:ascii="Arial" w:cs="Arial" w:eastAsia="Arial" w:hAnsi="Arial"/>
          <w:sz w:val="17"/>
          <w:szCs w:val="17"/>
          <w:color w:val="auto"/>
        </w:rPr>
      </w:pPr>
    </w:p>
    <w:p>
      <w:pPr>
        <w:ind w:left="300" w:hanging="296"/>
        <w:spacing w:after="0" w:line="27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Due in part to our limited financial and human resources, we may fail to effectively execute our product development, regulatory submission and commercialization plans in accordance with communicated timelines, or at all.</w:t>
      </w:r>
    </w:p>
    <w:p>
      <w:pPr>
        <w:ind w:left="300" w:hanging="296"/>
        <w:spacing w:after="0" w:line="27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commercial success of XACIATO is outside of our control and will depend on Organon’s efforts and capabilities, and if commercialization of XACIATO is not successful, our reputation, business and prospects may suffer.</w:t>
      </w:r>
    </w:p>
    <w:p>
      <w:pPr>
        <w:jc w:val="both"/>
        <w:ind w:left="300" w:hanging="296"/>
        <w:spacing w:after="0" w:line="264"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product candidates, if approved for commercial sale, will face intense competition and may fail to achieve the degree of market acceptance necessary for commercial success. Our business, operating results and financial condition will suffer if we or Organon fail to compete effectively.</w:t>
      </w:r>
    </w:p>
    <w:p>
      <w:pPr>
        <w:spacing w:after="0" w:line="11" w:lineRule="exact"/>
        <w:rPr>
          <w:rFonts w:ascii="Arial" w:cs="Arial" w:eastAsia="Arial" w:hAnsi="Arial"/>
          <w:sz w:val="17"/>
          <w:szCs w:val="17"/>
          <w:color w:val="auto"/>
        </w:rPr>
      </w:pPr>
    </w:p>
    <w:p>
      <w:pPr>
        <w:jc w:val="both"/>
        <w:ind w:left="300" w:hanging="296"/>
        <w:spacing w:after="0" w:line="25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successfully obtain and maintain coverage and adequate reimbursement for XACIATO and any future products from government health care programs and other third-party payors would diminish our ability, or that of a commercial collaborator, to generate net product revenue or net sales. If out-of-pocket costs for products we develop are deemed by women to be unaffordable, a commercial market may never develop.</w:t>
      </w:r>
    </w:p>
    <w:p>
      <w:pPr>
        <w:spacing w:after="0" w:line="15" w:lineRule="exact"/>
        <w:rPr>
          <w:rFonts w:ascii="Arial" w:cs="Arial" w:eastAsia="Arial" w:hAnsi="Arial"/>
          <w:sz w:val="17"/>
          <w:szCs w:val="17"/>
          <w:color w:val="auto"/>
        </w:rPr>
      </w:pPr>
    </w:p>
    <w:p>
      <w:pPr>
        <w:ind w:left="300" w:hanging="296"/>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a relatively small number of employees and if we fail to attract and retain key personnel our business may materially suffer.</w:t>
      </w:r>
    </w:p>
    <w:p>
      <w:pPr>
        <w:spacing w:after="0" w:line="57" w:lineRule="exact"/>
        <w:rPr>
          <w:rFonts w:ascii="Arial" w:cs="Arial" w:eastAsia="Arial" w:hAnsi="Arial"/>
          <w:sz w:val="17"/>
          <w:szCs w:val="17"/>
          <w:color w:val="auto"/>
        </w:rPr>
      </w:pPr>
    </w:p>
    <w:p>
      <w:pPr>
        <w:ind w:left="300" w:hanging="296"/>
        <w:spacing w:after="0" w:line="27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be successful in our efforts to identify and acquire or in-license additional product candidates or technologies, which may limit our growth potential.</w:t>
      </w:r>
    </w:p>
    <w:p>
      <w:pPr>
        <w:jc w:val="both"/>
        <w:ind w:left="300" w:hanging="296"/>
        <w:spacing w:after="0" w:line="264"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and our licensors are unable to obtain and maintain sufficient intellectual property protection, competitors could develop, market, commercialize or make available products similar or identical to ours, which could significantly limit the commercial potential of our products and product candidates and materially harm our business, financial condition, results of operations, and prospects.</w:t>
      </w:r>
    </w:p>
    <w:p>
      <w:pPr>
        <w:spacing w:after="0" w:line="11" w:lineRule="exact"/>
        <w:rPr>
          <w:rFonts w:ascii="Arial" w:cs="Arial" w:eastAsia="Arial" w:hAnsi="Arial"/>
          <w:sz w:val="17"/>
          <w:szCs w:val="17"/>
          <w:color w:val="auto"/>
        </w:rPr>
      </w:pPr>
    </w:p>
    <w:p>
      <w:pPr>
        <w:jc w:val="both"/>
        <w:ind w:left="300" w:hanging="296"/>
        <w:spacing w:after="0" w:line="264"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Most of the products we are developing utilize active pharmaceutical ingredients that are not proprietary to us or our licensors and the patents and patent applications owned by us and our licensors intended to protect our products and product candidates relate to specific formulations, processes, methods of delivery, and/or uses, which may not afford sufficient protection against competitors.</w:t>
      </w:r>
    </w:p>
    <w:p>
      <w:pPr>
        <w:spacing w:after="0" w:line="11" w:lineRule="exact"/>
        <w:rPr>
          <w:rFonts w:ascii="Arial" w:cs="Arial" w:eastAsia="Arial" w:hAnsi="Arial"/>
          <w:sz w:val="17"/>
          <w:szCs w:val="17"/>
          <w:color w:val="auto"/>
        </w:rPr>
      </w:pPr>
    </w:p>
    <w:p>
      <w:pPr>
        <w:jc w:val="both"/>
        <w:ind w:left="300" w:hanging="296"/>
        <w:spacing w:after="0" w:line="25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Volatility in the financial markets, geopolitical conflicts and events, natural disasters, public health emergencies , international trade policies, and other macroeconomic factors may negatively impact our business, financial condition and results and our stock price, including by increasing the cost and timelines for our clinical development programs or making it more difficult or costly to raise additional capital when needed.</w:t>
      </w:r>
    </w:p>
    <w:p>
      <w:pPr>
        <w:spacing w:after="0" w:line="15" w:lineRule="exact"/>
        <w:rPr>
          <w:rFonts w:ascii="Arial" w:cs="Arial" w:eastAsia="Arial" w:hAnsi="Arial"/>
          <w:sz w:val="17"/>
          <w:szCs w:val="17"/>
          <w:color w:val="auto"/>
        </w:rPr>
      </w:pPr>
    </w:p>
    <w:p>
      <w:pPr>
        <w:ind w:left="300" w:hanging="296"/>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liability lawsuits against us could cause us to incur substantial liabilities and divert management attention from our business.</w:t>
      </w:r>
    </w:p>
    <w:p>
      <w:pPr>
        <w:spacing w:after="0" w:line="57" w:lineRule="exact"/>
        <w:rPr>
          <w:rFonts w:ascii="Arial" w:cs="Arial" w:eastAsia="Arial" w:hAnsi="Arial"/>
          <w:sz w:val="17"/>
          <w:szCs w:val="17"/>
          <w:color w:val="auto"/>
        </w:rPr>
      </w:pPr>
    </w:p>
    <w:p>
      <w:pPr>
        <w:jc w:val="both"/>
        <w:ind w:left="300" w:hanging="296"/>
        <w:spacing w:after="0" w:line="264"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p>
      <w:pPr>
        <w:spacing w:after="0" w:line="11" w:lineRule="exact"/>
        <w:rPr>
          <w:rFonts w:ascii="Arial" w:cs="Arial" w:eastAsia="Arial" w:hAnsi="Arial"/>
          <w:sz w:val="17"/>
          <w:szCs w:val="17"/>
          <w:color w:val="auto"/>
        </w:rPr>
      </w:pPr>
    </w:p>
    <w:p>
      <w:pPr>
        <w:ind w:left="300" w:hanging="296"/>
        <w:spacing w:after="0" w:line="27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Future dilution to our existing stockholders from sales and issuances of our common stock to raise additional capital, or the market's expectation that such sales may occur, could adversely affect our stock price even if our business is doing well.</w:t>
      </w:r>
    </w:p>
    <w:p>
      <w:pPr>
        <w:jc w:val="both"/>
        <w:ind w:left="300" w:hanging="296"/>
        <w:spacing w:after="0" w:line="259"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Cyber-attacks, security breaches, loss of data and other disruptions to our information technology systems or those of our strategic collaborators or third-party service providers could compromise sensitive or confidential information related to our business, delay or prevent us from accessing critical information, subject us to significant financial loss, or expose us to liability, any of which could adversely affect our business and our reputation.</w:t>
      </w: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66675</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40"/>
          </w:cols>
          <w:pgMar w:left="620" w:top="729"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Risk Factors</w:t>
      </w:r>
    </w:p>
    <w:p>
      <w:pPr>
        <w:spacing w:after="0" w:line="110"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Financial Position and Capital Needs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will need to raise substantial additional capital to continue our operations and execute our business strategy, and we may not be able to raise adequate capital on a timely basis, on favorable terms, or at all.</w:t>
      </w:r>
    </w:p>
    <w:p>
      <w:pPr>
        <w:spacing w:after="0" w:line="31"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We have a history of losses from operations, we expect significant losses from operations, net losses and negative cash flows from operations for at least the next several years as we develop and seek to bring to market 503B compounded drugs and our product candidates and as we seek to potentially acquire or license and develop additional product candidates. At December 31, 2025, we had an accumulated deficit of approximately $188.7 million, cash and cash equivalents of approximately $24.7 million, and working capital of approximately $3.4 million. Our cash and cash equivalents at December 31, 2025 included funds received under grant agreements that generally may be applied solely toward direct costs for the funded project under those grant agreements other than an approximately 5% to 22% indirect cost allowance, and as of December 31, 2025, our deferred grant funding liability was approximately $19.7 million, substantially all of which consisted of funds intended to support the DARE-LARC1 program, the Ovaprene Phase 3 clinical study, and the DARE-HPV program. We will need additional capital to fund our operating needs through the fourth quarter of 2026 and to meet our current obligations as they become due. These circumstances raise substantial doubt about our ability to continue as a going concern. The consolidated financial statements included in this report were prepared under the assumption that we will continue as a going concern and do not include any adjustments that might result from the outcome of this uncertainty. Advancing our investigational products through clinical development and pursuing regulatory approval and commercialization will require substantial additional investment. We will need to raise substantial additional capital to continue to fund our operations and execute our current business strategy. The amount and timing of our capital needs have and will continue to depend highly on many factors, as discussed further below.</w:t>
      </w:r>
    </w:p>
    <w:p>
      <w:pPr>
        <w:spacing w:after="0" w:line="8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management may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reduce, or even terminate our operations. We may delay, scale back or eliminate one or more of our 503B compounded drug offerings and/or our product development programs; relinquish rights under our license agreements with third parties relating to our 503B compounded drug offerings and/or our product candidates; forgo opportunities to expand our 503B compounded drug offerings and/or our product portfolio; take other measures to reduce our expenses; reorganize or merge with another entity; or file for bankruptcy or cease operations. For example, in recent years, due to our limited capital resources, we have focused our resources primarily on the advancement of Ovaprene and Sildenafil Cream, unless a program has been supported by grant or other non-dilutive funding, and we have delayed R&amp;D activities for other programs.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capital needs have depended on, and will continue to depend on, many factors that are highly variable and difficult to predict, including:</w:t>
      </w:r>
    </w:p>
    <w:p>
      <w:pPr>
        <w:spacing w:after="0" w:line="126" w:lineRule="exact"/>
        <w:rPr>
          <w:sz w:val="20"/>
          <w:szCs w:val="20"/>
          <w:color w:val="auto"/>
        </w:rPr>
      </w:pPr>
    </w:p>
    <w:p>
      <w:pPr>
        <w:ind w:left="900" w:hanging="292"/>
        <w:spacing w:after="0"/>
        <w:tabs>
          <w:tab w:leader="none" w:pos="9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the 503B compounded drug offerings and/or product development programs we choose to pursue;</w:t>
      </w:r>
    </w:p>
    <w:p>
      <w:pPr>
        <w:spacing w:after="0" w:line="17" w:lineRule="exact"/>
        <w:rPr>
          <w:rFonts w:ascii="Arial" w:cs="Arial" w:eastAsia="Arial" w:hAnsi="Arial"/>
          <w:sz w:val="20"/>
          <w:szCs w:val="20"/>
          <w:color w:val="auto"/>
        </w:rPr>
      </w:pPr>
    </w:p>
    <w:p>
      <w:pPr>
        <w:ind w:left="920" w:right="260" w:hanging="312"/>
        <w:spacing w:after="0" w:line="255" w:lineRule="auto"/>
        <w:tabs>
          <w:tab w:leader="none" w:pos="9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initiation, type, number, scope, progress, expansions, results, costs, and timing of clinical trials and preclinical studies of our product candidates that we are pursuing or may choose to pursue in the future;</w:t>
      </w:r>
    </w:p>
    <w:p>
      <w:pPr>
        <w:spacing w:after="0" w:line="1" w:lineRule="exact"/>
        <w:rPr>
          <w:rFonts w:ascii="Arial" w:cs="Arial" w:eastAsia="Arial" w:hAnsi="Arial"/>
          <w:sz w:val="17"/>
          <w:szCs w:val="17"/>
          <w:color w:val="auto"/>
        </w:rPr>
      </w:pPr>
    </w:p>
    <w:p>
      <w:pPr>
        <w:ind w:left="900" w:hanging="29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manufacturing for 503B compounded drugs;</w:t>
      </w:r>
    </w:p>
    <w:p>
      <w:pPr>
        <w:spacing w:after="0" w:line="44" w:lineRule="exact"/>
        <w:rPr>
          <w:rFonts w:ascii="Arial" w:cs="Arial" w:eastAsia="Arial" w:hAnsi="Arial"/>
          <w:sz w:val="17"/>
          <w:szCs w:val="17"/>
          <w:color w:val="auto"/>
        </w:rPr>
      </w:pPr>
    </w:p>
    <w:p>
      <w:pPr>
        <w:ind w:left="900" w:hanging="29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manufacturing for clinical supplies of product candidates and, if applicable, commercial product at sufficient scale;</w:t>
      </w:r>
    </w:p>
    <w:p>
      <w:pPr>
        <w:spacing w:after="0" w:line="44" w:lineRule="exact"/>
        <w:rPr>
          <w:rFonts w:ascii="Arial" w:cs="Arial" w:eastAsia="Arial" w:hAnsi="Arial"/>
          <w:sz w:val="17"/>
          <w:szCs w:val="17"/>
          <w:color w:val="auto"/>
        </w:rPr>
      </w:pPr>
    </w:p>
    <w:p>
      <w:pPr>
        <w:ind w:left="920" w:right="220" w:hanging="312"/>
        <w:spacing w:after="0" w:line="265" w:lineRule="auto"/>
        <w:tabs>
          <w:tab w:leader="none" w:pos="9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regulatory submissions to and the timing and outcome of decisions by the FDA and other regulatory authorities on our applications to commence and advance clinical development of and to market our product candidates;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4" w:name="page65"/>
    <w:bookmarkEnd w:id="64"/>
    <w:p>
      <w:pPr>
        <w:ind w:left="920" w:right="560" w:hanging="312"/>
        <w:spacing w:after="0" w:line="263" w:lineRule="auto"/>
        <w:tabs>
          <w:tab w:leader="none" w:pos="9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and timing of payments to third parties required under acquisition, in-license and other agreements relating our rights to develop and commercialize our product and product candidates;</w:t>
      </w:r>
    </w:p>
    <w:p>
      <w:pPr>
        <w:spacing w:after="0" w:line="1" w:lineRule="exact"/>
        <w:rPr>
          <w:rFonts w:ascii="Arial" w:cs="Arial" w:eastAsia="Arial" w:hAnsi="Arial"/>
          <w:sz w:val="17"/>
          <w:szCs w:val="17"/>
          <w:color w:val="auto"/>
        </w:rPr>
      </w:pPr>
    </w:p>
    <w:p>
      <w:pPr>
        <w:ind w:left="900" w:hanging="292"/>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and timing of commercialization activities we undertake or engage third parties to undertake for any product;</w:t>
      </w:r>
    </w:p>
    <w:p>
      <w:pPr>
        <w:spacing w:after="0" w:line="44" w:lineRule="exact"/>
        <w:rPr>
          <w:rFonts w:ascii="Arial" w:cs="Arial" w:eastAsia="Arial" w:hAnsi="Arial"/>
          <w:sz w:val="17"/>
          <w:szCs w:val="17"/>
          <w:color w:val="auto"/>
        </w:rPr>
      </w:pPr>
    </w:p>
    <w:p>
      <w:pPr>
        <w:ind w:left="920" w:right="280" w:hanging="312"/>
        <w:spacing w:after="0" w:line="263" w:lineRule="auto"/>
        <w:tabs>
          <w:tab w:leader="none" w:pos="9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and timing of future royalty, milestone or other payments, if any, we receive under any future out-licensing agreement or the Royalty Purchase Agreements;</w:t>
      </w:r>
    </w:p>
    <w:p>
      <w:pPr>
        <w:spacing w:after="0" w:line="1" w:lineRule="exact"/>
        <w:rPr>
          <w:rFonts w:ascii="Arial" w:cs="Arial" w:eastAsia="Arial" w:hAnsi="Arial"/>
          <w:sz w:val="17"/>
          <w:szCs w:val="17"/>
          <w:color w:val="auto"/>
        </w:rPr>
      </w:pPr>
    </w:p>
    <w:p>
      <w:pPr>
        <w:ind w:left="920" w:right="80" w:hanging="312"/>
        <w:spacing w:after="0" w:line="255" w:lineRule="auto"/>
        <w:tabs>
          <w:tab w:leader="none" w:pos="9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maintain, and establish new, strategic collaborations relating to the development and/or commercialization of our product and product candidates, and the terms and timing of such arrangements;</w:t>
      </w:r>
    </w:p>
    <w:p>
      <w:pPr>
        <w:spacing w:after="0" w:line="1" w:lineRule="exact"/>
        <w:rPr>
          <w:rFonts w:ascii="Arial" w:cs="Arial" w:eastAsia="Arial" w:hAnsi="Arial"/>
          <w:sz w:val="17"/>
          <w:szCs w:val="17"/>
          <w:color w:val="auto"/>
        </w:rPr>
      </w:pPr>
    </w:p>
    <w:p>
      <w:pPr>
        <w:ind w:left="920" w:right="580" w:hanging="312"/>
        <w:spacing w:after="0" w:line="265" w:lineRule="auto"/>
        <w:tabs>
          <w:tab w:leader="none" w:pos="9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extent to which we acquire, in-license, or otherwise invest in new product candidates or technologies and the terms of any such transaction; and</w:t>
      </w:r>
    </w:p>
    <w:p>
      <w:pPr>
        <w:spacing w:after="0" w:line="10" w:lineRule="exact"/>
        <w:rPr>
          <w:rFonts w:ascii="Arial" w:cs="Arial" w:eastAsia="Arial" w:hAnsi="Arial"/>
          <w:sz w:val="17"/>
          <w:szCs w:val="17"/>
          <w:color w:val="auto"/>
        </w:rPr>
      </w:pPr>
    </w:p>
    <w:p>
      <w:pPr>
        <w:ind w:left="920" w:hanging="312"/>
        <w:spacing w:after="0" w:line="264" w:lineRule="auto"/>
        <w:tabs>
          <w:tab w:leader="none" w:pos="9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3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503B business strategy and/or product development efforts succeed, we will need to develop and implement a commercialization plan for each 503B compounded drug and/or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this Risk Factors section, we cannot reasonably estimate the amount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w:t>
      </w:r>
    </w:p>
    <w:p>
      <w:pPr>
        <w:spacing w:after="0" w:line="7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collaboration agreements, and royalty monetization transactions should not be viewed as any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Unstable and unfavorable market and economic conditions may harm our ability to raise additional capital. The occurrence or continued occurrence of macroeconomic factors or events similar to those experienced in recent years, such as a U.S. economic crisis or recession or recessionary concerns, inflation, rising interest rates, public health emergencies, geopolitical conflict (such as the wars in Ukraine and the Middle East), natural/environmental disasters, supply-chain disruptions, terrorist attacks, strained trade and other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Raising additional capital may cause substantial dilution to our stockholders, restrict our operations or require us to relinquish rights in our technologies or product candidates and their future revenue streams.</w:t>
      </w:r>
    </w:p>
    <w:p>
      <w:pPr>
        <w:spacing w:after="0" w:line="107"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As discussed above, we may seek to raise additional capital through a variety of means. Raising capital through the issuance of shares of our common stock, or securities convertible into or exercisable for our common stock, may depress our stock price and substantially dilute our existing stockholders. The terms of securities issued may include liquidation or other preferences that may materially adversely affect the rights of our existing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65" w:name="page66"/>
    <w:bookmarkEnd w:id="65"/>
    <w:p>
      <w:pPr>
        <w:jc w:val="both"/>
        <w:spacing w:after="0" w:line="251" w:lineRule="auto"/>
        <w:rPr>
          <w:sz w:val="20"/>
          <w:szCs w:val="20"/>
          <w:color w:val="auto"/>
        </w:rPr>
      </w:pPr>
      <w:r>
        <w:rPr>
          <w:rFonts w:ascii="Arial" w:cs="Arial" w:eastAsia="Arial" w:hAnsi="Arial"/>
          <w:sz w:val="17"/>
          <w:szCs w:val="17"/>
          <w:color w:val="auto"/>
        </w:rPr>
        <w:t>stockholders. Debt and other structured financings, if available, would increase our fixed payment obligations and may involve covenants requiring us to maintain specified financial ratios or a specified cash balance, or limiting or restricting our ability to take specific actions, such as incurring additional debt, acquiring, selling or licensing intellectual property rights, and making capital expenditures, or impose other operating restrictions that could adversely impact our ability to operate our business and pursue our strategic objectives. We could also be required to meet certain milestones in connection with a debt financing and the failure to achieve such milestones by certain dates may force us to relinquish rights to some of our technologies, product candidates or products, or otherwise agree to terms unfavorable to us. In addition, we may forego part or all of potentially valuable streams of future payments (e.g., milestone and/or royalty revenue) to raise immediate capital to fund our operations and advance our development programs, such as in the case of our royalty interest financing agreement and the Royalty Purchase Agreements. Moreover, the lower our cash balance when we seek to raise additional capital, the more difficult, costly or dilutive to our existing stockholders it may be for us to raise additional capital.</w:t>
      </w:r>
    </w:p>
    <w:p>
      <w:pPr>
        <w:spacing w:after="0" w:line="142"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may be required to seek additional capital through arrangements with collaborators at an earlier stage of development or commercialization of our technologies, product candidates or products than otherwise would be desirable, in which case we may grant rights to our technologies, product candidates or products on terms that may not be as favorable to us or grant rights that we would otherwise prefer to retain. If we raise capital through new collaborations, strategic alliances or other similar types of arrangements, we may relinquish valuable rights to future revenue streams. Licensing agreements likely would significantly reduce our control over the development or commercialization of the licensed technology, product candidates or products, and our collaborators may become unable or unwilling to devote adequate resources to realize their full potential value. If we obtain funding through grants from governmental entities or private organizations, such parties may impose restrictions on our rights to technologies, product candidates or products developed with such funding, obtain rights to license such technologies, product candidates or products to third parties (e.g., if we are unable or unwilling to commercialize a product or make it available to certain patient populations in a timely manner or at certain prices), or require future royalty or other payments if such technologies, product candidates or products are commercialized.</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We have a limited operating history, a history of significant losses from operations, and expect significant losses from operations, net losses and negative cash flows from operations to continue for the foreseeable future, which, together with our limited financial resources, make it difficult to assess our prospects.</w:t>
      </w:r>
    </w:p>
    <w:p>
      <w:pPr>
        <w:spacing w:after="0" w:line="50"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We have a limited operating history upon which to evaluate our business and prospects. The development of drug and drug/device combination products in order to obtain regulatory approval is a highly speculative, lengthy and expensive undertaking and involves substantial risk. We cannot accurately determine the duration and completion costs of our development programs, or if, when and to what extent we will generate revenue from any products we develop. Other than XACIATO, we have not obtained any regulatory approvals for any of our product candidates, commercialized any of our product candidates or generated any product revenue. We have not been profitable since we commenced operations and may never achieve profitability. We devote significant resources to licensing or otherwise acquiring the rights to our product candidates and to research and development, or R&amp;D, activities for them. We have a history of significant operating losses. As discussed above, we must raise additional capital to finance our operations and remain a going concern and adequate additional capital may not be available to us on a timely basis, or at all.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Revenue Sharing Threshold may never be achieved and, as a result, we may not realize any future income based on sales of XACIATO.</w:t>
      </w:r>
    </w:p>
    <w:p>
      <w:pPr>
        <w:spacing w:after="0" w:line="11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have sold our right, title and interest in 100% of the royalties and potential milestone payments we would otherwise have the right to receive under our license agreement with Organon based on net sales of XACIATO, net of payments to upstream third-party licensors and UiE. Whether we receive any future income based on net sales of XACIATO will depend on whether the Revenue Sharing Threshold is reached, which may not occur. Whether the Revenue Sharing Threshold is reached will depend, in part, on Organon’s future commercial success with XACIATO, which is outside of our control and which to date has not resulted in a material amount of net sales, and the successful development and commercialization of Ovaprene and/or Sildenafil Cream, which are subject to significant risks and uncertainties, some of which are outside of our control, as discussed elsewhere in this Risk Factors section.</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To the extent we enter into licensing agreements for third-party commercialization of products we develop, as is the case with XACIATO, we expect our revenue streams related to those products will be based primarily on net sales, which will be largely outside of our control.</w:t>
      </w:r>
    </w:p>
    <w:p>
      <w:pPr>
        <w:spacing w:after="0" w:line="3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a typical biopharmaceutical licensing or “partnering” deal, the biopharmaceutical company out-licenses technology and other assets to a third party in exchange for future payments, the bulk of which (e.g., royalties and milestones) are conditional on the licensee successfully developing and/or commercializing the licensed assets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6" w:name="page67"/>
    <w:bookmarkEnd w:id="66"/>
    <w:p>
      <w:pPr>
        <w:jc w:val="both"/>
        <w:spacing w:after="0" w:line="251" w:lineRule="auto"/>
        <w:rPr>
          <w:sz w:val="20"/>
          <w:szCs w:val="20"/>
          <w:color w:val="auto"/>
        </w:rPr>
      </w:pPr>
      <w:r>
        <w:rPr>
          <w:rFonts w:ascii="Arial" w:cs="Arial" w:eastAsia="Arial" w:hAnsi="Arial"/>
          <w:sz w:val="17"/>
          <w:szCs w:val="17"/>
          <w:color w:val="auto"/>
        </w:rPr>
        <w:t>determined based on net sales. To the extent we enter into such licensing agreements, the amount of net sales our products may generate, if approved for commercial sale, will be largely outside of our control because marketing and sales activities will be conducted by the licensee and product pricing and costs that impact net sales will be determined by the licensee. Gross sales can be greatly reduced by sales discounts and allowances, which will be determined by our licensee (or mandated by governmental entities). Sales discounts may be particularly substantial for new products compared to established products to incentivize purchases and promote customer loyalty. These factors would serve to reduce the royalties payable to us and delay potential achievement of commercial milestones and the corresponding milestone payments to us. If a licensee has no or limited commercialization success, or net sales are otherwise minimal due to pricing and discount structures, our financial condition and operating results could be negatively impacted and our need for additional capital could significantly increase or be accelerated. Due to our exclusive license agreements with Organon, our royalty interest financing agreement, and the Royalty Purchase Agreements, XACIATO’s value to us will be based primarily on net sales, as determined under those agreements.</w:t>
      </w:r>
    </w:p>
    <w:p>
      <w:pPr>
        <w:spacing w:after="0" w:line="7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the future, we may rely on revenues received from third-party licensees to fund our operations, and failure to receive such revenues, or receipt of only minimal revenue, may cause us to, among other things:</w:t>
      </w:r>
    </w:p>
    <w:p>
      <w:pPr>
        <w:spacing w:after="0" w:line="86" w:lineRule="exact"/>
        <w:rPr>
          <w:sz w:val="20"/>
          <w:szCs w:val="20"/>
          <w:color w:val="auto"/>
        </w:rPr>
      </w:pPr>
    </w:p>
    <w:p>
      <w:pPr>
        <w:ind w:left="920" w:right="400" w:hanging="312"/>
        <w:spacing w:after="0" w:line="242" w:lineRule="auto"/>
        <w:tabs>
          <w:tab w:leader="none" w:pos="915" w:val="left"/>
        </w:tabs>
        <w:numPr>
          <w:ilvl w:val="0"/>
          <w:numId w:val="27"/>
        </w:numPr>
        <w:rPr>
          <w:rFonts w:ascii="Arial" w:cs="Arial" w:eastAsia="Arial" w:hAnsi="Arial"/>
          <w:sz w:val="20"/>
          <w:szCs w:val="20"/>
          <w:color w:val="auto"/>
        </w:rPr>
      </w:pPr>
      <w:r>
        <w:rPr>
          <w:rFonts w:ascii="Arial" w:cs="Arial" w:eastAsia="Arial" w:hAnsi="Arial"/>
          <w:sz w:val="17"/>
          <w:szCs w:val="17"/>
          <w:color w:val="auto"/>
        </w:rPr>
        <w:t>pursue raising additional funds through equity, debt or other structured financings that could be dilutive to our stockholders or involve restrictive covenants, operational restrictions, security interests in our assets, and/or relinquishing part or all of our rights to potentially valuable future revenue streams;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enter into new strategic collaborations that may be less favorable than those we would have obtained under different circumstances;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delay, reduce or terminate one or more development programs;</w:t>
      </w:r>
    </w:p>
    <w:p>
      <w:pPr>
        <w:spacing w:after="0" w:line="22" w:lineRule="exact"/>
        <w:rPr>
          <w:rFonts w:ascii="Arial" w:cs="Arial" w:eastAsia="Arial" w:hAnsi="Arial"/>
          <w:sz w:val="20"/>
          <w:szCs w:val="20"/>
          <w:color w:val="auto"/>
        </w:rPr>
      </w:pPr>
    </w:p>
    <w:p>
      <w:pPr>
        <w:ind w:left="900" w:hanging="292"/>
        <w:spacing w:after="0"/>
        <w:tabs>
          <w:tab w:leader="none" w:pos="9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reduce headcount;</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forgo opportunities to expand our product portfolio; or</w:t>
      </w:r>
    </w:p>
    <w:p>
      <w:pPr>
        <w:spacing w:after="0" w:line="17" w:lineRule="exact"/>
        <w:rPr>
          <w:rFonts w:ascii="Arial" w:cs="Arial" w:eastAsia="Arial" w:hAnsi="Arial"/>
          <w:sz w:val="20"/>
          <w:szCs w:val="20"/>
          <w:color w:val="auto"/>
        </w:rPr>
      </w:pPr>
    </w:p>
    <w:p>
      <w:pPr>
        <w:ind w:left="920" w:right="320" w:hanging="312"/>
        <w:spacing w:after="0" w:line="239" w:lineRule="auto"/>
        <w:tabs>
          <w:tab w:leader="none" w:pos="915" w:val="left"/>
        </w:tabs>
        <w:numPr>
          <w:ilvl w:val="0"/>
          <w:numId w:val="27"/>
        </w:numPr>
        <w:rPr>
          <w:rFonts w:ascii="Arial" w:cs="Arial" w:eastAsia="Arial" w:hAnsi="Arial"/>
          <w:sz w:val="20"/>
          <w:szCs w:val="20"/>
          <w:color w:val="auto"/>
        </w:rPr>
      </w:pPr>
      <w:r>
        <w:rPr>
          <w:rFonts w:ascii="Arial" w:cs="Arial" w:eastAsia="Arial" w:hAnsi="Arial"/>
          <w:sz w:val="17"/>
          <w:szCs w:val="17"/>
          <w:color w:val="auto"/>
        </w:rPr>
        <w:t>take other measures to reduce our expenses, pursue strategic transactions, such as a merger or other business combination or sale of assets, file for bankruptcy, or cease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commercial collaborator terminates its exclusive license agreement with us, our need for additional capital may significantly increase.</w:t>
      </w:r>
    </w:p>
    <w:p>
      <w:pPr>
        <w:spacing w:after="0" w:line="119"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have an exclusive license agreement with Organon for the commercialization of XACIATO. That license agreement may be terminated by Organon for convenience upon the completion of a specified notice period, subject to limited restrictions. If Organon determines to terminate the exclusive license agreement with us, we may realize only a small fraction of the potential value of the agreement to us, and we would need to raise significant additional capital to pursue further development and commercialization of XACIATO, or establish another commercial collaboration, which we may not be able to do on a timely basis, on favorable terms, or at all. For example, we had an exclusive license agreement with Bayer for the commercialization of Ovaprene. As discussed elsewhere in this report, we received a notice of termination of the license agreement from Bayer in November 2025, and we agreed with Bayer to terminate the license agreement effective December 2, 2025. If Ovaprene were to receive marketing approval from the FDA, we will need to enter into an agreement with a third party to commercialize Ovaprene, for which no assurances can be given, and if we do not enter into such agreement, the commercialization of Ovaprene would be delayed. See also the risk factor titled, “Our existing product development and commercialization collaboration is important to our business, and future collaborations may also be important to us. If we are unable to maintain our existing collaboration, if it is not successful, or if we are unable to establish additional strategic collaborations, our business and prospects may be materially harmed,” below.</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We have relied heavily on sales of our common stock to fund our operations, and our ability to obtain additional capital through stock sales or other securities offerings may be more costly or dilutive to our stockholders than in the past, or may not be available to us at all. Our ability to raise additional capital may be limited by a low trading volume, stock price and market capitalization, as well as by laws, regulations and market conditions.</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relied heavily on our ability to raise capital by selling shares of our common stock. For example, we raised an aggregate of</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approximately $21.3 million in in gross proceeds during 2025, and approximately $93.0 million in gross proceeds since January 1, 2021, through the sale of shares of our common stock in offerings made under a Form S-3 “shelf” registration statement. Our ability to raise additional capital through sales of our common stock or other securities offerings will depend on several factors, many of which may not be in our favor, including the trading volume and volatile trading price of our common stock, our relatively low public float and market capitalization, our potential inability to regain and maintain compliance with the listing requirements of the Nasdaq Capital Market, unfavorable financial market conditions, and the other risks and uncertainties described in this Risk Factors section. If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7"/>
          <w:szCs w:val="17"/>
          <w:color w:val="auto"/>
        </w:rPr>
        <w:t>we are unable to raise additional capital through the offering and sale of shares of our common stock, or securities convertible into or exercisable for our common stock, on a timely basis or acceptable terms, or at all, we may seek additional capital through other third-party sources that require us to relinquish valuable rights in our intellectual property, technologies, product candidates or future revenue streams, or that subject us to restrictive covenants, operational restrictions or security interests in our assets, or we may need to delay, scale back or eliminate some or all of our development programs, reduce other expenses, file for bankruptcy, reorganize, merge with another entity, or cease operations.</w:t>
      </w:r>
    </w:p>
    <w:p>
      <w:pPr>
        <w:spacing w:after="0" w:line="69"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6"/>
          <w:szCs w:val="16"/>
          <w:color w:val="auto"/>
        </w:rPr>
        <w:t>Using a shelf registration statement to conduct an equity offering to raise capital generally takes less time and is less expensive than other means, such as conducting an offering under a Form S-1 registration statement. We currently have a shelf registration statement effective, however, our ability to raise capital under a shelf registration statement is, and may continue to be, limited by, among other things, current and future SEC rules and regulations impacting the eligibility of smaller companies to use Form S-3 for primary offerings of securities. For example, we currently are subject to the "baby shelf rule" because the market value of our outstanding shares of common stock held by non-affiliates, or our public float, was less than $75.0 million at the time of filing this annual report on Form 10-K, calculated in accordance with SEC rules. This means that we may use our shelf registration statement to raise additional funds only to the extent that the aggregate market value of securities sold by us or on our behalf pursuant to Instruction I.B.6. of Form S-3 during the 12 calendar months immediately prior to, and including, the intended sale does not exceed one-third of the aggregate market value of our public float, calculated in accordance with the instructions to Form S-3. Based on the aggregate market value of securities sold by us or on our behalf pursuant to Instruction I.B.6. of Form S-3 in 2025, we do not expect to sell any shares pursuant to Instruction I.B.6. of Form S-3, including under our ATM sales agreement, during the approximately 12-month period from July 2025, unless and until our public float exceeds approximately $54.0 million, as determined in accordance with SEC rules. While our ability to offer securities under an effective shelf registration statement is limited, including by the baby shelf rule, we may choose to conduct an offering of our securities under an exemption from registration under the Securities Act of 1933, as amended, or the Securities Act, or under a Form S-1 registration statement. We would expect either of these alternatives to take more time and be a more expensive method of raising additional capital relative to using our shelf registration statement.</w:t>
      </w:r>
    </w:p>
    <w:p>
      <w:pPr>
        <w:spacing w:after="0" w:line="6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Ownership of Our Common Stock—If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below.</w:t>
      </w:r>
    </w:p>
    <w:p>
      <w:pPr>
        <w:spacing w:after="0" w:line="76"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6"/>
          <w:szCs w:val="16"/>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 Even if a public offering under Nasdaq rules is not subject to the 20% limitation described above, it may involve publicly announcing the proposed transaction, which often has the effect of depressing the market price of a company's stock and could result in a reduced offering price. Accordingly, our existing investors may suffer greater dilution if we seek to raise additional capital through such a public offering of our securities.</w:t>
      </w:r>
    </w:p>
    <w:p>
      <w:pPr>
        <w:spacing w:after="0" w:line="6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8" w:name="page69"/>
    <w:bookmarkEnd w:id="68"/>
    <w:p>
      <w:pPr>
        <w:jc w:val="both"/>
        <w:spacing w:after="0" w:line="281" w:lineRule="auto"/>
        <w:rPr>
          <w:sz w:val="20"/>
          <w:szCs w:val="20"/>
          <w:color w:val="auto"/>
        </w:rPr>
      </w:pPr>
      <w:r>
        <w:rPr>
          <w:rFonts w:ascii="Arial" w:cs="Arial" w:eastAsia="Arial" w:hAnsi="Arial"/>
          <w:sz w:val="17"/>
          <w:szCs w:val="17"/>
          <w:color w:val="auto"/>
        </w:rPr>
        <w:t>would approve a proposed transaction. For example, we will need to obtain stockholder approval to sell more shares of our common stock to Lincoln Park under our equity line arrangement due to the limitations described above related to sales at less than the Minimum Price.</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spacing w:after="0" w:line="5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current financial and other resources are limited and not sufficient to develop all of the product candidates to which we hold licenses or options to license. This may affect our efforts to develop and bring to market the product candidates currently in our portfolio and any candidates we may add to our portfolio in the future. Due to our limited resources, we have curtailed, and may be required to further curtail, certain of our development programs and clinical and nonclinical development activities that might otherwise have led, or lead, to more rapid progress in the development of our product candidates, or product candidates that we may in the future choose to develop. We may make determinations with regard to the indications and clinical trials on which to focus our resources that result in our realization of less than the full potential value of a product candidate. The decisions to allocate our research, management, personnel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7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Product Research &amp; Development and Regulatory Approval – Delays in the commencement or completion of clinical testing of our product candidates may occur due to any of a number of factors and could result in significantly increased costs and longer timelines and could impact our ability to ever become profitable” below.</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Women’s health has historically been an underfunded sector. In recent years, a number of public companies focused in women’s health failed to achieve expected commercial success and struggled to access sufficient capital. We are solely focused in women’s health and may be unfavorably impacted by weak investor sentiment and a lack of interest in the category. Our ability to access capital and to advance our candidates could be adversely impacted.</w:t>
      </w:r>
    </w:p>
    <w:p>
      <w:pPr>
        <w:spacing w:after="0" w:line="5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are solely focused in women’s health, and primarily in the areas of contraception, sexual health, pelvic pain, fertility, infectious disease and menopause. The sector has historically been underfunded, with only about one percent of healthcare research and innovation in the U.S. invested in female-specific conditions beyond oncology according to market research. Non-oncologic women's health therapeutics product launches in recent years have not been perceived as successful. Those perceived commercial failures and the failure of the women’s health sector to receive consistent and committed investment fuels investor sentiment that market opportunities for new products in women’s health are limited. While women's health recently has received more attention, and investment in the women's health sector has seen progress with new or increased funding programs from the federal government, it remains an underinvested sector. Further, there is a high level of uncertainty regarding whether the federal government under the current U.S. presidential administration will continue programs initiated by the prior presidential administration that led to increased funding for research and development in women’s health. Our stock price and our ability to access additional capital on acceptable terms when needed may be adversely impacted by unfavorable investor perception of market opportunities for women’s health products, and our business, operating results, financial condition and prospects could suffer.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in U.S. federal government funding and contracting policies may adversely affect our business.</w:t>
      </w:r>
    </w:p>
    <w:p>
      <w:pPr>
        <w:spacing w:after="0" w:line="10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Changes in federal funding and contracting policies under the current U.S. presidential administration could materially impact the progress of certain of our development programs, including DARE-HPV, as well as our operating results and financial resources. We have received federal government grants and awards in support of several of our development programs. As discussed elsewhere in this report, our DARE-HPV program is being supported in large part with funding provided by federal agencies. There is no guarantee that such contracts and funding will not be frozen, restricted, or terminated as a result of changes in federal funding and contracting policies. In addition, potential future funding and collaboration opportunities through HHS, NIH or other federal agencies may be delayed, reduced or made unavailable. Further, research and development conducted in collaboration with U.S.-based colleges and universities could be delayed or discontinued due to changes in federal funding and contracting policies relating 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such institutions. These changes could adversely affect our development programs, financial condition, operating results and business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could be adversely impacted if a financial institution with which we have deposit or other accounts fails.</w:t>
      </w:r>
    </w:p>
    <w:p>
      <w:pPr>
        <w:spacing w:after="0" w:line="10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cash and cash equivalents we use to satisfy our working capital and operating expense needs are held in accounts at various financial institutions. The balance held in deposit accounts often exceeds the Federal Deposit Insurance Corporation (“FDIC”) deposit insurance limit or similar government deposit insurance schemes. Our cash and cash equivalents could be adversely impacted, including the loss of uninsured deposits and other uninsured financial assets, if one or more of the financial institutions in which we hold our cash or cash equivalents fails or is subject to other adverse conditions in the financial or credit markets. For example, in March 2023, Silicon Valley Bank was closed by the California Department of Financial Protection and Innovation and taken into receivership by the FDIC. At that time, substantially all of our cash and cash equivalents were held in accounts with Silicon Valley Bank and we could not access such accounts for a few days. While we were eventually afforded full access to our accounts, there is no guarantee that in the event of a future closure of a financial institution, we would have access to our funds or that such access would be afforded in a timely fashion. Any loss of our cash or cash equivalents or any delay in our access thereto could, among other risks, adversely impact our ability to pay our operating expenses, result in breaches of our contractual obligations, or result in violations of federal or state wage and hour laws if we are unable to pay our employees on a timely basis.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Product Research &amp; Development and Regulatory Approval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To date, XACIATO is the only FDA-approved product to emerge from our portfolio. The FDA’s approval of XACIATO does not provide any assurance or predict that we will be successful in developing or achieving regulatory approval to market any other product candidate. If we are unable to successfully conduct and complete development of and obtain regulatory approvals for our investigational products, which may never occur, our business may fail and you could lose all or part of your investment.</w:t>
      </w:r>
    </w:p>
    <w:p>
      <w:pPr>
        <w:spacing w:after="0" w:line="5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Historical success in clinical development of and obtaining regulatory approval for a product candidate does not guarantee or predict future successful outcomes for other investigational products. Each of our development programs is unique and subject to substantial uncertainty of success inherent in pharmaceutical and biopharmaceutical development.</w:t>
      </w:r>
    </w:p>
    <w:p>
      <w:pPr>
        <w:spacing w:after="0" w:line="6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current pipeline consists entirely of investigational products, which we also refer to as product candidates, which means that they must successfully complete one or more clinical studies to be considered for marketing approval and undergo a submission and review process with the FDA to obtain approval to be marketed in the U.S., or a similar process with comparable regulatory authorities in other jurisdictions to be marketed anywhere outside of the U.S. FDA or other regulatory authority approval may never be obtained. See also ITEM 1. “BUSINESS–Government Regulation–U.S. Government Regulation–FDA Review and Approval Process for Prescription Drugs, FDA Review and Approval of Medical Devices, and FDA Review and Approval Process for Combination Products” and “–Government Regulation Outside the U.S.” above. If we are unable to successfully complete development of and obtain regulatory approvals for our product candidates, our business may fail and you could lose all or part of your investment.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inherently uncertain outcome. Failure to successfully develop and obtain regulatory approval to market and sell our product candidates, and in particular, Ovaprene and Sildenafil Cream, would likely adversely affect our business.</w:t>
      </w:r>
    </w:p>
    <w:p>
      <w:pPr>
        <w:spacing w:after="0" w:line="50"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Our business depends on the successful clinical development and regulatory approval of our product candidates, and in particular,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Ovaprene and Sildenafil Cream, there is no guarantee of successful outcomes in current or future clinical studies of these product candidates or of obtaining marketing approval for any of them. For example, while PCT clinical trials have been used as a surrogate marker for contraceptive effectiveness and our PCT clinical trial of Ovaprene met its primary endpoint, there is no guarantee Ovaprene will demonstrate contraceptive effectiveness in its ongoing pivotal Phase 3 clinical study or demonstrate a level of contraceptive effectiveness that will enable it to compete effectively in the contraceptive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7"/>
          <w:szCs w:val="17"/>
          <w:color w:val="auto"/>
        </w:rPr>
        <w:t>market. As another example, while data from our exploratory Phase 2b RESPOND study of Sildenafil Cream allows us to advance Sildenafil Cream into Phase 3 development, the co-primary efficacy endpoints of the Phase 2b study were not met and there is no guarantee that our planned Phase 3 clinical studies, which will have the same co-primary efficacy endpoints used in the Phase 2b study, will be successful. The fact that the active pharmaceutical ingredients in certain of our product candidates, including Sildenafil Cream, received regulatory approval in other formulations and/or for other indications does not guarantee successful development of our product candidates for their proposed intended uses. Clinical trials may never demonstrate sufficient safety and effectiveness to obtain the requisite regulatory approvals for our product candidates.</w:t>
      </w:r>
    </w:p>
    <w:p>
      <w:pPr>
        <w:spacing w:after="0" w:line="7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Outcomes of our clinical trials, particularly later-stage clinical trials, including our ongoing Phase 3 study of Ovaprene, may significantly impact our stock price and our business prospects. If interim, preliminary or final results from our clinical studies are not positive, or are perceived by third parties, including the medical community, current and potential collaborators, and the investment community, as not positive, our stock price could decline significantly, our reputation may suffer, and our ability to raise additional capital to continue to operate as a going concern and execute our business strategy could be adversely impacted. If a product candidate fails to demonstrate adequate safety or effectiveness in a clinical study, we may determine to delay, scale back or terminate the program, and we may not realize any return on our investment in the program.</w:t>
      </w:r>
    </w:p>
    <w:p>
      <w:pPr>
        <w:spacing w:after="0" w:line="7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Even if we conduct and complete clinical trials for our product candidates, we may not obtain regulatory approval to market and sell any of them on the timelines we anticipate, or at all, which would have a material adverse effect on our business and operations.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Delays in the commencement or completion of clinical testing of our product candidates may occur due to any of a number of factors and could result in significantly increased costs and longer timelines and could impact our ability to ever become profitable.</w:t>
      </w:r>
    </w:p>
    <w:p>
      <w:pPr>
        <w:spacing w:after="0" w:line="3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Clinical trials of our product candidates may not commence, progress or be completed as expected. Delays could significantly impact our product development costs and timelines, as well as a product candidate’s market potential, if ultimately approved. The timing of initiation, conduct and completion of clinical trials and other development activities for our product candidates may vary dramatically due to factors within and outside of our control and is difficult to predict accurately. We may make statements regarding anticipated timing of clinical development milestones, such as commencement, completion of enrollment, and/or availability of results from our clinical studies, but those statements are predictions based on significant assumptions and the actual timing of achievement of development milestones may differ materially from our predictions for a variety of reasons.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commencement of clinical trials of our product candidates can be delayed for many reasons, including:</w:t>
      </w:r>
    </w:p>
    <w:p>
      <w:pPr>
        <w:spacing w:after="0" w:line="88" w:lineRule="exact"/>
        <w:rPr>
          <w:sz w:val="20"/>
          <w:szCs w:val="20"/>
          <w:color w:val="auto"/>
        </w:rPr>
      </w:pPr>
    </w:p>
    <w:p>
      <w:pPr>
        <w:ind w:left="900" w:hanging="292"/>
        <w:spacing w:after="0"/>
        <w:tabs>
          <w:tab w:leader="none" w:pos="9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lack of adequate capital and the need to obtain additional funding;</w:t>
      </w:r>
    </w:p>
    <w:p>
      <w:pPr>
        <w:spacing w:after="0" w:line="22" w:lineRule="exact"/>
        <w:rPr>
          <w:rFonts w:ascii="Arial" w:cs="Arial" w:eastAsia="Arial" w:hAnsi="Arial"/>
          <w:sz w:val="20"/>
          <w:szCs w:val="20"/>
          <w:color w:val="auto"/>
        </w:rPr>
      </w:pPr>
    </w:p>
    <w:p>
      <w:pPr>
        <w:ind w:left="900" w:hanging="292"/>
        <w:spacing w:after="0"/>
        <w:tabs>
          <w:tab w:leader="none" w:pos="9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delays in obtaining guidance or authorizations from the FDA or foreign regulatory authorities;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delays in obtaining approval from the institutional review boards, or IRBs, of prospective clinical study sites;</w:t>
      </w:r>
    </w:p>
    <w:p>
      <w:pPr>
        <w:spacing w:after="0" w:line="17" w:lineRule="exact"/>
        <w:rPr>
          <w:rFonts w:ascii="Arial" w:cs="Arial" w:eastAsia="Arial" w:hAnsi="Arial"/>
          <w:sz w:val="20"/>
          <w:szCs w:val="20"/>
          <w:color w:val="auto"/>
        </w:rPr>
      </w:pPr>
    </w:p>
    <w:p>
      <w:pPr>
        <w:ind w:left="920" w:right="840" w:hanging="312"/>
        <w:spacing w:after="0" w:line="239" w:lineRule="auto"/>
        <w:tabs>
          <w:tab w:leader="none" w:pos="915" w:val="left"/>
        </w:tabs>
        <w:numPr>
          <w:ilvl w:val="0"/>
          <w:numId w:val="28"/>
        </w:numPr>
        <w:rPr>
          <w:rFonts w:ascii="Arial" w:cs="Arial" w:eastAsia="Arial" w:hAnsi="Arial"/>
          <w:sz w:val="20"/>
          <w:szCs w:val="20"/>
          <w:color w:val="auto"/>
        </w:rPr>
      </w:pPr>
      <w:r>
        <w:rPr>
          <w:rFonts w:ascii="Arial" w:cs="Arial" w:eastAsia="Arial" w:hAnsi="Arial"/>
          <w:sz w:val="17"/>
          <w:szCs w:val="17"/>
          <w:color w:val="auto"/>
        </w:rPr>
        <w:t>delays in finalizing the trial design as a result of discussions with the FDA, foreign regulatory authorities, prospective clinical trial investigators or IRBs;</w:t>
      </w:r>
    </w:p>
    <w:p>
      <w:pPr>
        <w:spacing w:after="0" w:line="11" w:lineRule="exact"/>
        <w:rPr>
          <w:rFonts w:ascii="Arial" w:cs="Arial" w:eastAsia="Arial" w:hAnsi="Arial"/>
          <w:sz w:val="20"/>
          <w:szCs w:val="20"/>
          <w:color w:val="auto"/>
        </w:rPr>
      </w:pPr>
    </w:p>
    <w:p>
      <w:pPr>
        <w:ind w:left="900" w:hanging="292"/>
        <w:spacing w:after="0"/>
        <w:tabs>
          <w:tab w:leader="none" w:pos="9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delays in reaching agreement on acceptable terms with prospective CROs and clinical trial sites; or</w:t>
      </w:r>
    </w:p>
    <w:p>
      <w:pPr>
        <w:spacing w:after="0" w:line="10" w:lineRule="exact"/>
        <w:rPr>
          <w:rFonts w:ascii="Arial" w:cs="Arial" w:eastAsia="Arial" w:hAnsi="Arial"/>
          <w:sz w:val="20"/>
          <w:szCs w:val="20"/>
          <w:color w:val="auto"/>
        </w:rPr>
      </w:pPr>
    </w:p>
    <w:p>
      <w:pPr>
        <w:ind w:left="900" w:hanging="292"/>
        <w:spacing w:after="0" w:line="235" w:lineRule="auto"/>
        <w:tabs>
          <w:tab w:leader="none" w:pos="9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inability to obtain sufficient quantities of clinical product supplies from our contract manufacturers and suppliers.</w:t>
      </w:r>
    </w:p>
    <w:p>
      <w:pPr>
        <w:spacing w:after="0" w:line="1" w:lineRule="exact"/>
        <w:rPr>
          <w:sz w:val="20"/>
          <w:szCs w:val="20"/>
          <w:color w:val="auto"/>
        </w:rPr>
      </w:pPr>
    </w:p>
    <w:p>
      <w:pPr>
        <w:ind w:firstLine="607"/>
        <w:spacing w:after="0" w:line="261" w:lineRule="auto"/>
        <w:rPr>
          <w:sz w:val="20"/>
          <w:szCs w:val="20"/>
          <w:color w:val="auto"/>
        </w:rPr>
      </w:pPr>
      <w:r>
        <w:rPr>
          <w:rFonts w:ascii="Arial" w:cs="Arial" w:eastAsia="Arial" w:hAnsi="Arial"/>
          <w:sz w:val="17"/>
          <w:szCs w:val="17"/>
          <w:color w:val="auto"/>
        </w:rPr>
        <w:t>Once a clinical trial has begun, it may be delayed, suspended or terminated by us, an IRB, the FDA or other regulatory authorities as a result of the occurrence of any of a number of events or circumstances, including:</w:t>
      </w:r>
    </w:p>
    <w:p>
      <w:pPr>
        <w:spacing w:after="0" w:line="95" w:lineRule="exact"/>
        <w:rPr>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lack of adequate capital and the need to obtain additional funding;</w:t>
      </w:r>
    </w:p>
    <w:p>
      <w:pPr>
        <w:spacing w:after="0" w:line="22"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failure to conduct the clinical trial in accordance with its protocol or regulatory or IRB requirements;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slower than expected rates of participant recruitment and enrollment;</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higher than anticipated participant drop-out rates;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failure of participants to use the investigational product as directed or to report data as per trial protocols;</w:t>
      </w:r>
    </w:p>
    <w:p>
      <w:pPr>
        <w:spacing w:after="0" w:line="17" w:lineRule="exact"/>
        <w:rPr>
          <w:rFonts w:ascii="Arial" w:cs="Arial" w:eastAsia="Arial" w:hAnsi="Arial"/>
          <w:sz w:val="20"/>
          <w:szCs w:val="20"/>
          <w:color w:val="auto"/>
        </w:rPr>
      </w:pPr>
    </w:p>
    <w:p>
      <w:pPr>
        <w:ind w:left="920" w:right="60" w:hanging="312"/>
        <w:spacing w:after="0" w:line="246" w:lineRule="auto"/>
        <w:tabs>
          <w:tab w:leader="none" w:pos="915" w:val="left"/>
        </w:tabs>
        <w:numPr>
          <w:ilvl w:val="0"/>
          <w:numId w:val="29"/>
        </w:numPr>
        <w:rPr>
          <w:rFonts w:ascii="Arial" w:cs="Arial" w:eastAsia="Arial" w:hAnsi="Arial"/>
          <w:sz w:val="20"/>
          <w:szCs w:val="20"/>
          <w:color w:val="auto"/>
        </w:rPr>
      </w:pPr>
      <w:r>
        <w:rPr>
          <w:rFonts w:ascii="Arial" w:cs="Arial" w:eastAsia="Arial" w:hAnsi="Arial"/>
          <w:sz w:val="17"/>
          <w:szCs w:val="17"/>
          <w:color w:val="auto"/>
        </w:rPr>
        <w:t>inspection of the clinical trial operations or clinical trial site by the FDA or other regulatory authorities resulting in the imposition of a clinical hold;</w:t>
      </w:r>
    </w:p>
    <w:p>
      <w:pPr>
        <w:spacing w:after="0" w:line="11"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failure to achieve certain efficacy and/or safety standards;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participants experiencing severe undesirable side effects or other unexpected adverse events;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disruptions in or insufficient supply of clinical trial material or inadequate quality of such materials;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1" w:name="page72"/>
    <w:bookmarkEnd w:id="71"/>
    <w:p>
      <w:pPr>
        <w:ind w:left="900" w:hanging="292"/>
        <w:spacing w:after="0"/>
        <w:tabs>
          <w:tab w:leader="none" w:pos="9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failure of our CROs or other third-party service providers to meet their contractual obligations to us in a timely manner, or at all; or</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delays in quality control/quality assurance procedures necessary for study database lock and analysis of unblinded data.</w:t>
      </w:r>
    </w:p>
    <w:p>
      <w:pPr>
        <w:spacing w:after="0" w:line="15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Unexpected SAEs or other undesirable side effects could arise during clinical development and interrupt, delay, or cause the termination of clinical trials, and require us to conduct additional clinical and nonclinical studies that were not part of our development plan, which could significantly increase the development costs and timeline for a program and adversely impact its value and our ability to continue product development. These events may also cause our reputation to suffer and subject us to lawsuits.</w:t>
      </w:r>
    </w:p>
    <w:p>
      <w:pPr>
        <w:spacing w:after="0" w:line="6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As discussed elsewhere in this Risk Factors section, macroeconomic factors and events also have the potential to cause or contribute to significant delays in commencement and completion of our clinical trials. Global supply chain disruptions and the subsequent effects thereof may adversely affect the ability of contract manufacturers to manufacture and supply our clinical trial material. Our prospective or contracted clinical trial sites may experience resource constraints, including staffing shortages, stemming from global or regional issues, such as a public health emergency, natural disaster, or worker strike, and become unable to allocate adequate resources to reach agreements necessary to commence our clinical trials at their facilities or, even if agreements are in place, to conduct our clinical trials. For ongoing clinical trials, macroeconomic factors or events, such as a global pandemic, may result in lower than anticipated subject enrollment and completion rates, including because clinical trial sites may temporarily close or reallocate resources away from clinical research, or study participants may withdraw prior to receiving study treatment or discontinue their treatment or follow up visits to avoid medical settings or because they become sick or must care for a sick family member.</w:t>
      </w:r>
    </w:p>
    <w:p>
      <w:pPr>
        <w:spacing w:after="0" w:line="7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Significant clinical trial delays could have a material adverse impact on our financial condition and results of operations by substantially increasing the costs of our development programs. 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complete development of or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w:t>
      </w:r>
    </w:p>
    <w:p>
      <w:pPr>
        <w:spacing w:after="0" w:line="125"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The manufacture of our product candidates is subject to compliance with extensive regulatory requirements, in some cases is complex, and in most cases we rely on single source contract manufacturers and suppliers. As a result, we face significant risks of manufacturing and supply delays and disruptions that may be difficult and expensive to resolve and may cause substantial delays in the development and regulatory approval of our product candidates or the commercialization of any approved product. To date, our clinical-stage product candidates have been tested in a relatively small number of clinical study participants. Significant scale-up of manufacturing will be required to provide adequate supplies of our product candidates for larger Phase 2 and Phase 3 clinical trials and may take longer and be more expensive than anticipated. For example, if the ongoing pivotal clinical study of Ovaprene required far more clinical product supplies than were manufactured for prior clinical and nonclinical studies combined. A substantial scale up in production of Ovaprene clinical supplies was necessary to support the ongoing Phase 3 clinical study of Ovaprene, which took longer and was more expensive than anticipated, impacting our development timeline. Under our agreement with ADVA-Tec, we are dependent on ADVA-Tec and its contract manufacturer, Poly-Med, Inc., for all Ovaprene clinical and commercial product supplies, and we do not control these third parties and have limited influence the efforts and resources they expend to meet our supply requirements. Disruptions and delays in scaling up manufacturing of our product candidates for later stage clinical studies may have a significant negative impact on our development costs and timelines. We have, and we expect we will continue to, face multiple challenges as our contract manufacturers scale their processes to provide supplies for larger clinical trials or commercial production including, among others, potential difficulties with process scale-up, process reproducibility, stability and purity issues, compliance with cGMP, lot consistency, and timely availability of acceptable raw materials.</w:t>
      </w:r>
    </w:p>
    <w:p>
      <w:pPr>
        <w:spacing w:after="0" w:line="14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manufacture of our product candidates is subject to extensive regulation. The finished products (and their APIs) used in clinical trials or approved for commercial sale must be manufactured in accordance with cGMP requirements in the U.S. that are enforced by the FDA and must comply with applicable requirements of foreign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2" w:name="page73"/>
    <w:bookmarkEnd w:id="72"/>
    <w:p>
      <w:pPr>
        <w:jc w:val="both"/>
        <w:spacing w:after="0" w:line="268" w:lineRule="auto"/>
        <w:rPr>
          <w:sz w:val="20"/>
          <w:szCs w:val="20"/>
          <w:color w:val="auto"/>
        </w:rPr>
      </w:pPr>
      <w:r>
        <w:rPr>
          <w:rFonts w:ascii="Arial" w:cs="Arial" w:eastAsia="Arial" w:hAnsi="Arial"/>
          <w:sz w:val="16"/>
          <w:szCs w:val="16"/>
          <w:color w:val="auto"/>
        </w:rPr>
        <w:t>regulatory authorities for sales outside of the U.S.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a product that may result in closure of the manufacturing facility for an extended period of time to investigate and remedy the contamination or inadvertent change. In addition, deviations anywhere in the manufacturing process could cause our product candidates to perform differently and affect the results of clinical trials. Further, even minor deviations in the manufacturing process, including filling labeling, packaging, storage and shipping, and quality control and testing, may result in shipment delays, lot failures, recalls or spoilage, and delay or disrupt our clinical studies or commercial supply of any approved product. See also ITEM 1. “BUSINESS–Government Regulation–U.S. Government Regulation–FDA Review and Approval Process for Prescription Drugs, FDA Review and Approval of Medical Devices, and FDA Review and Approval Process for Combination Products” and “–Government Regulation Outside the U.S.” above. If our contract manufacturers are unable to produce sufficient quantities of our product candidates (or their APIs) for clinical trials or, if approved for commercial sale, for commercialization at acceptable quality levels, our development and commercialization efforts would be impaired, which could have a material adverse effect on our business, financial condition and results of operations.</w:t>
      </w:r>
    </w:p>
    <w:p>
      <w:pPr>
        <w:spacing w:after="0" w:line="125"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As product candidates progress through the development process, it is not uncommon that manufacturing methods are altered along the way in an effort to optimize yield, manufacturing batch size, minimize costs, achieve consistent quality and results, or to comply with regulatory authority requirements. Any such changes carry risk that they will not achieve the intended objectives. If and when changes are made to the manufacturing process of our product candidates (or their APIs), we may be required by the FDA or foreign regulatory authorities to conduct bridging clinical or nonclinical studies or repeat one or more clinical trials to demonstrate comparable identity, strength, quality and purity of the product candidate before and after such changes, which could significantly increase development costs and delay regulatory approval or disrupt commercial supply. These manufacturing and supply risks are similarly applicable to any product or product candidate we license to a commercial collaborator and could adversely impact the timing or amount of potential milestone and royalty payments to us.</w:t>
      </w:r>
    </w:p>
    <w:p>
      <w:pPr>
        <w:spacing w:after="0" w:line="152"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addition, our cost of goods for our product candidates is at an early stage of development. The cost to manufacture our product candidates at commercial scale is difficult to predict currently. We may need to alter the materials, equipment or processes for making our product candidates in order to yield commercially viable products. As discussed above, manufacturing changes could increase development costs and timing, delay regulatory approval or disrupt commercial supply and may not achieve the intended objectives. Manufacturing costs may negatively impact the commercial viability of our product candidates, if approved for commercial sale.</w:t>
      </w:r>
    </w:p>
    <w:p>
      <w:pPr>
        <w:spacing w:after="0" w:line="13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See also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 below.</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factors contributing to female sexual dysfunction disorders, including FSAD, are complex and there is limited clinical trial precedent from which to draw experience, making the design and execution of a clinical trial that demonstrates effectiveness of Sildenafil Cream in treating FSAD more inherently challenging and uncertain compared with investigational products for many other conditions.</w:t>
      </w:r>
    </w:p>
    <w:p>
      <w:pPr>
        <w:spacing w:after="0" w:line="12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There are currently no FDA-approved pharmacologic treatments for FSAD and there is no precedent program to reference in the design of our clinical trials for Sildenafil Cream. Female sexual dysfunction disorders in women vary in nature and may be the result of a variety of physiological and psychological factors. Given the variability of factors contributing to the underlying condition, and the product candidates' attributes, clinical studies to evaluate effectiveness in any subset of the conditions under the umbrella of female sexual dysfunction, such as FSAD, are complex. While we worked with experts to select existing as well as develop novel patient reported outcome (PRO) instruments for our exploratory Phase 2b RESPOND study of Sildenafil Cream, tested the potential PRO instruments in a content validity study, reviewed the results of that study with the FDA and aligned with the FDA on the Phase 2b study design, there is no precedent program that has utilized these same endpoints in a Phase 3 study and there is no assurance they will be adequate to detect a treatment effect. In addition, the Phase 2b RESPOND study proved more difficult to enroll than anticipated given the enrollment criteria for the study, particularly the requirement that the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7"/>
          <w:szCs w:val="17"/>
          <w:color w:val="auto"/>
        </w:rPr>
        <w:t>partner be enrolled in the study. Moreover, the Phase 2b RESPOND study did not demonstrate statistical significance for the co-primary or secondary efficacy endpoints. While post-hoc analyses of data from the Phase 2b RESPOND study identified a subset of participants that achieved statistically significant improvement in one of the co-primary efficacy endpoints of the study and the planned Phase 3 study will be in that subset of patients, there can be no assurance that Sildenafil Cream will be successful in the planned Phase 3 study.</w:t>
      </w:r>
    </w:p>
    <w:p>
      <w:pPr>
        <w:spacing w:after="0" w:line="6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Sildenafil Cream is designed to work primarily by increasing blood flow to the genital tissue. Therefore, identifying and enrolling patients in our clinical trials of Sildenafil Cream for whom inadequate blood flow to the genital tissue is the primary contributor to their arousal disorder is critical. If we fail to screen study participants properly, the results of our clinical trials are unlikely to demonstrate effectiveness of Sildenafil Cream. Conversely, screening procedures may slow enrollment in a study, delay its completion and increase its costs. In our exploratory Phase 2b RESPOND study, we experienced a slower than anticipated pace of enrollment given the enrollment criteria for the study, which lengthened our original estimated timeline for the study. We may experience delays in future clinical studies of Sildenafil Cream relative to our communicated expectations due to the novel nature of the studies and the complexities of the condition it is intended to treat, which may significantly lengthen clinical study timelines, increase overall costs, and may lead to unfavorable results.</w:t>
      </w:r>
    </w:p>
    <w:p>
      <w:pPr>
        <w:spacing w:after="0" w:line="14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With respect to any clinical study of Sildenafil Cream, even if we can identify and enroll a sufficient number of women for whom inadequate blood flow to the genital tissue is the primary contributing factor to their arousal disorder, there is no guarantee that the use of Sildenafil Cream will meaningfully improve their sensations of arousal or demonstrate statistically significant improvement in the primary or secondary efficacy endpoints of the study. We expect to conduct two Phase 3 studies to support an NDA for Sildenafil Cream. Given the multiple factors contributing to arousal disorders and the novelty of the clinical endpoints that will be utilized to measure effectiveness of Sildenafil Cream in treating FSAD, we may be required to conduct multiple clinical trials in large patient populations, extending the timeline and increasing the cost of development for Sildenafil Cream, without any guarantee of positive results. If we are unable to efficiently and successfully advance Sildenafil Cream through clinical development, our business, operating results and financial conditional, as well as our stock price, could suffer.</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4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From time to time, we may publicly disclose interim,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w:t>
      </w:r>
    </w:p>
    <w:p>
      <w:pPr>
        <w:spacing w:after="0" w:line="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interim analysis will result in a favorable final result at the completion of the clinical trial.</w:t>
      </w:r>
    </w:p>
    <w:p>
      <w:pPr>
        <w:spacing w:after="0" w:line="142"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an extensive set of data and analyses, and investors and others may disagree with the information we determine is the material or otherwise appropriate information to include in our public disclosure. Information we determine not to publicly disclose may ultimately be deemed significant with respect to future decisions, conclusions, views, activities or otherwise regarding a particular product candidate, product or our business. If the topline data that we report differ from complete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4" w:name="page75"/>
    <w:bookmarkEnd w:id="74"/>
    <w:p>
      <w:pPr>
        <w:jc w:val="both"/>
        <w:spacing w:after="0" w:line="247" w:lineRule="auto"/>
        <w:rPr>
          <w:sz w:val="20"/>
          <w:szCs w:val="20"/>
          <w:color w:val="auto"/>
        </w:rPr>
      </w:pPr>
      <w:r>
        <w:rPr>
          <w:rFonts w:ascii="Arial" w:cs="Arial" w:eastAsia="Arial" w:hAnsi="Arial"/>
          <w:sz w:val="17"/>
          <w:szCs w:val="17"/>
          <w:b w:val="1"/>
          <w:bCs w:val="1"/>
          <w:i w:val="1"/>
          <w:iCs w:val="1"/>
          <w:color w:val="auto"/>
        </w:rPr>
        <w:t>Our business depends on obtaining regulatory approval to market our product candidates in a timely manner, in particular, FDA approval. 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67"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 approval by the FDA or comparable regulatory authorities for jurisdictions outside the U.S. See also ITEM 1. “BUSINESS– Government Regulation–U.S. Government Regulation–FDA Review and Approval Process for Prescription Drugs, FDA Review and Approval of Medical Devices, and FDA Review and Approval Process for Combination Products” and “–Government Regulation Outside the U.S.” above.</w:t>
      </w:r>
    </w:p>
    <w:p>
      <w:pPr>
        <w:spacing w:after="0" w:line="65"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Our success depends on our ability to obtain regulatory approvals for our product candidates in a timely and cost-efficient manner. Even if we successfully complete nonclinical studies, clinical studies, manufacturing and other required activities, we may still experience delays in our efforts to obtain marketing approvals for any of our product candidates. Marketing approval applications require the submission of extensive clinical and nonclinical data and supporting information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third-party manufacturers and clinical investigators to successfully complete inspections by the FDA or other regulatory authorities during the approval process requires significant human and financial resources.</w:t>
      </w:r>
    </w:p>
    <w:p>
      <w:pPr>
        <w:spacing w:after="0" w:line="7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may change the development plan for a product candidate as a result of changes during the development period in the FDA’s marketing approval policies or the amendment or enactment of additional statutes or regulations, updated interpretations of applicable policies, statutes or regulations, or upon review of outcomes of other similar product candidates under development. This could significantly lengthen our development timelines and cost.</w:t>
      </w:r>
    </w:p>
    <w:p>
      <w:pPr>
        <w:spacing w:after="0" w:line="6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FDA and comparable regulatory authorities in other countries have substantial discretion in the approval process and may refuse to accept any application or may decide that the data are insufficient for approval and require additional clinical or nonclinical studies or changes in the manufacturing process or facilities, even if we had previously aligned with the relevant regulatory authorities on such data and other requirements. We cannot assure you that we will obtain any additional marketing approvals for our product or product candidates in any jurisdiction.</w:t>
      </w:r>
    </w:p>
    <w:p>
      <w:pPr>
        <w:spacing w:after="0" w:line="6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announcement of new requirements by the FDA, the failure of a competitive product to receive regulatory approval, or the receipt of a complete response letter from the FDA by another company pursuing the FDA's 505(b)(2) pathway for product candidates identical to or similar to ours, any of which may have implications for our proposed regulatory authorization pathways, could impact how investors and potential strategic collaborators view the development risks associated with our product candidates. Changing testing or manufacturing requirements for our product candidates or for product candidates deemed to be comparable to ours may adversely impact our financial resources, our development timelines and may harm the perception held by others of our business.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A change in the regulatory approval pathway we anticipate for a product candidate could significantly increase development cost and timeline and heighten the risk of failure.</w:t>
      </w:r>
    </w:p>
    <w:p>
      <w:pPr>
        <w:spacing w:after="0" w:line="45"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expect to utilize the FDA’s Section 505(b)(2) pathway for most of our current product candidates, including all of our clinical-stage candidates other than Ovaprene, and if that pathway is not available, the development of our product candidates will likely take significantly longer, cost significantly more and entail significantly greater complexity and risk than currently anticipated, and, in any case, may not be successful.</w:t>
      </w:r>
    </w:p>
    <w:p>
      <w:pPr>
        <w:spacing w:after="0" w:line="6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Section 505(b)(2) of the FDCA permits the filing of an NDA in which the applicant relies, at least in part, on the FDA's prior findings of safety and efficacy data for an existing product, or published literature, in support of its NDA, potentially eliminating or reducing the need to conduct certain nonclinical testing or clinical studies and expediting development timelines relative to the traditional or "full" NDA under Section 505(b)(1) of the FDCA. See ITEM 1. “BUSINESS–Government Regulation–U.S. Government Regulation–FDA Review and Approval Process for Prescription Drugs– Marketing Application Submission and FDA Review” above for more information. If the FDA changes its 505(b)(2) policies and practices, if Congress were to amend the FDCA, or if the current 505(b)(2) pathway is otherwise not available for a product candidate as anticipated, we likely would need to conduct more clinical trials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7"/>
          <w:szCs w:val="17"/>
          <w:color w:val="auto"/>
        </w:rPr>
        <w:t>and nonclinical testing than planned to generate additional safety and efficacy data and other information to support an NDA.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 In addition, Section 505(b)(2) NDAs are subject to special requirements designed to protect the patent rights of sponsors of previously approved drugs referenced in a Section 505(b)(2) NDA, and the filing of a patent infringement lawsuit against us following our submission of a 505(b)(2) NDA could significantly delay any potential FDA approval of the NDA. Even if we are able to utilize the Section 505(b)(2) regulatory pathway for one or more of our candidates, there is no guarantee this would ultimately lead to faster product development or earlier approval or commercial launch.</w:t>
      </w:r>
    </w:p>
    <w:p>
      <w:pPr>
        <w:spacing w:after="0" w:line="74"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In regard to Ovaprene, a change in the FDA’s prior determination that CDRH would lead the review of a marketing application for Ovaprene would adversely impact Ovaprene’s development timeline and significantly raise our costs to complete clinical development and obtain regulatory approval. Ovaprene is composed of both device and drug components and is considered a combination product by the FDA. The process for obtaining FDA approval of Ovaprene will require compliance with complex procedures because concordance between two centers of the FDA (CDRH and CDER) is necessary. See ITEM 1. "BUSINESS–Government Regulation–U.S. Government Regulation–FDA Review and Approval Process for Combination Products,” above for more information about the FDA review and approval process for combination products. Ovaprene previously underwent a request for designation, or RFD, process with the FDA that determined that CDRH would lead the review of a PMA for potential marketing approval of this product candidate. If the designation were to be changed to CDER, or if either center were to institute additional requirements for the approval of Ovaprene, we could be required to complete clinical studies with more patients and over longer periods of time than is currently anticipated. This would significantly increase the anticipated cost and timeline to completion of Ovaprene’s development and require us to raise</w:t>
      </w:r>
    </w:p>
    <w:p>
      <w:pPr>
        <w:spacing w:after="0" w:line="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additional funds. Based on discussions with the FDA, we believe that if our ongoing pivotal clinical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w:t>
      </w:r>
    </w:p>
    <w:p>
      <w:pPr>
        <w:spacing w:after="0" w:line="7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If we are unable to pursue FDA approval via the FDA's 505(b)(2) pathway or, in the case of Ovaprene, through review of a PMA by CDRH, new competitive products may reach the market more quickly than our product candidates, which may have a material adverse impact on our competitive position and prospects. Even if we are allowed to pursue the FDA's 505(b)(2) pathway, and in the case of Ovaprene, review of a PMA by CDRH, we cannot assure you that our product candidates will receive the requisite approvals for commercialization.</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Some of our product candidates may be considered combination products by the FDA and other regulatory authorities, which could increase the complexity, cost and timeline for their development and regulatory approval.</w:t>
      </w:r>
    </w:p>
    <w:p>
      <w:pPr>
        <w:spacing w:after="0" w:line="31"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To the extent our product candidates meet the FDA’s or any other regulatory authority’s definition of a combination product, the regulatory approval requirements can be more complex and costly because, in addition to the individual regulatory requirements for each component, e.g., a drug and a medical device, additional combination product regulatory requirements may apply. See ITEM 1. "BUSINESS–Government Regulation–U.S. Government Regulation–FDA Review and Approval Process for Combination Products,” above. The cost and timeline for development of product candidates determined to be combination products may be substantially greater than product candidates that are not considered combination products.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FDA’s shift toward “radical transparency,” including plans to release future complete response letters promptly after they are issued to drug product sponsors and increase oversight and enforcement for violations of direct-to-consumer drug advertising, could adversely impact our business and commercial prospects.</w:t>
      </w:r>
    </w:p>
    <w:p>
      <w:pPr>
        <w:spacing w:after="0" w:line="50"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There has been recent regulatory activity and enforcement in the United States stemming from an announced shift by FDA toward “radical transparency” resulting in increased scrutiny and transparency in the pharmaceutical drug space that may impact our business.</w:t>
      </w:r>
    </w:p>
    <w:p>
      <w:pPr>
        <w:spacing w:after="0" w:line="48" w:lineRule="exact"/>
        <w:rPr>
          <w:sz w:val="20"/>
          <w:szCs w:val="20"/>
          <w:color w:val="auto"/>
        </w:rPr>
      </w:pPr>
    </w:p>
    <w:p>
      <w:pPr>
        <w:jc w:val="both"/>
        <w:ind w:firstLine="608"/>
        <w:spacing w:after="0" w:line="285"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July 2025, the FDA announced its intent to increase transparency by publicly releasing CRLs issued to drug and biologic product sponsors and, in September 2025, announced that, going forward, it would publicly release future CRLs promptly after they are issued to product sponsors, describing it as “real-time release” of future CRLs, and, when approving new drug or biologic product applications will release all CRLs associated with that application.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6" w:name="page77"/>
    <w:bookmarkEnd w:id="76"/>
    <w:p>
      <w:pPr>
        <w:jc w:val="both"/>
        <w:spacing w:after="0" w:line="269" w:lineRule="auto"/>
        <w:rPr>
          <w:sz w:val="20"/>
          <w:szCs w:val="20"/>
          <w:color w:val="auto"/>
        </w:rPr>
      </w:pPr>
      <w:r>
        <w:rPr>
          <w:rFonts w:ascii="Arial" w:cs="Arial" w:eastAsia="Arial" w:hAnsi="Arial"/>
          <w:sz w:val="16"/>
          <w:szCs w:val="16"/>
          <w:color w:val="auto"/>
        </w:rPr>
        <w:t>The FDA also released a number of previously unpublished CRLs issued since 2024 associated with pending or withdrawn applications. CRLs, which are issued when an application for marketing approval of a new drug or biologic product cannot be accepted in its current form, outline the reasons for non-approval and may contain confidential or proprietary information relating to the sponsor’s product, including clinical trial, chemistry, manufacturing and controls, and technical information, and specific observations about study design and clinical endpoints. Although the FDA has stated that all CRLs will be redacted to remove confidential commercial information, trade secrets, and personal private information, it remains unclear how such redactions will be implemented. Any public release of a CRL issued to us or a collaborator could result in the inadvertent disclosure of information that could compromise our confidential and proprietary information, including our trade secrets and know-how, or facilitate third-party efforts to design around or challenge the validity, enforceability, or scope of our patents, accelerating the development of competitive products. Moreover, once a CRL is published, we may have limited ability to correct or contextualize the FDA’s statements. If we were to modify or limit the information shared with the FDA to mitigate such risks, it could increase our costs, slow our regulatory interactions, or delay our product approval timelines.</w:t>
      </w:r>
    </w:p>
    <w:p>
      <w:pPr>
        <w:spacing w:after="0" w:line="61"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6"/>
          <w:szCs w:val="16"/>
          <w:color w:val="auto"/>
        </w:rPr>
        <w:t>Further, in September 2025, HHS and the FDA announced a series of measures to address “misleading” direct-to-consumer (DTC) prescription drug advertisements. The measures include (1) initiating rulemaking to close the “adequate provision” requirement, which permits drug manufacturers to include a general statement of risk alongside a webpage or publication and 1-800 number to access the full product labeling, (2) aggressive deployment of its available enforcement tools, including artificial intelligence and other technology-enabled tools to monitor drug ads for DTC violations, and (3) expanded oversight of prescription drug advertising on social media. On September 9, 2025, FDA issued thousands of letters to pharmaceutical companies directing them to remove any noncompliant advertising and bring all promotional communications into compliance. Later in September 2025, the FDA released about 80 warning letters, the majority of which targeted compounding pharmacies and telehealth companies for misleading claims about compounded drugs, including sildenafil, underscoring the FDA’s previously stated and growing concern over consumer confusion and medications that lack FDA approval and marking a clear shift in the FDA’s enforcement strategy for compounded drugs. Although we have not received an enforcement letter from FDA relating to our specific advertising and promotional activities, there is no assurance that we will not receive one in the future. We continue to actively monitor the evolving regulatory landscape and follow the marketing regulations required by the FDA. Nevertheless, these new policies of radical transparency and increased enforcement could result in unforeseen reputational, operational, financial, regulatory and legal consequences for our company and have the potential to impact our business and how we market our products.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clinical-stage product candidates have only been tested in a small number of women over short periods of use and no data exists regarding a potential increase in fetal abnormalities in pregnant women.</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If our clinical-stage product candidates, including Ovaprene and Sildenafil Cream,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could be materially harmed, and we could also be subject to potential claims and lawsuits.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product candidates may be undervalued by investors and may be difficult to fund.</w:t>
      </w:r>
    </w:p>
    <w:p>
      <w:pPr>
        <w:spacing w:after="0" w:line="108"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Given their early stage of development and the lack of data, many pre-clinical assets are often perceived as having low valuations by investors and potential strategic collaborators, such as pharmaceutical companies. Our investment of time and resources in such assets may not be appreciated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or valued. As a result, it may be difficult for us to fund such programs. Additionally, past receipt of grant funding may not be predictive of our ability to secure additional grants to fund further development of a program. Our portfolio includes several pre-clinical stage programs and if they fail to be adequately valued by investors or potential strategic collaborators, our business, financial condition and stock price may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Several of our product candidates are in pre-clinical stages of development and may never advance to clinical development.</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7"/>
          <w:szCs w:val="17"/>
          <w:color w:val="auto"/>
        </w:rPr>
        <w:t>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grants and other non-dilutive funding awards supporting several of our development programs do not guarantee that the pre-clinical or clinical development work being funded will be successful or that we will be able or will choose to fund the additional development work that will be required in the future to advance the product candidates toward regulatory approval.</w:t>
      </w:r>
    </w:p>
    <w:p>
      <w:pPr>
        <w:spacing w:after="0" w:line="5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grants and other non-dilutive funding supporting development of several of our programs should not provide any assurance that pre-clinical or clinical development supported by that funding will be successful, or, even if we are successful with all specified development activities, that we will be able or will choose to fund the additional development work that will be required to continue to advance the product candidates toward commercialization. Further, the grant agreements or other non-dilutive funding award agreements supporting these development programs generally feature milestone-based payments or, in the case of NIH grants, payments are received in reimbursement of specified activities, and there is no assurance that we will be able to achieve or otherwise demonstrate satisfaction of the specified development and reporting milestones required to receive future payments under the agreements. Additionally, the counterparties to these agreements may modify, suspend, discontinue payment of funds or terminate the agreements in certain circumstances largely in their discretion. Accordingly, we may never receive future payments under these agreements or realize the full potential amount of the grant or other funding award.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Dependence on Third Parties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Our existing product development and commercialization collaboration is important to our business, and future collaborations may also be important to us. If we are unable to maintain our existing collaboration, if it is not successful, or if we are unable to establish additional strategic collaborations, our business and prospects may be materially harmed.</w:t>
      </w:r>
    </w:p>
    <w:p>
      <w:pPr>
        <w:spacing w:after="0" w:line="50"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We have limited resources and no internal sales, marketing or distribution capabilities. A key aspect of our strategy is to establish collaborations with third parties, such as large and mid-size pharmaceutical companies and other third parties with the relevant R&amp;D and/or commercial expertise and infrastructure, to help bring our product candidates to market. We currently do not expect to directly market, sell or distribute any of our products that receive regulatory approval, and instead intend to enter into agreements with third parties to market, sell and distribute and provide related support services for those products. For example, we have entered into an out-license agreement with Organon for the commercialization of XACIATO. We intend to seek additional strategic collaborations, including for Ovaprene, if approved for commercial sale, as a result of the termination of our prior strategic collaboration with Bayer. However, such strategic collaboration opportunities may not be available to us for a variety of reasons. For example, certain potential pharmaceutical company collaborators have announced discontinuation or significant reduction in their research and development efforts in women's health therapeutics. To the extent we do enter into strategic collaborations similar to our agreements for the commercialization of XACIATO, the successful development and commercialization of our products and product candidates may become partially or entirely dependent upon the performance of third parties. By entering into strategic collaborations, we may relinquish control over important elements of product development and commercialization, and the collaborator may fail to develop or effectively commercialize the applicable products or product candidates. In addition, in the case of commercial collaborations, our product revenues may be lower than if we were to sell and distribute products that we develop ourselves.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existing collaboration, and any future strategic collaborations we establish, involve significant risks to the success of the product, including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that:</w:t>
      </w:r>
    </w:p>
    <w:p>
      <w:pPr>
        <w:spacing w:after="0" w:line="92" w:lineRule="exact"/>
        <w:rPr>
          <w:sz w:val="20"/>
          <w:szCs w:val="20"/>
          <w:color w:val="auto"/>
        </w:rPr>
      </w:pPr>
    </w:p>
    <w:p>
      <w:pPr>
        <w:ind w:left="900" w:hanging="29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have significant discretion in determining the efforts and resources that they will apply to these collaborations;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57" w:lineRule="exact"/>
        <w:rPr>
          <w:rFonts w:ascii="Arial" w:cs="Arial" w:eastAsia="Arial" w:hAnsi="Arial"/>
          <w:sz w:val="17"/>
          <w:szCs w:val="17"/>
          <w:color w:val="auto"/>
        </w:rPr>
      </w:pPr>
    </w:p>
    <w:p>
      <w:pPr>
        <w:jc w:val="both"/>
        <w:ind w:left="920" w:hanging="312"/>
        <w:spacing w:after="0" w:line="259" w:lineRule="auto"/>
        <w:tabs>
          <w:tab w:leader="none" w:pos="9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development or commercialization of a product or product candidate or elect not to continue or renew a collaboration based on clinical or nonclinical study results, changes in the collaborators' strategic focus or available funding, or external factors, such as an acquisition, a public health emergency, or macroeconomic events or conditions, that cause them to divert resources to other initiatives or create competing priorities;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8" w:name="page79"/>
    <w:bookmarkEnd w:id="78"/>
    <w:p>
      <w:pPr>
        <w:ind w:left="920" w:hanging="312"/>
        <w:spacing w:after="0" w:line="27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refuse to perform clinical studies or other development work required for approval in a particular jurisdiction outside the U.S.;</w:t>
      </w:r>
    </w:p>
    <w:p>
      <w:pPr>
        <w:ind w:left="920" w:hanging="312"/>
        <w:spacing w:after="0" w:line="27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delay or stop clinical studies, provide insufficient funding for or abandon a clinical program, repeat or conduct new clinical studies or require a new formulation of a product or product candidate for clinical testing;</w:t>
      </w:r>
    </w:p>
    <w:p>
      <w:pPr>
        <w:jc w:val="both"/>
        <w:ind w:left="920" w:hanging="312"/>
        <w:spacing w:after="0" w:line="264"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could independently, or together with third parties, develop and commercialize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1"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of our products may not commit sufficient resources to the marketing and distribution of such product or products;</w:t>
      </w:r>
    </w:p>
    <w:p>
      <w:pPr>
        <w:jc w:val="both"/>
        <w:ind w:left="920" w:hanging="312"/>
        <w:spacing w:after="0" w:line="25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product development or commercialization strategy, might cause delays or termination of the research, development or commercialization of our products or product candidates, might lead to additional responsibilities for us with respect to products or product candidates, or might result in litigation or arbitration, any of which would be time-consuming and expensive;</w:t>
      </w:r>
    </w:p>
    <w:p>
      <w:pPr>
        <w:spacing w:after="0" w:line="15"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900" w:hanging="29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57"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violate, or be investigated for potentially violating, health care compliance and related laws and regulations, which may expose us to litigation, enforcement actions or inquiries, or other potential liability; and</w:t>
      </w:r>
    </w:p>
    <w:p>
      <w:pPr>
        <w:jc w:val="both"/>
        <w:ind w:left="920" w:hanging="312"/>
        <w:spacing w:after="0" w:line="256"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could significantly delay product development and commercial launch and increase the cost to us to pursue further development or commercialization of the applicable product or product candidate. For example, as was the case with our former out-license agreement for Ovaprene, our out-license agreement for XACIATO may be terminated by the counterparty for convenience upon the completion of a specified notice period, subject to limited restrictions.</w:t>
      </w:r>
    </w:p>
    <w:p>
      <w:pPr>
        <w:spacing w:after="0" w:line="13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If a collaborator terminates its agreement with us or if a collaboration does not result in the successful development of any product candidates and/or commercialization of any approved products, we may not receive any future royalty revenue, commercial milestones or other revenues under the collaboration, our development programs may not be funded as we expect, and our ability to establish another collaboration for the applicable product or product candidate may be negatively impacted. We may be unable to replace any commercial collaborator with an alternate third party on a timely or commercially reasonable basis, or at all. See also, “Risks Related to Our Financial Position and Capital Needs- If one of our commercial collaborators terminates its exclusive license agreement with us or fails to perform as expected, our need for additional capital may significantly increase,” above and “We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 below. Moreover, the risks relating to product development, regulatory approval and commercialization and compliance with health care related laws and regulations described in this report also apply to the activities of our collaborators.</w:t>
      </w:r>
    </w:p>
    <w:p>
      <w:pPr>
        <w:spacing w:after="0" w:line="152"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Organon has global commercial rights to XACIATO under our exclusive license agreement. There is no assurance that commercialization of XACIATO in the U.S. will be successful, or that Organon will pursue development and commercialization of XACIATO outside of the U.S. As discussed elsewhere in this Risk Factors section, as a result of the traditional royalty purchase agreement we entered into with XOMA, whether we receive any future income based on net sales of XACIATO will depend on whether the Revenue Sharing Threshold is reached, which will depend, in part, on Organon's future commercial success with XACIATO, which is outside of our control. Apart from Organon's diligence obligation under our license agreement, we have no control over the efforts and resources Organon devotes to the marketing and sale of XACIATO. The occurrence of any of the risks described above could negatively impact the commercial success of XACIATO and have a material adverse effect on our business, financial condition and results of operations.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9" w:name="page80"/>
    <w:bookmarkEnd w:id="79"/>
    <w:p>
      <w:pPr>
        <w:jc w:val="both"/>
        <w:ind w:firstLine="607"/>
        <w:spacing w:after="0" w:line="250" w:lineRule="auto"/>
        <w:rPr>
          <w:sz w:val="20"/>
          <w:szCs w:val="20"/>
          <w:color w:val="auto"/>
        </w:rPr>
      </w:pPr>
      <w:r>
        <w:rPr>
          <w:rFonts w:ascii="Arial" w:cs="Arial" w:eastAsia="Arial" w:hAnsi="Arial"/>
          <w:sz w:val="17"/>
          <w:szCs w:val="17"/>
          <w:color w:val="auto"/>
        </w:rPr>
        <w:t>We face significant competition in seeking strategic collaborations. Collaborations can also be complex and time-consuming arrangements to negotiate and document. If we are unable to reach agreements with suitable collaborators on a timely basis, on acceptable terms, or at all, we may have to curtail the development of a product or product candidate, reduce or delay one or more of our other development programs, delay or reduce the scope of any commercial readiness activities, delay commercialization, or increase our expenditures and undertake development or commercialization activities at our own expense. 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and other potential sources of market exclusivity for such product, the market performance of other products we developed, and industry and market conditions generally. The prospective collaborator may also have opportunities to collaborate with third parties on products or technologies that would compete with our products or product candidates and will evaluate whether those opportunities are more attractive than a collaboration with us. We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7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may also be restricted under existing collaboration agreements from entering into other collaborations on certain terms with other potential collaborators. For example, the terms of our exclusive license agreement also provide Organon exclusive worldwide rights of first negotiation for specified potential future products of ours, which may increase the complexity and time required, or otherwise inhibit our ability to transfer, license, sublicense, assign, grant or otherwise dispose of any rights in those potential future products to a third party, and lead to delays in their development and commercialization.</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If we are not successful in attracting collaborators, entering into collaborations on acceptable terms and maintaining our collaborations for the products we develop, we may not complete development of or obtain regulatory approval for such products and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i w:val="1"/>
          <w:iCs w:val="1"/>
          <w:color w:val="auto"/>
        </w:rPr>
        <w:t>We do not have, and we do not have plans to establish, our own manufacturing capabilities and instead rely on third-party suppliers and manufacturers for our clinical study supplies, including multiple single source suppliers and manufacturers. If these third parties do not perform as we expect, fail to maintain their regulatory approvals or become subject to negative circumstances, it could delay, prevent or impair our product development or commercialization efforts, or those of our collaborators, and harm our business.</w:t>
      </w:r>
    </w:p>
    <w:p>
      <w:pPr>
        <w:spacing w:after="0" w:line="130"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do not own or operate, and we currently have no plans to establish, facilities for manufacturing, storage and distribution, or testing of product candidates. We rely and expect to continue to rely on third parties to supply and manufacture our product candidates and other materials necessary to commence and complete pre-clinical testing, clinical trials and other activities required for regulatory approval of our product candidates, including qualification of equipment, developing and validating methods, defining critical process parameters, releasing component materials, and conducting stability testing. In addition, we expect to continue to rely on third parties for commercial production and supplies of any future products. This reliance on third-party manufacturers and suppliers subjects us to inherent uncertainties related to product safety, availability, quality and cost.</w:t>
      </w:r>
    </w:p>
    <w:p>
      <w:pPr>
        <w:spacing w:after="0" w:line="7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product candidates (including their component materials) must be manufactured, packaged, tested, and labeled in accordance with our specifications and in conformity with cGMP and other applicable regulatory requirements, which requires dedication of substantial resources to specialized personnel, facilities and equipment and sophisticated quality assurance, quality control, recordkeeping procedures. While our employees and consultants monitor and audit our CMOs’ manufacturing processes and systems, we have limited control over our CMOs and they may fail to perform as expected. The facilities and quality systems of CMOs who produce our product candidates and their APIs must pass a pre-approval inspection for compliance with applicable regulations as a condition of FDA approval. Failure to pass inspections, or to timely remediate any compliance issues identified by the FDA, could substantially delay marketing approval. As long as we are the product candidate sponsor or the holder of the product approval or manufacturer of record with the FDA or other regulatory authority, we are ultimately responsible for compliance with regulatory requirements for manufacturing and distribution of our product candidates and any future approved products, regardless of our lack of control over our third-party manufacturers and suppliers. Failure of those third parties to comply with cGMP and other applicable regulatory requirements may result in fines and civil penalties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on us, suspension of production, delay or failure to obtain product approval, product seizure or recall, or withdrawal of product approval.</w:t>
      </w:r>
    </w:p>
    <w:p>
      <w:pPr>
        <w:spacing w:after="0" w:line="10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CMOs and component suppliers may experience delays in producing and supplying, or may become unable or unwilling to produce and supply, our clinical trial material or commercial supply material due to financial or personnel constraints, their obligations to, or their decision to prioritize the production and supply of products for, other customers, partial or full loss of their facilities, or supply chain disruptions, including as a result of geopolitical conflicts, macroeconomic events or conditions, natural or manmade disasters, or public health emergencies such as the COVID-19 pandemic. For example, our single source CMO for Ovaprene is located in an area of the U.S. that is vulnerable to tropical storms, hurricanes, flooding and tornadoes, which have potential to render its facilities inoperative for protracted periods. One or more of our CMOs may fail or be unable to perform at a time that is costly or inconvenient for us. We may not have adequate or any recourse against a CMO or supplier who does not perform or terminates its agreement with us if such non-performance or termination is excused under the applicable agreement.</w:t>
      </w:r>
    </w:p>
    <w:p>
      <w:pPr>
        <w:spacing w:after="0" w:line="7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do not have long-term supply agreements with any of our CMOs or raw materials suppliers. We generally enter into manufacturing agreements on a project-by-project basis based on our development needs, which may heighten the risk of timely availability of sufficient quantities of our product candidates at acceptable costs for clinical trials. For example, we do not have any long-term manufacturing or supply agreements with the CMO from which we plan to obtain clinical supplies for our first Phase 3 clinical study of Sildenafil Cream or with the current supplier of the API for Sildenafil Cream. Future supplies of Sildenafil Cream or the raw materials required to produce it may be more difficult and costly to obtain because we do not have long-term supply contracts, which could make us more vulnerable to significant price increases. As we advance development of our product candidates, we will need to negotiate agreements for commercial supply and we may not be able to reach agreement on a timely basis or acceptable terms, or at all. In addition, the FDA or regulatory authorities outside of the U.S. may require that we have an alternate manufacturer of a product before approving it for marketing and sale in the U.S. or other jurisdiction, and securing such alternate manufacturer before approval of a marketing application could result in considerable additional time and cost prior to product approval.</w:t>
      </w:r>
    </w:p>
    <w:p>
      <w:pPr>
        <w:spacing w:after="0" w:line="7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Currently, we do not have alternative CMOs or API suppliers to back up our primary vendors of clinical trial material. Identification of and discussions with other vendors may be protracted and/or unsuccessful, or new vendors may not be successful in producing the same results as our current vendors on a timely basis at the appropriate volumes, at an acceptable cost, or at all. Therefore, if the current vendors become unable or unwilling to perform their required activities, we could experience protracted delays or interruptions in the supply of clinical trial material or any future approved product for commercial sale, which could materially and adversely affect our development programs, commercial activities, operating results, and financial condition.</w:t>
      </w:r>
    </w:p>
    <w:p>
      <w:pPr>
        <w:spacing w:after="0" w:line="7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Any new CMO or API supplier would be required to qualify under applicable regulatory requirements. In some cases, the technical skills or technology required to manufacture our clinical trial material or commercial material may be unique or proprietary to the original CMO or supplier and we may have difficulty, or there may be contractual restrictions prohibiting us from, transferring such skills or technology to another third party and a feasible alternative may not exist. These factors would increase our reliance on such CMOs and suppliers or require us to obtain a license from them in order to have another third party manufacture our product candidates or any future approved product. If we are required to change manufacturers for any reason, we will be required to verify that the new manufacturer maintains facilities and procedures that comply with quality standards and with all applicable regulations and guidelines. In some cases, the FDA or a foreign regulatory authority may require us to conduct additional clinical or nonclinical studies, collect additional stability data, and provide additional information concerning any new CMO or supplier, or change in a validated manufacturing process, including scaling-up production, before we could distribute products from that manufacturer or supplier or revised process. The process of identifying, verifying and transitioning to a new CMO or supplier could significantly delay development or regulatory approval of our product candidates or delay or disrupt commercialization of any approved product and substantially increase costs or result in significant loss of product sales and associated revenue.</w:t>
      </w:r>
    </w:p>
    <w:p>
      <w:pPr>
        <w:spacing w:after="0" w:line="7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If our CMOs encounter difficulties or otherwise fail to comply with their contractual obligations or there are delays entering commercial supply agreements, we may have insufficient quantities of material to support ongoing or planned clinical trials or to meet commercial demand for any approved product in the future. In addition, any delay or interruption in the supply of materials necessary or useful to manufacture our product candidates could delay the completion of our clinical trials, increase the costs associated with our development programs, and depending upon the period of delay, require us to terminate the clinical trials completely and commence new clinical trials at significant additional expense. Delays or interruptions in the supply of commercial product could result in increased cost of goods sold and lost sales. Manufacturing or quality control problems may arise in connection with the manufacture of our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1" w:name="page82"/>
    <w:bookmarkEnd w:id="81"/>
    <w:p>
      <w:pPr>
        <w:jc w:val="both"/>
        <w:spacing w:after="0" w:line="281" w:lineRule="auto"/>
        <w:rPr>
          <w:sz w:val="20"/>
          <w:szCs w:val="20"/>
          <w:color w:val="auto"/>
        </w:rPr>
      </w:pPr>
      <w:r>
        <w:rPr>
          <w:rFonts w:ascii="Arial" w:cs="Arial" w:eastAsia="Arial" w:hAnsi="Arial"/>
          <w:sz w:val="17"/>
          <w:szCs w:val="17"/>
          <w:color w:val="auto"/>
        </w:rPr>
        <w:t>clinical trial material or future approved product and CMOs may not be able to maintain the necessary governmental licenses and approvals to continue their manufacturing services for us.</w:t>
      </w:r>
    </w:p>
    <w:p>
      <w:pPr>
        <w:spacing w:after="0" w:line="11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addition, with respect to any finished product or key components manufactured outside the U.S., such as the API for Sildenafil Cream, which is sourced from a supplier located in India, we may experience interruptions in supply due to shipping or customs difficulties or regional instability. Furthermore, future currency fluctuations, increased shipping costs, or new or increased U.S. tariffs and trade disputes with other countries could increase our clinical development costs, and ultimately, our cost of goods sold, which could adversely impact our operating results and financial condition.</w:t>
      </w:r>
    </w:p>
    <w:p>
      <w:pPr>
        <w:spacing w:after="0" w:line="14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Any of the above factors could cause us to delay or suspend anticipated or ongoing clinical trials, regulatory submissions or commercialization of a product candidate, entail higher costs, or result in being unable to effectively commercialize an approved product. Our dependence on third parties for the manufacture of our product candidates or future approved products may adversely affect our future profit margins and our ability to commercialize any products that receive marketing approval on a timely and competitive basis.</w:t>
      </w:r>
    </w:p>
    <w:p>
      <w:pPr>
        <w:spacing w:after="0" w:line="12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Similarly, while Organon assumed manufacturing responsibility for XACIATO from us in December 2023, commercial production and supply of XACIATO remains subject to comparable manufacturing risks as described herein, and any interruption in the commercial supply of XACIATO that directly or indirectly results in significant loss of product sales could have a material adverse effect on future payments we may receive under the traditional royalty purchase agreement we entered into with XOMA.</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i w:val="1"/>
          <w:iCs w:val="1"/>
          <w:color w:val="auto"/>
        </w:rPr>
        <w:t>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w:t>
      </w:r>
    </w:p>
    <w:p>
      <w:pPr>
        <w:spacing w:after="0" w:line="13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agreement with ADVA-Tec restricts our ability to engage a manufacturing source for Ovaprene other than ADVA-Tec during Ovaprene's development period as well as following regulatory approval, subject to limited exceptions. If ADVA-Tec fails to provide sufficient clinical supply of Ovaprene on anticipated timelines, our ability to complete clinical development and seek regulatory approval of Ovaprene could be significantly delayed. A substantial scale up in production of Ovaprene clinical supplies was necessary to support the ongoing Phase 3 clinical study of Ovaprene, which took longer and was more expensive than anticipated, and if Ovaprene receives marketing approval, further substantial manufacturing scale up will be necessary. If Ovaprene receives marketing approval, failure by ADVA-Tec to provide sufficient commercial product quantities at reasonable costs could have a significant adverse effect on our revenue and ability to become profitable. Furthermore, for some key raw materials and components of Ovaprene, there currently is only a single source of supply, and alternate sources of supply may not be readily available.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We rely on, and intend to continue to rely on, third parties to conduct our clinical and nonclinical studies and execute other significant aspects of our product development programs. Failure of these third parties to successfully carry out their contractual duties, comply with our clinical protocols or regulatory requirements and applicable law, or meet expected deadlines may cause significant delays in our development timelines and/or failure of our programs.</w:t>
      </w:r>
    </w:p>
    <w:p>
      <w:pPr>
        <w:spacing w:after="0" w:line="56"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Our business model relies on the outsourcing of important product development functions, tests and services to third parties. We rely on CROs, medical institutions, clinical investigators, laboratories, vendors and consultants to conduct all of our clinical trials and perform nonclinical testing. These third parties play a significant role in the conduct and timing of our clinical and nonclinical studies and the collection, management and analysis of study data, which are critical to our business. In addition, we have relied, and expect in the future to rely, on third parties to assist us in preparing, submitting and supporting the applications necessary to gain marketing approvals for our product candidates. We enter into agreements with these third parties governing their work for us, but we do not control them and have limited influence over their actual performance. They may not devote sufficient time and resources to our projects, or their performance may be substandard, resulting in clinical trial delays, suspensions or terminations, delays in submission of our marketing applications, failure of a regulatory authority to accept our applications for filing or receipt of a CRL. The performance of these third parties may also be negatively impacted by macroeconomic factors, geopolitical conflicts or events, natural or manmade disasters, public health emergencies, information system and cybersecurity incidents, and workforce challenges. In addition, these third parties may have relationships with companies developing competitive products and prioritize a competitor’s clinical or nonclinical studies or regulatory affairs activities over their work for us, which could harm our competitive position. Because of our dependence on these third parties, if they fail to meet expected deadlines, adhere to our study protocols, meet regulatory and legal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2" w:name="page83"/>
    <w:bookmarkEnd w:id="82"/>
    <w:p>
      <w:pPr>
        <w:jc w:val="both"/>
        <w:spacing w:after="0" w:line="281" w:lineRule="auto"/>
        <w:rPr>
          <w:sz w:val="20"/>
          <w:szCs w:val="20"/>
          <w:color w:val="auto"/>
        </w:rPr>
      </w:pPr>
      <w:r>
        <w:rPr>
          <w:rFonts w:ascii="Arial" w:cs="Arial" w:eastAsia="Arial" w:hAnsi="Arial"/>
          <w:sz w:val="17"/>
          <w:szCs w:val="17"/>
          <w:color w:val="auto"/>
        </w:rPr>
        <w:t>requirements, or otherwise perform in a substandard manner, we could suffer significant delays and additional costs in, and potentially failure of, the development of one or more of our product candidates.</w:t>
      </w:r>
    </w:p>
    <w:p>
      <w:pPr>
        <w:spacing w:after="0" w:line="4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CROs, study sites and other consultants generally have the right to terminate their agreements with us without cause upon the completion of a specified notice period, subject to limited restrictions. If any of our relationships with these third parties terminate, we may not be able to enter into arrangements with alternative third parties on commercially reasonable terms, in a timely manner, or at all. Switching or adding additional CROs, study sites, and other third party service providers due to substandard or inadequate performance or termination of a relationship involves additional cost and requires our management’s time and focus. In addition, there is a natural transition period when a new CRO commences work. As a result, delays occur, which can materially impact our ability to meet our communicated clinical development timelines. Though we work to carefully manage our relationships with our CROs, study sites, and other third parties, we have encountered challenges and delays in our clinical and nonclinical studies as a result of performance issues in the past, and there can be no assurance that we will not encounter challenges or delays in the future or that these delays or challenges will not have a material adverse impact on our business, financial condition, and prospects.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Our ability to develop and commercialize our product candidates depends upon maintaining rights granted to us under license agreements with third parties. The loss or impairment of our rights under our in-license agreements relating to XACIATO or our product candidates could have a material adverse effect on our business prospects, operations and viability.</w:t>
      </w:r>
    </w:p>
    <w:p>
      <w:pPr>
        <w:spacing w:after="0" w:line="5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have rights to develop and commercialize XACIATO and our product candidates under license agreements between us and third-party licensors. The loss or impairment of these rights, including as a result of our inability or other failure (or that of our licensors, in the case of sublicenses) to meet our obligations under any one of such license agreements, including, without limitation, our payment obligations, could have a substantial negative effect on our business and prospects.</w:t>
      </w:r>
    </w:p>
    <w:p>
      <w:pPr>
        <w:spacing w:after="0" w:line="6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December 2018, we entered into definitive agreements with Hammock Pharmaceuticals, Inc., TriLogic Pharma LLC and MilanaPharm LLC under which we acquired exclusive global rights to XACIATO for the treatment of 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In addition to customary termination rights, MilanaPharm may terminate our license with respect to a licensed product or process in a country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"BUSINESS-Strategic Agreements for Pipeline Development-Hammock/MilanaPharm Assignment and License Agreement,” above.</w:t>
      </w:r>
    </w:p>
    <w:p>
      <w:pPr>
        <w:spacing w:after="0" w:line="150"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See ITEM 1. "BUSINESS-Strategic Agreements for Pipeline Development-ADVA-Tec License Agreement," above.</w:t>
      </w:r>
    </w:p>
    <w:p>
      <w:pPr>
        <w:spacing w:after="0" w:line="74"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In February 2018, we entered into a world-wide license and collaboration agreement with SST for the exclusive worldwide rights to develop and commercialize Sildenafil Cream for all indications for women related to female sexual dysfunction and/or female reproductive health, including treatment of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ITEM 1. "BUSINESS-Strategic Agreements for Pipeline Development-SST License and Collaboration Agreement,” above.</w:t>
      </w:r>
    </w:p>
    <w:p>
      <w:pPr>
        <w:spacing w:after="0" w:line="10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April 2018, we entered into the Catalent license agreement under which we acquired exclusive global rights to Catalent's IVR technology platform, including the product candidates we now call DARE-HRT1, DARE-FRT1, and DARE-PTB1. Under this agreement, we must use commercially reasonable efforts to develop and make at least one product or process available to the public, which efforts include achieving specific diligence requirements by dates specified in the agreement, and Catalent may terminate the agreement upon 60 days’ notice for any uncured material breach by us of any of our other obligations under the agreement. See ITEM 1. "BUSINESS-Strategic Agreements for Pipeline Development-Catalent JNP License Agreement,” above.</w:t>
      </w:r>
    </w:p>
    <w:p>
      <w:pPr>
        <w:spacing w:after="0" w:line="7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May 2018, we completed our acquisition of Pear Tree and obtained exclusive global rights to certain patents and know-how to develop and commercialize a proprietary formulation of tamoxifen for vaginal administration, which led to our DARE-VVA1 program. Under the applicable license agreements, as amended, we are required to use commercially reasonable efforts or reasonable best efforts to bring licensed products and processes to market, which include achieving specified milestones. The licensors may terminate the agreements for failure to make certain payments due to the licensors and any uncured material breach or default, including breach of our diligence obligations. See ITEM 1. "BUSINESS-Strategic Agreements for Pipeline Development—Pear Tree Acquisition and License Agreements,” above.</w:t>
      </w:r>
    </w:p>
    <w:p>
      <w:pPr>
        <w:spacing w:after="0" w:line="7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August 2023, we entered into a license agreement with Douglas for exclusive rights to develop and commercialize a lopinavir and ritonavir combination soft gel vaginal insert for the treatment of CIN and other HPV-related pathologies, and commenced our DARE-HPV program. Under this agreement, we must use commercially reasonable efforts to develop and introduce to market at least one product or process, which efforts include achieving specific diligence requirements by dates specified in the agreement. Douglas may terminate the agreement for any uncured failure to make certain payments, any uncured material failure to fulfill our diligence obligations, or any other uncured material breach of our other obligations under the agreement. See ITEM 1. "BUSINESS-Strategic Agreements for Pipeline Development—Douglas License Agreement / The University of Manchester Stand-by Direct License Arrangement,” above.</w:t>
      </w:r>
    </w:p>
    <w:p>
      <w:pPr>
        <w:spacing w:after="0" w:line="74"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If we do not meet our obligations under our license agreements in a timely manner, some of which require the expenditure or payment to the licensor of significant amounts of cash, or if we are unable to obtain an extension of deadlines for satisfying our obligations, we could lose our rights under these agreements. Moreover, because some of our rights to XACIATO and our product candidates are sublicensed to us, our license agreements may be terminated or we may otherwise lose rights to intellectual property underlying our product or product candidates in the event of termination or loss of rights by our licensors, which may be outside of our control. There is no assurance that we would be able to renew or renegotiate license agreements on acceptable terms, or at all, if our existing license agreements (or the underlying agreements in the case of sublicenses) are terminated. Furthermore, we cannot guarantee that any license agreement will be enforceable. The termination of these license agreements or our inability to enforce our rights under these license agreements could result in the loss of our ability, or that of our sublicensees, to develop, manufacture, market or sell XACIATO or the product candidate covered by the agreement, as well as our ability to grant rights to other third parties to collaborate with us in the development and commercialization of our product candidates and our ability to receive milestone and royalty payments from third-party sublicensees, which could have a material adverse effect on our business, financial condition, results of operations and prospects.</w:t>
      </w:r>
    </w:p>
    <w:p>
      <w:pPr>
        <w:spacing w:after="0" w:line="65"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Disputes may arise regarding intellectual property subject to, and any of our rights and obligations under, any license or other strategic agreement, including:</w:t>
      </w:r>
    </w:p>
    <w:p>
      <w:pPr>
        <w:spacing w:after="0" w:line="48" w:lineRule="exact"/>
        <w:rPr>
          <w:sz w:val="20"/>
          <w:szCs w:val="20"/>
          <w:color w:val="auto"/>
        </w:rPr>
      </w:pPr>
    </w:p>
    <w:p>
      <w:pPr>
        <w:ind w:left="900" w:hanging="292"/>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2" w:lineRule="exact"/>
        <w:rPr>
          <w:rFonts w:ascii="Arial" w:cs="Arial" w:eastAsia="Arial" w:hAnsi="Arial"/>
          <w:sz w:val="17"/>
          <w:szCs w:val="17"/>
          <w:color w:val="auto"/>
        </w:rPr>
      </w:pPr>
    </w:p>
    <w:p>
      <w:pPr>
        <w:ind w:left="920" w:hanging="312"/>
        <w:spacing w:after="0" w:line="248" w:lineRule="auto"/>
        <w:tabs>
          <w:tab w:leader="none" w:pos="9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misappropriate or violate the intellectual property of the licensor that is not subject to the license agreement;</w:t>
      </w:r>
    </w:p>
    <w:p>
      <w:pPr>
        <w:ind w:left="900" w:hanging="292"/>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and amount of milestone or royalty payments due to the licensor;</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sublicensing of patent and other rights to third parties under any such agreement or collaborative relationships;</w:t>
      </w:r>
    </w:p>
    <w:p>
      <w:pPr>
        <w:spacing w:after="0" w:line="6" w:lineRule="exact"/>
        <w:rPr>
          <w:rFonts w:ascii="Arial" w:cs="Arial" w:eastAsia="Arial" w:hAnsi="Arial"/>
          <w:sz w:val="17"/>
          <w:szCs w:val="17"/>
          <w:color w:val="auto"/>
        </w:rPr>
      </w:pPr>
    </w:p>
    <w:p>
      <w:pPr>
        <w:ind w:left="920" w:hanging="312"/>
        <w:spacing w:after="0" w:line="248" w:lineRule="auto"/>
        <w:tabs>
          <w:tab w:leader="none" w:pos="9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collaborators; and</w:t>
      </w:r>
    </w:p>
    <w:p>
      <w:pPr>
        <w:ind w:left="900" w:hanging="292"/>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55"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4" w:name="page85"/>
    <w:bookmarkEnd w:id="84"/>
    <w:p>
      <w:pPr>
        <w:jc w:val="both"/>
        <w:spacing w:after="0" w:line="256" w:lineRule="auto"/>
        <w:rPr>
          <w:sz w:val="20"/>
          <w:szCs w:val="20"/>
          <w:color w:val="auto"/>
        </w:rPr>
      </w:pPr>
      <w:r>
        <w:rPr>
          <w:rFonts w:ascii="Arial" w:cs="Arial" w:eastAsia="Arial" w:hAnsi="Arial"/>
          <w:sz w:val="17"/>
          <w:szCs w:val="17"/>
          <w:color w:val="auto"/>
        </w:rPr>
        <w:t>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or maintain third-party collaborations to commercialize, the affected product or product candidate.</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those candidates would ever be advanced successfully through clinical development.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Commercialization of Products We Develop</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We have no internal sales, marketing or distribution capabilities, and we may need to invest significant resources to establish those capabilities. If we are unable to timely establish those capabilities on our own or through arrangements with third parties, product launch may be delayed, commercialization may be adversely impacted, and we may not be able to generate product sales revenue.</w:t>
      </w:r>
    </w:p>
    <w:p>
      <w:pPr>
        <w:spacing w:after="0" w:line="5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currently do not have, and have never had, product marketing, sales or distribution infrastructure.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As we move our product candidates through development toward, and in some cases, through regulatory approval, we evaluate several options for each product candidate's commercialization strategy. These options include building our own sales force and other commercial infrastructure, or collaborating with third parties that have established sales forces and distribution systems, either to augment our own sales force and commercial infrastructure or in lieu of establishing our own sales force and commercial infrastructure. We currently have no commercialization agreements with third parties other than our license agreement with Organon for XACIATO. We may not be able to maintain our existing commercial collaboration or establish and maintain other commercial collaborations on favorable terms, on a timely basis, or at all. In addition, our product revenue and our profitability, if any, may be lower if we rely on third parties to commercialize products we develop than if we were to do it ourselves.</w:t>
      </w:r>
    </w:p>
    <w:p>
      <w:pPr>
        <w:spacing w:after="0" w:line="7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To generate revenue from our product candidates, if approved for commercial sale, we may need to establish our own sales forces and commercial infrastructure. There are significant challenges and risks involved with building and managing a sales organization and other commercial infrastructure, even if we collaborate with third parties that have established sales forces and distribution systems to augment our own capabilities, including:</w:t>
      </w:r>
    </w:p>
    <w:p>
      <w:pPr>
        <w:spacing w:after="0" w:line="96" w:lineRule="exact"/>
        <w:rPr>
          <w:sz w:val="20"/>
          <w:szCs w:val="20"/>
          <w:color w:val="auto"/>
        </w:rPr>
      </w:pPr>
    </w:p>
    <w:p>
      <w:pPr>
        <w:ind w:left="600" w:hanging="296"/>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17"/>
          <w:szCs w:val="17"/>
          <w:color w:val="auto"/>
        </w:rPr>
        <w:t>difficulties in recruiting and retaining adequate numbers of qualified individuals;</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17"/>
          <w:szCs w:val="17"/>
          <w:color w:val="auto"/>
        </w:rPr>
        <w:t>providing adequate training for sales and marketing and support personnel;</w:t>
      </w:r>
    </w:p>
    <w:p>
      <w:pPr>
        <w:spacing w:after="0" w:line="10" w:lineRule="exact"/>
        <w:rPr>
          <w:rFonts w:ascii="Times New Roman" w:cs="Times New Roman" w:eastAsia="Times New Roman" w:hAnsi="Times New Roman"/>
          <w:sz w:val="20"/>
          <w:szCs w:val="20"/>
          <w:color w:val="auto"/>
        </w:rPr>
      </w:pPr>
    </w:p>
    <w:p>
      <w:pPr>
        <w:ind w:left="600" w:hanging="296"/>
        <w:spacing w:after="0"/>
        <w:tabs>
          <w:tab w:leader="none" w:pos="6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17"/>
          <w:szCs w:val="17"/>
          <w:color w:val="auto"/>
        </w:rPr>
        <w:t>effectively managing a geographically dispersed sales force;</w:t>
      </w:r>
    </w:p>
    <w:p>
      <w:pPr>
        <w:spacing w:after="0" w:line="10" w:lineRule="exact"/>
        <w:rPr>
          <w:rFonts w:ascii="Times New Roman" w:cs="Times New Roman" w:eastAsia="Times New Roman" w:hAnsi="Times New Roman"/>
          <w:sz w:val="20"/>
          <w:szCs w:val="20"/>
          <w:color w:val="auto"/>
        </w:rPr>
      </w:pPr>
    </w:p>
    <w:p>
      <w:pPr>
        <w:ind w:left="600" w:hanging="296"/>
        <w:spacing w:after="0"/>
        <w:tabs>
          <w:tab w:leader="none" w:pos="6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17"/>
          <w:szCs w:val="17"/>
          <w:color w:val="auto"/>
        </w:rPr>
        <w:t>difficulties generating sales leads;</w:t>
      </w:r>
    </w:p>
    <w:p>
      <w:pPr>
        <w:spacing w:after="0" w:line="17" w:lineRule="exact"/>
        <w:rPr>
          <w:rFonts w:ascii="Times New Roman" w:cs="Times New Roman" w:eastAsia="Times New Roman" w:hAnsi="Times New Roman"/>
          <w:sz w:val="20"/>
          <w:szCs w:val="20"/>
          <w:color w:val="auto"/>
        </w:rPr>
      </w:pPr>
    </w:p>
    <w:p>
      <w:pPr>
        <w:ind w:left="600" w:hanging="296"/>
        <w:spacing w:after="0" w:line="246" w:lineRule="auto"/>
        <w:tabs>
          <w:tab w:leader="none" w:pos="595" w:val="left"/>
        </w:tabs>
        <w:numPr>
          <w:ilvl w:val="0"/>
          <w:numId w:val="35"/>
        </w:numPr>
        <w:rPr>
          <w:rFonts w:ascii="Times New Roman" w:cs="Times New Roman" w:eastAsia="Times New Roman" w:hAnsi="Times New Roman"/>
          <w:sz w:val="20"/>
          <w:szCs w:val="20"/>
          <w:color w:val="auto"/>
        </w:rPr>
      </w:pPr>
      <w:r>
        <w:rPr>
          <w:rFonts w:ascii="Arial" w:cs="Arial" w:eastAsia="Arial" w:hAnsi="Arial"/>
          <w:sz w:val="17"/>
          <w:szCs w:val="17"/>
          <w:color w:val="auto"/>
        </w:rPr>
        <w:t>potential lack of complementary products our sales personnel may be able to offer compared with sales personnel for competitive products; and</w:t>
      </w:r>
    </w:p>
    <w:p>
      <w:pPr>
        <w:spacing w:after="0" w:line="11" w:lineRule="exact"/>
        <w:rPr>
          <w:rFonts w:ascii="Times New Roman" w:cs="Times New Roman" w:eastAsia="Times New Roman" w:hAnsi="Times New Roman"/>
          <w:sz w:val="20"/>
          <w:szCs w:val="20"/>
          <w:color w:val="auto"/>
        </w:rPr>
      </w:pPr>
    </w:p>
    <w:p>
      <w:pPr>
        <w:ind w:left="600" w:hanging="296"/>
        <w:spacing w:after="0"/>
        <w:tabs>
          <w:tab w:leader="none" w:pos="6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17"/>
          <w:szCs w:val="17"/>
          <w:color w:val="auto"/>
        </w:rPr>
        <w:t>unforeseen costs and expenses associated with establishing a new corporate function and the rapid growth of our company.</w:t>
      </w:r>
    </w:p>
    <w:p>
      <w:pPr>
        <w:spacing w:after="0" w:line="14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Recruiting, incentivizing and training a sales force is expensive and requires substantial management time and focus. If we recruit and train a sales force and the commercial launch of the product is delayed or does not occur for any reason, we would have prematurely or unnecessarily incurred significant expenses, and our investment would be lost if we could not retain or reposition our sales and marketing personnel. On the other hand, if we do not timely establish a sales force and other commercial infrastructure, a product launch may be significantly delayed, adversely impacting the potential commercial success of the product, as well as our operating results and financial condition. Both the launch and ongoing commercial support of our products would require significant capital, which may not be available to us when needed or on acceptable terms or at all. All of these factors could strain our cash resources and require us to raise additional capital.</w:t>
      </w:r>
    </w:p>
    <w:p>
      <w:pPr>
        <w:spacing w:after="0" w:line="7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Failure or delay in entering into and maintaining arrangements with third parties to market and sell, or assist us in marketing and selling, our product candidates, if approved for commercial sale, or in establishing capabilities to independently commercialize our product candidates could significantly delay commercial launch and negatively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impact their potential commercial success, which could have a material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product candidates, if approved for commercial sale, will face intense competition and our business and operating results will suffer if we, or our commercial collaborators, fail to compete effectively.</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pharmaceutical industry is intensely competitive and characterized by rapid technological developments. Moreover, the women’s health sector is very fragmented and highly competitive. We anticipate that our product candidates may compete not only with FDA-approved, prescription and over-the-counter, branded and generic drug products, but also compounded drugs, medical devices, dietary supplements, and cosmetics. We face and will continue to face intense competition from a variety of businesses, including large, fully integrated, well-established pharmaceutical companies and specialty pharmaceutical companies that already possess robust product portfolios and strong franchises in women’s health in areas in which we plan to compete, as well as generics manufacturers, compounding pharmacies and other drug compounding facilities, and dietary supplements manufacturers. In addition, academic and other research institutions are and could be engaged in research and development efforts for products in the therapeutic areas targeted by our product candidates. Many of our competitors or potential competitors, either alone or with strategic collaborators, have:</w:t>
      </w:r>
    </w:p>
    <w:p>
      <w:pPr>
        <w:spacing w:after="0" w:line="73" w:lineRule="exact"/>
        <w:rPr>
          <w:sz w:val="20"/>
          <w:szCs w:val="20"/>
          <w:color w:val="auto"/>
        </w:rPr>
      </w:pPr>
    </w:p>
    <w:p>
      <w:pPr>
        <w:ind w:left="920" w:hanging="312"/>
        <w:spacing w:after="0" w:line="279" w:lineRule="auto"/>
        <w:tabs>
          <w:tab w:leader="none" w:pos="9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much greater financial, research, technical and human resources than we have at every stage of the product development and commercialization life cycle;</w:t>
      </w:r>
    </w:p>
    <w:p>
      <w:pPr>
        <w:ind w:left="920" w:hanging="312"/>
        <w:spacing w:after="0" w:line="279" w:lineRule="auto"/>
        <w:tabs>
          <w:tab w:leader="none" w:pos="9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more extensive experience in designing and conducting clinical trials, nonclinical studies, obtaining regulatory approvals, and in manufacturing, marketing and selling prescription medical products; and</w:t>
      </w:r>
    </w:p>
    <w:p>
      <w:pPr>
        <w:ind w:left="900" w:hanging="292"/>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approved products or product candidates in late stages of development for one or more of our target indications.</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Competitive products may be equally safe and as effective as our products, but sold at a substantially lower price. Alternatively, competitive products may be safer or more effective, more convenient to use, have better insurance coverage or reimbursement levels or be more effectively marketed and sold than our products.</w:t>
      </w:r>
    </w:p>
    <w:p>
      <w:pPr>
        <w:spacing w:after="0" w:line="6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Many of our product candidates, if approved for commercial sale, will compete with products that have already been accepted by the medical community and patients. If our product candidates fail to generate compelling clinical results or if patients and health care providers fail to adopt our products for their respective indications, their commercial potential could be adversely impacted or severely diminished. It is possible that the potential advantages of our product candidates do not materialize or that the approved prescribing information for our products does not describe expected features or benefits. We also expect to face competition from new products that enter the market over time. We are aware of products currently under development intended for the same indications as our product candidates. These competitive product candidates may prove safer, more tolerable, more effective, and less expensive, and may be introduced to market earlier, or produced, marketed and sold more effectively or on a more cost-effective basis, than our product candidates. The success of competitive products may render our product candidates noncompetitive or obsolete, even prior to completion of their development.</w:t>
      </w:r>
    </w:p>
    <w:p>
      <w:pPr>
        <w:spacing w:after="0" w:line="7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With respect to XACIATO, there are multiple generic and branded prescription drug products currently approved in the U.S. for the treatment of bacterial vaginosis, including oral and vaginal gel formulations of metronidazole and vaginal cream formulations of clindamycin. If health care providers do not view the prescribing information for XACIATO as compelling compared with other products available for the treatment of bacterial vaginosis, or if competitive products have better insurance coverage or reimbursement levels than XACIATO, health care providers may opt to prescribe a competitive product rather than recommend or prescribe XACIATO to their patients. In addition, women may prefer orally delivered options to vaginally administered XACIATO unless they view XACIATO as providing significantly superior efficacy, safety and/or convenience. If our commercial collaborator fails to generate significant net sales of XACIATO which exceed the Revenue Sharing Threshold, we will not have any future revenue stream relating to XACIATO.</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women's health market includes many generic FDA-approved drug products, compounded drugs, as well as dietary supplements and consumer health products, and growth in these categories is expected to continue, which could make the successful introduction of our products difficult and expensive.</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proportion of the U.S. drug market made up of generic products has been increasing. In addition, compounded drugs and dietary</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supplements in women’s health are multi-billion dollar markets. As a result, even if our product candidates are approved, it may be more difficult for us or a commercial collaborator to introduce a new product, particularly a branded prescription product, at a price that will allow us to achieve acceptable levels of revenue and net income from product sales. Generic competition is particularly strong in contraception and hormone therapy, which are areas in which we seek to compete. Our product candidates for menopause symptoms will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6" w:name="page87"/>
    <w:bookmarkEnd w:id="86"/>
    <w:p>
      <w:pPr>
        <w:jc w:val="both"/>
        <w:spacing w:after="0" w:line="256" w:lineRule="auto"/>
        <w:rPr>
          <w:sz w:val="20"/>
          <w:szCs w:val="20"/>
          <w:color w:val="auto"/>
        </w:rPr>
      </w:pPr>
      <w:r>
        <w:rPr>
          <w:rFonts w:ascii="Arial" w:cs="Arial" w:eastAsia="Arial" w:hAnsi="Arial"/>
          <w:sz w:val="17"/>
          <w:szCs w:val="17"/>
          <w:color w:val="auto"/>
        </w:rPr>
        <w:t>additionally have to compete with compounded hormones supplied by compounding pharmacies and other drug compounding facilities, as well as dietary supplements marketed for relief of menopause symptoms. Compounded sildenafil cream medications are also currently being supplied by compounding pharmacies and other drug compounding facilities. In order for our branded products to develop commercial markets and for third-party payors to cover these higher cost products, our products must demonstrate better patient compliance and clinical benefit as compared to what other available products have demonstrated.</w:t>
      </w:r>
    </w:p>
    <w:p>
      <w:pPr>
        <w:spacing w:after="0" w:line="6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Additional marketing and educational efforts may be required to introduce a new branded prescription medical product in order to overcome use of generic products, compounded drugs and dietary supplements and gain access to reimbursement by payors. If we or a commercial collaborator cannot introduce a product at the desired price or gain reimbursement from payors for the product, or if patients opt for a lower cost generic product, compounded drug, or dietary supplement rather than pay out-of-pocket or a higher co-pay for our product, our sales revenues or royalties and other license fees, as applicable, will be limited and we may never become profitable.</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product candidates may fail to achieve the degree of market acceptance by physicians, patients, third-party payors or others in the medical community necessary for commercial success, which would negatively impact our business.</w:t>
      </w:r>
    </w:p>
    <w:p>
      <w:pPr>
        <w:spacing w:after="0" w:line="3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commercial success of any product we develop and bring to market, or is marketed by a licensee, will depend significantly on the broad acceptance of the product by physicians, patients, and others in the medical community, as well as, in many cases, third-party payors. The degree of market acceptance of our products will depend on several factors, including:</w:t>
      </w:r>
    </w:p>
    <w:p>
      <w:pPr>
        <w:spacing w:after="0" w:line="93" w:lineRule="exact"/>
        <w:rPr>
          <w:sz w:val="20"/>
          <w:szCs w:val="20"/>
          <w:color w:val="auto"/>
        </w:rPr>
      </w:pPr>
    </w:p>
    <w:p>
      <w:pPr>
        <w:ind w:left="900" w:hanging="292"/>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indication for which the product is approved;</w:t>
      </w:r>
    </w:p>
    <w:p>
      <w:pPr>
        <w:spacing w:after="0" w:line="60" w:lineRule="exact"/>
        <w:rPr>
          <w:rFonts w:ascii="Arial" w:cs="Arial" w:eastAsia="Arial" w:hAnsi="Arial"/>
          <w:sz w:val="20"/>
          <w:szCs w:val="20"/>
          <w:color w:val="auto"/>
        </w:rPr>
      </w:pPr>
    </w:p>
    <w:p>
      <w:pPr>
        <w:ind w:left="900" w:hanging="292"/>
        <w:spacing w:after="0"/>
        <w:tabs>
          <w:tab w:leader="none" w:pos="9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timing of market introduction of the product and availability of alternative treatments and products for the same indication;</w:t>
      </w:r>
    </w:p>
    <w:p>
      <w:pPr>
        <w:spacing w:after="0" w:line="60" w:lineRule="exact"/>
        <w:rPr>
          <w:rFonts w:ascii="Times New Roman" w:cs="Times New Roman" w:eastAsia="Times New Roman" w:hAnsi="Times New Roman"/>
          <w:sz w:val="20"/>
          <w:szCs w:val="20"/>
          <w:color w:val="auto"/>
        </w:rPr>
      </w:pPr>
    </w:p>
    <w:p>
      <w:pPr>
        <w:ind w:left="900" w:hanging="292"/>
        <w:spacing w:after="0"/>
        <w:tabs>
          <w:tab w:leader="none" w:pos="9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demonstrated clinical efficacy and safety of the product, including as compared to alternative products;</w:t>
      </w:r>
    </w:p>
    <w:p>
      <w:pPr>
        <w:spacing w:after="0" w:line="80" w:lineRule="exact"/>
        <w:rPr>
          <w:rFonts w:ascii="Times New Roman" w:cs="Times New Roman" w:eastAsia="Times New Roman" w:hAnsi="Times New Roman"/>
          <w:sz w:val="20"/>
          <w:szCs w:val="20"/>
          <w:color w:val="auto"/>
        </w:rPr>
      </w:pPr>
    </w:p>
    <w:p>
      <w:pPr>
        <w:ind w:left="920" w:hanging="312"/>
        <w:spacing w:after="0" w:line="239" w:lineRule="auto"/>
        <w:tabs>
          <w:tab w:leader="none" w:pos="915"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terms of regulatory approval, such as any restrictions on the use of the product together with other medications, or required warnings in the product labeling;</w:t>
      </w:r>
    </w:p>
    <w:p>
      <w:pPr>
        <w:spacing w:after="0" w:line="69" w:lineRule="exact"/>
        <w:rPr>
          <w:rFonts w:ascii="Times New Roman" w:cs="Times New Roman" w:eastAsia="Times New Roman" w:hAnsi="Times New Roman"/>
          <w:sz w:val="20"/>
          <w:szCs w:val="20"/>
          <w:color w:val="auto"/>
        </w:rPr>
      </w:pPr>
    </w:p>
    <w:p>
      <w:pPr>
        <w:ind w:left="920" w:hanging="312"/>
        <w:spacing w:after="0" w:line="239" w:lineRule="auto"/>
        <w:tabs>
          <w:tab w:leader="none" w:pos="915"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prevalence and severity of any adverse side effects associated with the product, including as compared to alternative treatments and products;</w:t>
      </w:r>
    </w:p>
    <w:p>
      <w:pPr>
        <w:spacing w:after="0" w:line="61" w:lineRule="exact"/>
        <w:rPr>
          <w:rFonts w:ascii="Arial" w:cs="Arial" w:eastAsia="Arial" w:hAnsi="Arial"/>
          <w:sz w:val="20"/>
          <w:szCs w:val="20"/>
          <w:color w:val="auto"/>
        </w:rPr>
      </w:pPr>
    </w:p>
    <w:p>
      <w:pPr>
        <w:ind w:left="900" w:hanging="292"/>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convenience and ease of administration for patients, including as compared to alternative treatments and products;</w:t>
      </w:r>
    </w:p>
    <w:p>
      <w:pPr>
        <w:spacing w:after="0" w:line="60" w:lineRule="exact"/>
        <w:rPr>
          <w:rFonts w:ascii="Arial" w:cs="Arial" w:eastAsia="Arial" w:hAnsi="Arial"/>
          <w:sz w:val="20"/>
          <w:szCs w:val="20"/>
          <w:color w:val="auto"/>
        </w:rPr>
      </w:pPr>
    </w:p>
    <w:p>
      <w:pPr>
        <w:ind w:left="900" w:hanging="292"/>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willingness of the target patient population and prescribing physicians to try a new product ;</w:t>
      </w:r>
    </w:p>
    <w:p>
      <w:pPr>
        <w:spacing w:after="0" w:line="68" w:lineRule="exact"/>
        <w:rPr>
          <w:rFonts w:ascii="Arial" w:cs="Arial" w:eastAsia="Arial" w:hAnsi="Arial"/>
          <w:sz w:val="20"/>
          <w:szCs w:val="20"/>
          <w:color w:val="auto"/>
        </w:rPr>
      </w:pPr>
    </w:p>
    <w:p>
      <w:pPr>
        <w:ind w:left="920" w:hanging="312"/>
        <w:spacing w:after="0" w:line="254" w:lineRule="auto"/>
        <w:tabs>
          <w:tab w:leader="none" w:pos="915"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effectiveness of the sales and marketing strategy and efforts for the product, including the success of efforts to educate the medical community and third-party payors regarding the benefits of the product;</w:t>
      </w:r>
    </w:p>
    <w:p>
      <w:pPr>
        <w:spacing w:after="0" w:line="47" w:lineRule="exact"/>
        <w:rPr>
          <w:rFonts w:ascii="Times New Roman" w:cs="Times New Roman" w:eastAsia="Times New Roman" w:hAnsi="Times New Roman"/>
          <w:sz w:val="20"/>
          <w:szCs w:val="20"/>
          <w:color w:val="auto"/>
        </w:rPr>
      </w:pPr>
    </w:p>
    <w:p>
      <w:pPr>
        <w:ind w:left="900" w:hanging="292"/>
        <w:spacing w:after="0"/>
        <w:tabs>
          <w:tab w:leader="none" w:pos="9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pricing and cost-effectiveness of the product, including as compared to alternative treatments and products;</w:t>
      </w:r>
    </w:p>
    <w:p>
      <w:pPr>
        <w:spacing w:after="0" w:line="60" w:lineRule="exact"/>
        <w:rPr>
          <w:rFonts w:ascii="Times New Roman" w:cs="Times New Roman" w:eastAsia="Times New Roman" w:hAnsi="Times New Roman"/>
          <w:sz w:val="20"/>
          <w:szCs w:val="20"/>
          <w:color w:val="auto"/>
        </w:rPr>
      </w:pPr>
    </w:p>
    <w:p>
      <w:pPr>
        <w:ind w:left="900" w:hanging="292"/>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availability and extent of third-party coverage and reimbursement for the product;</w:t>
      </w:r>
    </w:p>
    <w:p>
      <w:pPr>
        <w:spacing w:after="0" w:line="68" w:lineRule="exact"/>
        <w:rPr>
          <w:rFonts w:ascii="Arial" w:cs="Arial" w:eastAsia="Arial" w:hAnsi="Arial"/>
          <w:sz w:val="20"/>
          <w:szCs w:val="20"/>
          <w:color w:val="auto"/>
        </w:rPr>
      </w:pPr>
    </w:p>
    <w:p>
      <w:pPr>
        <w:ind w:left="920" w:hanging="312"/>
        <w:spacing w:after="0" w:line="239" w:lineRule="auto"/>
        <w:tabs>
          <w:tab w:leader="none" w:pos="915"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willingness of patients to pay all, or a portion of, the out-of-pocket cost for the product in the absence or insufficiency of third-party payor coverage and reimbursement;</w:t>
      </w:r>
    </w:p>
    <w:p>
      <w:pPr>
        <w:spacing w:after="0" w:line="69" w:lineRule="exact"/>
        <w:rPr>
          <w:rFonts w:ascii="Arial" w:cs="Arial" w:eastAsia="Arial" w:hAnsi="Arial"/>
          <w:sz w:val="20"/>
          <w:szCs w:val="20"/>
          <w:color w:val="auto"/>
        </w:rPr>
      </w:pPr>
    </w:p>
    <w:p>
      <w:pPr>
        <w:ind w:left="920" w:hanging="312"/>
        <w:spacing w:after="0" w:line="239" w:lineRule="auto"/>
        <w:tabs>
          <w:tab w:leader="none" w:pos="915" w:val="left"/>
        </w:tabs>
        <w:numPr>
          <w:ilvl w:val="0"/>
          <w:numId w:val="37"/>
        </w:numPr>
        <w:rPr>
          <w:rFonts w:ascii="Arial" w:cs="Arial" w:eastAsia="Arial" w:hAnsi="Arial"/>
          <w:sz w:val="20"/>
          <w:szCs w:val="20"/>
          <w:color w:val="auto"/>
        </w:rPr>
      </w:pPr>
      <w:r>
        <w:rPr>
          <w:rFonts w:ascii="Arial" w:cs="Arial" w:eastAsia="Arial" w:hAnsi="Arial"/>
          <w:sz w:val="17"/>
          <w:szCs w:val="17"/>
          <w:color w:val="auto"/>
        </w:rPr>
        <w:t>unfavorable publicity relating to the product or products with the same or similar APIs, or favorable publicity about competing therapies or products; and</w:t>
      </w:r>
    </w:p>
    <w:p>
      <w:pPr>
        <w:spacing w:after="0" w:line="61" w:lineRule="exact"/>
        <w:rPr>
          <w:rFonts w:ascii="Arial" w:cs="Arial" w:eastAsia="Arial" w:hAnsi="Arial"/>
          <w:sz w:val="20"/>
          <w:szCs w:val="20"/>
          <w:color w:val="auto"/>
        </w:rPr>
      </w:pPr>
    </w:p>
    <w:p>
      <w:pPr>
        <w:ind w:left="900" w:hanging="292"/>
        <w:spacing w:after="0"/>
        <w:tabs>
          <w:tab w:leader="none" w:pos="9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17"/>
          <w:szCs w:val="17"/>
          <w:color w:val="auto"/>
        </w:rPr>
        <w:t>the existence and extent of pending or potential product liability claims.</w:t>
      </w:r>
    </w:p>
    <w:p>
      <w:pPr>
        <w:spacing w:after="0" w:line="13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If XACIATO or any future product does not achieve an adequate level of market acceptance, the product may not generate significant revenue or may generate substantially less revenue than anticipated, which could have a material and adverse effect on our business, financial condition, results of operation and prospects. We may suffer reputational harm and we may never become profitable.</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commercial success of XACIATO is outside of our control and will depend on Organon’s efforts and capabilities, as well as a variety of factors, many of which currently are unknown or uncertain, and if commercialization of XACIATO is not successful, our business and prospects may suffer.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7" w:name="page88"/>
    <w:bookmarkEnd w:id="87"/>
    <w:p>
      <w:pPr>
        <w:jc w:val="both"/>
        <w:ind w:firstLine="607"/>
        <w:spacing w:after="0" w:line="269" w:lineRule="auto"/>
        <w:rPr>
          <w:sz w:val="20"/>
          <w:szCs w:val="20"/>
          <w:color w:val="auto"/>
        </w:rPr>
      </w:pPr>
      <w:r>
        <w:rPr>
          <w:rFonts w:ascii="Arial" w:cs="Arial" w:eastAsia="Arial" w:hAnsi="Arial"/>
          <w:sz w:val="16"/>
          <w:szCs w:val="16"/>
          <w:color w:val="auto"/>
        </w:rPr>
        <w:t>If commercialization of XACIATO is not successful, or is perceived to be unsuccessful, our business, financial condition, results of operations and prospects may suffer, particularly because XACIATO is the first and only product for which we have received regulatory approval. XACIATO’s commercial success will depend on many factors, including those discussed elsewhere in these “Risks Related to Commercialization of Products We Develop” and “Risks Related to Our Intellectual Property” below, as well as the capabilities of Organon and its commitment of sufficient resources to market, distribute and sell the product, preferences by health care providers and women for a vaginally administered therapy, and regulatory approval and market introduction of alternative therapies, including non-antibiotic treatment options. We have limited control over Organon’s efforts with respect to XACIATO and there is no assurance they will be successful or that the Revenue Sharing Threshold will be reached. As discussed elsewhere in this Risk Factors section, we will not receive any payments based on product sales until after the Revenue Sharing Threshold is reached. We may suffer reputational harm if XACIATO is not commercially successful and our ability to raise additional capital or enter into other commercial collaborations could be impaired. See also the risks and uncertainties described under “Risks Related to Our Dependence on Third Parties,” above.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commercial success of Ovaprene, if approved for commercial sale, will depend on the degree of market acceptance of a hormone-free, monthly intravaginal product, clinical efficacy and safety of the product, including as compared to alternative contraceptive methods, pricing of the product, and the availability and extent of third-party coverage and reimbursement for the product.</w:t>
      </w:r>
    </w:p>
    <w:p>
      <w:pPr>
        <w:spacing w:after="0" w:line="5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Today, there is a wide range of prescription and over-the-counter contraceptive options, including hormone-free options such as condoms, diaphragms, cervical caps, sponges, copper IUDs, spermicides and vaginal gels, as well as hormonal products such as pills, patches, vaginal rings, IUDs, implantable rods and injectables. In addition, multiple new methods of pregnancy prevention are in development, including hormone-free options, and some may be marketed in the U.S. before Ovaprene, potentially adding to the level of market competition Ovaprene will face, if approved. In surveys, women have said that the features they consider most important when selecting a contraceptive method are efficacy, ease-of-use and side effects. To have significant revenue potential as a new contraceptive product option, Ovaprene may need to demonstrate typical use efficacy (or the expected rate of pregnancy protection once the product is used widely under everyday circumstances) that approaches the approximately 93% typical use efficacy at 12 months of current FDA-approved non-implanted, non-injected hormonal contraceptive methods (pills, patches and vaginal rings). Clinical testing will also need to demonstrate that the product can be safely worn for multiple weeks.</w:t>
      </w:r>
    </w:p>
    <w:p>
      <w:pPr>
        <w:spacing w:after="0" w:line="7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If Ovaprene receives regulatory approval, its commercial success, or the success of any other future contraceptive product we develop, including our current early clinical-stage and pre-clinical stage candidates, will depend upon the contraceptive market and market acceptance of an alternative method. Factors expected to impact broad market acceptance of a new contraceptive product include those discussed above under "Our product candidates may fail to achieve the degree of market acceptance by physicians, patients, third-party payors or others in the medical community necessary for commercial success, which would negatively impact our business," as well as:</w:t>
      </w:r>
    </w:p>
    <w:p>
      <w:pPr>
        <w:spacing w:after="0" w:line="69" w:lineRule="exact"/>
        <w:rPr>
          <w:sz w:val="20"/>
          <w:szCs w:val="20"/>
          <w:color w:val="auto"/>
        </w:rPr>
      </w:pPr>
    </w:p>
    <w:p>
      <w:pPr>
        <w:ind w:left="900" w:hanging="29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demonstration of minimum acceptable contraceptive efficacy rates;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perceived safety differences of hormonal and/or non-hormonal contraceptive options;</w:t>
      </w:r>
    </w:p>
    <w:p>
      <w:pPr>
        <w:spacing w:after="0" w:line="57"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competition from new lower dose hormonal contraceptives with more favorable side effect profiles compared with higher dose hormonal contraceptives;</w:t>
      </w:r>
    </w:p>
    <w:p>
      <w:pPr>
        <w:ind w:left="900" w:hanging="29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preference for a monthly format product over contraceptive products to be taken daily or used in the moment;</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preference for an intravaginal product over other formats such as pills, patches, injectables and condoms;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generic contraceptive options, including generic versions of the hormone-containing intravaginal product NuvaRing®; and</w:t>
      </w:r>
    </w:p>
    <w:p>
      <w:pPr>
        <w:spacing w:after="0" w:line="57" w:lineRule="exact"/>
        <w:rPr>
          <w:rFonts w:ascii="Arial" w:cs="Arial" w:eastAsia="Arial" w:hAnsi="Arial"/>
          <w:sz w:val="17"/>
          <w:szCs w:val="17"/>
          <w:color w:val="auto"/>
        </w:rPr>
      </w:pPr>
    </w:p>
    <w:p>
      <w:pPr>
        <w:ind w:left="920" w:hanging="312"/>
        <w:spacing w:after="0" w:line="281" w:lineRule="auto"/>
        <w:tabs>
          <w:tab w:leader="none" w:pos="9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effects of changes in health care laws and regulations on third-party payor coverage (including the birth control coverage mandate) and reimbursement and out-of-pocket costs to patients.</w:t>
      </w:r>
    </w:p>
    <w:p>
      <w:pPr>
        <w:spacing w:after="0" w:line="12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If one or more of these risks occur, it could reduce the market potential for Ovaprene, or any other contraceptive product we develop, and place pressure on our business, financial condition, results of operations and prospects.</w:t>
      </w:r>
    </w:p>
    <w:p>
      <w:pPr>
        <w:spacing w:after="0" w:line="1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As a result of the termination of our license agreement with Bayer for Ovaprene in December 2025, we will need to enter into an agreement with a third party to commercialize Ovaprene, for which no assurances can be given, and if we do not enter into such agreement, the commercialization of Ovaprene would be delayed. See also the risk factor titled, “Our existing product development and commercialization collaboration is important to our business,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8" w:name="page89"/>
    <w:bookmarkEnd w:id="88"/>
    <w:p>
      <w:pPr>
        <w:jc w:val="both"/>
        <w:spacing w:after="0" w:line="281" w:lineRule="auto"/>
        <w:rPr>
          <w:sz w:val="20"/>
          <w:szCs w:val="20"/>
          <w:color w:val="auto"/>
        </w:rPr>
      </w:pPr>
      <w:r>
        <w:rPr>
          <w:rFonts w:ascii="Arial" w:cs="Arial" w:eastAsia="Arial" w:hAnsi="Arial"/>
          <w:sz w:val="17"/>
          <w:szCs w:val="17"/>
          <w:color w:val="auto"/>
        </w:rPr>
        <w:t>future collaborations may also be important to us. If we are unable to maintain our existing collaboration, if it is not successful, or if we are unable to establish additional strategic collaborations, our business and prospects may be materially harmed,” above.</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The commercial success of an FDA-approved Sildenafil Cream product will depend on the availability of alternative treatments and products, the effectiveness of the sales and marketing strategy and efforts for the product, including the success of efforts to educate women and their health care providers about FSAD, and the availability and extent of third-party coverage and reimbursement for the product, among other factors.</w:t>
      </w:r>
    </w:p>
    <w:p>
      <w:pPr>
        <w:spacing w:after="0" w:line="56"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color w:val="auto"/>
        </w:rPr>
        <w:t>Today, there are no FDA-approved products to treat FSAD. While our goal is for Sildenafil Cream to be the first product to receive such approval, one or more competitive products may be approved before our product. In addition, an FDA-approved Sildenafil Cream product may also have to compete with compounded drugs. Some compounding entities currently supply topical cream formulations of sildenafil. In addition, some compounding entities have partnered with telemedicine providers, enabling them to expand the potential market for their compounded drugs. The availability of cream formulations of sildenafil through compounding entities, could make it more challenging for Sildenafil Cream to build and maintain market share. Even if we achieve our goal of being first-to-market for FSAD, the costs associated with introducing a new branded prescription product into the female sexual dysfunction market would likely be significant, and regardless of the amount spent, there is no guarantee that our new product will be broadly adopted. Broad market adoption of Sildenafil Cream will depend not only on Sildenafil Cream’s ability to demonstrate safety and effectiveness in treating FSAD in Phase 3 clinical trials, but a variety of factors, as discussed above under “Our product candidates may fail to achieve the degree of market acceptance by physicians, patients, third-party payors or others in the medical community necessary for commercial success, which would negatively impact our business.” If we or a commercial collaborator are not successful in increasing awareness and understanding about FSAD and Sildenafil Cream, the market potential of Sildenafil Cream will not be realized. Women who experience low or no genital arousal may be hesitant to seek treatment due to stigma and embarrassment associated with sexual health issues, lack of understanding of normal versus abnormal sexual functioning, or lack of awareness that FSAD may be treated with medication. Health care providers may be hesitant to prescribe Sildenafil Cream for many reasons, including lack of understanding or experience with female sexual dysfunction in general and FSAD in particular, lack of experience with any product approved to treat FSAD, or perceived lack of clinical evidence of the safety and efficacy of Sildenafil Cream. Women may also be hesitant to use Sildenafil Cream for many reasons, including the lack of experience with any product designed to treat FSAD, concern over potential side effects, and the out-of-pocket cost of Sildenafil Cream, particularly if it is not covered by insurance. Currently, third-party payors such as government health care programs and private insurance companies often do not cover products prescribed to treat female sexual dysfunction disorders. If Sildenafil Cream is not an affordable option for a significant segment of potential users, the ability to build a commercial market for Sildenafil Cream will be significantly impaired.</w:t>
      </w:r>
    </w:p>
    <w:p>
      <w:pPr>
        <w:spacing w:after="0" w:line="8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FSAD is a condition that impacts women of many ages, including older and elderly populations. We have not yet thoroughly studied the topical or clinical pharmacology of Sildenafil Cream in different patient populations, and sildenafil, the active ingredient in our drug candidate, has not been tested over long periods of time in older or elderly women. Older or elderly women may react differently and adversely to Sildenafil Cream than younger populations. We expect our pivotal Phase 3 clinical trials of Sildenafil Cream will be conducted in a premenopausal population. Therefore, we expect initial FDA approval of Sildenafil Cream, if received, to be limited to premenopausal women. Should Sildenafil Cream not be studied in older or elderly women, or, if studied in those populations, should it show increased risk of adverse reactions, or signs thereof, in older or elderly women during clinical development, the potential market for Sildenafil Cream could be significantly limited, which could have a material adverse impact on the value of this program.</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commercial success of DARE-HRT1, if approved for commercial sale, will depend on the availability of alternative products for managing menopause symptoms, concerns about the safety of hormone therapy, and women's preferences, among other factors.</w:t>
      </w:r>
    </w:p>
    <w:p>
      <w:pPr>
        <w:spacing w:after="0" w:line="31"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DARE-HRT1, if approved as a treatment for moderate to severe VMS due to menopause, will compete with the many options on the market targeted to or FDA-approved for the treatment of menopausal symptoms, including VMS. Such options include hormone therapies in the form of pills, patches and creams, some of which are FDA-approved products and others which are supplied by compounding entities, as well as non-hormonal options, including an FDA-approved products Veozah® (fezolinetant) marketed by Astellas Pharma and Lynkuet® (elinzanetant) marketed by Bayer, and dietary supplements. Both the supplement and the compounded hormone therapy markets are very significant. A considerable segment of the compounded hormone therapy market is comprised of compounded hormones in pellet form that are implanted under the skin as a non-daily alternative, which could be directly competitive with DARE-HRT. We expect the options for hormone therapy and non-hormonal therapies to continue to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expand with time. DARE-HRT1 is designed to offer a convenient vaginal ring that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7"/>
          <w:szCs w:val="17"/>
          <w:color w:val="auto"/>
        </w:rPr>
        <w:t>continuously delivers a combination of bioidentical estradiol and progesterone over 28 days. Bioidentical hormones refer to compounds that are chemically identical to those produced naturally in the human body. Studies have not demonstrated that bioidentical hormones are safer than synthetic hormones, so DARE-HRT1 will need to compete with many types of hormone therapy options in terms of convenience, safety and efficacy in managing symptoms of menopause.</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Risks related to market acceptance of DARE-HRT1 include:</w:t>
      </w:r>
    </w:p>
    <w:p>
      <w:pPr>
        <w:spacing w:after="0" w:line="108" w:lineRule="exact"/>
        <w:rPr>
          <w:sz w:val="20"/>
          <w:szCs w:val="20"/>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women's preference for vaginal ring delivery of hormone therapy over pills, patches and creams;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women's preference for a monthly product format over products to be taken or applied daily;</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data regarding symptom relief of DARE-HRT1 compared with other treatments and products for VMS;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preference for bioidentical hormones by women and health care providers;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positive or negative news and research regarding hormone therapy in general and bioidentical hormone therapy in particular;</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preference for an FDA-approved product by women and health care providers over treatments prepared in compounding entities;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success or failure of other FDA-approved bioidentical hormone products and FDA-approved non-hormonal products for VMS;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new information supportive or against the use of hormones in menopause; and</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availability and extent of third-party payor coverage and reimbursement for DARE-HRT1 and out-of-pocket cost for patients.</w:t>
      </w:r>
    </w:p>
    <w:p>
      <w:pPr>
        <w:spacing w:after="0" w:line="10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safety concerns regarding hormone therapy could adversely affect our business.</w:t>
      </w:r>
    </w:p>
    <w:p>
      <w:pPr>
        <w:spacing w:after="0" w:line="108"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Women have used hormone therapy products for decades to manage menopausal symptoms. However, the use of hormone therapy has been, and continues to be, the subject of scientific debate and regulatory and public health scrutiny. Published clinical studies have associated certain forms of hormone therapy with potential serious safety risks, including an increased likelihood of cardiovascular events, stroke, blood clots, probable</w:t>
      </w:r>
    </w:p>
    <w:p>
      <w:pPr>
        <w:spacing w:after="0" w:line="1"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dementia, and certain hormone</w:t>
      </w:r>
      <w:r>
        <w:rPr>
          <w:rFonts w:ascii="MS PGothic" w:cs="MS PGothic" w:eastAsia="MS PGothic" w:hAnsi="MS PGothic"/>
          <w:sz w:val="17"/>
          <w:szCs w:val="17"/>
          <w:color w:val="auto"/>
        </w:rPr>
        <w:t>‑</w:t>
      </w:r>
      <w:r>
        <w:rPr>
          <w:rFonts w:ascii="Arial" w:cs="Arial" w:eastAsia="Arial" w:hAnsi="Arial"/>
          <w:sz w:val="17"/>
          <w:szCs w:val="17"/>
          <w:color w:val="auto"/>
        </w:rPr>
        <w:t>sensitive cancers, including breast cancer and endometrial cancer. Although the studies have indicated that the nature and magnitude of these risks may differ materially depending on the type of hormone therapy, the route of its administration, patient age, proximity of initiation of hormone therapy to menopause onset, duration of use, and individual patient characteristics, heightened attention to these issues may influence prescribing behavior, patient acceptance, and regulatory expectations. In November 2025, HHS announced that the FDA was initiating the removal of broad “black box” warnings from hormone replacement therapy products for menopause following a comprehensive review of the scientific literature, an expert panel on the risks and benefits related to menopause hormone therapy in July 2025, and a public comment period. Specifically, the FDA announced it will work with companies to update language in hormone replacement therapy product labeling to remove references to risks of cardiovascular disease, breast cancer, and probable dementia. The FDA is not seeking to remove the boxed warning for endometrial cancer for systemic estrogen-alone products. However, the longstanding controversy over hormone therapy may continue to shape public perception and influence prescribing behavior.</w:t>
      </w:r>
    </w:p>
    <w:p>
      <w:pPr>
        <w:spacing w:after="0" w:line="84" w:lineRule="exact"/>
        <w:rPr>
          <w:sz w:val="20"/>
          <w:szCs w:val="20"/>
          <w:color w:val="auto"/>
        </w:rPr>
      </w:pPr>
    </w:p>
    <w:p>
      <w:pPr>
        <w:jc w:val="both"/>
        <w:ind w:firstLine="607"/>
        <w:spacing w:after="0" w:line="205" w:lineRule="exact"/>
        <w:rPr>
          <w:sz w:val="20"/>
          <w:szCs w:val="20"/>
          <w:color w:val="auto"/>
        </w:rPr>
      </w:pPr>
      <w:r>
        <w:rPr>
          <w:rFonts w:ascii="Arial" w:cs="Arial" w:eastAsia="Arial" w:hAnsi="Arial"/>
          <w:sz w:val="17"/>
          <w:szCs w:val="17"/>
          <w:color w:val="auto"/>
        </w:rPr>
        <w:t>Historical precedent illustrates the potential magnitude of these impacts. In 2002, alarming results from the Women’s Health Initiative (WHI) study, a large, long-term government</w:t>
      </w:r>
      <w:r>
        <w:rPr>
          <w:rFonts w:ascii="MS PGothic" w:cs="MS PGothic" w:eastAsia="MS PGothic" w:hAnsi="MS PGothic"/>
          <w:sz w:val="17"/>
          <w:szCs w:val="17"/>
          <w:color w:val="auto"/>
        </w:rPr>
        <w:t>‑</w:t>
      </w:r>
      <w:r>
        <w:rPr>
          <w:rFonts w:ascii="Arial" w:cs="Arial" w:eastAsia="Arial" w:hAnsi="Arial"/>
          <w:sz w:val="17"/>
          <w:szCs w:val="17"/>
          <w:color w:val="auto"/>
        </w:rPr>
        <w:t>funded study, were released suggesting that varying forms of systemic hormone therapy that included estrogen and progesterone could increase risks of cardiovascular problems, breast cancer, endometrial cancer, and probable dementia. Media coverage was widespread and, shortly after, the FDA implemented a broad “black box” warning on all menopause treatments containing estrogen. In the months and years following the 2002 WHI publication, millions of women discontinued hormone therapy and the hormone therapy market contracted substantially. While more recent analyses of the WHI study suggested flaws in the original findings and findings from subsequent studies have led to more nuanced hormone therapy guidelines and recommendations, including those issued by the Menopause Society, there have been lasting effects on prescribing behavior, patient attitudes, and regulatory labeling.</w:t>
      </w:r>
    </w:p>
    <w:p>
      <w:pPr>
        <w:spacing w:after="0" w:line="83" w:lineRule="exact"/>
        <w:rPr>
          <w:sz w:val="20"/>
          <w:szCs w:val="20"/>
          <w:color w:val="auto"/>
        </w:rPr>
      </w:pPr>
    </w:p>
    <w:p>
      <w:pPr>
        <w:jc w:val="both"/>
        <w:ind w:firstLine="607"/>
        <w:spacing w:after="0" w:line="207" w:lineRule="exact"/>
        <w:rPr>
          <w:sz w:val="20"/>
          <w:szCs w:val="20"/>
          <w:color w:val="auto"/>
        </w:rPr>
      </w:pPr>
      <w:r>
        <w:rPr>
          <w:rFonts w:ascii="Arial" w:cs="Arial" w:eastAsia="Arial" w:hAnsi="Arial"/>
          <w:sz w:val="17"/>
          <w:szCs w:val="17"/>
          <w:color w:val="auto"/>
        </w:rPr>
        <w:t>If new data, safety signals, or adverse event reports emerge, whether or not directly related to our hormone therapy products or product candidates, we could face negative publicity, reduced demand, increased regulatory oversight, labeling changes, reclassification of product risks, additional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or restrictions or contraindications on use. The FDA or professional medical organizations may also update treatment guidelines or recommendations in ways that discourage or limit hormone therapy use, narrow the indicated patient population,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7"/>
          <w:szCs w:val="17"/>
          <w:color w:val="auto"/>
        </w:rPr>
        <w:t>recommend alternative treatments, or otherwise reduce the commercial opportunity for hormone therapy products, as was seen following the 2002 WHI publication. Any of these developments could adversely affect commercial introduction and sales of DARE to RECLAIM estradiol progesterone intravaginal ring, impede further clinical development and potential regulatory approval of our hormone therapy product candidates, require additional clinical studies, and materially harm our reputation, business, financial condition and results of operations.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for prescription medical products. If we or any commercial collaborator is found or alleged to have improperly promoted any of our products for off-label uses, we may become subject to significant liability, including fines, penalties or injunctions, and reputational harm.</w:t>
      </w:r>
    </w:p>
    <w:p>
      <w:pPr>
        <w:spacing w:after="0" w:line="50"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medical products. In particular, a product may not be promoted for uses that are not approved by the FDA (i.e., off-label uses), as reflected in the product’s approved or cleared labeling. Promotional labeling and advertising for any of our drug product candidates that receive marketing approval, must be submitted to FDA at the time of first use and the agency actively solicits reports from health care professionals about improper promotional claims or activities by the drug manufacturer or distributor. Medical device promotion and advertising are subject to similar off-label restrictions, although without the same requirement to submit promotional materials to FDA at the time of first use. Both prescription drug and medical device promotional materials must present a fair balance between the product’s effectiveness and the risks associated with its use, and must be truthful and not misleading.</w:t>
      </w:r>
    </w:p>
    <w:p>
      <w:pPr>
        <w:spacing w:after="0" w:line="7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If we or a commercial collaborator is alleged or found to have promoted a product for any off-label use, we may become subject to significant liability and reputational harm. The federal government has levied large civil and criminal fines against companies for alleged improper medical product promotion and has enjoined several companies from engaging in off-label promotion. The FDA has also requested that companies enter into consent decrees or permanent injunctions under which specified promotional conduct is changed or curtailed. Other enforcement authorities may also take action against a company for promoting an off-label use of a prescription medical product, which could result in penalties under other statutory authorities, such as laws prohibiting false claims for reimbursement. See also “Risks Related to Our Business Operations and Industry- The pharmaceutical and medical device industries are highly regulated and subject to various fraud and abuse laws, including, without limitation, the U.S. federal Anti-Kickback Statute, the U.S. federal False Claims Act and the U.S. Foreign Corrupt Practices Act” below.</w:t>
      </w:r>
    </w:p>
    <w:p>
      <w:pPr>
        <w:spacing w:after="0" w:line="7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If we or our commercial collaborators, as applicable, cannot successfully manage the product promotion to ensure compliance with these legal and regulatory requirements, we could become subject to significant liability, our reputation could be damaged, and adoption of our products could be considerably impaired.</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Unexpected safety, efficacy or quality concerns relating to XACIATO could develop, which could have significant negative consequences for us.</w:t>
      </w:r>
    </w:p>
    <w:p>
      <w:pPr>
        <w:spacing w:after="0" w:line="95"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XACIATO was approved by the FDA based on prior findings of safety or effectiveness of previously approved clindamycin products and on clinical data from the Phase 3 DARE-BVFREE clinical trial, in which 307 patients were randomized and treated once. In light of its commercial launch, XACIATO will be used by larger numbers of patients, and some patients may use multiple regimens over the course of a year. New data may emerge from market surveillance or future clinical trials of XACIATO that give rise to safety, efficacy or quality concerns and result in negative consequences, including:</w:t>
      </w:r>
    </w:p>
    <w:p>
      <w:pPr>
        <w:spacing w:after="0" w:line="163" w:lineRule="exact"/>
        <w:rPr>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modification to the product’s prescribing information, such as the addition of boxed or other warnings, contraindications, or limitations of use;</w:t>
      </w:r>
    </w:p>
    <w:p>
      <w:pPr>
        <w:spacing w:after="0" w:line="22"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restrictions on the promotion or marketing of the product;</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issuance of “Dear Doctor Letters” or similar communications to health care professionals or the public regarding safety or efficacy concerns;</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imposition of post-marketing clinical trial requirements or other post-marketing studies;</w:t>
      </w:r>
    </w:p>
    <w:p>
      <w:pPr>
        <w:spacing w:after="0" w:line="17" w:lineRule="exact"/>
        <w:rPr>
          <w:rFonts w:ascii="Arial" w:cs="Arial" w:eastAsia="Arial" w:hAnsi="Arial"/>
          <w:sz w:val="20"/>
          <w:szCs w:val="20"/>
          <w:color w:val="auto"/>
        </w:rPr>
      </w:pPr>
    </w:p>
    <w:p>
      <w:pPr>
        <w:ind w:left="600" w:hanging="296"/>
        <w:spacing w:after="0" w:line="239" w:lineRule="auto"/>
        <w:tabs>
          <w:tab w:leader="none" w:pos="595" w:val="left"/>
        </w:tabs>
        <w:numPr>
          <w:ilvl w:val="0"/>
          <w:numId w:val="40"/>
        </w:numPr>
        <w:rPr>
          <w:rFonts w:ascii="Arial" w:cs="Arial" w:eastAsia="Arial" w:hAnsi="Arial"/>
          <w:sz w:val="20"/>
          <w:szCs w:val="20"/>
          <w:color w:val="auto"/>
        </w:rPr>
      </w:pPr>
      <w:r>
        <w:rPr>
          <w:rFonts w:ascii="Arial" w:cs="Arial" w:eastAsia="Arial" w:hAnsi="Arial"/>
          <w:sz w:val="17"/>
          <w:szCs w:val="17"/>
          <w:color w:val="auto"/>
        </w:rPr>
        <w:t>product distribution restrictions or other risk management measures, such as a risk evaluation and mitigation strategy, or REMS, which could include elements to assure safe use;</w:t>
      </w:r>
    </w:p>
    <w:p>
      <w:pPr>
        <w:spacing w:after="0" w:line="11"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warning or untitled letters;</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suspension or withdrawal of marketing approvals;</w:t>
      </w:r>
    </w:p>
    <w:p>
      <w:pPr>
        <w:spacing w:after="0" w:line="22" w:lineRule="exact"/>
        <w:rPr>
          <w:rFonts w:ascii="Arial" w:cs="Arial" w:eastAsia="Arial" w:hAnsi="Arial"/>
          <w:sz w:val="20"/>
          <w:szCs w:val="20"/>
          <w:color w:val="auto"/>
        </w:rPr>
      </w:pPr>
    </w:p>
    <w:p>
      <w:pPr>
        <w:ind w:left="600" w:hanging="296"/>
        <w:spacing w:after="0"/>
        <w:tabs>
          <w:tab w:leader="none" w:pos="600" w:val="left"/>
        </w:tabs>
        <w:numPr>
          <w:ilvl w:val="0"/>
          <w:numId w:val="40"/>
        </w:numPr>
        <w:rPr>
          <w:rFonts w:ascii="Arial" w:cs="Arial" w:eastAsia="Arial" w:hAnsi="Arial"/>
          <w:sz w:val="20"/>
          <w:szCs w:val="20"/>
          <w:color w:val="auto"/>
        </w:rPr>
      </w:pPr>
      <w:r>
        <w:rPr>
          <w:rFonts w:ascii="Arial" w:cs="Arial" w:eastAsia="Arial" w:hAnsi="Arial"/>
          <w:sz w:val="17"/>
          <w:szCs w:val="17"/>
          <w:color w:val="auto"/>
        </w:rPr>
        <w:t>suspension or termination of ongoing clinical trials, if 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1" w:name="page92"/>
    <w:bookmarkEnd w:id="91"/>
    <w:p>
      <w:pPr>
        <w:ind w:left="600" w:hanging="296"/>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17"/>
          <w:szCs w:val="17"/>
          <w:color w:val="auto"/>
        </w:rPr>
        <w:t>refusal by regulators to approve pending marketing applications or supplements to approved applications that we submit;</w:t>
      </w:r>
    </w:p>
    <w:p>
      <w:pPr>
        <w:spacing w:after="0" w:line="17" w:lineRule="exact"/>
        <w:rPr>
          <w:rFonts w:ascii="Arial" w:cs="Arial" w:eastAsia="Arial" w:hAnsi="Arial"/>
          <w:sz w:val="20"/>
          <w:szCs w:val="20"/>
          <w:color w:val="auto"/>
        </w:rPr>
      </w:pPr>
    </w:p>
    <w:p>
      <w:pPr>
        <w:ind w:left="600" w:hanging="296"/>
        <w:spacing w:after="0" w:line="239" w:lineRule="auto"/>
        <w:tabs>
          <w:tab w:leader="none" w:pos="595" w:val="left"/>
        </w:tabs>
        <w:numPr>
          <w:ilvl w:val="0"/>
          <w:numId w:val="41"/>
        </w:numPr>
        <w:rPr>
          <w:rFonts w:ascii="Arial" w:cs="Arial" w:eastAsia="Arial" w:hAnsi="Arial"/>
          <w:sz w:val="20"/>
          <w:szCs w:val="20"/>
          <w:color w:val="auto"/>
        </w:rPr>
      </w:pPr>
      <w:r>
        <w:rPr>
          <w:rFonts w:ascii="Arial" w:cs="Arial" w:eastAsia="Arial" w:hAnsi="Arial"/>
          <w:sz w:val="17"/>
          <w:szCs w:val="17"/>
          <w:color w:val="auto"/>
        </w:rPr>
        <w:t>suspension of, or imposition of restrictions on, the operations of our commercial collaborator or any CMO producing commercial supplies of XACIATO, including costly new manufacturing requirements;</w:t>
      </w:r>
    </w:p>
    <w:p>
      <w:pPr>
        <w:spacing w:after="0" w:line="11" w:lineRule="exact"/>
        <w:rPr>
          <w:rFonts w:ascii="Arial" w:cs="Arial" w:eastAsia="Arial" w:hAnsi="Arial"/>
          <w:sz w:val="20"/>
          <w:szCs w:val="20"/>
          <w:color w:val="auto"/>
        </w:rPr>
      </w:pPr>
    </w:p>
    <w:p>
      <w:pPr>
        <w:ind w:left="600" w:hanging="296"/>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costly and time-consuming corrective actions;</w:t>
      </w:r>
    </w:p>
    <w:p>
      <w:pPr>
        <w:spacing w:after="0" w:line="22" w:lineRule="exact"/>
        <w:rPr>
          <w:rFonts w:ascii="Arial" w:cs="Arial" w:eastAsia="Arial" w:hAnsi="Arial"/>
          <w:sz w:val="20"/>
          <w:szCs w:val="20"/>
          <w:color w:val="auto"/>
        </w:rPr>
      </w:pPr>
    </w:p>
    <w:p>
      <w:pPr>
        <w:ind w:left="600" w:hanging="296"/>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17"/>
          <w:szCs w:val="17"/>
          <w:color w:val="auto"/>
        </w:rPr>
        <w:t>voluntary or mandatory product recalls or withdrawals from the market;</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17"/>
          <w:szCs w:val="17"/>
          <w:color w:val="auto"/>
        </w:rPr>
        <w:t>significant reputational harm; and</w:t>
      </w:r>
    </w:p>
    <w:p>
      <w:pPr>
        <w:spacing w:after="0" w:line="10" w:lineRule="exact"/>
        <w:rPr>
          <w:rFonts w:ascii="Arial" w:cs="Arial" w:eastAsia="Arial" w:hAnsi="Arial"/>
          <w:sz w:val="20"/>
          <w:szCs w:val="20"/>
          <w:color w:val="auto"/>
        </w:rPr>
      </w:pPr>
    </w:p>
    <w:p>
      <w:pPr>
        <w:ind w:left="600" w:hanging="296"/>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17"/>
          <w:szCs w:val="17"/>
          <w:color w:val="auto"/>
        </w:rPr>
        <w:t>product liability claims and lawsuits.</w:t>
      </w:r>
    </w:p>
    <w:p>
      <w:pPr>
        <w:spacing w:after="0" w:line="14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Furthermore, the discovery of significant problems with another intravaginally administered or clindamycin-containing product perceived as comparable to XACIATO, could have an adverse impact on commercialization of XACIATO, including as a result of occurrence of the events described above. For example, XACIATO has not been studied in pregnant or breastfeeding women. Should increased risk of miscarriage or other adverse effects on maternal or fetal outcomes or breastfed infants be observed in future data from market surveillance or clinical trials of XACIATO or other clindamycin products, XACIATO’s commercial potential may be limited and we could become subject to product liability claims and lawsuits.</w:t>
      </w:r>
    </w:p>
    <w:p>
      <w:pPr>
        <w:spacing w:after="0" w:line="145"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occurrence of any of the circumstances described above could reduce XACIATO’s market acceptance and adversely affect sales of XACIATO in the U.S. and inhibit or delay its development, approval or commercialization outside of the U.S., which could, in turn, have a significant negative impact on potential payments to us under the traditional royalty purchase agreement we entered into with XOMA, as well as our stock price.</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suffer negative publicity concerning the safety or efficacy of XACIATO or the product candidates we develop, our reputation could be harmed, product sales could be adversely affected or we may be forced to cease or curtail product development efforts.</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If concerns should arise about the actual or anticipated clinical outcomes regarding the safety of any of our product candidates, or about adverse event reports on XACIATO, including as a result of safety concerns related to third-party products containing the same or similar active or excipient substances, such concerns could adversely affect the market’s perception of XACIATO and our product candidates. Negative publicity could be time consuming and expensive to address and could adversely affect potential opportunities with strategic partners or collaborators, lead to a decline in product sales, and negatively impact investor sentiment toward a product or product candidate or our company as a whole, which could lead to a decline in our stock price.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and will remain subject to ongoing regulatory requirements even after obtaining regulatory approval for a product candidate.</w:t>
      </w:r>
    </w:p>
    <w:p>
      <w:pPr>
        <w:spacing w:after="0" w:line="10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Even if any of the product candidates we develop are approved by the FDA or a comparable regulatory authority outside of the U.S., as long as we are the holder of the product approval or manufacturer of record with the FDA or other regulatory authority, we will be subject to ongoing regulatory requirements with respect to manufacturing, labeling, packaging, storage, advertising, promotion, sampling, record-keeping, conduct of post-marketing clinical trials and submission of safety, efficacy and other post-approval information, including both federal and state requirements in the U.S. and requirements of comparable foreign regulatory authorities.</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addition, manufacturers and manufacturers’ facilities are required to continuously comply with FDA and comparable foreign regulatory authority requirements, including ensuring quality control and manufacturing procedures conform to cGMP regulations and corresponding foreign regulatory manufacturing requirements. Accordingly, we and our contract manufacturers will be subject to continual review and inspections to assess compliance with cGMP and adherence to commitments made in our NDA or PMA submissions to the FDA.</w:t>
      </w:r>
    </w:p>
    <w:p>
      <w:pPr>
        <w:spacing w:after="0" w:line="66"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Any marketing approvals we receive for our product candidates in the future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In addition, we will be required to report adverse reactions and production problems, if any, to the FDA and comparable foreign regulatory authorities (when products are approved in foreign markets). Any new legislation addressing drug safety issues could result in delays in product development or commercialization, or increased costs to assure compliance.</w:t>
      </w:r>
    </w:p>
    <w:p>
      <w:pPr>
        <w:spacing w:after="0" w:line="5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If a regulatory agency discovers previously unknown problems with a product, such as problems with the facility where the product is manufactured, or it disagrees with the promotion, marketing or labeling of a product, the regulatory agency may impose restrictions on that product or on us or our commercial collaborator, including requiring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2" w:name="page93"/>
    <w:bookmarkEnd w:id="92"/>
    <w:p>
      <w:pPr>
        <w:spacing w:after="0" w:line="281" w:lineRule="auto"/>
        <w:rPr>
          <w:sz w:val="20"/>
          <w:szCs w:val="20"/>
          <w:color w:val="auto"/>
        </w:rPr>
      </w:pPr>
      <w:r>
        <w:rPr>
          <w:rFonts w:ascii="Arial" w:cs="Arial" w:eastAsia="Arial" w:hAnsi="Arial"/>
          <w:sz w:val="17"/>
          <w:szCs w:val="17"/>
          <w:color w:val="auto"/>
        </w:rPr>
        <w:t>withdrawal of the product from the market. If we or our commercial collaborators are unable to comply with applicable regulatory requirements, a regulatory agency or enforcement authority may, among other things:</w:t>
      </w:r>
    </w:p>
    <w:p>
      <w:pPr>
        <w:spacing w:after="0" w:line="48" w:lineRule="exact"/>
        <w:rPr>
          <w:sz w:val="20"/>
          <w:szCs w:val="20"/>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 warning letters;</w:t>
      </w:r>
    </w:p>
    <w:p>
      <w:pPr>
        <w:spacing w:after="0" w:line="22"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impose civil or criminal penalties;</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suspend any of our ongoing clinical trials;</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approved applications submitted by us;</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impose restrictions on our operations, including closing our contract manufacturers’ facilities; or</w:t>
      </w:r>
    </w:p>
    <w:p>
      <w:pPr>
        <w:spacing w:after="0" w:line="6" w:lineRule="exact"/>
        <w:rPr>
          <w:rFonts w:ascii="Arial" w:cs="Arial" w:eastAsia="Arial" w:hAnsi="Arial"/>
          <w:sz w:val="17"/>
          <w:szCs w:val="17"/>
          <w:color w:val="auto"/>
        </w:rPr>
      </w:pPr>
    </w:p>
    <w:p>
      <w:pPr>
        <w:ind w:left="900" w:hanging="292"/>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a product recall.</w:t>
      </w:r>
    </w:p>
    <w:p>
      <w:pPr>
        <w:spacing w:after="0" w:line="15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Any government investigation of alleged violations of law would require us and/or our commercial collaborators to expend significant time and resources in response and could generate adverse publicity. Any inability to comply with ongoing regulatory requirements may significantly and adversely affect our ability, or that of our collaborators, to develop and commercialize our products and the value of our business, and our operating results would be adversely affected.</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Failure to successfully obtain coverage and reimbursement for XACIATO and any future products in the United States, or the availability of coverage only at limited levels, would diminish our ability, or that of a commercial collaborator, to generate net product revenue or net sales.</w:t>
      </w:r>
    </w:p>
    <w:p>
      <w:pPr>
        <w:spacing w:after="0" w:line="5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Coverage from government health care programs and private commercial health insurance companies is critical to the commercial success of XACIATO and any future products. Market acceptance and sales of XACIATO and any future products that we or a commercial collaborator may seek to commercialize will depend in part on the extent to which reimbursement for these products will be available from third-party payors. 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XACIATO or any future product to be medically necessary or cost-effective compared to other available therapies and medical products, they may not cover the product as a benefit under their plans or, even if they do, the level of payment may not be sufficient to allow us, or a commercial collaborator, to sell the product on a profitable basis. Coverage decisions can depend upon clinical and economic standards that disfavor new prescription medical products when more established or lower cost alternatives are already available or subsequently become available. Third-party payor coverage may not be available to patients for XACIATO or any future product. If third-party payors do not provide adequate coverage and reimbursement, health care providers may not prescribe our products or patients may ask their health care providers to prescribe competing products with more favorable reimbursement.</w:t>
      </w:r>
    </w:p>
    <w:p>
      <w:pPr>
        <w:spacing w:after="0" w:line="7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Significant uncertainty exists as to the reimbursement status for newly approved prescription medical products, including coverage and payment. There is no uniform policy requirement for coverage and reimbursement for prescription medical products among third-party payors in the U.S.; therefore, coverage and reimbursement for our products could differ significantly from payor to payor. In the U.S., the principal decisions about reimbursement for new medical products are typically made by the Centers for Medicare and Medicaid Services, or CMS, as CMS decides whether and to what extent a new medical product will be covered and reimbursed under Medicare. Third-party payors often rely upon Medicare coverage policy and payment limitations to a substantial degree in setting their own reimbursement policies, but they also have their own methods and approval process apart from Medicare coverage and reimbursement determinations. It is difficult to predict what CMS will decide with respect to reimbursement. Decisions regarding the extent of coverage and amount of reimbursement to be provided for XACIATO and any future products will be made on a payor-by-payor basis. Accordingly, one third-party payor’s determination to provide coverage for a product does not assure that other payors will also provide coverage and adequate reimbursement for the product. Moreover, reimbursement agencies in Europe may be more conservative than CMS, should XACIATO or any of our product candidates be approved for marketing in Europe.</w:t>
      </w:r>
    </w:p>
    <w:p>
      <w:pPr>
        <w:spacing w:after="0" w:line="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addition to CMS and private payors, professional organizations can influence decisions about reimbursement for new medical products by determining standards of care. In addition, many private payors contract with commercial vendors who sell software that provides guidelines that attempt to limit utilization of, and therefore reimbursement for, certain products deemed to provide limited benefit as compared to existing alternatives. Such organizations may set guidelines that limit reimbursement or utilization of any of our commercialized products.</w:t>
      </w:r>
    </w:p>
    <w:p>
      <w:pPr>
        <w:spacing w:after="0" w:line="6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To secure coverage and reimbursement for XACIATO and any future product, we or a commercial collaborator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Managed care organizations and other private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3" w:name="page94"/>
    <w:bookmarkEnd w:id="93"/>
    <w:p>
      <w:pPr>
        <w:jc w:val="both"/>
        <w:spacing w:after="0" w:line="251" w:lineRule="auto"/>
        <w:rPr>
          <w:sz w:val="20"/>
          <w:szCs w:val="20"/>
          <w:color w:val="auto"/>
        </w:rPr>
      </w:pPr>
      <w:r>
        <w:rPr>
          <w:rFonts w:ascii="Arial" w:cs="Arial" w:eastAsia="Arial" w:hAnsi="Arial"/>
          <w:sz w:val="17"/>
          <w:szCs w:val="17"/>
          <w:color w:val="auto"/>
        </w:rPr>
        <w:t>insurers frequently adopt their own payment or reimbursement reductions. Consolidation among managed care organizations has increased the negotiating power of these entities. Third-party payors increasingly employ formularies to control costs by negotiating discounted prices in exchange for formulary inclusion. Failure to obtain timely or adequate pricing or formulary placement for XACIATO or any future product, or obtaining such pricing or placement at unfavorable pricing levels, could materially adversely affect our business, financial conditions, results of operations and prospects. Moreover, eligibility for reimbursement does not imply that any product will be paid for in all cases or at a rate that covers our costs, or those of a commercial collaborator. Interim payments for new products, if applicable, also may not be sufficient to cover our costs, or those of a commercial collaborator,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w:t>
      </w:r>
    </w:p>
    <w:p>
      <w:pPr>
        <w:spacing w:after="0" w:line="7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Accordingly, the coverage determination process is often a time-consuming and costly process that will require us or our commercial collaborator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cost prohibitive for health care providers or their patients, or less profitable than alternative treatments or products, or if administrative burdens make our products less desirable to use. Our inability, or that of our commercial collaborator, to obtain coverage and profitable payment rates from both government-funded and private payors for XACIATO or any future product could have a material adverse effect on our operating results, our ability to raise capital needed to execute our business strategy and our overall financial condition.</w:t>
      </w:r>
    </w:p>
    <w:p>
      <w:pPr>
        <w:spacing w:after="0" w:line="7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Failure by us or a commercial collaborator to obtain timely and adequate coverage and pricing for a product, or obtaining such coverage and pricing at unfavorable levels, could materially adversely affect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and legislative and regulatory proposals intended to contain health care costs may adversely affect our business.</w:t>
      </w:r>
    </w:p>
    <w:p>
      <w:pPr>
        <w:spacing w:after="0" w:line="18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spacing w:after="0" w:line="7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Biden Administration has also indicated that lowering prescription drug prices is a priority, and on August 16, 2022, President Biden signed into the law the Inflation Reduction Act of 2022, or the IRA. Among other things, the IRA has multiple provisions that may impact the prices of drug products that are both sold into the Medicare program and throughout the U.S.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the Centers for Medicare and Medicaid Services, or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U.S. remains uncertain, in part because multiple large pharmaceutical companies and other stakeholders (e.g., the U.S. Chamber of Commerce) have initiated federal lawsuits against CMS arguing the program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17"/>
          <w:szCs w:val="17"/>
          <w:color w:val="auto"/>
        </w:rPr>
        <w:t>is unconstitutional for a variety of reasons, among other complaints. Those lawsuits are currently ongoing. Further, in December 2023, the Biden Administration announced an initiative to control the price of prescription drugs through the use of march-in rights under the Bayh-Dole Act of 1980 (the "Bayh-Dole Act"), and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33"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any future products as well as our ability to generate revenue and attain profitability.</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Even seemingly small copayments or other cost-sharing requirements could dramatically reduce the market potential for XACIATO and our product candidates.</w:t>
      </w:r>
    </w:p>
    <w:p>
      <w:pPr>
        <w:spacing w:after="0" w:line="3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If the out-of-pocket costs for XACIATO or any of our product candidates, if approved for commercial sale, are deemed by women to be unaffordable, or if less expensive alternatives exist, a commercial market may never develop or the market potential for that product may be significantly reduced, which could have a material adverse effect on our business, financial condition, and prospects.</w:t>
      </w:r>
    </w:p>
    <w:p>
      <w:pPr>
        <w:spacing w:after="0" w:line="6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With regard to contraceptive products, the ACA and subsequent regulations enacted by DHHS, require health plans to provide coverage for women’s preventive care, including all forms of FDA-cleared or approved contraception, without imposing any cost sharing on the plan beneficiary. These regulations ensure that women in the U.S. who wish to use an approved form of contraception may request it from their doctors and their health insurance plan must cover all costs associated with such contraceptive products. In January and July of 2022, the DHHS, Department of Labor, and Treasury Department jointly issued guidance on implementation of this ACA mandate, among other things. The federal guidance makes clear that all FDA-approved or cleared contraceptive products that are determined by an individual’s medical provider to be medically appropriate for such individual must be covered without cost sharing, regardless of whether the product is specifically identified in a Birth Control Guide published by the FDA. Any future repeal or elimination of the ACA’s preventive care coverage rules would mean that women seeking to use prescribed forms of contraceptives may have to pay some portion of the cost for such products out-of-pocket, which could deter some women from using prescription contraceptive products or branded prescription contraceptive products, including Ovaprene and our other investigational contraceptive products, if and when approved by the FDA.</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As no FDA-approved treatments for FSAD currently exist, there is little precedent to help assess whether health insurance plans will cover Sildenafil Cream, if approved for commercial sale.</w:t>
      </w:r>
    </w:p>
    <w:p>
      <w:pPr>
        <w:spacing w:after="0" w:line="3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Sildenafil Cream is being developed for female sexual arousal disorder, a life altering, but not a life threatening, condition. Hence, there is no assurance that third-party reimbursement will be available for Sildenafil Cream, if approved for commercial sale. Even if reimbursement becomes available, the amount of such reimbursement may not make our product affordable to women and profitable to us. Insurers may deem Sildenafil Cream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fails to obtain insurance coverage, or if the patient’s share of the cost is deemed to be expensive, a market may never develop for Sildenafil Cream, which would have a material adverse effect on our financial condition and prospects.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commercial success of products we develop, if approved for commercial sale, will be impacted by the prescribing information approved by the FDA and comparable regulatory authorities outside the U.S.</w:t>
      </w:r>
    </w:p>
    <w:p>
      <w:pPr>
        <w:spacing w:after="0" w:line="3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commercial success of any products we develop will significantly depend upon our ability, or that of our commercial collaborator, to obtain approval from the FDA and other regulatory authorities of prescribing information for the product that adequately describes expected features or benefits. Failure to achieve such approval will prevent or substantially limit our or our collaborators’ ability to advertise and promote such features and benefits in order to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5" w:name="page96"/>
    <w:bookmarkEnd w:id="95"/>
    <w:p>
      <w:pPr>
        <w:jc w:val="both"/>
        <w:spacing w:after="0" w:line="281" w:lineRule="auto"/>
        <w:rPr>
          <w:sz w:val="20"/>
          <w:szCs w:val="20"/>
          <w:color w:val="auto"/>
        </w:rPr>
      </w:pPr>
      <w:r>
        <w:rPr>
          <w:rFonts w:ascii="Arial" w:cs="Arial" w:eastAsia="Arial" w:hAnsi="Arial"/>
          <w:sz w:val="17"/>
          <w:szCs w:val="17"/>
          <w:color w:val="auto"/>
        </w:rPr>
        <w:t>differentiate our products from competing products. This failure could have a material adverse effect on our business, financial condition, results of operations and prospects.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Manufacturing disruptions could cause significant delays and disruption in the commercial launch and/or supply shortages of any product we develop.</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manufacture of drug products and drug/device combination products can be complex and is subject to compliance with extensive regulatory requirements and we are dependent on, and expect to continue to rely on, contract manufacturers and other third parties to supply our products and their components. Manufacturing disruptions may occur, including as a result of scaling up production to meet commercial requirements or due to global supply chain disruptions. Such problems may prevent the production of lots that meet the specifications required for sale of a product and may be difficult and expensive to resolve. To the extent we or our commercial collaborators rely on single source contract manufacturers and suppliers, if disruptions occur in the operations of any one of those third parties, there may be immediate shortages of our products. If any such issues were to arise, we could lose sales and associated revenue, incur additional costs, delay commercial launch of new products or suffer harm to our reputation.</w:t>
      </w:r>
    </w:p>
    <w:p>
      <w:pPr>
        <w:spacing w:after="0" w:line="76"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See above: “Risks Related to Product Research &amp; Development and Regulatory Approval-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“Risks Related to Our Dependence on Third Parties-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increase the risk of manufacturing disruptions, and result in higher development costs or costs of goods sold.”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competitors obtain approval for generic versions of our products, our business may suffer.</w:t>
      </w:r>
    </w:p>
    <w:p>
      <w:pPr>
        <w:spacing w:after="0" w:line="10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XACIATO and any future product we develop may face direct competition from generic products earlier or more aggressively than anticipated, depending upon the product's success in the market. In addition to creating the 505(b)(2) NDA pathway, the Hatch-Waxman Act amendments to the FDCA authorized the FDA to approve generic drugs that are the same as drugs previously approved for marketing under the NDA provisions of the statute pursuant to abbreviated new drug applications, or ANDAs. An ANDA relies on the nonclinical and clinical testing conducted for a previously approved reference listed drug, or RLD, and must demonstrate to the FDA that the generic drug product is identical to the RLD with respect to the active ingredients, the route of administration, the dosage form, and the strength of the drug and also that it is “bioequivalent” to the RLD. The FDA is prohibited by statute from approving an ANDA when certain marketing or data exclusivity protections apply to the RLD. If a third party is able to demonstrate bioequivalence without infringing our patents or if a data exclusivity period granted to a product under the FDCA is successfully challenged, a third party may be able to introduce a competing generic product onto the market before the expiration of the applicable patents or exclusivity period under the FDCA. Reduction or loss of periods of market exclusivity for our products could negatively affect our business, operating results and financial condition.</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will need to obtain FDA approval of any proposed prescription medical product name, and any failure or delay associated with such approval may adversely affect our business.</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Any name we intend to use for our current or future product candidates will require approval from the FDA regardless of whether we have secured a formal trademark registration from the U.S. Patent and Trademark Office, or USPTO. The FDA typically conducts a review of proposed new prescription medical product names, including an evaluation of the potential for confusion with other product names. The FDA may also object to a proposed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such as Ovaprene, as well as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or a commercial collaborator may be unable to build a successful brand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identity for a new trademark in a timely manner or at all, which would limit our or our collaborator’s ability to commercialize our product candidates.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Even if we receive marketing approval from the FDA, we may fail to receive similar approvals outside the U.S., which could substantially limit the value of our products.</w:t>
      </w:r>
    </w:p>
    <w:p>
      <w:pPr>
        <w:spacing w:after="0" w:line="3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To market any product outside the U.S., we, or our commercial collaborators,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U.S., as well as other risks. Further, for approval in foreign jurisdictions, we may not have rights to reference the necessary clinical and nonclinical data that we do not own or have licensed rights to use, as we anticipate doing under the 505(b)(2) regulatory pathway in the U.S., and we, or our commercial collaborator, may have to conduct further nonclinical studies or clinical trials or develop other additional data to seek approvals in other jurisdictions. In addition, in many countries outside the U.S., a new product must receive pricing and reimbursement approval prior to commercialization. This can result in substantial delays in these countries. Additionally, the product labeling requirements outside the U.S. may be different and inconsistent with the U.S. labeling requirements, negatively affecting our ability to market our products in countries outside the U.S.</w:t>
      </w:r>
    </w:p>
    <w:p>
      <w:pPr>
        <w:spacing w:after="0" w:line="7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addition, we may be subject to fines, suspension or withdrawal of marketing approvals, product recalls, seizure of products, operating restrictions and criminal prosecution if we, or our commercial collaborator, fail to comply with applicable foreign regulatory requirements. In such an event, our ability, or our commercial collaborator’s ability, to market to the full target market for our products will be reduced and the full market potential of our products may not be realized, which could have a material adverse effect on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Section 503B Compounding</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plan to generate revenue from sales of DARE to PLAY and other potential 503B compounded drugs, but we have limited experience in this line of business and may not be successful in our efforts.</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One aspect of our 503B business strategy is to enter into arrangements with outsourcing facilities through which we can generate revenue from sales of DARE to PLAY and other potential 503B compounded drugs produced by those outsourcing facilities under Section 503B. Other than entering an arrangement with Bravado, the 503B outsourcing facility for DARE to PLAY, in 2025, we have never entered into arrangements with outsourcing facilities. Although we have entered into the arrangement with Bravado, we may need to identify and enter into additional satisfactory arrangements with one or more other outsourcing facilities in order to successfully execute our commercialization strategy, and no assurances can be given that we will be successful in doing so on commercially reasonable terms or at all. Even if we are successful in this regard, we may not generate sufficient revenue to recover our costs. Establishing such additional arrangements could be expensive and time consuming, disrupt our other operations, require significant capital expenditures and distract management and our other employees from other aspects of our business.</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and will remain reliant on Section 503B-registered outsourcing facilities to produce DARE to PLAY and potentially other 503B compounded drugs, and their failure to adequately perform their obligations could harm our reputation, business and financial condition.</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have entered into an arrangement with one outsourcing facility for the compounding and distribution of DARE to PLAY, and we may enter into additional arrangements with one or more outsourcing facilities for DARE to PLAY or other potential 503B compounded drugs. We are reliant on our current outsourcing facility, and will be reliant on any future outsourcing facilities, to compound and distribute DARE to PLAY and any other 503B compounded drugs, and to comply with applicable statutory and regulatory requirements, including FDA's cGMP regulations and related FDA guidance for drugs compounded at outsourcing facilities. Outsourcing facilities have been subject to increased scrutiny of their compounding activities by the FDA and state governmental agencies. Governmental inquiries or actions or litigation brought against us or any of our outsourcing facilities, whether or not such inquiry, action or litigation ultimately results in penalties, changes to our business practices or other consequences, could have an adverse effect on our reputation, business and financial condition. We are also reliant on suppliers that supply sildenafil citrate and potentially other active pharmaceutical ingredients to the outsourcing facilities. We do not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7" w:name="page98"/>
    <w:bookmarkEnd w:id="97"/>
    <w:p>
      <w:pPr>
        <w:spacing w:after="0" w:line="281" w:lineRule="auto"/>
        <w:rPr>
          <w:sz w:val="20"/>
          <w:szCs w:val="20"/>
          <w:color w:val="auto"/>
        </w:rPr>
      </w:pPr>
      <w:r>
        <w:rPr>
          <w:rFonts w:ascii="Arial" w:cs="Arial" w:eastAsia="Arial" w:hAnsi="Arial"/>
          <w:sz w:val="17"/>
          <w:szCs w:val="17"/>
          <w:color w:val="auto"/>
        </w:rPr>
        <w:t>control or direct the compounding or distribution process used by these parties, and we have no control over their ability to maintain adequate quality control, quality assurance and qualified personnel. These arrangements also involve other risks, including:</w:t>
      </w:r>
    </w:p>
    <w:p>
      <w:pPr>
        <w:spacing w:after="0" w:line="48" w:lineRule="exact"/>
        <w:rPr>
          <w:sz w:val="20"/>
          <w:szCs w:val="20"/>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inability of third parties to consistently meet product specifications and quality requirements;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delay or inability to procure or expand sufficient manufacturing capacity;</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issues related to scale-up of manufacturing;</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costs and validation of new equipment and facilities required for scale-up;</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 parties may not be able to appropriately execute necessary manufacturing procedures and other logistical support requirements;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 parties may fail to comply with cGMP requirements and other FDA or other comparable regulatory requirements;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breach, termination or non-renewal of agreements in a manner or at a time that is costly or damaging to us;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inability to procure or maintain state licenses in those states into which DARE to PLAY or any other 503B compounded drugs are shipped;</w:t>
      </w:r>
    </w:p>
    <w:p>
      <w:pPr>
        <w:spacing w:after="0" w:line="68" w:lineRule="exact"/>
        <w:rPr>
          <w:rFonts w:ascii="Arial" w:cs="Arial" w:eastAsia="Arial" w:hAnsi="Arial"/>
          <w:sz w:val="16"/>
          <w:szCs w:val="16"/>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 parties may not devote sufficient resources to our needs;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operations of third parties could be disrupted by conditions unrelated to our business or operations; and</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logistics carrier disruptions or increased costs that are beyond our control.</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to the risks enumerated above, our ability to commence and sustain commercial distribution of potential 503B compounded drugs is subject to the completion of process validation at outsourcing facilities we engage. Under FDA's cGMP regulations applicable to Section 503B outsourcing facilities, commercial distribution of a compounded drug formulation from a Section 503B outsourcing facility generally requires the satisfactory completion of process validation protocols demonstrating that the manufacturing process consistently produces a product meeting its predetermined specifications and quality attributes. As of the date of this report, process validation for DARE to PLAY has not been completed. Until process validation is successfully completed, commercial distribution of DARE to PLAY may be delayed. Process validation may take longer than anticipated, may reveal deficiencies requiring remediation, or may ultimately not be achievable with the current outsourcing facility, any of which could materially delay or prevent the commercial launch of a potential 503B compounded drug.</w:t>
      </w:r>
    </w:p>
    <w:p>
      <w:pPr>
        <w:spacing w:after="0" w:line="76"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Adverse developments affecting the supply of sildenafil citrate or other active pharmaceutical ingredients, or the compounding or distribution operations of parties involved in the compounding and distribution of DARE to PLAY or any other 503B compounded drugs, may result in lot failures, inventory shortages, shipment delays, product withdrawals or recalls or other interruptions in the availability of DARE to PLAY or such other 503B compounded drugs. We may also have to undertake costly remediation efforts, or seek more costly supply, compounding and distribution alternatives.</w:t>
      </w:r>
    </w:p>
    <w:p>
      <w:pPr>
        <w:spacing w:after="0" w:line="5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Some of these events could be the basis for FDA action, including injunction, request for recall, seizure, total or partial suspension of production, or issuance of a Form 483 or Warning Letter.</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Our commercialization strategy for DARE to PLAY and other potential 503B compounded drugs relies on, and will rely on, third-party telehealth platforms, dispensing pharmacies, and other commercial partners, which subjects us to a variety of regulations and related potential liability.</w:t>
      </w:r>
    </w:p>
    <w:p>
      <w:pPr>
        <w:spacing w:after="0" w:line="5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have entered into arrangements with third-party telehealth platforms, dispensing pharmacies, and other commercial partners in connection with bringing DARE to PLAY to market, and we may enter into additional arrangements for DARE to PLAY or other 503B compounded drugs we seek to bring to market. The FDA has intensified its enforcement posture with respect to the promotion and advertising of compounded drugs, and particularly compounded products marketed through telehealth channels. In September 2025, the FDA announced measures to address misleading direct-to-consumer prescription drug advertisements and issued enforcement correspondence directed at compounding pharmacies and telehealth companies for misleading claims about compounded drugs, including compounded sildenafil specifically. The FTC also actively monitors advertising and marketing claims for consumer health and pharmaceutical products and may take enforcement action against claims it deems to be unfair or deceptive. Allegations, litigation, or regulatory investigations brought against us or any of our commercial partners relating to the promotion, advertising, fulfillment, distribution, and/or sale of any of the 503B compounded drugs we bring to market, whether or not such litigation or investigation ultimately results in penalties, changes to our business practices or other consequences, could have an adverse effect on our reputation, business and financial condition.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8" w:name="page99"/>
    <w:bookmarkEnd w:id="98"/>
    <w:p>
      <w:pPr>
        <w:jc w:val="both"/>
        <w:ind w:firstLine="607"/>
        <w:spacing w:after="0" w:line="264" w:lineRule="auto"/>
        <w:rPr>
          <w:sz w:val="20"/>
          <w:szCs w:val="20"/>
          <w:color w:val="auto"/>
        </w:rPr>
      </w:pPr>
      <w:r>
        <w:rPr>
          <w:rFonts w:ascii="Arial" w:cs="Arial" w:eastAsia="Arial" w:hAnsi="Arial"/>
          <w:sz w:val="17"/>
          <w:szCs w:val="17"/>
          <w:color w:val="auto"/>
        </w:rPr>
        <w:t>The litigation and regulatory proceedings we could face may be protracted and expensive, and the results are difficult to predict. Such litigation or regulatory proceedings and investigations, unexpected side effects or safety or efficacy concerns with DARE to PLAY or any other 503B compounded drug we bring to market or related negative publicity could have an adverse effect on our reputation, business and financial condition.</w:t>
      </w:r>
    </w:p>
    <w:p>
      <w:pPr>
        <w:spacing w:after="0" w:line="6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the practice of telemedicine, and the prescribing of compounded prescription drugs through telehealth platforms, is subject to a patchwork of state laws governing the practice of medicine, prescribing, and pharmacy licensure. The ability of our dispensing pharmacy partners to ship compounded drug products to patients may be limited by state pharmacy laws and licensure requirements, and any inability of our commercial partners to procure or maintain required state licenses could restrict or prevent distribution of DARE to PLAY or any other 503B compounded drug in certain states, which could materially limit our addressable market. State legislatures and regulators continue to develop and revise rules governing telehealth prescribing, including with respect to the establishment of valid prescriber-patient relationships, mandatory in-person examination requirements, and permissible modalities for telehealth consultations. Changes in state law or enforcement of existing requirements could restrict or eliminate our commercial partners' ability to prescribe, dispense, and ship DARE to PLAY or any other 503B compounded drug in particular states.</w:t>
      </w:r>
    </w:p>
    <w:p>
      <w:pPr>
        <w:spacing w:after="0" w:line="7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cannot guarantee that all promotional materials, digital marketing, social media content, or other patient-facing communications generated or used by us or our commercial partners will fully comply with FDA, FTC, and applicable state requirements at all times. Any finding of non-compliance — whether directed at us or at a commercial partner — could result in warning letters, required corrective advertising, civil penalties, injunctive relief, or other enforcement action, and could require material changes to our marketing practices. Even if any such enforcement action is ultimately resolved in our favor, it could negatively affect demand for the 503B compounded drugs we bring to market, harm our reputation, and adversely affect our business.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Achieving and maintaining market acceptance of DARE to PLAY produced and distributed under Section 503B could be negatively impacted by perceived risks associated with compounded drugs.</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Compounded drugs are not FDA-approved products; lawfully compounded drugs are specifically exempt from FDA approval pursuant to Section 503B(a). Some physicians may be hesitant to prescribe, and some patients may be hesitant to purchase and use, a compounded drug for a variety of reasons, including because it is not required to be, and has not been, approved for marketing and sale by the FDA. In addition, certain outsourcing facilities have experienced both facility and product quality issues and been the subject of negative media coverage and litigation, and the actions of these facilities have resulted in increased scrutiny of compounding activities. Our ability to generate revenue from sales of DARE to PLAY produced and distributed under Section 503B will be adversely impacted if we are unable to achieve and maintain market acceptance for it.</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Sildenafil citrate must remain on the list of bulk substances that may be used in compounding under Section 503B, and if it were to be removed, we would be unable to offer DARE to PLAY under Section 503B.</w:t>
      </w:r>
    </w:p>
    <w:p>
      <w:pPr>
        <w:spacing w:after="0" w:line="3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Sildenafil citrate is currently listed among those nominated substances for which bulk drug substance may be used in compounding by Section 503B-registered outsourcing facilities; the so-called "Category 1" list pending FDA’s evaluation. However, we have no control over whether sildenafil citrate will remain on the list of bulk drug substance that may be used in compounding by outsourcing facilities or for how long. If sildenafil citrate is removed from the list, we would be unable to offer DARE to PLAY via a Section 503B-registered outsourcing facility, and it could harm our reputation, business and financial condition.</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addition, a third party could request that the FDA remove sildenafil citrate from the list of bulk substances that may be used in compounding by Section 503B-registered outsourcing facilities. If removed from such list, outsourcing facilities would be prohibited from producing any compounded drug that includes sildenafil citrate, including DARE to PLAY. For information regarding how the FDA intends to evaluate whether there exists a clinical need for compounding with a bulk drug substance, see "Regulation of Compounded Drugs," below.</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a compounded drug formulation provided by an outsourcing facility leads to patient injury or death, or results in a product recall, we may be exposed to significant liability and reputational harm.</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success of DARE to PLAY produced and distributed under Section 503B will depend to a significant extent upon perceptions of product quality. We could be adversely affected if DARE to PLAY is subject to negative publicity. We could also be adversely affected if it or similar products sold by other companies, or any products sold by outsourcing facilities that produce DARE to PLAY, prove to be, or are alleged or asserted to be, harmful to patients. There are a number of factors that could result in the injury or death of a patient who takes a compounded drug, including quality issues, manufacturing or labeling flaws, improper packaging or unanticipated or improper distribution or other uses of the compounded drug, any of which could result from human or other error. Any of these situations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9" w:name="page100"/>
    <w:bookmarkEnd w:id="99"/>
    <w:p>
      <w:pPr>
        <w:jc w:val="both"/>
        <w:spacing w:after="0" w:line="276" w:lineRule="auto"/>
        <w:rPr>
          <w:sz w:val="20"/>
          <w:szCs w:val="20"/>
          <w:color w:val="auto"/>
        </w:rPr>
      </w:pPr>
      <w:r>
        <w:rPr>
          <w:rFonts w:ascii="Arial" w:cs="Arial" w:eastAsia="Arial" w:hAnsi="Arial"/>
          <w:sz w:val="16"/>
          <w:szCs w:val="16"/>
          <w:color w:val="auto"/>
        </w:rPr>
        <w:t>could lead to a recall of, or safety alert relating to, the compounded drug. Similarly, to the extent any of the ingredients used to produce a compounded drug have quality or other problems that adversely affect the finished compounded drug, its sales could be adversely affected. Because of our dependence upon perceptions of prescribing physicians and their patients, any adverse publicity associated with illness or other adverse effects resulting from the use or misuse of DARE to PLAY produced and distributed under Section 503B, any similar product sold by other companies, or related to compounded formulations generally, could have a material adverse impact on our reputation, business,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Employee Matters and Managing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relatively small number of employees to manage and operate our business.</w:t>
      </w:r>
    </w:p>
    <w:p>
      <w:pPr>
        <w:spacing w:after="0" w:line="10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As of March 25, 2026, we had 24 employees. Our focus on controlling our cash utilization requires us to manage and operate our business in a highly efficient manner, relying on consultants and other third-party service providers for product development and operational expertise we require, and to limit full-time personnel resources. With a small number of employees, our ability to supervise the service providers we engage, including our CMOs and CROs,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7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addition, due to our small workforce, if multiple employees were to become unable to work for a protracted period for any reason, or if they were to resign at roughly the same time, our business could suffer. Our ability to effectively manage and operate our business could become significantly impaired and our expenses could increase materially, including as a result of expenditures related to recruiting, hiring and training qualified new employees and engaging additional consultants and service providers to perform the job responsibilities of the employees on leave or who resign. If we or our collaborators or service providers experience staffing shortages, it may result in significant delays in our anticipated development program timelines.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Our ability to compete in the highly competitive biopharmaceutical industry depends upon our ability to attract and retain highly qualified managerial and key personnel. We depend highly on our senior management. Losing the services of our senior management, and our chief executive officer in particular, could impede, delay or prevent the development and commercialization of our product candidates, harm our ability to raise additional funds and negatively impact our ability to implement our business plan. If we lose the services of any of our senior management team, we might not find suitable replacements on a timely basis or at all, and our business could be materially harmed. We do not maintain “key man” insurance policies on the lives of any of our senior management employees.</w:t>
      </w:r>
    </w:p>
    <w:p>
      <w:pPr>
        <w:spacing w:after="0" w:line="7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might not attract or retain qualified management and other key personnel in the future due to the intense competition for qualified personnel among biopharmaceutical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Many of the other companies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New legal precedent, laws and regulations and increased levels of lawsuits by public company stockholders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may not be successful in our efforts to identify and acquire or in-license additional product candidates or technologies, which may limit our growth potential.</w:t>
      </w:r>
    </w:p>
    <w:p>
      <w:pPr>
        <w:spacing w:after="0" w:line="45"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Our business development strategy involves identifying and acquiring or in-licensing potential product candidates or technologies. We assembled our current portfolio of product candidates through the acquisition of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0" w:name="page101"/>
    <w:bookmarkEnd w:id="100"/>
    <w:p>
      <w:pPr>
        <w:spacing w:after="0" w:line="281" w:lineRule="auto"/>
        <w:rPr>
          <w:sz w:val="20"/>
          <w:szCs w:val="20"/>
          <w:color w:val="auto"/>
        </w:rPr>
      </w:pPr>
      <w:r>
        <w:rPr>
          <w:rFonts w:ascii="Arial" w:cs="Arial" w:eastAsia="Arial" w:hAnsi="Arial"/>
          <w:sz w:val="17"/>
          <w:szCs w:val="17"/>
          <w:color w:val="auto"/>
        </w:rPr>
        <w:t>companies and assets and in-licensing transactions beginning in 2017. We may engage in strategic transactions that could cause us to incur additional liabilities, commitments or significant expense.</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These efforts may not be successful, including for reasons discussed in elsewhere in this Risk Factors section and also:</w:t>
      </w:r>
    </w:p>
    <w:p>
      <w:pPr>
        <w:spacing w:after="0" w:line="138" w:lineRule="exact"/>
        <w:rPr>
          <w:sz w:val="20"/>
          <w:szCs w:val="20"/>
          <w:color w:val="auto"/>
        </w:rPr>
      </w:pPr>
    </w:p>
    <w:p>
      <w:pPr>
        <w:ind w:left="900" w:hanging="292"/>
        <w:spacing w:after="0"/>
        <w:tabs>
          <w:tab w:leader="none" w:pos="900" w:val="left"/>
        </w:tabs>
        <w:numPr>
          <w:ilvl w:val="0"/>
          <w:numId w:val="44"/>
        </w:numPr>
        <w:rPr>
          <w:rFonts w:ascii="Arial" w:cs="Arial" w:eastAsia="Arial" w:hAnsi="Arial"/>
          <w:sz w:val="20"/>
          <w:szCs w:val="20"/>
          <w:color w:val="auto"/>
        </w:rPr>
      </w:pPr>
      <w:r>
        <w:rPr>
          <w:rFonts w:ascii="Arial" w:cs="Arial" w:eastAsia="Arial" w:hAnsi="Arial"/>
          <w:sz w:val="17"/>
          <w:szCs w:val="17"/>
          <w:color w:val="auto"/>
        </w:rPr>
        <w:t>we may fail to appropriately evaluate the potential risks and uncertainties associated with a transaction;</w:t>
      </w:r>
    </w:p>
    <w:p>
      <w:pPr>
        <w:spacing w:after="0" w:line="68" w:lineRule="exact"/>
        <w:rPr>
          <w:rFonts w:ascii="Arial" w:cs="Arial" w:eastAsia="Arial" w:hAnsi="Arial"/>
          <w:sz w:val="20"/>
          <w:szCs w:val="20"/>
          <w:color w:val="auto"/>
        </w:rPr>
      </w:pPr>
    </w:p>
    <w:p>
      <w:pPr>
        <w:ind w:left="920" w:right="360" w:hanging="312"/>
        <w:spacing w:after="0" w:line="239" w:lineRule="auto"/>
        <w:tabs>
          <w:tab w:leader="none" w:pos="915" w:val="left"/>
        </w:tabs>
        <w:numPr>
          <w:ilvl w:val="0"/>
          <w:numId w:val="44"/>
        </w:numPr>
        <w:rPr>
          <w:rFonts w:ascii="Arial" w:cs="Arial" w:eastAsia="Arial" w:hAnsi="Arial"/>
          <w:sz w:val="20"/>
          <w:szCs w:val="20"/>
          <w:color w:val="auto"/>
        </w:rPr>
      </w:pPr>
      <w:r>
        <w:rPr>
          <w:rFonts w:ascii="Arial" w:cs="Arial" w:eastAsia="Arial" w:hAnsi="Arial"/>
          <w:sz w:val="17"/>
          <w:szCs w:val="17"/>
          <w:color w:val="auto"/>
        </w:rPr>
        <w:t>there may be intense competition to acquire or in-license promising product candidates and technologies and many of our competitors have considerably more financial, development and commercialization resources than we have;</w:t>
      </w:r>
    </w:p>
    <w:p>
      <w:pPr>
        <w:spacing w:after="0" w:line="61" w:lineRule="exact"/>
        <w:rPr>
          <w:rFonts w:ascii="Arial" w:cs="Arial" w:eastAsia="Arial" w:hAnsi="Arial"/>
          <w:sz w:val="20"/>
          <w:szCs w:val="20"/>
          <w:color w:val="auto"/>
        </w:rPr>
      </w:pPr>
    </w:p>
    <w:p>
      <w:pPr>
        <w:ind w:left="900" w:hanging="292"/>
        <w:spacing w:after="0"/>
        <w:tabs>
          <w:tab w:leader="none" w:pos="900" w:val="left"/>
        </w:tabs>
        <w:numPr>
          <w:ilvl w:val="0"/>
          <w:numId w:val="44"/>
        </w:numPr>
        <w:rPr>
          <w:rFonts w:ascii="Arial" w:cs="Arial" w:eastAsia="Arial" w:hAnsi="Arial"/>
          <w:sz w:val="20"/>
          <w:szCs w:val="20"/>
          <w:color w:val="auto"/>
        </w:rPr>
      </w:pPr>
      <w:r>
        <w:rPr>
          <w:rFonts w:ascii="Arial" w:cs="Arial" w:eastAsia="Arial" w:hAnsi="Arial"/>
          <w:sz w:val="17"/>
          <w:szCs w:val="17"/>
          <w:color w:val="auto"/>
        </w:rPr>
        <w:t>we may not effectively integrate the acquired or in-licensed assets, businesses, personnel, intellectual property or business relationships;</w:t>
      </w:r>
    </w:p>
    <w:p>
      <w:pPr>
        <w:spacing w:after="0" w:line="80" w:lineRule="exact"/>
        <w:rPr>
          <w:rFonts w:ascii="Arial" w:cs="Arial" w:eastAsia="Arial" w:hAnsi="Arial"/>
          <w:sz w:val="20"/>
          <w:szCs w:val="20"/>
          <w:color w:val="auto"/>
        </w:rPr>
      </w:pPr>
    </w:p>
    <w:p>
      <w:pPr>
        <w:ind w:left="920" w:right="100" w:hanging="312"/>
        <w:spacing w:after="0" w:line="239" w:lineRule="auto"/>
        <w:tabs>
          <w:tab w:leader="none" w:pos="915" w:val="left"/>
        </w:tabs>
        <w:numPr>
          <w:ilvl w:val="0"/>
          <w:numId w:val="44"/>
        </w:numPr>
        <w:rPr>
          <w:rFonts w:ascii="Arial" w:cs="Arial" w:eastAsia="Arial" w:hAnsi="Arial"/>
          <w:sz w:val="20"/>
          <w:szCs w:val="20"/>
          <w:color w:val="auto"/>
        </w:rPr>
      </w:pPr>
      <w:r>
        <w:rPr>
          <w:rFonts w:ascii="Arial" w:cs="Arial" w:eastAsia="Arial" w:hAnsi="Arial"/>
          <w:sz w:val="17"/>
          <w:szCs w:val="17"/>
          <w:color w:val="auto"/>
        </w:rPr>
        <w:t>we may underestimate the development and regulatory approval challenges, costs and timelines and overestimate the market opportunity for the potential product candidates and technologies; and</w:t>
      </w:r>
    </w:p>
    <w:p>
      <w:pPr>
        <w:spacing w:after="0" w:line="61" w:lineRule="exact"/>
        <w:rPr>
          <w:rFonts w:ascii="Arial" w:cs="Arial" w:eastAsia="Arial" w:hAnsi="Arial"/>
          <w:sz w:val="20"/>
          <w:szCs w:val="20"/>
          <w:color w:val="auto"/>
        </w:rPr>
      </w:pPr>
    </w:p>
    <w:p>
      <w:pPr>
        <w:ind w:left="900" w:hanging="292"/>
        <w:spacing w:after="0"/>
        <w:tabs>
          <w:tab w:leader="none" w:pos="900" w:val="left"/>
        </w:tabs>
        <w:numPr>
          <w:ilvl w:val="0"/>
          <w:numId w:val="44"/>
        </w:numPr>
        <w:rPr>
          <w:rFonts w:ascii="Arial" w:cs="Arial" w:eastAsia="Arial" w:hAnsi="Arial"/>
          <w:sz w:val="20"/>
          <w:szCs w:val="20"/>
          <w:color w:val="auto"/>
        </w:rPr>
      </w:pPr>
      <w:r>
        <w:rPr>
          <w:rFonts w:ascii="Arial" w:cs="Arial" w:eastAsia="Arial" w:hAnsi="Arial"/>
          <w:sz w:val="17"/>
          <w:szCs w:val="17"/>
          <w:color w:val="auto"/>
        </w:rPr>
        <w:t>during development, the acquired or in-licensed product candidates may not prove to be safe or effective in their targeted indications.</w:t>
      </w:r>
    </w:p>
    <w:p>
      <w:pPr>
        <w:spacing w:after="0" w:line="14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may fail to realize the anticipated value of any strategic transaction and the costs of a transaction may outweigh the benefits we realize from it. In addition, we have used shares of our common stock as consideration in strategic transactions and we may do so in the future, which may result in significant dilution to our stockholders. Any strategic transaction we pursue may not produce the outcomes and benefits we originally anticipated and may adversely impact our operating results and financial condition and be detrimental to our company in general.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Intellectual Property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If we and our licensors are unable to obtain and maintain sufficient intellectual property protection, competitors could develop, market, commercialize or make available products similar or identical to ours, which could significantly limit the commercial potential of our products and product candidates and materially harm our business, financial condition, results of operations, and prospects.</w:t>
      </w:r>
    </w:p>
    <w:p>
      <w:pPr>
        <w:spacing w:after="0" w:line="5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Our success depends in part on our ability, and the ability of our licensors, to obtain, maintain, enforce, and defend patent rights, proprietary know-how, and trademarks of sufficient scope in the U.S. and other countries with respect to our products, product candidates and proprietary technologies. If we are unable to obtain, maintain, enforce and defend sufficient intellectual property protection, our business, financial condition, results of operations and prospects could be materially harmed.</w:t>
      </w:r>
    </w:p>
    <w:p>
      <w:pPr>
        <w:spacing w:after="0" w:line="6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depend heavily on patent rights and other intellectual property in-licensed to us from third parties to protect most of the products and technologies we develop. For some such rights, our third-party licensors control patent strategy and prosecution and we have little, if any, influence or control over such patent strategy and prosecution, and our licensors may not always act in our best interest.</w:t>
      </w:r>
    </w:p>
    <w:p>
      <w:pPr>
        <w:spacing w:after="0" w:line="6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6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1" w:name="page102"/>
    <w:bookmarkEnd w:id="101"/>
    <w:p>
      <w:pPr>
        <w:jc w:val="both"/>
        <w:ind w:firstLine="607"/>
        <w:spacing w:after="0" w:line="250" w:lineRule="auto"/>
        <w:rPr>
          <w:sz w:val="20"/>
          <w:szCs w:val="20"/>
          <w:color w:val="auto"/>
        </w:rPr>
      </w:pPr>
      <w:r>
        <w:rPr>
          <w:rFonts w:ascii="Arial" w:cs="Arial" w:eastAsia="Arial" w:hAnsi="Arial"/>
          <w:sz w:val="17"/>
          <w:szCs w:val="17"/>
          <w:color w:val="auto"/>
        </w:rPr>
        <w:t>We cannot be certain if any of the patents that cover our product candidates will be eligible to be listed in the Orange Book following a drug product marketing approval.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applicant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82"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Other companies or individuals may independently develop similar or alternative technologies or duplicate our technologies. This could enable our competitors to develop a competing product that avoids infringing our patents. In such an event, our competitors might be able to enter the market, which could significantly harm the commercial opportunity for our product candidates.</w:t>
      </w:r>
    </w:p>
    <w:p>
      <w:pPr>
        <w:spacing w:after="0" w:line="6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products and product candidates are covered by valid and enforceable patents or are effectively maintained as trade secrets.</w:t>
      </w:r>
    </w:p>
    <w:p>
      <w:pPr>
        <w:spacing w:after="0" w:line="6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As an example, the complexity and uncertainty of European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enforcement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2" w:name="page103"/>
    <w:bookmarkEnd w:id="102"/>
    <w:p>
      <w:pPr>
        <w:jc w:val="both"/>
        <w:spacing w:after="0" w:line="281" w:lineRule="auto"/>
        <w:rPr>
          <w:sz w:val="20"/>
          <w:szCs w:val="20"/>
          <w:color w:val="auto"/>
        </w:rPr>
      </w:pPr>
      <w:r>
        <w:rPr>
          <w:rFonts w:ascii="Arial" w:cs="Arial" w:eastAsia="Arial" w:hAnsi="Arial"/>
          <w:sz w:val="17"/>
          <w:szCs w:val="17"/>
          <w:color w:val="auto"/>
        </w:rPr>
        <w:t>persons located in other countries will engage in development, marketing or sales activities of products that would infringe our intellectual property rights if such activities were conducted in the U.S. and enforcing our intellectual property rights against such persons may be difficult or not possible.</w:t>
      </w:r>
    </w:p>
    <w:p>
      <w:pPr>
        <w:spacing w:after="0" w:line="4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U.S. or foreign jurisdictions, our business prospects could be substantially harmed.</w:t>
      </w:r>
    </w:p>
    <w:p>
      <w:pPr>
        <w:spacing w:after="0" w:line="7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Most of the products we are developing utilize active pharmaceutical ingredients that are not proprietary to us or our licensors and the patents and patent applications owned by us and our licensors intended to protect our products and product candidates relate to specific formulations, processes, methods of delivery, and/or uses, which may not afford sufficient protection against competitors.</w:t>
      </w:r>
    </w:p>
    <w:p>
      <w:pPr>
        <w:spacing w:after="0" w:line="45"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APIs in XACIATO, Sildenafil Cream, DARE-HRT1, DARE-VVA1, DARE-HPV, and other products we are developing are not proprietary to us or our licensors. There are generic drugs available with the same APIs. The patent protection we and our licensors may obtain and maintain for such product candidates are limited to specific formulations, processes, methods of delivery, and/or uses, which may not afford us sufficient protection against competitors. For example, competitors could offer products with the same API as our products in a different formulation or delivery system or for an indication that is outside the scope of our patented formulation, system or use. The commercial opportunity for our products could be significantly harmed if competitors are able to develop or make available alternative formulations with the same APIs or better delivery approaches compared with the products we develop.</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137"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Our rights to enforce and defend patents we in-license depend upon the terms of our agreements with our third-party licensors, and in some cases, our licensors have the right to control patent enforcement litigation and defense against patent infringement litigation, and we have indemnification obligations for certain losses arising from third-party claims. We also have indemnification obligations under our out-license agreements for XACIATO and Ovaprene, which could subject us to significant liabilities that may have a material adverse effect on our business, results of operations and financial condition. Our rights to indemnification by our licensors and licensees may not be adequate to compensate us for losses or the potential loss of our ability to manufacture and sell products. If we were unsuccessful in enforcing and protecting our intellectual property rights and protecting our products, it could materially harm our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3" w:name="page104"/>
    <w:bookmarkEnd w:id="103"/>
    <w:p>
      <w:pPr>
        <w:jc w:val="both"/>
        <w:ind w:firstLine="607"/>
        <w:spacing w:after="0" w:line="250" w:lineRule="auto"/>
        <w:rPr>
          <w:sz w:val="20"/>
          <w:szCs w:val="20"/>
          <w:color w:val="auto"/>
        </w:rPr>
      </w:pPr>
      <w:r>
        <w:rPr>
          <w:rFonts w:ascii="Arial" w:cs="Arial" w:eastAsia="Arial" w:hAnsi="Arial"/>
          <w:sz w:val="17"/>
          <w:szCs w:val="17"/>
          <w:color w:val="auto"/>
        </w:rPr>
        <w:t>We cannot guarantee that we or any of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Europe and elsewhere that is relevant to or necessary for the commercialization of our product candidates in any jurisdiction. For example, in the U.S., applications filed before November 29, 2000 and certain applications filed after that date that will not be filed outside the U.S. remain confidential until patents issue. Patent applications in the U.S., EU and elsewhere are published approximately 18 months after the earliest filing for which priority is claimed, with such earliest filing date being commonly referred to as the priority date. Therefore, patent applications covering our future product candidates, or their manufacture or use may currently be unpublished.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or our licensors’ interpretation of the relevance or the scope of a patent or a pending application may be incorrect, which may negatively impact our ability to market our product candidates. We or our licensors may incorrectly determine that our product candidates are not covered by a third-party patent or may incorrectly predict whether a third party’s pending application will issue with claims of relevant scope. Our or our licensors’ determination of the expiration date of any patent in the U.S., the EU or elsewhere that we consider relevant may be incorrect, which may negatively impact our ability to develop and market our product candidates. Our licensors’ failure to identify and correctly interpret relevant patents may negatively impact our ability to develop and market our product candidates.</w:t>
      </w:r>
    </w:p>
    <w:p>
      <w:pPr>
        <w:spacing w:after="0" w:line="14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From time to time, we or our licensors may identify patents or applications in the same general area as our products and product candidates. We or our licensors may determine these third-party patents are irrelevant to our business based on various factors including our or our licensors’ interpretation of the scope of the patent claims and our or our licensors’ interpretation of when the patent expires. If the patents are asserted against us, however, a court may disagree with our or our licensors’ determinations. Further, while we or our licensors may determine that the scope of claims that will issue from a patent application does not present a risk, it is difficult to accurately predict the scope of claims that will issue from a patent application, our determination may be incorrect, and the issuing patent may be asserted against us or our licensors. We cannot guarantee that we or our licensors will be able to successfully settle or otherwise resolve such infringement claims. If we or our licensors fail in any such dispute, in addition to being forced to pay monetary damages, we may be temporarily or permanently prohibited from commercializing our product candidates. We or our licensors might, if possible, also be forced to redesign our product candidates so that we or our licensors no longer infringe on the third-party intellectual property rights. Any of these events, even if we or our licensors were ultimately to prevail, could require us to divert substantial financial and management resources that we would otherwise be able to devote to our business.</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also rely upon trade secrets to protect our technology, product and product candidates, and trade secrets can be difficult to maintain and enforce.</w:t>
      </w:r>
    </w:p>
    <w:p>
      <w:pPr>
        <w:spacing w:after="0" w:line="45"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to patent and trademark protection, we also rely on trade secrets, including unpatented know-how, technology and other proprietary information, to derive a competitive advantage for products we develop, especially where we believe patent protection is not appropriate or obtainable. However, trade secrets are difficult to maintain. Monitoring unauthorized uses and disclosures of our intellectual property is difficult, and we do not know whether the steps we have taken to protect our intellectual property will be effective. Moreover,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party illegally disclosed or obtained and is using trade secrets is difficult, expensive and time consuming and the outcome is unpredictable.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7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Our competitors may independently develop knowledge, methods and know-how equivalent to our trade secrets. Competitors may be able to legally obtain products of ours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could be harmed.</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Confidentiality agreements with employees and others may not adequately prevent disclosure of our know-how, trade secrets and other proprietary information and may not adequately protect our intellectual property, which could limit our ability to compete.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4" w:name="page105"/>
    <w:bookmarkEnd w:id="104"/>
    <w:p>
      <w:pPr>
        <w:jc w:val="both"/>
        <w:ind w:firstLine="607"/>
        <w:spacing w:after="0" w:line="251" w:lineRule="auto"/>
        <w:rPr>
          <w:sz w:val="20"/>
          <w:szCs w:val="20"/>
          <w:color w:val="auto"/>
        </w:rPr>
      </w:pPr>
      <w:r>
        <w:rPr>
          <w:rFonts w:ascii="Arial" w:cs="Arial" w:eastAsia="Arial" w:hAnsi="Arial"/>
          <w:sz w:val="17"/>
          <w:szCs w:val="17"/>
          <w:color w:val="auto"/>
        </w:rPr>
        <w:t>We enter into confidentiality and nondisclosure agreements with our employees, CROs, CMOs, consultants, collaborators, sponsored researchers, and scientific and other advisors. These agreements generally require that the other party keep confidential and not disclose to third parties all confidential information developed by the party on our behalf or made known to the party by us during the course of the party’s relationship with us. We also enter into intellectual property assignment agreements with our employees, consultants and certain other service providers, which generally provide that inventions conceived by the party in the course of rendering services to us will be our exclusive property. However, these agreements may not be honored or may not effectively assign intellectual property rights to us. We have not entered into any non-compete agreements with any of our employees. We cannot guarantee that the confidential nature of our proprietary information will be maintained by our employees and others in the course of their future employment with or provision of services to a competitor. Enforcing a claim that a party illegally disclosed or obtained and is using our know-how, trade secrets or other proprietary information is difficult, expensive and time consuming and the outcome is unpredictable. If we are unable to prevent unauthorized material disclosure of our intellectual property to third parties, we will not be able to establish or maintain a competitive advantage for the products we develop, which could materially adversely affect our business, operating results and financial condition.</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Provisions in our agreements with governmental agencies and non-profit organizations may affect our intellectual property rights and the value of our development programs to our company.</w:t>
      </w:r>
    </w:p>
    <w:p>
      <w:pPr>
        <w:spacing w:after="0" w:line="31"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Certain of our product development activities have been funded, are being funded and may in the future be funded, by the U.S. government and/or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Under our subaward agreement with VentureWell, the federal government has a nonexclusive license to obtain access to and to share research results and data, as well as certain rights, including “march-in” rights, in intellectual property conceived, made, created, developed or reduced to practice in our performance of the research activities and objectives relating to advancement of our DARE-HPV program specified in the subaward agreement, pursuant to and in accordance with the Bayh-Dole Act of 1980. During the term of the subaward agreement and for three years thereafter, we are subject to certain restrictions on foreign access to the intellectual property and other technology developed by or for us in or for the provision of such services, including restrictions on our sale or other transfer of such technology to a foreign firm or institution (which would include a sale of our company and a sale or licensing of such technology, but not sales of products or components) without the prior approval of the federal agency providing funding for the subaward agreement. Under our notice of award from NICHD to support the development of DARE-PTB1, the federal government has a royalty-free license to use the patent rights to any invention developed with federal funds support and requires that anyone exclusively licensed to sell any such invention in the U.S. to manufacture it substantially within the country, and the federal government reserves the right to require us to license any such invention to others in certain circumstances.</w:t>
      </w:r>
    </w:p>
    <w:p>
      <w:pPr>
        <w:spacing w:after="0" w:line="74"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federal agencies, in specified circumstances, to require the recipient of federal funding (the contractor) or successors in title to the patent to grant a nonexclusive, partially exclusive or exclusive license to a third party if it determines that (i) adequate steps have not been taken to achieve practical application of the invention, (ii) government action is necessary to meet public health or safety needs, (iii) government action is necessary to meet requirements for public use under federal regulations or (iv) unless the requirement has been waived, the contractor has failed to substantially manufacture in the U.S. any product embodying the subject invention that is intended for U.S. commerce. If the contractor or its successor refuses to do so, the government may grant the license itself. The federal government also has the right to take title to these inventions if the contractor or its successor fails to disclose the invention to the government or fails to file an application to register the intellectual property within specified time limits. To date, no federal agency has ever exercised march-in rights; however, the Biden administration announced that it viewed march-in rights as a legitimate means for the government to address rising pharmaceutical costs and future use of march-in rights by the government is uncertain. Any exercise by the government of march-in rights could harm our competitive position, business, financial condition, results of operations and prospects.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5" w:name="page106"/>
    <w:bookmarkEnd w:id="105"/>
    <w:p>
      <w:pPr>
        <w:jc w:val="both"/>
        <w:ind w:firstLine="607"/>
        <w:spacing w:after="0" w:line="269" w:lineRule="auto"/>
        <w:rPr>
          <w:sz w:val="20"/>
          <w:szCs w:val="20"/>
          <w:color w:val="auto"/>
        </w:rPr>
      </w:pPr>
      <w:r>
        <w:rPr>
          <w:rFonts w:ascii="Arial" w:cs="Arial" w:eastAsia="Arial" w:hAnsi="Arial"/>
          <w:sz w:val="16"/>
          <w:szCs w:val="16"/>
          <w:color w:val="auto"/>
        </w:rPr>
        <w:t>Under our grant agreements with the Foundation, we agreed to make products, services, processes, technologies, materials, software, data, other innovations, and intellectual property resulting from the respective projects funded by the respective grants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that awarded the grant a nonexclusive, perpetual, irrevocable, worldwide, royalty-free, fully paid up, sublicensable license to make, use, sell, offer to sell, import, distribute, copy, create derivative works, publicly perform, and display Funded Developments and essential background technology (referred to as the Humanitarian License). We are required to ensure that the Humanitarian License survives the assignment or transfer of Funded Developments and essential background technology. Our obligations under the Global Access Commitment and the Humanitarian License may limit the value to us of the Funded Developments.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Operations and Industry</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Disruptions at government agencies, including due to government shutdowns, other funding shortages, policy changes, leadership changes, layoffs or significant personnel turnover, or public health concerns, could impede development and potential marketing approval of our product candidates and our ability to raise additional capital.</w:t>
      </w:r>
    </w:p>
    <w:p>
      <w:pPr>
        <w:spacing w:after="0" w:line="12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Over the last several years, the U.S. government has shut down several times and certain federal regulatory agencies, such as the FDA and SEC, furloughed or laid off employees and halted non-essential operations due to the failure of Congress to pass a new appropriations bill or continuing resolution to temporarily extend funding. Political polarization among lawmakers may lead to a higher frequency and longer duration of government shutdowns in the future. A federal government shutdown or other disruption to ordinary course operations could prevent or delay staff at federal agencies from performing key functions that may adversely affect our business, and the more prolonged the disruption, the greater risks it may pose to our business. In addition, considerable uncertainty exists regarding the current U.S. presidential administration’s initiatives and how these might impact federal government agencies, including the FDA, NIH, and ARPA-H, their implementation of laws, regulations, policies, and guidance, and their personnel. Alternatively, state governments may attempt to address or react to changes at the federal level with changes to their own regulatory frameworks in a manner that is adverse to our business or operations.</w:t>
      </w:r>
    </w:p>
    <w:p>
      <w:pPr>
        <w:spacing w:after="0" w:line="137"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The ability of the FDA to review and approve new product applications or take action with respect to other regulatory matters can be affected by a variety of factors, including funding levels, ability to accept the payment of user fees, ability to hire and retain key personnel, and statutory, regulatory, and policy changes. Government funding of other government agencies that fund research and development activities is subject to the political process, which is inherently fluid and unpredictable. For example, the current U.S. presidential administration has issued certain policies and executive orders directed towards reducing, and subsequent reductions have occurred to, the employee headcount and costs associated with U.S. administrative agencies, including the FDA, and it remains unclear the degree to which these efforts may limit or otherwise adversely affect the FDA’s ability to conduct routine activities. Disruptions at the FDA may delay meetings and other communications with or on-site inspections by agency staff necessary to progress development of our product candidates and may slow the time necessary for acceptance, review, and approval of applications to commence clinical studies or to market a new product in the U.S. By way of further example, disruptions at the NIH, including its various institutes and centers, such as NICHD, could delay or prevent providing or processing new grant awards to fund research and development activities and disrupt staff’s work and other activities or funding under active grant/cooperative agreements. Moreover, reduced funding levels or leadership and policy changes at HHS agencies could negatively impact our ability to obtain additional grant awards or other non-dilutive federal funding opportunities.</w:t>
      </w:r>
    </w:p>
    <w:p>
      <w:pPr>
        <w:spacing w:after="0" w:line="1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If a federal government shutdown halts non-essential SEC operations for an extended period during which we do not have an effective shelf registration statement, it may negatively impact our ability to raise additional capital through registered offerings of our securities.</w:t>
      </w:r>
    </w:p>
    <w:p>
      <w:pPr>
        <w:spacing w:after="0" w:line="142"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If a prolonged U.S. government shutdown or other event or condition occurs that prevents or significantly delays the FDA, NIH, SEC or other regulatory agencies from hiring and retaining personnel and conducting their regular activities, or if an agency is restructured or experiences significant reduction in funding, leadership changes, workforce reduction or employee turnover, it could significantly impact the ability of these agencies to timely review and process our regulatory submissions and may impede our access to additional capital needed to maintain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expand our operations or to complete important acquisitions or other transactions, which could have a material adverse effect on our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Business interruptions resulting from public health crises, natural disasters or telecommunication and electrical failures may materially and adversely affect our business, operating results and financial condition.</w:t>
      </w:r>
    </w:p>
    <w:p>
      <w:pPr>
        <w:spacing w:after="0" w:line="3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may experience significant business disruptions as a result of a public health emergency, natural or manmade disaster, act of terrorism, war, or telecommunications or electrical failure that impacts our facilities or employees, or those of the third parties on which we rely for key business activities. The effects of such events or conditions may materially and adversely affect our product development activities in the future, including as a result of:</w:t>
      </w:r>
    </w:p>
    <w:p>
      <w:pPr>
        <w:spacing w:after="0" w:line="180" w:lineRule="exact"/>
        <w:rPr>
          <w:sz w:val="20"/>
          <w:szCs w:val="20"/>
          <w:color w:val="auto"/>
        </w:rPr>
      </w:pPr>
    </w:p>
    <w:p>
      <w:pPr>
        <w:ind w:left="600" w:right="80" w:hanging="296"/>
        <w:spacing w:after="0" w:line="239"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difficulties and delays in clinical study site initiation, including due to diversion of healthcare resources away from conducting clinical studies or delays in IRB review and approval of clinical study protocols;</w:t>
      </w:r>
    </w:p>
    <w:p>
      <w:pPr>
        <w:spacing w:after="0" w:line="61" w:lineRule="exact"/>
        <w:rPr>
          <w:rFonts w:ascii="Arial" w:cs="Arial" w:eastAsia="Arial" w:hAnsi="Arial"/>
          <w:sz w:val="20"/>
          <w:szCs w:val="20"/>
          <w:color w:val="auto"/>
        </w:rPr>
      </w:pPr>
    </w:p>
    <w:p>
      <w:pPr>
        <w:ind w:left="600" w:hanging="296"/>
        <w:spacing w:after="0"/>
        <w:tabs>
          <w:tab w:leader="none" w:pos="600"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difficulties and delays in recruiting and enrolling clinical study participants and conducting follow-up visits;</w:t>
      </w:r>
    </w:p>
    <w:p>
      <w:pPr>
        <w:spacing w:after="0" w:line="68" w:lineRule="exact"/>
        <w:rPr>
          <w:rFonts w:ascii="Arial" w:cs="Arial" w:eastAsia="Arial" w:hAnsi="Arial"/>
          <w:sz w:val="20"/>
          <w:szCs w:val="20"/>
          <w:color w:val="auto"/>
        </w:rPr>
      </w:pPr>
    </w:p>
    <w:p>
      <w:pPr>
        <w:ind w:left="600" w:right="280" w:hanging="296"/>
        <w:spacing w:after="0" w:line="239"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interruption of key clinical study activities, such as study site and data monitoring, due to operational closures or disruptions at our CROs or study sites or limitations on travel or in-person gatherings;</w:t>
      </w:r>
    </w:p>
    <w:p>
      <w:pPr>
        <w:spacing w:after="0" w:line="69" w:lineRule="exact"/>
        <w:rPr>
          <w:rFonts w:ascii="Arial" w:cs="Arial" w:eastAsia="Arial" w:hAnsi="Arial"/>
          <w:sz w:val="20"/>
          <w:szCs w:val="20"/>
          <w:color w:val="auto"/>
        </w:rPr>
      </w:pPr>
    </w:p>
    <w:p>
      <w:pPr>
        <w:ind w:left="600" w:right="160" w:hanging="296"/>
        <w:spacing w:after="0" w:line="239"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staff disruptions and turnover internally or at our CMOs, CROs, clinical study sites, collaborators or other third parties on which we rely, either directly or indirectly as a result of reallocation of resources, illness, government mandates or other changes in terms of employment;</w:t>
      </w:r>
    </w:p>
    <w:p>
      <w:pPr>
        <w:spacing w:after="0" w:line="69" w:lineRule="exact"/>
        <w:rPr>
          <w:rFonts w:ascii="Arial" w:cs="Arial" w:eastAsia="Arial" w:hAnsi="Arial"/>
          <w:sz w:val="20"/>
          <w:szCs w:val="20"/>
          <w:color w:val="auto"/>
        </w:rPr>
      </w:pPr>
    </w:p>
    <w:p>
      <w:pPr>
        <w:ind w:left="600" w:right="380" w:hanging="296"/>
        <w:spacing w:after="0" w:line="254"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difficulties and delays in production of clinical trial materials and commercial product, including due to supply chain disruptions or resource constraints or reallocation on the part of our CMOs and raw materials suppliers;</w:t>
      </w:r>
    </w:p>
    <w:p>
      <w:pPr>
        <w:spacing w:after="0" w:line="55" w:lineRule="exact"/>
        <w:rPr>
          <w:rFonts w:ascii="Arial" w:cs="Arial" w:eastAsia="Arial" w:hAnsi="Arial"/>
          <w:sz w:val="20"/>
          <w:szCs w:val="20"/>
          <w:color w:val="auto"/>
        </w:rPr>
      </w:pPr>
    </w:p>
    <w:p>
      <w:pPr>
        <w:ind w:left="600" w:right="440" w:hanging="296"/>
        <w:spacing w:after="0" w:line="239"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interruptions in U.S. or global shipping that may affect the transport and delivery of raw materials, clinical study materials and commercial product;</w:t>
      </w:r>
    </w:p>
    <w:p>
      <w:pPr>
        <w:spacing w:after="0" w:line="31" w:lineRule="exact"/>
        <w:rPr>
          <w:rFonts w:ascii="Arial" w:cs="Arial" w:eastAsia="Arial" w:hAnsi="Arial"/>
          <w:sz w:val="20"/>
          <w:szCs w:val="20"/>
          <w:color w:val="auto"/>
        </w:rPr>
      </w:pPr>
    </w:p>
    <w:p>
      <w:pPr>
        <w:ind w:left="600" w:right="600" w:hanging="296"/>
        <w:spacing w:after="0" w:line="281" w:lineRule="auto"/>
        <w:tabs>
          <w:tab w:leader="none" w:pos="59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imposition of new or increased tariffs, sanctions, import/export controls or other trade policies that significantly increase the costs of the components and raw materials used in the production of XACIATO or our product candidates;</w:t>
      </w:r>
    </w:p>
    <w:p>
      <w:pPr>
        <w:spacing w:after="0" w:line="35" w:lineRule="exact"/>
        <w:rPr>
          <w:rFonts w:ascii="Arial" w:cs="Arial" w:eastAsia="Arial" w:hAnsi="Arial"/>
          <w:sz w:val="17"/>
          <w:szCs w:val="17"/>
          <w:color w:val="auto"/>
        </w:rPr>
      </w:pPr>
    </w:p>
    <w:p>
      <w:pPr>
        <w:jc w:val="both"/>
        <w:ind w:left="600" w:right="80" w:hanging="296"/>
        <w:spacing w:after="0" w:line="243"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changes in local regulations in response to a public health emergency or other emergency situation that may require changes in the ways our clinical studies are conducted, require us to discontinue a clinical study, or make it more difficult for commercial and medical affairs field teams to call on or otherwise access healthcare providers;</w:t>
      </w:r>
    </w:p>
    <w:p>
      <w:pPr>
        <w:spacing w:after="0" w:line="58" w:lineRule="exact"/>
        <w:rPr>
          <w:rFonts w:ascii="Arial" w:cs="Arial" w:eastAsia="Arial" w:hAnsi="Arial"/>
          <w:sz w:val="20"/>
          <w:szCs w:val="20"/>
          <w:color w:val="auto"/>
        </w:rPr>
      </w:pPr>
    </w:p>
    <w:p>
      <w:pPr>
        <w:ind w:left="600" w:hanging="296"/>
        <w:spacing w:after="0"/>
        <w:tabs>
          <w:tab w:leader="none" w:pos="600" w:val="left"/>
        </w:tabs>
        <w:numPr>
          <w:ilvl w:val="0"/>
          <w:numId w:val="45"/>
        </w:numPr>
        <w:rPr>
          <w:rFonts w:ascii="Arial" w:cs="Arial" w:eastAsia="Arial" w:hAnsi="Arial"/>
          <w:sz w:val="20"/>
          <w:szCs w:val="20"/>
          <w:color w:val="auto"/>
        </w:rPr>
      </w:pPr>
      <w:r>
        <w:rPr>
          <w:rFonts w:ascii="Arial" w:cs="Arial" w:eastAsia="Arial" w:hAnsi="Arial"/>
          <w:sz w:val="17"/>
          <w:szCs w:val="17"/>
          <w:color w:val="auto"/>
        </w:rPr>
        <w:t>patient delays in seeking or receiving treatment, either due to fear of infection or inaccessibility of healthcare providers;</w:t>
      </w:r>
    </w:p>
    <w:p>
      <w:pPr>
        <w:spacing w:after="0" w:line="68" w:lineRule="exact"/>
        <w:rPr>
          <w:rFonts w:ascii="Arial" w:cs="Arial" w:eastAsia="Arial" w:hAnsi="Arial"/>
          <w:sz w:val="20"/>
          <w:szCs w:val="20"/>
          <w:color w:val="auto"/>
        </w:rPr>
      </w:pPr>
    </w:p>
    <w:p>
      <w:pPr>
        <w:ind w:left="600" w:right="220" w:hanging="296"/>
        <w:spacing w:after="0" w:line="243"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delays in interactions with the FDA or a foreign regulatory authority necessary to advance clinical development of our product candidates, or delays in their review process and timing of potential approval of our product candidates, including delays in pre-approval manufacturing or clinical study site inspections;</w:t>
      </w:r>
    </w:p>
    <w:p>
      <w:pPr>
        <w:spacing w:after="0" w:line="66" w:lineRule="exact"/>
        <w:rPr>
          <w:rFonts w:ascii="Arial" w:cs="Arial" w:eastAsia="Arial" w:hAnsi="Arial"/>
          <w:sz w:val="20"/>
          <w:szCs w:val="20"/>
          <w:color w:val="auto"/>
        </w:rPr>
      </w:pPr>
    </w:p>
    <w:p>
      <w:pPr>
        <w:ind w:left="600" w:right="60" w:hanging="296"/>
        <w:spacing w:after="0" w:line="250" w:lineRule="auto"/>
        <w:tabs>
          <w:tab w:leader="none" w:pos="595"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difficulties and delays in establishing or maintaining strategic commercial or development collaborations due to the reallocation of resources or shifting business strategies of collaborators or potential collaborators away from the women’s health market in general or our areas of focus within women’s health in particular; or</w:t>
      </w:r>
    </w:p>
    <w:p>
      <w:pPr>
        <w:spacing w:after="0" w:line="53" w:lineRule="exact"/>
        <w:rPr>
          <w:rFonts w:ascii="Arial" w:cs="Arial" w:eastAsia="Arial" w:hAnsi="Arial"/>
          <w:sz w:val="20"/>
          <w:szCs w:val="20"/>
          <w:color w:val="auto"/>
        </w:rPr>
      </w:pPr>
    </w:p>
    <w:p>
      <w:pPr>
        <w:ind w:left="600" w:hanging="296"/>
        <w:spacing w:after="0"/>
        <w:tabs>
          <w:tab w:leader="none" w:pos="600"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disruption and volatility in the financial markets which negatively impacts our access to additional capital or stock price.</w:t>
      </w:r>
    </w:p>
    <w:p>
      <w:pPr>
        <w:spacing w:after="0" w:line="14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strategies we implement designed to mitigate the effects or potential effects on our business of a public health emergency, a natural or manmade disaster, act of terrorism, war or telecommunications or electrical failure that impacts our facilities or employees or those of third parties on which we rely may not be effective. The occurrence of such an event or condition could cause significant delays in the timelines for our clinical studies, our regulatory submissions or potential marketing approvals of our product candidates, substantially increase our development costs, and delay or contribute to delays in the commercial launch of any approved product or market acceptance of the product. The longer such an event or condition persists, the greater the potential for significant adverse impacts to our business operations and those of the CROs, CMOs, commercial collaborators, and other third-party service providers and vendors on which we depend to, among other things, conduct our clinical and nonclinical studies, supply our clinical trial materials, assist with regulatory affairs necessary to advance and seek regulatory approval for our programs, and market, sell and distribute our products, if approved for commercial sale.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7" w:name="page108"/>
    <w:bookmarkEnd w:id="107"/>
    <w:p>
      <w:pPr>
        <w:jc w:val="both"/>
        <w:ind w:firstLine="607"/>
        <w:spacing w:after="0" w:line="281" w:lineRule="auto"/>
        <w:rPr>
          <w:sz w:val="20"/>
          <w:szCs w:val="20"/>
          <w:color w:val="auto"/>
        </w:rPr>
      </w:pPr>
      <w:r>
        <w:rPr>
          <w:rFonts w:ascii="Arial" w:cs="Arial" w:eastAsia="Arial" w:hAnsi="Arial"/>
          <w:sz w:val="17"/>
          <w:szCs w:val="17"/>
          <w:color w:val="auto"/>
        </w:rPr>
        <w:t>Public health emergencies, natural or manmade disasters, acts of terrorism, war or telecommunications or electrical failures may also have the effect of heightening many of the other risks and uncertainties described in this Risk Factors section.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w:t>
      </w:r>
    </w:p>
    <w:p>
      <w:pPr>
        <w:spacing w:after="0" w:line="10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face an inherent risk of product liability exposure as a result of testing of our product candidates in human clinical trials and will face an even greater risk following commercial launch of a product we develop. If we cannot successfully defend ourselves against claims that our products or product candidates caused injuries, we will incur substantial liabilities or be required to limit commercialization of our products. Regardless of merit or eventual outcome, liability claims may result in:</w:t>
      </w:r>
    </w:p>
    <w:p>
      <w:pPr>
        <w:spacing w:after="0" w:line="96" w:lineRule="exact"/>
        <w:rPr>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decreased demand for any marketed product;</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product recalls, withdrawals or labeling, marketing or promotional restrictions;</w:t>
      </w:r>
    </w:p>
    <w:p>
      <w:pPr>
        <w:spacing w:after="0" w:line="22"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termination of product development or commercial collaborations;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loss of revenue;</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withdrawal of clinical study participants and delays in commencement or completion of clinical studies;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injury to our reputation and significant negative media attention;</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significant costs to defend the related litigation;</w:t>
      </w:r>
    </w:p>
    <w:p>
      <w:pPr>
        <w:spacing w:after="0" w:line="22"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substantial monetary awards to patients or clinical study participants;</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diversion of our management’s time and other resources from pursuing our business strategy; and</w:t>
      </w:r>
    </w:p>
    <w:p>
      <w:pPr>
        <w:spacing w:after="0" w:line="10" w:lineRule="exact"/>
        <w:rPr>
          <w:rFonts w:ascii="Arial" w:cs="Arial" w:eastAsia="Arial" w:hAnsi="Arial"/>
          <w:sz w:val="20"/>
          <w:szCs w:val="20"/>
          <w:color w:val="auto"/>
        </w:rPr>
      </w:pPr>
    </w:p>
    <w:p>
      <w:pPr>
        <w:ind w:left="900" w:hanging="292"/>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17"/>
          <w:szCs w:val="17"/>
          <w:color w:val="auto"/>
        </w:rPr>
        <w:t>a decline in our stock price.</w:t>
      </w:r>
    </w:p>
    <w:p>
      <w:pPr>
        <w:spacing w:after="0" w:line="8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carry product liability insurance that we believe to be adequate for our clinical testing and product development programs and in connection with XACIATO and for our potential 503B products. However, insurance coverage is increasingly expensive, and it may be difficult to obtain adequate product liability insurance in the future. Our inability to obtain and retain sufficient product liability insurance at an acceptable cost to protect against potential product liability claims could prevent or inhibit the commercialization of any of our product candidates, if approved for commercial sale. We also have indemnification obligations to our commercial and other collaborators.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Our current or future employees, clinical investigators, commercial collaborators or service providers may engage in misconduct or other improper activities, including non-compliance with laws and regulatory standards.</w:t>
      </w:r>
    </w:p>
    <w:p>
      <w:pPr>
        <w:spacing w:after="0" w:line="45"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We may become exposed to the risk of employees, clinical investigators, commercial collaborators, CMOs, CROs, consultants or other vendors engaging in fraud or other misconduct. Misconduct by our employees or third parties on which we rely for the development and commercialization of our products and product candidates could include intentional failures, such as failures to: (1) comply with FDA or other regulators’ requirements, (2) provide accurate information to such regulators, (3) comply with clinical and nonclinical research standards and manufacturing standards established by us and/or required by the FDA or other laws and regulations, or (4) comply with SEC rules and regulations.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clinical investigators, commercial collaborators, CROs, consultants or other vendors could also involve the improper use of information obtained in the course of clinical trials, which could result in regulatory or civil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reputational harm.</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8" w:name="page109"/>
    <w:bookmarkEnd w:id="108"/>
    <w:p>
      <w:pPr>
        <w:jc w:val="both"/>
        <w:spacing w:after="0" w:line="291" w:lineRule="auto"/>
        <w:rPr>
          <w:sz w:val="20"/>
          <w:szCs w:val="20"/>
          <w:color w:val="auto"/>
        </w:rPr>
      </w:pPr>
      <w:r>
        <w:rPr>
          <w:rFonts w:ascii="Arial" w:cs="Arial" w:eastAsia="Arial" w:hAnsi="Arial"/>
          <w:sz w:val="17"/>
          <w:szCs w:val="17"/>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3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and medical devices that are granted marketing approval. Our arrangements with health care providers, commercial collaborators, principal investigators, consultants, third-party payors, customers and other organizations may expose us to broadly applicable fraud and abuse and other health care laws and regulations in the U.S. Health care fraud and abuse regulations are complex, and even minor irregularities can give rise to claims that a statute or prohibition has been violated. The laws that may affect our operations include:</w:t>
      </w:r>
    </w:p>
    <w:p>
      <w:pPr>
        <w:spacing w:after="0" w:line="69" w:lineRule="exact"/>
        <w:rPr>
          <w:sz w:val="20"/>
          <w:szCs w:val="20"/>
          <w:color w:val="auto"/>
        </w:rPr>
      </w:pPr>
    </w:p>
    <w:p>
      <w:pPr>
        <w:jc w:val="both"/>
        <w:ind w:left="920" w:hanging="312"/>
        <w:spacing w:after="0" w:line="252"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73" w:lineRule="exact"/>
        <w:rPr>
          <w:rFonts w:ascii="Arial" w:cs="Arial" w:eastAsia="Arial" w:hAnsi="Arial"/>
          <w:sz w:val="17"/>
          <w:szCs w:val="17"/>
          <w:color w:val="auto"/>
        </w:rPr>
      </w:pPr>
    </w:p>
    <w:p>
      <w:pPr>
        <w:jc w:val="both"/>
        <w:ind w:left="920" w:hanging="312"/>
        <w:spacing w:after="0" w:line="252"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76" w:lineRule="exact"/>
        <w:rPr>
          <w:rFonts w:ascii="Arial" w:cs="Arial" w:eastAsia="Arial" w:hAnsi="Arial"/>
          <w:sz w:val="17"/>
          <w:szCs w:val="17"/>
          <w:color w:val="auto"/>
        </w:rPr>
      </w:pPr>
    </w:p>
    <w:p>
      <w:pPr>
        <w:jc w:val="both"/>
        <w:ind w:left="920" w:hanging="312"/>
        <w:spacing w:after="0" w:line="253"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federal, civil and criminal statues created under HIPAA (and similar state laws), which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73" w:lineRule="exact"/>
        <w:rPr>
          <w:rFonts w:ascii="Arial" w:cs="Arial" w:eastAsia="Arial" w:hAnsi="Arial"/>
          <w:sz w:val="17"/>
          <w:szCs w:val="17"/>
          <w:color w:val="auto"/>
        </w:rPr>
      </w:pPr>
    </w:p>
    <w:p>
      <w:pPr>
        <w:jc w:val="both"/>
        <w:ind w:left="920" w:hanging="312"/>
        <w:spacing w:after="0" w:line="256"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(defined broadly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spacing w:after="0" w:line="69" w:lineRule="exact"/>
        <w:rPr>
          <w:rFonts w:ascii="Arial" w:cs="Arial" w:eastAsia="Arial" w:hAnsi="Arial"/>
          <w:sz w:val="17"/>
          <w:szCs w:val="17"/>
          <w:color w:val="auto"/>
        </w:rPr>
      </w:pPr>
    </w:p>
    <w:p>
      <w:pPr>
        <w:jc w:val="both"/>
        <w:ind w:left="920" w:hanging="312"/>
        <w:spacing w:after="0" w:line="252"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 specified requirements relating to the privacy, security and electronic exchange of individually identifiable health information, or "protected health information" when subject to HIPAA. Among other things, HITECH makes some of HIPAA’s privacy and all of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"Covered entity" or entities that must comply with HIPAA, include certain health care providers, health plans, and health care clearinghouses. HITECH also increased the civil and criminal penalties that may be imposed against covered entities, business associates and third parties unlawfully in possession of protected health information, and gave state attorneys general new authority to file civil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9" w:name="page110"/>
    <w:bookmarkEnd w:id="109"/>
    <w:p>
      <w:pPr>
        <w:ind w:left="920"/>
        <w:spacing w:after="0" w:line="281" w:lineRule="auto"/>
        <w:rPr>
          <w:sz w:val="20"/>
          <w:szCs w:val="20"/>
          <w:color w:val="auto"/>
        </w:rPr>
      </w:pPr>
      <w:r>
        <w:rPr>
          <w:rFonts w:ascii="Arial" w:cs="Arial" w:eastAsia="Arial" w:hAnsi="Arial"/>
          <w:sz w:val="17"/>
          <w:szCs w:val="17"/>
          <w:color w:val="auto"/>
        </w:rPr>
        <w:t>actions for damages or injunctions in federal courts to enforce HIPAA and seek attorney’s fees and costs associated with pursuing federal civil actions; and</w:t>
      </w:r>
    </w:p>
    <w:p>
      <w:pPr>
        <w:spacing w:after="0" w:line="48" w:lineRule="exact"/>
        <w:rPr>
          <w:sz w:val="20"/>
          <w:szCs w:val="20"/>
          <w:color w:val="auto"/>
        </w:rPr>
      </w:pPr>
    </w:p>
    <w:p>
      <w:pPr>
        <w:jc w:val="both"/>
        <w:ind w:left="920" w:hanging="312"/>
        <w:spacing w:after="0" w:line="264" w:lineRule="auto"/>
        <w:tabs>
          <w:tab w:leader="none" w:pos="9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 care professionals.</w:t>
      </w:r>
    </w:p>
    <w:p>
      <w:pPr>
        <w:spacing w:after="0" w:line="6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 care reform, especially in light of the lack of applicable precedent and regulations.</w:t>
      </w:r>
    </w:p>
    <w:p>
      <w:pPr>
        <w:spacing w:after="0" w:line="48"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The risk of violation of, and subsequent investigation and prosecution for violations of, the laws described above may be mitigated through the implementation and maintenance of compliance programs by us and our commercial collaborators and other third parties on which we rely for important aspects of development or commercialization of our products and product candidates, but these risks cannot be eliminated entirely. Ensuring that our current and future business operations and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If we or our operations, or those of a commercial collaborator or other third party on which we rely for development or commercialization of our products and product candidates, are found to be in violation of any of the laws described above or any other governmental regulations that apply to us or that third party,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7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If regulatory authorities challenge our activities, or those of a commercial collaborator or other third party on which we rely, under these laws, any such challenge could have a material adverse effect on our reputation, business, results of operations and financial condition. Any investigation of us or the third parties with whom we contract, including a commercial collaborator, regardless of the outcome, would be costly and time consuming, and may negatively affect our results of operations and financial condition.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Cyber-attacks, security breaches, loss of data and other disruptions to our information technology systems or those of our collaborators or third-party service providers could compromise sensitive information related to our business, delay or prevent us from accessing critical information, subject us to significant financial loss, and expose us to liability, any of which could adversely affect our business and our reputation.</w:t>
      </w:r>
    </w:p>
    <w:p>
      <w:pPr>
        <w:spacing w:after="0" w:line="56"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We utilize information technology systems and networks in the ordinary course of our business to process, transmit and store sensitive data, including confidential information, intellectual property, and personally identifiable information of our employees, consultants and others. As the use of digital technologies has increased, cyber incidents, including deliberate attacks (such as the deployment of harmful malware and other malicious code, ransomware, denial of service, social engineering, and other attempts to gain unauthorized access to computer systems and networks), have increased in frequency and sophistication, and have become increasingly difficult to detect. These threats pose a risk to the security of our systems and networks and those of our collaborators and third-party service providers, including our CMOs and CROs for our clinical studies, which store sensitive or confidential data of ours, and could compromise the confidentiality, availability and integrity of such information which may be vital to our operations and business strategy. A successful cyber-attack could cause serious negative consequences for us, including, without limitation, the disruption of our operations, the misappropriation or destruction of our confidential information and sensitive data, including clinical trial data, corporate strategic plans and financial information, and the misappropriation of other assets, including our cash. Organizations and governmental bodies with far greater resources than ours dedicated to cybersecurity have proven vulnerable to cyber-attacks. There can be no assurance we will succeed in preventing cybersecurity breaches or successfully mitigate their effects. In March 2023, we became aware that we had been subject to a criminal fraud commonly referred to as “business email compromise fraud.” The incident involved unauthorized access to an employee’s email account by a third-party impersonator and resulted in an electronic payment of approximately $ 0.4 million intended for a vendor being fraudulently misdirected to unknown parties. We retained a third party to assist in our investigation of the incident and implementation of remedial measures, including enhancements to our controls relating to electronic payments to third parties. Approximately $0.2 million of the fraud loss was covered by insurance. We do not believe this incident had or will have a material impact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0" w:name="page111"/>
    <w:bookmarkEnd w:id="110"/>
    <w:p>
      <w:pPr>
        <w:jc w:val="both"/>
        <w:spacing w:after="0" w:line="264" w:lineRule="auto"/>
        <w:rPr>
          <w:sz w:val="20"/>
          <w:szCs w:val="20"/>
          <w:color w:val="auto"/>
        </w:rPr>
      </w:pPr>
      <w:r>
        <w:rPr>
          <w:rFonts w:ascii="Arial" w:cs="Arial" w:eastAsia="Arial" w:hAnsi="Arial"/>
          <w:sz w:val="17"/>
          <w:szCs w:val="17"/>
          <w:color w:val="auto"/>
        </w:rPr>
        <w:t>on our business, financial condition or results of operations. However, cyber-related criminal activities continue to evolve and increase in frequency and sophistication, including as a result of advancements in generative artificial intelligence technology, and our security measures and controls may not be successful in preventing further cyber-related crimes.</w:t>
      </w:r>
    </w:p>
    <w:p>
      <w:pPr>
        <w:spacing w:after="0" w:line="63"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color w:val="auto"/>
        </w:rPr>
        <w:t>Despite implementing security measures, any of the information technology systems belonging to us or our collaborators and third-party service providers, including our CMOs and CROs for our clinical studies, and the sensitive and confidential information contained within them are vulnerable to damage or interruption from computer viruses and other malware, unauthorized access, including as a result of employee error (e.g., phishing or spoofing scams) or malfeasance, service interruptions, system malfunctions, natural disasters, terrorism, war, and telecommunication and electrical failure. We rely on third-party service providers and technologies for our data processing-related activities, including without limitation third-party providers of cloud-based infrastructure, encryption and authentication technology, employee email, and other functions. We rely on these third parties to implement effective security measures and identify and correct for any such failures, deficiencies or breaches. However, our ability to monitor these third parties' cybersecurity practices is limited, and these third parties may not have adequate security measures in place. In addition, we do not have our own information technology department or personnel and rely on third-party information technology consultants to assist our management in assessing, identifying and managing our cybersecurity risks. We do not control these third parties and they may fail to perform as expected. Moreover, the shift to remote working arrangements and the prevalent use of mobile devices that access sensitive or confidential information increases the risk of data security breaches. Technology security systems and other security measures in employees’ homes or other places they may work may not be as robust and more vulnerable to cybersecurity attacks. Any system failure, accident, security breach or data breach that causes interruptions in our own or in third-party collaborators’ or service providers’ operations could result in unauthorized, unlawful, or accidental acquisition, modification, destruction, loss, alteration, encryption, disclosure of, or access to our sensitive or confidential information, or that of our employees, collaborators, service providers and participants in our clinical studies. A security incident or other interruption could disrupt our ability (or that of third parties upon which we rely) to conduct our business operations and could divert significant resources to remedy or mitigate the damage caused. For example, if clinical or nonclinical study data is lost or becomes compromised, it could result in delays in our product development and regulatory approval efforts and significantly increase our costs due to additional time and resources necessary to recover and verify, or potentially reproduce, the data. In addition, a security breach or privacy violation that leads to disclosure of personally identifiable information or protected health information could require us to make notifications to the public as well as regulatory authorities, harm our reputation, subject us to audit, investigation, steep fines and administrative penalties and mandatory corrective action. A data breach could also require us to verify the correctness of database contents and subject us to litigation, including class action lawsuits, or other liability under laws and regulations that protect personal data, consumer protection and other laws.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the further development of our product candidates may be delayed, and the manufacture and sale of any approved products may be impaired.</w:t>
      </w:r>
    </w:p>
    <w:p>
      <w:pPr>
        <w:spacing w:after="0" w:line="83"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The costs related to significant security breaches or disruptions could be material, and, as was the case with the fraud discovered in March 2023, our insurance coverage may not cover all the losses arising from any such disruption in, or failure or security breach of, our systems or third-party systems where information important to our business operations and product development is stored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Moreover, if the information technology systems of our third-party collaborators, service providers or vendors become subject to disruptions or security breaches, we may have insufficient recourse against such third parties and we may have to expend significant resources to mitigate the impact of such an event.</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business may be adversely affected by general conditions in the global economy and financial markets and geopolitical tensions and events.</w:t>
      </w:r>
    </w:p>
    <w:p>
      <w:pPr>
        <w:spacing w:after="0" w:line="3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Various macroeconomic factors could adversely affect our business, our results of operations and financial condition, including a U.S. government shutdown, delay or failure of the U.S. government to raise the federal debt ceiling, an increased rate of inflation, rising interest rates, adverse developments affecting financial institutions or the financial services industry, recessionary concerns and overall unfavorable economic conditions and uncertainties, including those resulting from geopolitical events, including the wars in Ukraine and the Middle East and strained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1" w:name="page112"/>
    <w:bookmarkEnd w:id="111"/>
    <w:p>
      <w:pPr>
        <w:jc w:val="both"/>
        <w:spacing w:after="0" w:line="251" w:lineRule="auto"/>
        <w:rPr>
          <w:sz w:val="20"/>
          <w:szCs w:val="20"/>
          <w:color w:val="auto"/>
        </w:rPr>
      </w:pPr>
      <w:r>
        <w:rPr>
          <w:rFonts w:ascii="Arial" w:cs="Arial" w:eastAsia="Arial" w:hAnsi="Arial"/>
          <w:sz w:val="17"/>
          <w:szCs w:val="17"/>
          <w:color w:val="auto"/>
        </w:rPr>
        <w:t>relations between the U.S. and a number of foreign countries; international economic sanctions, including those imposed on Russia; new or increased tariffs and other barriers to trade; climate change concerns; or public health emergencies. U.S. government actions to reduce the federal deficit, or its delay or failure to raise the federal debt ceiling, may result in reduced funding for government-funded or subsidized health programs or require the federal government to stop or delay making payments on its obligations under such programs, which could impact sales of our products covered under such programs, if any, and negatively affect our operating results. Interest rates and the ability to access credit markets could adversely affect the ability of patients, payors and distributors to purchase, pay for and effectively distribute our products, if and when commercially available. Similarly, unfavorable or uncertain macroeconomic factors could affect the ability of our current or potential future collaborators, third-party service providers or suppliers, including sole source or single source manufacturers or suppliers, licensors or licensees to remain in business, or otherwise manufacture or supply our clinical trial material and products or commercialize our products, if and when approved. Failure by any of them to remain in business or allocate adequate resources to our products and product candidates could have a material adverse effect on our efforts to develop and obtain regulatory approvals for our product candidates and generate revenue from any approved products.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expect to continue to incur substantial costs and demands on management time to comply with laws and regulations affecting public companies.</w:t>
      </w:r>
    </w:p>
    <w:p>
      <w:pPr>
        <w:spacing w:after="0" w:line="3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corporate governance, disclosure and other reporting requirements of being a public company, and our management and other personnel, of whom we have a small number, will need to continue to devote substantial time towards compliance matters and initiatives.</w:t>
      </w:r>
    </w:p>
    <w:p>
      <w:pPr>
        <w:spacing w:after="0" w:line="74"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6"/>
          <w:szCs w:val="16"/>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 Recent SEC rules and rulemaking initiatives, such as those regarding pay versus performance, compensation clawback, and cybersecurity disclosure requirements, may result in significant additional time and expense devoted to compliance initiatives.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a smaller reporting company and a non-accelerated filer and the reduced disclosure requirements available to us may make our common stock less attractive to investors.</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an SRC, we will be permitted to and we intend to rely on some or all of the accommodations available to such companies. These accommodations include:</w:t>
      </w:r>
    </w:p>
    <w:p>
      <w:pPr>
        <w:spacing w:after="0" w:line="73" w:lineRule="exact"/>
        <w:rPr>
          <w:sz w:val="20"/>
          <w:szCs w:val="20"/>
          <w:color w:val="auto"/>
        </w:rPr>
      </w:pPr>
    </w:p>
    <w:p>
      <w:pPr>
        <w:ind w:left="920" w:hanging="312"/>
        <w:spacing w:after="0" w:line="281" w:lineRule="auto"/>
        <w:tabs>
          <w:tab w:leader="none" w:pos="9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being required to provide an auditor’s attestation of management’s assessment of internal control over financial reporting required by Section 404(b) of the Sarbanes-Oxley Act of 2002;</w:t>
      </w:r>
    </w:p>
    <w:p>
      <w:pPr>
        <w:spacing w:after="0" w:line="47" w:lineRule="exact"/>
        <w:rPr>
          <w:rFonts w:ascii="Arial" w:cs="Arial" w:eastAsia="Arial" w:hAnsi="Arial"/>
          <w:sz w:val="17"/>
          <w:szCs w:val="17"/>
          <w:color w:val="auto"/>
        </w:rPr>
      </w:pPr>
    </w:p>
    <w:p>
      <w:pPr>
        <w:jc w:val="both"/>
        <w:ind w:left="920" w:hanging="312"/>
        <w:spacing w:after="0" w:line="264" w:lineRule="auto"/>
        <w:tabs>
          <w:tab w:leader="none" w:pos="9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62" w:lineRule="exact"/>
        <w:rPr>
          <w:rFonts w:ascii="Arial" w:cs="Arial" w:eastAsia="Arial" w:hAnsi="Arial"/>
          <w:sz w:val="17"/>
          <w:szCs w:val="17"/>
          <w:color w:val="auto"/>
        </w:rPr>
      </w:pPr>
    </w:p>
    <w:p>
      <w:pPr>
        <w:jc w:val="both"/>
        <w:ind w:left="920" w:hanging="312"/>
        <w:spacing w:after="0" w:line="264" w:lineRule="auto"/>
        <w:tabs>
          <w:tab w:leader="none" w:pos="9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reduced non-financial disclosure obligations, including regarding the description of their business, management’s discussion and analysis of financial condition and results of operations, market risk, executive compensation, policies governing transactions with related persons, and corporate governance; and</w:t>
      </w:r>
    </w:p>
    <w:p>
      <w:pPr>
        <w:spacing w:after="0" w:line="62" w:lineRule="exact"/>
        <w:rPr>
          <w:rFonts w:ascii="Arial" w:cs="Arial" w:eastAsia="Arial" w:hAnsi="Arial"/>
          <w:sz w:val="17"/>
          <w:szCs w:val="17"/>
          <w:color w:val="auto"/>
        </w:rPr>
      </w:pPr>
    </w:p>
    <w:p>
      <w:pPr>
        <w:ind w:left="900" w:hanging="292"/>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later deadlines for the filing of annual and quarterly reports compared to accelerated filers.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2" w:name="page113"/>
    <w:bookmarkEnd w:id="112"/>
    <w:p>
      <w:pPr>
        <w:jc w:val="both"/>
        <w:ind w:firstLine="607"/>
        <w:spacing w:after="0" w:line="264" w:lineRule="auto"/>
        <w:rPr>
          <w:sz w:val="20"/>
          <w:szCs w:val="20"/>
          <w:color w:val="auto"/>
        </w:rPr>
      </w:pPr>
      <w:r>
        <w:rPr>
          <w:rFonts w:ascii="Arial" w:cs="Arial" w:eastAsia="Arial" w:hAnsi="Arial"/>
          <w:sz w:val="17"/>
          <w:szCs w:val="17"/>
          <w:color w:val="auto"/>
        </w:rPr>
        <w:t>We will continue to qualify as a SRC and non-accelerated filer for so long as (a) our public float is less than $ 75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6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other tax attributes to offset taxable income may be limited.</w:t>
      </w:r>
    </w:p>
    <w:p>
      <w:pPr>
        <w:spacing w:after="0" w:line="10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2025, we had substantial federal and state net operating loss, or NOL, carryforwards. However, our federal NOL carryforwards and other tax attributes may not be available to offset future taxable income because of restrictions under U.S. tax law, including limitations due to ownership changes that occurred previously or that could occur in the future, and similar limitations may apply under state tax laws. In addition, under legislation enacted by California in 2024, generally, there is a suspension of the NOL deduction for tax years 2024 through 2026 for taxpayers with net business income or modified adjusted gross income of $1 million or more, and a limit of $ 5 million of business credits on the aggregate use of otherwise allowable business tax credits that any taxpayer could claim for tax years beginning 2024 through 2026. For these reasons, we may not be able to realize a tax benefit from the use of our NOL carryforwards and other tax attributes, even if we attain profitability. We have recorded a full valuation allowance related to our NOL carryforwards and other deferred tax assets due to the uncertainty of the ultimate realization of the future benefits of those assets. See Note 8 “Income Taxes” to the accompanying consolidated financial statements for more information about limitations on our ability to use our NOL carryforwards and other tax attributes.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Ownership of Our Common Stock</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price of our common stock may rise and fall rapidly, substantial price fluctuations may occur regardless of developments in our business or our operating performance, and you could lose all or part of your investment as a result.</w:t>
      </w:r>
    </w:p>
    <w:p>
      <w:pPr>
        <w:spacing w:after="0" w:line="3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stock market in general, and the market for biopharmaceutical companies in particular, have experienced significant volatility, which has often been unrelated to the operating performance of particular companies. The stocks of small cap and microcap biopharmaceutical companies like ours tend to be highly volatile. Our common stock has experienced extreme trading price and volume fluctuations in the past, including fluctuations that have been unrelated or disproportionate to developments in our business and our operating performance, and we expect that our stock price will continue to experience high volatility. The market price for our common stock may be influenced by a variety of factors, some of which are beyond our control or are related in complex ways, including:</w:t>
      </w:r>
    </w:p>
    <w:p>
      <w:pPr>
        <w:spacing w:after="0" w:line="73" w:lineRule="exact"/>
        <w:rPr>
          <w:sz w:val="20"/>
          <w:szCs w:val="20"/>
          <w:color w:val="auto"/>
        </w:rPr>
      </w:pPr>
    </w:p>
    <w:p>
      <w:pPr>
        <w:jc w:val="both"/>
        <w:ind w:left="920" w:hanging="312"/>
        <w:spacing w:after="0" w:line="259" w:lineRule="auto"/>
        <w:tabs>
          <w:tab w:leader="none" w:pos="9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significant developments with our product development programs, such as actual or anticipated changes to development and approval timelines, results from any clinical trial, unanticipated serious safety concerns, suspension or discontinuation of a program, initiation of a new program and communications or decisions from the FDA or other regulatory authorities relating to applications we submit for clinical trials or marketing approval of our product candidates;</w:t>
      </w:r>
    </w:p>
    <w:p>
      <w:pPr>
        <w:spacing w:after="0" w:line="15"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of capital raising transactions, including sales of our common stock or securities convertible into or exercisable for shares of our common stock by us, or expectation of additional financing efforts;</w:t>
      </w:r>
    </w:p>
    <w:p>
      <w:pPr>
        <w:ind w:left="900" w:hanging="292"/>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amount of our cash;</w:t>
      </w:r>
    </w:p>
    <w:p>
      <w:pPr>
        <w:spacing w:after="0" w:line="57"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level of actual or anticipated expenses related to development of our product candidates, and in particular our clinical-stage development programs;</w:t>
      </w:r>
    </w:p>
    <w:p>
      <w:pPr>
        <w:ind w:left="920" w:hanging="312"/>
        <w:spacing w:after="0" w:line="279" w:lineRule="auto"/>
        <w:tabs>
          <w:tab w:leader="none" w:pos="9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relating to strategic collaborations or alliances or significant licenses, acquisitions or dispositions of assets or capital commitments by us or our competitors or companies perceived to be economically linked to us;</w:t>
      </w:r>
    </w:p>
    <w:p>
      <w:pPr>
        <w:ind w:left="920" w:hanging="312"/>
        <w:spacing w:after="0" w:line="279" w:lineRule="auto"/>
        <w:tabs>
          <w:tab w:leader="none" w:pos="9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ind w:left="900" w:hanging="292"/>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additions or departures of key management or scientific personnel;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3" w:name="page114"/>
    <w:bookmarkEnd w:id="113"/>
    <w:p>
      <w:pPr>
        <w:jc w:val="both"/>
        <w:ind w:left="920" w:hanging="312"/>
        <w:spacing w:after="0" w:line="259" w:lineRule="auto"/>
        <w:tabs>
          <w:tab w:leader="none" w:pos="9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significant developments with third-party products or product development programs perceived as competitive to ours, such as results of clinical trials, unanticipated serious safety concerns, suspension or discontinuation of a program, significant communications or decisions from the FDA or other regulatory authorities, introduction of new product candidates or new uses for existing products, commercial launch and product sales;</w:t>
      </w:r>
    </w:p>
    <w:p>
      <w:pPr>
        <w:spacing w:after="0" w:line="15"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significant business disruptions, including as a result of cybersecurity incidents, geopolitical events, including military conflicts, war, terrorism or economic conflicts, or natural disasters such as earthquakes, typhoons, floods and fires or public health emergencies;</w:t>
      </w:r>
    </w:p>
    <w:p>
      <w:pPr>
        <w:jc w:val="both"/>
        <w:ind w:left="920" w:hanging="312"/>
        <w:spacing w:after="0" w:line="264" w:lineRule="auto"/>
        <w:tabs>
          <w:tab w:leader="none" w:pos="9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events or conditions that affect the financial markets or U.S. or global economy in general, including geopolitical conflicts, potential or actual U.S. government shutdown or failure to raise the federal debt ceiling, economic slowdown or recession, increased inflation, and rising interest rates;</w:t>
      </w:r>
    </w:p>
    <w:p>
      <w:pPr>
        <w:spacing w:after="0" w:line="11"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the structure of health care payment systems;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developments or trends in the biopharmaceutical or women's health care industries;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period to period fluctuations in our financial results;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recommendations or reports issued by securities research analysts;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increased selling by our stockholders, as well as the overall trading volume of our common stock; and</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assurance that we will continue satisfying the listing requirements of the Nasdaq Capital Market.</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w:t>
      </w:r>
    </w:p>
    <w:p>
      <w:pPr>
        <w:spacing w:after="0" w:line="7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there can be no assurance that we will continue to satisfy those or other continued listing requirements and maintain the listing of our common stock on the Nasdaq Capital Market.</w:t>
      </w:r>
    </w:p>
    <w:p>
      <w:pPr>
        <w:spacing w:after="0" w:line="66"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When Nasdaq confirmed on July 24, 2025, that we regained compliance with the stockholders’ equity rule, it also informed us that, pursuant to Nasdaq Listing Rule 5815(d)(4)(B), we would be subject to a mandatory panel monitor for a period of one year from that date, and that if, within that one-year period, the Nasdaq Listing Qualifications Staff, or the Staff, determines that we are out of compliance with the stockholders’ equity rule, the Staff will issue a delist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us additional time to regain compliance, and we will not be afforded a cure period pursuant to Nasdaq Listing Rule 5810(c)(3). The foregoing would limit our ability to remedy any future non-compliance with the stockholders’ equity rule, and would increase the likelihood that our common stock could be delisted, if we were to fall out of compliance with the stockholders’ equity rule during the one-year monitoring period.</w:t>
      </w:r>
    </w:p>
    <w:p>
      <w:pPr>
        <w:spacing w:after="0" w:line="6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were in compliance with the stockholders’ equity rule as of December 31, 2025. Based on information currently available to us, our stockholders' equity is expected to be substantially less than $2.5 million as of March 31, 2026. We are actively pursuing initiatives to increase our stockholders' equity, including through our ongoing Regulation A offering and other potential capital-raising activities. If we are unable to demonstrate to Nasdaq that we have increased our stockholders’ equity to at least $2.5 million prior to the filing of our quarterly report on Form 10-Q for the quarter ended March 31, 2026, we expect the Staff will issue a delist determination letter. In that event, we intend to request a new hearing with Nasdaq's Hearing Panel, though there can be no assurance that any such hearing would result in a favorable outcome.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4" w:name="page115"/>
    <w:bookmarkEnd w:id="114"/>
    <w:p>
      <w:pPr>
        <w:jc w:val="both"/>
        <w:ind w:firstLine="607"/>
        <w:spacing w:after="0" w:line="252" w:lineRule="auto"/>
        <w:rPr>
          <w:sz w:val="20"/>
          <w:szCs w:val="20"/>
          <w:color w:val="auto"/>
        </w:rPr>
      </w:pPr>
      <w:r>
        <w:rPr>
          <w:rFonts w:ascii="Arial" w:cs="Arial" w:eastAsia="Arial" w:hAnsi="Arial"/>
          <w:sz w:val="17"/>
          <w:szCs w:val="17"/>
          <w:color w:val="auto"/>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sale of our common stock in ATM offerings or under our equity line arrangement may cause substantial dilution to our existing stockholders, and such sales, or the anticipation of such sales, may cause the price of our common stock to decline.</w:t>
      </w:r>
    </w:p>
    <w:p>
      <w:pPr>
        <w:spacing w:after="0" w:line="3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have used at-the-market, or ATM, offerings and sales of shares of our common stock under our equity line arrangement to fund a significant portion of our operations in prior years, and we may continue to do so to raise additional capital in the future. For example, in 2025, we sold an aggregate of approximately 4.3 million shares of our common stock in ATM offerings and under our equity line arrangement. If we seek and obtain stockholder approval for the sale of additional shares of our common stock under our equity line arrangement, we may sell up to approximately an additional $11.7 million in shares of our common stock under our equity line arrangement. The purchase price for the shares we may sell under our equity line arrangement will vary based on the market price of our common stock at the time we initiate a sale. While sales of shares of our common stock in ATM offerings and under our equity line arrangement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exercise of our outstanding warrants and options as well as the issuance of shares pursuant to future equity awards under our stock incentive plan may result in significant dilution to our stockholders.</w:t>
      </w:r>
    </w:p>
    <w:p>
      <w:pPr>
        <w:spacing w:after="0" w:line="3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As of December 31, 2025, we had outstanding warrants to purchase up to approximately 1.3 million shares of our common stock at a weighted average exercise price of $7.49 per share, outstanding options to purchase up to approximately 1.4 million shares of our common stock at a weighted average exercise price of $9.41 per share, and approximately 0.5 million shares of our common stock remained available for future issuance under our stock incentive plan. The exercise of a significant portion of our outstanding warrants and options and the issuance of shares of our common stock pursuant to future equity awards under our stock incentive plan may result in significant dilution to our stockholders.</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Substantial future sales of our shares of common stock, or the perception that such sales could occur, may cause the price of our common stock to decline, even if our business is doing well.</w:t>
      </w:r>
    </w:p>
    <w:p>
      <w:pPr>
        <w:spacing w:after="0" w:line="95"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Sales of substantial amounts of our common stock in the public market, or the perception that such sales could occur, may adversely affect the trading price of our common stock, and may make it more difficult for existing stockholders to sell their shares of our common stock at a time and price they deem appropriate. We are unable to predict the effect that such sales may have on the trading price of our common stock. These sales, or the possibility that these sales may occur, also might make it more difficult for us to sell equity or equity-linked securities in the future at a time and at a price that we deem appropriate.</w:t>
      </w:r>
    </w:p>
    <w:p>
      <w:pPr>
        <w:spacing w:after="0" w:line="13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Shares underlying outstanding warrants represent approximately 9% of the outstanding shares of our common stock as of March 25, 2026, and the underlying shares generally may be freely sold into the public market following exercise of the warrants by the warrant holders. In addition, the issuance of all of the approximately 1.4 million shares of our common stock underlying outstanding options and the approximately 0.5 million shares of our common stock that remained available for future issuance under our stock incentive plan as of December 31, 2025 have been registered under the Securities Act and such shares if, and when issued, can be freely sold in the public market, except to the extent they are held by an affiliate of ours, in which case such shares will become eligible for sale in the public market as permitted by Rule 144 under the Securities Act.</w:t>
      </w:r>
    </w:p>
    <w:p>
      <w:pPr>
        <w:spacing w:after="0" w:line="14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Almost all of our outstanding warrants have exercise periods that extend into December 2028 or March 2029 and, as of December 31, 2025, our outstanding options had a weighted average remaining contractual exercise period of approximately 7.5 years. Accordingly, the potential adverse market and price pressures resulting from these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15" w:name="page116"/>
    <w:bookmarkEnd w:id="115"/>
    <w:p>
      <w:pPr>
        <w:jc w:val="both"/>
        <w:spacing w:after="0" w:line="281" w:lineRule="auto"/>
        <w:rPr>
          <w:sz w:val="20"/>
          <w:szCs w:val="20"/>
          <w:color w:val="auto"/>
        </w:rPr>
      </w:pPr>
      <w:r>
        <w:rPr>
          <w:rFonts w:ascii="Arial" w:cs="Arial" w:eastAsia="Arial" w:hAnsi="Arial"/>
          <w:sz w:val="17"/>
          <w:szCs w:val="17"/>
          <w:color w:val="auto"/>
        </w:rPr>
        <w:t>sales, or the perception that such sales could occur, may continue for an extended period of time and continued negative pressure on the trading price of our common stock could have a material adverse effect on our ability to raise additional capital through equity or equity-linked financings.</w:t>
      </w:r>
    </w:p>
    <w:p>
      <w:pPr>
        <w:spacing w:after="0" w:line="111"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In addition, our Restated Certificate of Incorporation, as amended, authorizes us to issue up to 240.0 million shares of our common stock. Subject to limitations imposed by Nasdaq or such other securities exchange on which our securities may be listed, authorized shares of our common stock that are not issued and outstanding or reserved for issuance may be issued without stockholder approval at any time, in the sole discretion of our board of directors, and as of December 31, 2025, only approximately 14.5 million shares were issued and outstanding or reserved for issuance. If, in the future, we issue additional shares of common stock, warrants or other equity or equity-linked securities in one or more transactions, at prices and in a manner we determine from time to time, in connection with a financing, acquisition, litigation settlement, employee arrangements or otherwise, any such issuance could result in substantial dilution to our existing stockholders and could cause the price of our common stock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designated preferred stock with terms that could reduce the value of our common stock.</w:t>
      </w:r>
    </w:p>
    <w:p>
      <w:pPr>
        <w:spacing w:after="0" w:line="108"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Restated Certificate of Incorporation, as amended, authorizes us to issue, without stockholder approval, up to 5,000,000 shares of preferred stock, in one or more series,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In anticipation of the initial closing of our Regulation A Offering, in January 2026, we filed a Certificate of Designation of Series A Convertible Preferred Stock with the Secretary of State of the State of Delaware that designates 4,999,620 shares of our authorized preferred stock as Series A Convertible Preferred Stock. Our Series A Convertible Preferred Stock ranks, as to rights upon our liquidation, dissolution, or winding up, senior to our common stock. The liquidation preference for each share of our Series A Convertible Preferred Stock is $5.00 per share, subject to customary adjustments in the event of stock dividends, stock splits, reorganizations or similar events affecting our Series A Convertible Preferred Stock. As of the filing date of this report, we have issued 65,640 shares of our Series A Convertible Preferred Stock. For additional information regarding the powers, preferences and rights, and qualifications, limitations and restrictions of our Series A Convertible Preferred Stock, see Note 17, “Subsequent Events," to our consolidated financial statements included in this report.</w:t>
      </w:r>
    </w:p>
    <w:p>
      <w:pPr>
        <w:spacing w:after="0" w:line="7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Assuming no change in the authorized number of shares of Series A Convertible Preferred Stock, our board of directors has the authority, without further action by our stockholders, to issue up to 380 shares of preferred stock in one or more series and to fix the rights, preferences, privileges and restrictions thereof, including dividend rights, conversion rights, voting rights, terms of redemption and liquidation preferences, any or all of which may be greater than the rights of the holders of our common stock. In addition, to the extent that any shares of Series A Preferred Convertible Stock previously designated under the Certificate of Designation referenced in the paragraph above are not issued, our board of directors may, subject to applicable law, redesignate such shares as a new or different series of preferred stock and establish the rights, preferences, privileges and restrictions of such series, any or all of which may be greater than the rights of the holders of our common stock.</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45"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3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Provisions in our Restated Certificate of Incorporation, as amended, our Third Amended and Restated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6" w:name="page117"/>
    <w:bookmarkEnd w:id="116"/>
    <w:p>
      <w:pPr>
        <w:ind w:left="900" w:hanging="29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all members of the board are not elected at one time;</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allow the authorized number of directors to be changed only by resolution of the board of directors;</w:t>
      </w:r>
    </w:p>
    <w:p>
      <w:pPr>
        <w:spacing w:after="0" w:line="57" w:lineRule="exact"/>
        <w:rPr>
          <w:rFonts w:ascii="Arial" w:cs="Arial" w:eastAsia="Arial" w:hAnsi="Arial"/>
          <w:sz w:val="17"/>
          <w:szCs w:val="17"/>
          <w:color w:val="auto"/>
        </w:rPr>
      </w:pPr>
    </w:p>
    <w:p>
      <w:pPr>
        <w:ind w:left="900" w:hanging="29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the board;</w:t>
      </w:r>
    </w:p>
    <w:p>
      <w:pPr>
        <w:spacing w:after="0" w:line="57" w:lineRule="exact"/>
        <w:rPr>
          <w:rFonts w:ascii="Arial" w:cs="Arial" w:eastAsia="Arial" w:hAnsi="Arial"/>
          <w:sz w:val="17"/>
          <w:szCs w:val="17"/>
          <w:color w:val="auto"/>
        </w:rPr>
      </w:pPr>
    </w:p>
    <w:p>
      <w:pPr>
        <w:ind w:left="920" w:hanging="312"/>
        <w:spacing w:after="0" w:line="279" w:lineRule="auto"/>
        <w:tabs>
          <w:tab w:leader="none" w:pos="9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the board or for proposing matters that can be acted on at stockholder meetings;</w:t>
      </w:r>
    </w:p>
    <w:p>
      <w:pPr>
        <w:ind w:left="920" w:hanging="312"/>
        <w:spacing w:after="0" w:line="279" w:lineRule="auto"/>
        <w:tabs>
          <w:tab w:leader="none" w:pos="9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stockholders by written consent;</w:t>
      </w:r>
    </w:p>
    <w:p>
      <w:pPr>
        <w:ind w:left="900" w:hanging="29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limit who may call a special meeting of stockholders;</w:t>
      </w:r>
    </w:p>
    <w:p>
      <w:pPr>
        <w:spacing w:after="0" w:line="57" w:lineRule="exact"/>
        <w:rPr>
          <w:rFonts w:ascii="Arial" w:cs="Arial" w:eastAsia="Arial" w:hAnsi="Arial"/>
          <w:sz w:val="17"/>
          <w:szCs w:val="17"/>
          <w:color w:val="auto"/>
        </w:rPr>
      </w:pPr>
    </w:p>
    <w:p>
      <w:pPr>
        <w:jc w:val="both"/>
        <w:ind w:left="920" w:hanging="312"/>
        <w:spacing w:after="0" w:line="296" w:lineRule="auto"/>
        <w:tabs>
          <w:tab w:leader="none" w:pos="9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1" w:lineRule="exact"/>
        <w:rPr>
          <w:rFonts w:ascii="Arial" w:cs="Arial" w:eastAsia="Arial" w:hAnsi="Arial"/>
          <w:sz w:val="16"/>
          <w:szCs w:val="16"/>
          <w:color w:val="auto"/>
        </w:rPr>
      </w:pPr>
    </w:p>
    <w:p>
      <w:pPr>
        <w:ind w:left="920" w:hanging="312"/>
        <w:spacing w:after="0" w:line="281" w:lineRule="auto"/>
        <w:tabs>
          <w:tab w:leader="none" w:pos="9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stockholders would be entitled to cast in any annual election of directors or class of directors to amend or repeal our by-laws or certain provisions of our charter.</w:t>
      </w:r>
    </w:p>
    <w:p>
      <w:pPr>
        <w:spacing w:after="0" w:line="11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Provisions in our by-laws could limit our stockholders’ ability to obtain a favorable judicial forum for disputes with us or our directors, officers or employees.</w:t>
      </w:r>
    </w:p>
    <w:p>
      <w:pPr>
        <w:spacing w:after="0" w:line="31"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Our Third Amended and Restated By-Laws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Securities Act, the Exchange Act, or any other claim for which the federal courts have exclusive jurisdiction. If any action that is required under our by-laws to be brought against us in Delaware is filed by a stockholder in a court other than a court located within Delaware, the stockholder shall be deemed to have consented to (i) the personal jurisdiction of the state and federal courts located within Delaware in connection with any action brought in any such court to enforce our Delaware forum selection provision and (ii) having service of process made upon the stockholder in any such enforcement action by service upon that stockholder's counsel, as agent for the stockholder.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spacing w:after="0" w:line="65"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Under the Securities Act, federal and state courts have concurrent jurisdiction over all suits brought to enforce any duty or liability created by the Securities Act.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7" w:name="page118"/>
    <w:bookmarkEnd w:id="117"/>
    <w:p>
      <w:pPr>
        <w:jc w:val="both"/>
        <w:spacing w:after="0" w:line="291" w:lineRule="auto"/>
        <w:rPr>
          <w:sz w:val="20"/>
          <w:szCs w:val="20"/>
          <w:color w:val="auto"/>
        </w:rPr>
      </w:pPr>
      <w:r>
        <w:rPr>
          <w:rFonts w:ascii="Arial" w:cs="Arial" w:eastAsia="Arial" w:hAnsi="Arial"/>
          <w:sz w:val="17"/>
          <w:szCs w:val="17"/>
          <w:b w:val="1"/>
          <w:bCs w:val="1"/>
          <w:i w:val="1"/>
          <w:iCs w:val="1"/>
          <w:color w:val="auto"/>
        </w:rPr>
        <w:t>If we fail to attract or maintain securities analysts to publish research on our business or if they publish or convey negative evaluations of our business, the price of our stock could decline.</w:t>
      </w:r>
    </w:p>
    <w:p>
      <w:pPr>
        <w:spacing w:after="0" w:line="3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five analysts cover our company. If one or more of these analysts cease coverage or fail to regularly publish reports on our business, we could lose visibility in the financial markets, which in turn could cause our common stock price or trading volume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84" w:lineRule="exact"/>
        <w:rPr>
          <w:sz w:val="20"/>
          <w:szCs w:val="20"/>
          <w:color w:val="auto"/>
        </w:rPr>
      </w:pPr>
    </w:p>
    <w:p>
      <w:pPr>
        <w:jc w:val="both"/>
        <w:ind w:firstLine="607"/>
        <w:spacing w:after="0" w:line="244" w:lineRule="auto"/>
        <w:rPr>
          <w:sz w:val="20"/>
          <w:szCs w:val="20"/>
          <w:color w:val="auto"/>
        </w:rPr>
      </w:pPr>
      <w:r>
        <w:rPr>
          <w:rFonts w:ascii="Arial" w:cs="Arial" w:eastAsia="Arial" w:hAnsi="Arial"/>
          <w:sz w:val="17"/>
          <w:szCs w:val="17"/>
          <w:color w:val="auto"/>
        </w:rPr>
        <w:t>As is the case for other companies in our industry, we may be the target of cyberattacks and other cyber incidents and, therefore, cybersecurity is an important element of our overall enterprise risk management, or ERM, program. Our management performs a semi-annual assessment of enterprise-wide risks to help assess, identify, and manage existing and emerging risks for our company, including cybersecurity risks. Through our ERM program we assess the characteristics and circumstances of the evolving business environment at the time and seek to identify the potential impacts to our company of a particular risk.</w:t>
      </w:r>
    </w:p>
    <w:p>
      <w:pPr>
        <w:spacing w:after="0" w:line="144"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color w:val="auto"/>
        </w:rPr>
        <w:t>Primary responsibility for assessing, identifying, and managing our cybersecurity risks rests with our management. To assist our management with such responsibility, we engage and consult with an external third party information technology consultant who reports to our Chief Accounting Officer. We also perform an annual cybersecurity assessment designed to help improve the systems and processes we have implemented designed to safeguard our information assets and operational integrity from cyber threats, protect employee information from unauthorized access or attack, as well as secure our networks and systems. Network and information systems and other technologies, including those related to our network management, are important to our business activities. As a result, we have multiple layers of security designed to detect and deter cybersecurity incidents. As part of our overall ERM program, we monitor and test our safeguards and train our employees on these safeguards, in certain instances with the assistance of our external third party information technology consultant. Personnel at all levels and departments are made aware of our cybersecurity policies through trainings. We also maintain an incident response plan designed to respond to, mitigate and remediate cybersecurity incidents according to a defined set of severity ratings based on the potential impact to our business, information technology systems, network or data, including data held or information technology services provided by third-party vendors or other service providers.</w:t>
      </w:r>
    </w:p>
    <w:p>
      <w:pPr>
        <w:spacing w:after="0" w:line="12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As of the date of filing this report, we do not believe there are any risks from cybersecurity threats that have materially affected or are reasonably likely to materially affect us or our business strategy, results of operations or financial condition.</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additional information regarding risks from cybersecurity threats, please refer to Item 1A, “Risk Factors,” in this annual report on Form 10-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5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board of directors administers its cybersecurity risk oversight function through its audit committee. The audit committee is responsible for overseeing our policies, practices and assessments with respect to cybersecurity, and provides periodic updates to our board of directors. The audit committee receives periodic updates from management and our external third party information technology consultant regarding the effectiveness of the systems and processes we have implemented designed to safeguard our information assets and operational integrity from cyber threats, protect employee information from unauthorized access or attack, as well as secure our networks and systems, and regarding other cybersecurity matters, including the results from cybersecurity systems testing and any recent cybersecurity incidents and related responses. Our audit committee is also notified between such updates as soon as practicable regarding significant new cybersecurity threats or incidents. The audit committee also receives a report on cybersecurity matters and related risk exposures at least semi-annually from our Chief Accounting Officer. The chair of our audit committee has a National Association of Corporate Directors Carnegie Mellon University CERT Certification in Cybersecurity Oversight.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ITEM 2. PROPERTIES</w:t>
      </w:r>
    </w:p>
    <w:p>
      <w:pPr>
        <w:spacing w:after="0" w:line="18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lease real property to support our business. We believe that the real property we lease is in good operating condition, meets our current needs and that we will be able to renew our lease when needed on acceptable terms or find alternative facilities. See Note 11 "Leased Properties" to the accompanying consolidated financial statements for more information about our real property leases.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PART II</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common stock is listed on the Nasdaq Capital Market under the symbol “DARE.”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March 25, 2026, we had approximately 32 stockholders of record.</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On October 21, 2024, we entered into a purchase agreement with Lincoln Park Capital Fund, LLC, or Lincoln Park. During 2025, we sold 1,470,000 shares of our common stock to Lincoln Park under that purchase agreement for aggregate gross proceeds of approximately $3.3 million. For additional information regarding such sales an our purchase agreement with Lincoln Park, see Note 9 “Stockholders’ Equity—Equity Line” to the accompanying consolidated financial statements. Lincoln Park represented to us, among other things, that it is an “accredited investor” as such term is defined in Rule 501(a)(3) of Regulation D under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84" w:lineRule="exact"/>
        <w:rPr>
          <w:sz w:val="20"/>
          <w:szCs w:val="20"/>
          <w:color w:val="auto"/>
        </w:rPr>
      </w:pPr>
    </w:p>
    <w:p>
      <w:pPr>
        <w:jc w:val="both"/>
        <w:ind w:firstLine="607"/>
        <w:spacing w:after="0" w:line="278" w:lineRule="auto"/>
        <w:rPr>
          <w:sz w:val="20"/>
          <w:szCs w:val="20"/>
          <w:color w:val="auto"/>
        </w:rPr>
      </w:pPr>
      <w:r>
        <w:rPr>
          <w:rFonts w:ascii="Arial" w:cs="Arial" w:eastAsia="Arial" w:hAnsi="Arial"/>
          <w:sz w:val="16"/>
          <w:szCs w:val="16"/>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71"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pelvic pain to fertility, vaginal health to infectious disease, we’re working to close critical gaps in care using science that serves her needs.</w:t>
      </w:r>
    </w:p>
    <w:p>
      <w:pPr>
        <w:spacing w:after="0" w:line="12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March 2025, we announced an expansion of our business model to include a dual-path approach to bringing new products to market. For select proprietary formulations, we are pursuing both traditional FDA approval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17"/>
          <w:szCs w:val="17"/>
          <w:color w:val="auto"/>
        </w:rPr>
        <w:t>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503B Compounding</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Our proprietary topical cream formulation of sildenafil is our first product to market under Section 503B. The compounded drug is branded as DARE to PLAY Sildenafil Cream and became available for pre-order fulfillment by prescription in the U.S. in December 2025. Prescription fulfillment and payment will occur once the product is available for pharmacy dispensing. We expect pharmacy dispensing to commence, and to begin recording revenue from sales of DARE to PLAY in the second quarter of 2026. Because we are in the early stages of executing against our Section 503B compounding strategy and, as an organization, we have no experience in or infrastructure for commercializing products, the amount of potential revenue we may generate during 2026 remains uncertain. We invested approximately $1.0 million to launch DARE to PLAY in 2025, which has been utilized to support a 503B-registered outsourcing facility with technology-transfer activities specific to DARE to PLAY, activate an awareness campaign, and facilitate access to DARE to PLAY as an option for providers and women.</w:t>
      </w:r>
    </w:p>
    <w:p>
      <w:pPr>
        <w:spacing w:after="0" w:line="20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are also taking action to bring our estradiol progesterone intravaginal ring to market under Section 503B. The compounded product will be branded as DARE to RECLAIM. We are targeting to have DARE to RECLAIM available in early 2027. There are no FDA-approved products that provide estradiol and progesterone together in a non-oral monthly form.</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 "BUSINESS," in Part I of this report for additional information regarding our Section 503B compounding strategy.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Health Products - DARE to RESTORE</w:t>
      </w:r>
    </w:p>
    <w:p>
      <w:pPr>
        <w:spacing w:after="0" w:line="23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first product in our DARE to RESTORE vaginal probiotic suppositories product line, Flora Sync LF5, is expected to become commercially available in the U.S in the second quarter of 2026.</w:t>
      </w:r>
    </w:p>
    <w:p>
      <w:pPr>
        <w:spacing w:after="0" w:line="174" w:lineRule="exact"/>
        <w:rPr>
          <w:sz w:val="20"/>
          <w:szCs w:val="20"/>
          <w:color w:val="auto"/>
        </w:rPr>
      </w:pPr>
    </w:p>
    <w:p>
      <w:pPr>
        <w:ind w:right="1500" w:firstLine="607"/>
        <w:spacing w:after="0" w:line="457" w:lineRule="auto"/>
        <w:rPr>
          <w:sz w:val="20"/>
          <w:szCs w:val="20"/>
          <w:color w:val="auto"/>
        </w:rPr>
      </w:pPr>
      <w:r>
        <w:rPr>
          <w:rFonts w:ascii="Arial" w:cs="Arial" w:eastAsia="Arial" w:hAnsi="Arial"/>
          <w:sz w:val="17"/>
          <w:szCs w:val="17"/>
          <w:color w:val="auto"/>
        </w:rPr>
        <w:t xml:space="preserve">See Item 1. "BUSINESS," in Part I of this report for additional information regarding our consumer health products strategy. </w:t>
      </w:r>
      <w:r>
        <w:rPr>
          <w:rFonts w:ascii="Arial" w:cs="Arial" w:eastAsia="Arial" w:hAnsi="Arial"/>
          <w:sz w:val="17"/>
          <w:szCs w:val="17"/>
          <w:b w:val="1"/>
          <w:bCs w:val="1"/>
          <w:i w:val="1"/>
          <w:iCs w:val="1"/>
          <w:color w:val="auto"/>
        </w:rPr>
        <w:t>Our Pipeline: Clinical Stage and Pre-Clinical Stage Programs</w:t>
      </w:r>
    </w:p>
    <w:p>
      <w:pPr>
        <w:spacing w:after="0" w:line="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 "BUSINESS," in Part I of this report for additional information regarding our product candidates.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XACIATO®</w:t>
      </w:r>
    </w:p>
    <w:p>
      <w:pPr>
        <w:spacing w:after="0" w:line="23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first FDA-approved product to emerge from our portfolio is XACIATO® (clindamycin phosphate) vaginal gel 2%, or XACIATO (pronounced zah-she-AH-toe). XACIATO was approved by the FDA in December 2021, three years after we acquired rights to the program, as a single-dose prescription medication for the treatment of bacterial vaginosis in females 12 years of age and older. In 2022, we licensed exclusive worldwide rights to develop,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17"/>
          <w:szCs w:val="17"/>
          <w:color w:val="auto"/>
        </w:rPr>
        <w:t>manufacture and commercialize XACIATO to Organon. In January 2024, Organon announced that XACIATO was available nationwide in the U.S. In April 2024, we sold our rights to all royalty and potential milestone payments based on net sales of XACIATO under our agreement with Organon to XOMA. See Note 3 “Strategic Agreements” and Note 13 “Royalty Purchase Agreements” to the consolidated financial statements included in this report for information regarding our exclusive license agreement with Organon and our royalty purchase agreements with XOMA,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w:t>
      </w:r>
    </w:p>
    <w:p>
      <w:pPr>
        <w:spacing w:after="0" w:line="171"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6"/>
          <w:szCs w:val="16"/>
          <w:color w:val="auto"/>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December 2027, and with respect to DARE-HPV, through October 2026. See Note 15, "Grant Awards" to the accompanying consolidated financial statements for additional information.</w:t>
      </w:r>
    </w:p>
    <w:p>
      <w:pPr>
        <w:spacing w:after="0" w:line="13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do not have sales, marketing or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spacing w:after="0" w:line="12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As discussed below, we will need to raise substantial additional capital to continue to fund our operations and execute our current business strategy. Our business is subject to a number of risks common to biopharmaceutical companies (see ITEM 1A. RISK FACTORS in Part I of this report)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Events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Receipt of Payment Under October 2024 Grant Award</w:t>
      </w:r>
    </w:p>
    <w:p>
      <w:pPr>
        <w:spacing w:after="0" w:line="20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February 2026, we received a $2.0 million payment from CMF under the agreement we entered into with CMF in October 2024 to support the development of DARE-HPV. For a discussion of this agreement, see Note 15, "Grant Awards" to the accompanying consolidated financial statements for additional information. Taking into account this payment, we have received a cumulative total of approximately $7.5 million of the up to $10.0 million in potential funding under the grant award.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A Offering</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On January 27, 2026, we completed the initial closing of our Regulation A offering of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$5.00.</w:t>
      </w:r>
    </w:p>
    <w:p>
      <w:pPr>
        <w:spacing w:after="0" w:line="6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offering is being conducted on a “best efforts” basis pursuant to a selling agency agreement, dated January 5, 2026, between us and Digital Offering, LLC, acting as the lead selling agent for the offering. Digital Offering is not required to sell any specific number or dollar amount of units in the offering.</w:t>
      </w:r>
    </w:p>
    <w:p>
      <w:pPr>
        <w:spacing w:after="0" w:line="6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As of the date of this report, we have issued an aggregate of 65,640 units to investors in the offering, consisting of 65,640 shares of Series A convertible preferred stock and warrants to purchase up to 131,280 shares of our common stock, for gross proceeds of approximately $328,200.</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2" w:name="page123"/>
    <w:bookmarkEnd w:id="122"/>
    <w:p>
      <w:pPr>
        <w:jc w:val="both"/>
        <w:ind w:firstLine="607"/>
        <w:spacing w:after="0" w:line="281" w:lineRule="auto"/>
        <w:rPr>
          <w:sz w:val="20"/>
          <w:szCs w:val="20"/>
          <w:color w:val="auto"/>
        </w:rPr>
      </w:pPr>
      <w:r>
        <w:rPr>
          <w:rFonts w:ascii="Arial" w:cs="Arial" w:eastAsia="Arial" w:hAnsi="Arial"/>
          <w:sz w:val="17"/>
          <w:szCs w:val="17"/>
          <w:color w:val="auto"/>
        </w:rPr>
        <w:t>For additional information regarding the Regulation A offering and our agreement with Digital Offering, see Note 17, “Subsequent Events” to the accompanying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Bayer License Agreement</w:t>
      </w:r>
    </w:p>
    <w:p>
      <w:pPr>
        <w:spacing w:after="0" w:line="18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January 2020, we entered into a license agreement with Bayer, under which Bayer was supporting the Ovaprene program by providing the equivalent of two experts to advise us in clinical, regulatory, preclinical, commercial, chemistry, manufacturing and controls, and product supply matters, and Bayer had the right to obtain an exclusive license with regard to the commercialization of Ovaprene in the U.S. for human contraception by paying us an additional $20 million fee. We received a notice of termination of the license agreement from Bayer in November 2025, and we agreed with Bayer to terminate the license agreement effective December 2, 2025. Bayer’s election to terminate the license agreement was due to its strategic prioritization. We do not expect the termination of the license agreement to have a material impact on the ongoing pivotal Phase 3 study of Ovaprene. If Ovaprene were to receive marketing approval from the FDA, we will need to enter into an agreement with a third party to commercialize Ovaprene, which could delay the commercialization of Ovaprene. As noted above, we do not have sales, marketing or distribution infrastructure, and we currently do not intend to build such an infrastructure.</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Receipt of Grant Funding Installment to Support the Ovaprene Phase 3 Study and Identification &amp; Development of a New Non-Hormonal Contraceptive Candidate</w:t>
      </w:r>
    </w:p>
    <w:p>
      <w:pPr>
        <w:spacing w:after="0" w:line="108"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November 2025, we received a payment of $3.6 million as the latest installment under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Additional payments are contingent upon our achievement of specified development and reporting milestones during the term of the grant agreement, which extends through March 2027. See Note 15, "Grant Awards--Other Non-Dilutive Grant Funding--2024 Contraceptive Product Candidate Grant Agreement" to the accompanying consolidated financial statements for additional information regarding the grant agreement.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Listing</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July 24, 2025, we received a letter from the Nasdaq Office of General Counsel confirming that we had demonstrated compliance with the</w:t>
      </w:r>
    </w:p>
    <w:p>
      <w:pPr>
        <w:spacing w:after="0" w:line="10"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stockholders’ equity requirement in Nasdaq Listing Rule 5550(b)(1) that our stockholders' equity be at least $2.5 million, or the Stockholders’ Equity Rule, and that we are therefore in compliance with the Nasdaq Capital Market's continued listing requirements. We are subject to a mandatory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monitoring period of one-year from July 24, 2025. If, within that one-year period, the Nasdaq Listing Qualifications Staff determines that we fall out of compliance with the Stockholders' Equity Rule, the Staff will issue a delist determination letter, and we will have an opportunity to request a new hearing with Nasdaq's Hearing Panel. Notwithstanding Nasdaq Listing Rule 5810(c)(2), we will not be permitted to provide a plan of compliance to the Staff with respect to such non-compliance, the Staff will not be permitted to grant us additional time to regain compliance, and we will not be afforded a cure period pursuant to Nasdaq Listing Rule 5810(c)(3). We were in compliance with the Stockholders’ Equity Rule as of December 31, 2025. Based on information currently available to us, our stockholders' equity is expected to be substantially less than $ 2.5 million as of March 31, 2026. We are actively pursuing initiatives to increase our stockholders' equity, including through our ongoing Regulation A offering and other potential capital-raising activities. If we are unable to demonstrate to Nasdaq that we have increased our stockholders’ equity to at least $2.5 million prior to the filing of our quarterly report on Form 10-Q for the quarter ended March 31, 2026, we expect the Staff will issue a delist determination letter. In that event, we intend to request a new hearing with Nasdaq's Hearing Panel, though there can be no assurance that any such hearing would result in a favorable outcome. See the risk factor titled, </w:t>
      </w:r>
      <w:r>
        <w:rPr>
          <w:rFonts w:ascii="Arial" w:cs="Arial" w:eastAsia="Arial" w:hAnsi="Arial"/>
          <w:sz w:val="17"/>
          <w:szCs w:val="17"/>
          <w:i w:val="1"/>
          <w:iCs w:val="1"/>
          <w:color w:val="auto"/>
        </w:rPr>
        <w:t>There is no assurance that we will continue satisfying the listing requirements of the Nasdaq Capital Market</w:t>
      </w:r>
      <w:r>
        <w:rPr>
          <w:rFonts w:ascii="Arial" w:cs="Arial" w:eastAsia="Arial" w:hAnsi="Arial"/>
          <w:sz w:val="17"/>
          <w:szCs w:val="17"/>
          <w:color w:val="auto"/>
        </w:rPr>
        <w:t>, in Item 1A of Part II of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Political, and Regulatory Environment Considerations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Our business, financial condition, operating results, and our ability to raise additional capital may be adversely affected by the uncertainty in the U.S. and global macroeconomic, political, and regulatory environments,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3" w:name="page124"/>
    <w:bookmarkEnd w:id="123"/>
    <w:p>
      <w:pPr>
        <w:jc w:val="both"/>
        <w:spacing w:after="0" w:line="264" w:lineRule="auto"/>
        <w:rPr>
          <w:sz w:val="20"/>
          <w:szCs w:val="20"/>
          <w:color w:val="auto"/>
        </w:rPr>
      </w:pPr>
      <w:r>
        <w:rPr>
          <w:rFonts w:ascii="Arial" w:cs="Arial" w:eastAsia="Arial" w:hAnsi="Arial"/>
          <w:sz w:val="17"/>
          <w:szCs w:val="17"/>
          <w:color w:val="auto"/>
        </w:rPr>
        <w:t>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spacing w:after="0" w:line="126"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6"/>
          <w:szCs w:val="16"/>
          <w:color w:val="auto"/>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material reductions in staffing levels at the FDA and NIH, including through workforce reductions and reorganizations, and have impacted the agencies’ ability to retain remaining key personnel and hire additional personnel, disrupting their ability to perform routine activities or function in the normal course. A prolonged federal government shutdown with additional agency staff furloughed or laid off could exacerbate these risks.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See Note 15 “Grant Awards” to the accompanying consolidated financial statements. Beginning in early 2025, the U.S. presidential administration took actions to freeze or terminate billions of dollars in NIH grants, and the future of the NIH’s budget and research funding remains highly uncertain. These actions have already begun to adversely affect the broader research and development funding environment, and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full extent of the potential impact on our business at this time. We continue to monitor these evolving developments and conditions and their potential impacts on our business, financial condition, and results of operations, and will attempt to adjust our plans, as appropriate, to mitigate risks. For additional information, see the risk factors described in Item 1A. Risk Factors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Our revenue for 2025 primarily relates to the license fee recognized upon termination of our license agreement with Bayer. Other revenue for 2025 and 2024 were royalties from net sales of XACIATO, which, since April 1, 2024, have been paid to UiE under our royalty interest financing agreement with UiE, and recognized as non-cash royalty revenue.</w:t>
      </w:r>
    </w:p>
    <w:p>
      <w:pPr>
        <w:spacing w:after="0" w:line="12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the future, we may generate revenue from license fees, milestone payments, and research and development payments in connection with strategic collaborations, and from product sales, including sales of 503B compounded products, consumer health products, and FDA-approved products, if any. We expect to begin recording revenue from sales of DARE to PLAY and Flora Sync LF5 in the second quarter of 2026. Our ability to generate such revenue will depend on the extent to which we are successful in executing against our Section 503B and consumer health product business models, the extent to which the clinical development of our product candidates is successful, and whether we or a strategic collaborator receive the regulatory approvals necessary to market such product candidates, as well as the eventual commercial success of any FDA-approved products. If we fail to successfully achieve any of the foregoing, our ability to generate future revenue and our results of operations would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Cost of revenues primarily represent expenses associated with medical education and consumer awareness related to the commercialization of DARE to PLAY through our 503B business model.</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Research and development, or R&amp;D, represents a core operational focus. We are advancing multiple product candidates through preclinical and clinical development, supported in part by significant non-dilutive grant funding from governmental and non-governmental organizations.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4" w:name="page125"/>
    <w:bookmarkEnd w:id="124"/>
    <w:p>
      <w:pPr>
        <w:jc w:val="both"/>
        <w:ind w:firstLine="607"/>
        <w:spacing w:after="0" w:line="259" w:lineRule="auto"/>
        <w:rPr>
          <w:sz w:val="20"/>
          <w:szCs w:val="20"/>
          <w:color w:val="auto"/>
        </w:rPr>
      </w:pPr>
      <w:r>
        <w:rPr>
          <w:rFonts w:ascii="Arial" w:cs="Arial" w:eastAsia="Arial" w:hAnsi="Arial"/>
          <w:sz w:val="17"/>
          <w:szCs w:val="17"/>
          <w:color w:val="auto"/>
        </w:rPr>
        <w:t>Although our R&amp;D activities remain substantial, as explained in more detail below, grant funding and other financial awards offset a significant portion of our R&amp;D expenses. As a result, our reported operating expenses may appear to be weighted more heavily toward selling, general and administrative, or SG&amp;A, expenses. However, this reflects the reduction to R&amp;D expenses (contra R&amp;D expense) as a result of grant funding and other financial awards, rather than a reduction in our commitment to or investment in R&amp;D activities.</w:t>
      </w:r>
    </w:p>
    <w:p>
      <w:pPr>
        <w:spacing w:after="0" w:line="14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expect our R&amp;D expenses will continue to represent the majority of our operating expenses, on a pre-contra R&amp;D expenses basis, for at least the next twelve months. R&amp;D expenses consist primarily of:</w:t>
      </w:r>
    </w:p>
    <w:p>
      <w:pPr>
        <w:spacing w:after="0" w:line="111" w:lineRule="exact"/>
        <w:rPr>
          <w:sz w:val="20"/>
          <w:szCs w:val="20"/>
          <w:color w:val="auto"/>
        </w:rPr>
      </w:pPr>
    </w:p>
    <w:p>
      <w:pPr>
        <w:ind w:left="600" w:hanging="296"/>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direct program costs, including:</w:t>
      </w:r>
    </w:p>
    <w:p>
      <w:pPr>
        <w:spacing w:after="0" w:line="107" w:lineRule="exact"/>
        <w:rPr>
          <w:rFonts w:ascii="Arial" w:cs="Arial" w:eastAsia="Arial" w:hAnsi="Arial"/>
          <w:sz w:val="17"/>
          <w:szCs w:val="17"/>
          <w:color w:val="auto"/>
        </w:rPr>
      </w:pPr>
    </w:p>
    <w:p>
      <w:pPr>
        <w:ind w:left="920" w:hanging="388"/>
        <w:spacing w:after="0" w:line="281" w:lineRule="auto"/>
        <w:tabs>
          <w:tab w:leader="none" w:pos="916"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spacing w:after="0" w:line="47" w:lineRule="exact"/>
        <w:rPr>
          <w:rFonts w:ascii="Arial" w:cs="Arial" w:eastAsia="Arial" w:hAnsi="Arial"/>
          <w:sz w:val="17"/>
          <w:szCs w:val="17"/>
          <w:color w:val="auto"/>
        </w:rPr>
      </w:pPr>
    </w:p>
    <w:p>
      <w:pPr>
        <w:ind w:left="900" w:hanging="368"/>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contract manufacturing expenses, primarily for the production of materials for use in our clinical trials and nonclinical studies;</w:t>
      </w:r>
    </w:p>
    <w:p>
      <w:pPr>
        <w:spacing w:after="0" w:line="107" w:lineRule="exact"/>
        <w:rPr>
          <w:rFonts w:ascii="Arial" w:cs="Arial" w:eastAsia="Arial" w:hAnsi="Arial"/>
          <w:sz w:val="17"/>
          <w:szCs w:val="17"/>
          <w:color w:val="auto"/>
        </w:rPr>
      </w:pPr>
    </w:p>
    <w:p>
      <w:pPr>
        <w:ind w:left="920" w:hanging="388"/>
        <w:spacing w:after="0" w:line="279" w:lineRule="auto"/>
        <w:tabs>
          <w:tab w:leader="none" w:pos="916"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expenses related to production of select proprietary formulations by 503B-registered outsourcing facilities prior to commercial launch of the product via Section 503B compounding;</w:t>
      </w:r>
    </w:p>
    <w:p>
      <w:pPr>
        <w:ind w:left="900" w:hanging="368"/>
        <w:spacing w:after="0"/>
        <w:tabs>
          <w:tab w:leader="none" w:pos="900" w:val="left"/>
        </w:tabs>
        <w:numPr>
          <w:ilvl w:val="1"/>
          <w:numId w:val="53"/>
        </w:numPr>
        <w:rPr>
          <w:rFonts w:ascii="Arial" w:cs="Arial" w:eastAsia="Arial" w:hAnsi="Arial"/>
          <w:sz w:val="17"/>
          <w:szCs w:val="17"/>
          <w:b w:val="1"/>
          <w:bCs w:val="1"/>
          <w:i w:val="1"/>
          <w:iCs w:val="1"/>
          <w:color w:val="auto"/>
        </w:rPr>
      </w:pPr>
      <w:r>
        <w:rPr>
          <w:rFonts w:ascii="Arial" w:cs="Arial" w:eastAsia="Arial" w:hAnsi="Arial"/>
          <w:sz w:val="17"/>
          <w:szCs w:val="17"/>
          <w:color w:val="auto"/>
        </w:rPr>
        <w:t>transaction costs related to acquisitions of companies, technologies and related intellectual property, and other assets, and</w:t>
      </w:r>
    </w:p>
    <w:p>
      <w:pPr>
        <w:spacing w:after="0" w:line="57" w:lineRule="exact"/>
        <w:rPr>
          <w:rFonts w:ascii="Arial" w:cs="Arial" w:eastAsia="Arial" w:hAnsi="Arial"/>
          <w:sz w:val="17"/>
          <w:szCs w:val="17"/>
          <w:b w:val="1"/>
          <w:bCs w:val="1"/>
          <w:i w:val="1"/>
          <w:iCs w:val="1"/>
          <w:color w:val="auto"/>
        </w:rPr>
      </w:pPr>
    </w:p>
    <w:p>
      <w:pPr>
        <w:ind w:left="920" w:hanging="388"/>
        <w:spacing w:after="0" w:line="281" w:lineRule="auto"/>
        <w:tabs>
          <w:tab w:leader="none" w:pos="916" w:val="left"/>
        </w:tabs>
        <w:numPr>
          <w:ilvl w:val="1"/>
          <w:numId w:val="53"/>
        </w:numPr>
        <w:rPr>
          <w:rFonts w:ascii="Arial" w:cs="Arial" w:eastAsia="Arial" w:hAnsi="Arial"/>
          <w:sz w:val="17"/>
          <w:szCs w:val="17"/>
          <w:color w:val="auto"/>
        </w:rPr>
      </w:pPr>
      <w:r>
        <w:rPr>
          <w:rFonts w:ascii="Arial" w:cs="Arial" w:eastAsia="Arial" w:hAnsi="Arial"/>
          <w:sz w:val="17"/>
          <w:szCs w:val="17"/>
          <w:color w:val="auto"/>
        </w:rPr>
        <w:t>milestone payments due to third parties under acquisition and in-licensing arrangements based on our product candidates' achievement of R&amp;D and regulatory milestones specified therein, and</w:t>
      </w:r>
    </w:p>
    <w:p>
      <w:pPr>
        <w:spacing w:after="0" w:line="110" w:lineRule="exact"/>
        <w:rPr>
          <w:rFonts w:ascii="Arial" w:cs="Arial" w:eastAsia="Arial" w:hAnsi="Arial"/>
          <w:sz w:val="17"/>
          <w:szCs w:val="17"/>
          <w:color w:val="auto"/>
        </w:rPr>
      </w:pPr>
    </w:p>
    <w:p>
      <w:pPr>
        <w:ind w:left="600" w:hanging="296"/>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indirect costs, including:</w:t>
      </w:r>
    </w:p>
    <w:p>
      <w:pPr>
        <w:spacing w:after="0" w:line="107" w:lineRule="exact"/>
        <w:rPr>
          <w:rFonts w:ascii="Arial" w:cs="Arial" w:eastAsia="Arial" w:hAnsi="Arial"/>
          <w:sz w:val="17"/>
          <w:szCs w:val="17"/>
          <w:color w:val="auto"/>
        </w:rPr>
      </w:pPr>
    </w:p>
    <w:p>
      <w:pPr>
        <w:ind w:left="920" w:hanging="388"/>
        <w:spacing w:after="0" w:line="279" w:lineRule="auto"/>
        <w:tabs>
          <w:tab w:leader="none" w:pos="916" w:val="left"/>
        </w:tabs>
        <w:numPr>
          <w:ilvl w:val="1"/>
          <w:numId w:val="53"/>
        </w:numPr>
        <w:rPr>
          <w:rFonts w:ascii="Arial" w:cs="Arial" w:eastAsia="Arial" w:hAnsi="Arial"/>
          <w:sz w:val="17"/>
          <w:szCs w:val="17"/>
          <w:color w:val="auto"/>
        </w:rPr>
      </w:pPr>
      <w:r>
        <w:rPr>
          <w:rFonts w:ascii="Arial" w:cs="Arial" w:eastAsia="Arial" w:hAnsi="Arial"/>
          <w:sz w:val="17"/>
          <w:szCs w:val="17"/>
          <w:color w:val="auto"/>
        </w:rPr>
        <w:t>personnel-related costs, including salaries, bonuses, benefits, payroll taxes, and stock-based compensation expenses for employees engaged in R&amp;D functions,</w:t>
      </w:r>
    </w:p>
    <w:p>
      <w:pPr>
        <w:ind w:left="900" w:hanging="368"/>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costs of services performed by third parties, including consulting services,</w:t>
      </w:r>
    </w:p>
    <w:p>
      <w:pPr>
        <w:spacing w:after="0" w:line="57" w:lineRule="exact"/>
        <w:rPr>
          <w:rFonts w:ascii="Arial" w:cs="Arial" w:eastAsia="Arial" w:hAnsi="Arial"/>
          <w:sz w:val="17"/>
          <w:szCs w:val="17"/>
          <w:color w:val="auto"/>
        </w:rPr>
      </w:pPr>
    </w:p>
    <w:p>
      <w:pPr>
        <w:ind w:left="900" w:hanging="368"/>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facilities-related costs, including rent and maintenance costs, and insurance, depreciation, supplies, and miscellaneous expenses, and</w:t>
      </w:r>
    </w:p>
    <w:p>
      <w:pPr>
        <w:spacing w:after="0" w:line="57" w:lineRule="exact"/>
        <w:rPr>
          <w:rFonts w:ascii="Arial" w:cs="Arial" w:eastAsia="Arial" w:hAnsi="Arial"/>
          <w:sz w:val="17"/>
          <w:szCs w:val="17"/>
          <w:color w:val="auto"/>
        </w:rPr>
      </w:pPr>
    </w:p>
    <w:p>
      <w:pPr>
        <w:ind w:left="900" w:hanging="368"/>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costs related to travel, conference participation, service contracts, information technology, dues and subscriptions.</w:t>
      </w:r>
    </w:p>
    <w:p>
      <w:pPr>
        <w:spacing w:after="0" w:line="18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14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our statements of operations as a reduction to R&amp;D expenses (contra-R&amp;D expense). For more information, see Note 2, "Basis of Presentation and Summary of Significant Accounting Policies – Grant Funding" 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5" w:name="page126"/>
    <w:bookmarkEnd w:id="125"/>
    <w:p>
      <w:pPr>
        <w:jc w:val="both"/>
        <w:spacing w:after="0" w:line="281" w:lineRule="auto"/>
        <w:rPr>
          <w:sz w:val="20"/>
          <w:szCs w:val="20"/>
          <w:color w:val="auto"/>
        </w:rPr>
      </w:pPr>
      <w:r>
        <w:rPr>
          <w:rFonts w:ascii="Arial" w:cs="Arial" w:eastAsia="Arial" w:hAnsi="Arial"/>
          <w:sz w:val="17"/>
          <w:szCs w:val="17"/>
          <w:color w:val="auto"/>
        </w:rPr>
        <w:t>the accompanying consolidated financial statements. For the years ended December 31, 2025 and 2024, we recognized contra-R&amp;D expense of approximately $16.4 million and $8.8 million, respectively.</w:t>
      </w:r>
    </w:p>
    <w:p>
      <w:pPr>
        <w:spacing w:after="0" w:line="12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spacing w:after="0" w:line="129"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SG&amp;A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and cash flows is discussed in Note 2 to the accompanying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Management’s discussion and analysis of financial condition and results of operations is based on our consolidated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our financial statements.</w:t>
      </w:r>
    </w:p>
    <w:p>
      <w:pPr>
        <w:spacing w:after="0" w:line="137"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While our significant account policies are described in more detail in Note 2 to our consolidated financial statements included herein, we believe that the following accounting policies are most important to the portrayal of our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financial condition and results of operations and require management's most difficult, subjective and complex judgments.</w:t>
      </w:r>
    </w:p>
    <w:p>
      <w:pPr>
        <w:spacing w:after="0" w:line="57" w:lineRule="exact"/>
        <w:rPr>
          <w:sz w:val="20"/>
          <w:szCs w:val="20"/>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57" w:lineRule="exact"/>
        <w:rPr>
          <w:rFonts w:ascii="Arial" w:cs="Arial" w:eastAsia="Arial" w:hAnsi="Arial"/>
          <w:sz w:val="17"/>
          <w:szCs w:val="17"/>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Stock-Based Compensation;</w:t>
      </w:r>
    </w:p>
    <w:p>
      <w:pPr>
        <w:spacing w:after="0" w:line="57" w:lineRule="exact"/>
        <w:rPr>
          <w:rFonts w:ascii="Arial" w:cs="Arial" w:eastAsia="Arial" w:hAnsi="Arial"/>
          <w:sz w:val="17"/>
          <w:szCs w:val="17"/>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Liability Related to the Sale of Future Royalties</w:t>
      </w:r>
    </w:p>
    <w:p>
      <w:pPr>
        <w:spacing w:after="0" w:line="57" w:lineRule="exact"/>
        <w:rPr>
          <w:rFonts w:ascii="Arial" w:cs="Arial" w:eastAsia="Arial" w:hAnsi="Arial"/>
          <w:sz w:val="17"/>
          <w:szCs w:val="17"/>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Sale of Future Payments;</w:t>
      </w:r>
    </w:p>
    <w:p>
      <w:pPr>
        <w:spacing w:after="0" w:line="57" w:lineRule="exact"/>
        <w:rPr>
          <w:rFonts w:ascii="Arial" w:cs="Arial" w:eastAsia="Arial" w:hAnsi="Arial"/>
          <w:sz w:val="17"/>
          <w:szCs w:val="17"/>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Grant Funding; and</w:t>
      </w:r>
    </w:p>
    <w:p>
      <w:pPr>
        <w:spacing w:after="0" w:line="57" w:lineRule="exact"/>
        <w:rPr>
          <w:rFonts w:ascii="Arial" w:cs="Arial" w:eastAsia="Arial" w:hAnsi="Arial"/>
          <w:sz w:val="17"/>
          <w:szCs w:val="17"/>
          <w:color w:val="auto"/>
        </w:rPr>
      </w:pPr>
    </w:p>
    <w:p>
      <w:pPr>
        <w:ind w:left="1200" w:hanging="289"/>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Clinical Trial Expense Accruals.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33"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Under ASC Topic 606, or ASC 606, we recognize revenue when promised goods or services are transferred to customers in an amount that reflects the consideration to which we expect to be entitled in exchange for those goods or services. To determine revenue recognition for contracts with customers, we perform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At contract inception, we assess the goods or services agreed upon within each contract, assess whether each good or service is distinct, and determines those that are performance obligations. We then recognize as revenue the amount of the transaction price allocated to the respective performance obligation when (or as) the performance obligation is satisfied.</w:t>
      </w:r>
    </w:p>
    <w:p>
      <w:pPr>
        <w:spacing w:after="0" w:line="112"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a contract with multiple performance obligations,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We evaluate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12"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Collaboration Revenues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enter into collaboration and licensing agreements under which we out-license certain rights to our products or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to third parties. The terms of these arrangements typically include payment of one or more of the following to us: non-refundable, up-front license fees; development, regulatory and/or commercial milestone payments; and royalties on net sales of licensed products. To date, we have not recognized any collaboration revenues.</w:t>
      </w:r>
    </w:p>
    <w:p>
      <w:pPr>
        <w:spacing w:after="0" w:line="9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 xml:space="preserve">License Fee Revenue. </w:t>
      </w:r>
      <w:r>
        <w:rPr>
          <w:rFonts w:ascii="Arial" w:cs="Arial" w:eastAsia="Arial" w:hAnsi="Arial"/>
          <w:sz w:val="17"/>
          <w:szCs w:val="17"/>
          <w:color w:val="auto"/>
        </w:rPr>
        <w:t>If the license to our intellectual property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a contract, we recognize revenues from non-refundable, upfront fees allocated to the license when the license is transferred to the customer and the customer is able to use and benefit from the license. For licenses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To date, we have recognized $12.8 million in license fee revenue, all of which, other than $1.0 million recognized upon the termination of the license agreement with Bayer, is from payments received under our license agreement with Organon to commercialize XACIATO.</w:t>
      </w:r>
    </w:p>
    <w:p>
      <w:pPr>
        <w:spacing w:after="0" w:line="11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i w:val="1"/>
          <w:iCs w:val="1"/>
          <w:color w:val="auto"/>
        </w:rPr>
        <w:t xml:space="preserve">Milestones. </w:t>
      </w:r>
      <w:r>
        <w:rPr>
          <w:rFonts w:ascii="Arial" w:cs="Arial" w:eastAsia="Arial" w:hAnsi="Arial"/>
          <w:sz w:val="17"/>
          <w:szCs w:val="17"/>
          <w:color w:val="auto"/>
        </w:rPr>
        <w:t>At the inception of each arrangement in which we are a licensor and that includes developmental, regulatory or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we evaluate whether achieving the milestones is considered probable and estimate the amount to be included in the transaction price using the most likely amount method. If it is probable that a significant revenue reversal would not occur, the associated milestone value is included in the transaction price. Milestone payments not within our control, such as where achievement of the specified milestone depends on activities of a third party or regulatory approval, are not considered probable of being achieved until the specified milestone occurs. To date, we have recognized $1.8 million of milestone revenue, which represents the $1.8 million milestone payment we received under our license agreement with Organon in connection with the first commercial sale of XACIATO.</w:t>
      </w:r>
    </w:p>
    <w:p>
      <w:pPr>
        <w:spacing w:after="0" w:line="112"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is deemed to be the predominant item to which the royalties relate, we recognize revenue at the later of (i) when the related sales occur, or (ii) when the performance obligation to which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7" w:name="page128"/>
    <w:bookmarkEnd w:id="127"/>
    <w:p>
      <w:pPr>
        <w:jc w:val="both"/>
        <w:spacing w:after="0" w:line="281" w:lineRule="auto"/>
        <w:rPr>
          <w:sz w:val="20"/>
          <w:szCs w:val="20"/>
          <w:color w:val="auto"/>
        </w:rPr>
      </w:pPr>
      <w:r>
        <w:rPr>
          <w:rFonts w:ascii="Arial" w:cs="Arial" w:eastAsia="Arial" w:hAnsi="Arial"/>
          <w:sz w:val="17"/>
          <w:szCs w:val="17"/>
          <w:color w:val="auto"/>
        </w:rPr>
        <w:t>some or all of the royalty has been allocated has been satisfied (or partially satisfied). To date, we have recognized approximately $26,000 of royalty revenue.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compensation cost for all stock-based awards is measured at the grant date, based on the fair value of the award (determined using a Black-Scholes option pricing model), and is recognized as an expense over the requisite service period (generally the vesting period of the award). Determining the fair value of stock-based awards at the grant date requires significant estimates and judgments, including estimating the market price volatility of our common stock, future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spacing w:after="0" w:line="7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Stock options or stock awards with performance conditions issued to non-employees who are not directors are measured on the grant date and recognized when the performance is complete. Refer to Note 10 to our consolidated financial statements included in this report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Related to the Sale of Future Royalties</w:t>
      </w:r>
    </w:p>
    <w:p>
      <w:pPr>
        <w:spacing w:after="0" w:line="13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December 2023, we entered into a royalty interest financing agreement with UiE, pursuant to which we sold to UiE an interest in royalty and milestone payments we receive based on net sales of XACIATO. We received $5.0 million from UiE in connection with entering into the royalty interest financing agreement. We account for the sale of future royalties related to the UiE arrangement as debt under ASC 470, Debt. We recognized the $5.0 million payment received as a liability on our consolidated balance sheet because we agreed to make payments to UiE until such time that UiE has received aggregate payments equaling a 12% internal rate of return on the $5.0 million. Interest expense for the liability related to the sale of future royalties is recognized using the effective interest rate method over the expected term of the royalty interest financing agreement. The accounting for this arrangement requires significant judgment in estimating the total amount and timing of future royalty payments expected to be paid over the life of the agreement. These estimates are based on a combination of internal forecasts and external market data, including assumptions regarding future product sales, market adoption, pricing, and other relevant factors that may impact royalty-generating revenues.</w:t>
      </w:r>
    </w:p>
    <w:p>
      <w:pPr>
        <w:spacing w:after="0" w:line="7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estimated royalty stream is used to determine the effective interest rate applied to the liability, which drives the recognition of interest expense over the term of the arrangement. Because the effective interest rate is based on projected royalty payments, changes in the estimated amount or timing of future royalties could materially affect the amount and timing of interest expense recognized in future periods. We periodically reassess our estimates of expected royalty payments. If actual results differ from our estimates, or if our expectations regarding future royalty payments change, we prospectively adjust the effective interest rate and the recognition of interest expense over the remaining term of the arrangement. Refer to Note 12 to our consolidated financial statements included in this report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Future Payments</w:t>
      </w:r>
    </w:p>
    <w:p>
      <w:pPr>
        <w:spacing w:after="0" w:line="13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 xml:space="preserve">On April 29, 2024, we entered into and closed a traditional royalty purchase agreement and a synthetic royalty purchase agreement with XOMA pursuant to which we sold our right, title and interest in the following to XOMA (i) all future net royalty and potential net milestone payments we would otherwise receive from Organon based on net sales of XACIATO, (ii) a portion of future net sales of Ovaprene and a portion of the $20.0 million payment that we could have potentially received under our since terminated license agreement with Bayer relating to Ovaprene, and (iii) a portion of future net sales of Sildenafil Cream. We received $22.0 million from XOMA in connection with entering into the royalty purchase agreements. Under the terms of the royalty purchase agreements, if XOMA receives total payments under the royalty purchase agreements equal to an amount that exceeds $88.0 million, XOMA will pay $11.0 million to us for each successive $22.0 million XOMA receives under the royalty purchase agreements. If we earn any such payments, they will be accounted for as variable consideration under 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will be recorded as income when such payments are received.</w:t>
      </w:r>
    </w:p>
    <w:p>
      <w:pPr>
        <w:spacing w:after="0" w:line="11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evaluated the expected cash flows to XOMA from royalties and milestone payments expected to be earned on XACIATO, Ovaprene and Sildenafil Cream over the period that we expected it would take for XOMA to receive total payments of $88.0 million under the royalty purchase agreements, and determined to allocate the $22.0 million we received from XOMA in connection with entering into the royalty purchase agreements, net of transaction costs of approximately $1.6 million, to the traditional royalty purchase agreement for XACIATO, and none of it to the synthetic royalty purchase agreement for Ovaprene and Sildenafil Cream. The cash flows to XOMA from royalties and milestone payments expected to be earned on Ovaprene and Sildenafil Cream were expected to be de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8" w:name="page129"/>
    <w:bookmarkEnd w:id="128"/>
    <w:p>
      <w:pPr>
        <w:jc w:val="both"/>
        <w:spacing w:after="0" w:line="281" w:lineRule="auto"/>
        <w:rPr>
          <w:sz w:val="20"/>
          <w:szCs w:val="20"/>
          <w:color w:val="auto"/>
        </w:rPr>
      </w:pPr>
      <w:r>
        <w:rPr>
          <w:rFonts w:ascii="Arial" w:cs="Arial" w:eastAsia="Arial" w:hAnsi="Arial"/>
          <w:sz w:val="17"/>
          <w:szCs w:val="17"/>
          <w:color w:val="auto"/>
        </w:rPr>
        <w:t>minimis over the period that we expected it would take for XOMA to receive total payments of $88.0 million under the royalty purchase agreements because, unlike XACIATO, Ovaprene and Sildenafil Cream were not commercial assets at the time the evaluation was made.</w:t>
      </w:r>
    </w:p>
    <w:p>
      <w:pPr>
        <w:spacing w:after="0" w:line="7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determined that the traditional royalty purchase agreement represented a complete sale of a nonfinancial asset (our right, title and interest in and to future payments related to commercial sales of XACIATO) for which XOMA would bear all benefit and for which we had no obligations or involvement going forward, and therefore should be accounted for within the scope of Accounting Standards Codification ("</w:t>
      </w:r>
      <w:r>
        <w:rPr>
          <w:rFonts w:ascii="Arial" w:cs="Arial" w:eastAsia="Arial" w:hAnsi="Arial"/>
          <w:sz w:val="17"/>
          <w:szCs w:val="17"/>
          <w:i w:val="1"/>
          <w:iCs w:val="1"/>
          <w:color w:val="auto"/>
        </w:rPr>
        <w:t>ASC") 610-20,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 Gains and Losses from the Derecognition of Nonfinancial Assets</w:t>
      </w:r>
      <w:r>
        <w:rPr>
          <w:rFonts w:ascii="Arial" w:cs="Arial" w:eastAsia="Arial" w:hAnsi="Arial"/>
          <w:sz w:val="17"/>
          <w:szCs w:val="17"/>
          <w:color w:val="auto"/>
        </w:rPr>
        <w:t>. The $22.0 million net of transaction costs of approximately $1.6 million was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as other income on our consolidated statements of operations and comprehensive loss for the year ended December 31, 2024.</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Funding</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receive certain research and development funding under grants issued by the U.S. government and a not-for-profit foundation. In accordance with a policy we adopted in 2018, we recognize grant funding in the statements of operations as a reduction to R&amp;D expense, or contra R&amp;D, as the related costs are incurred to meet those obligations over the grant period. Grant funding payments received in advance of research and development expenses incurred are recorded as deferred grant funding liability in our consolidated balance sheets. For the years ended December 31, 2025 and December 31, 2024, there were no material adjustments to our prior period estimates of grant funded research and development expenses. Refer to Note 15 to our consolidated financial statements included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Expense Accruals</w:t>
      </w:r>
    </w:p>
    <w:p>
      <w:pPr>
        <w:spacing w:after="0" w:line="18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We estimate expenses resulting from our obligations under contracts with vendors, CROs and consultants and under clinical site agreements in connection with conducting clinical trials. The financial terms of these contracts vary and may result in payment flows that do not match the periods over which materials or services are provided.</w:t>
      </w:r>
    </w:p>
    <w:p>
      <w:pPr>
        <w:spacing w:after="0" w:line="12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record clinical trial expenses in the period in which services are performed and efforts are expended. We accrue for these expenses according to the progress of the trial as measured by patient progression and the timing of various aspects of the trial. We estimate accruals through financial models taking into account discussion with applicable personnel and outside service providers as to the progress of trials. During the course of a clinical trial, we may adjust our clinical accruals if actual results differ from our estimates. We estimate accrued expenses as of each balance sheet date based on the facts and circumstances known at that time. Our clinical trial accruals are dependent upon accurate reporting by CROs and other third-party vendors. Although we do not expect our estimates to differ materially from amounts actually incurred, our understanding of the status and timing of services performed relative to the actual status and timing of services performed may vary and may result in reporting amounts that are too high or too low for any particular period. For the years ended December 31, 2025 and December 31, 2024 there were no material adjustments to our prior period estimates of accrued expenses for clinical trials.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2025 and 2024</w:t>
      </w:r>
    </w:p>
    <w:p>
      <w:pPr>
        <w:spacing w:after="0" w:line="222" w:lineRule="exact"/>
        <w:rPr>
          <w:sz w:val="20"/>
          <w:szCs w:val="20"/>
          <w:color w:val="auto"/>
        </w:rPr>
      </w:pPr>
    </w:p>
    <w:p>
      <w:pPr>
        <w:jc w:val="both"/>
        <w:ind w:firstLine="607"/>
        <w:spacing w:after="0" w:line="265" w:lineRule="auto"/>
        <w:rPr>
          <w:sz w:val="20"/>
          <w:szCs w:val="20"/>
          <w:color w:val="auto"/>
        </w:rPr>
      </w:pPr>
      <w:r>
        <w:rPr>
          <w:rFonts w:ascii="Arial" w:cs="Arial" w:eastAsia="Arial" w:hAnsi="Arial"/>
          <w:sz w:val="17"/>
          <w:szCs w:val="17"/>
          <w:color w:val="auto"/>
        </w:rPr>
        <w:t>The following table summarizes our consolidated results of operations for the years ended December 31, 2025 and 2024, and the change in the applicable line item in terms of dollars and percentage: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Years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3"/>
            <w:vMerge w:val="restart"/>
          </w:tcPr>
          <w:p>
            <w:pPr>
              <w:ind w:left="1000"/>
              <w:spacing w:after="0"/>
              <w:rPr>
                <w:sz w:val="20"/>
                <w:szCs w:val="20"/>
                <w:color w:val="auto"/>
              </w:rPr>
            </w:pPr>
            <w:r>
              <w:rPr>
                <w:rFonts w:ascii="Arial" w:cs="Arial" w:eastAsia="Arial" w:hAnsi="Arial"/>
                <w:sz w:val="13"/>
                <w:szCs w:val="13"/>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8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7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ind w:right="5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License fee and other revenue</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1,030,193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1,020,409</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10,429 %</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1,030,193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1,020,409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10,429 %</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295,799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295,799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8,763,376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9,156,061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(392,685)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5,523,352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14,305,208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(8,781,856)</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7"/>
        </w:trPr>
        <w:tc>
          <w:tcPr>
            <w:tcW w:w="490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14,286,728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23,461,269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(9,174,541)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(13,552,334)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(23,451,485)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10,194,950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15"/>
        </w:trPr>
        <w:tc>
          <w:tcPr>
            <w:tcW w:w="4900" w:type="dxa"/>
            <w:vAlign w:val="bottom"/>
          </w:tcPr>
          <w:p>
            <w:pPr>
              <w:ind w:left="120"/>
              <w:spacing w:after="0"/>
              <w:rPr>
                <w:sz w:val="20"/>
                <w:szCs w:val="20"/>
                <w:color w:val="auto"/>
              </w:rPr>
            </w:pPr>
            <w:r>
              <w:rPr>
                <w:rFonts w:ascii="Arial" w:cs="Arial" w:eastAsia="Arial" w:hAnsi="Arial"/>
                <w:sz w:val="17"/>
                <w:szCs w:val="17"/>
                <w:color w:val="auto"/>
              </w:rPr>
              <w:t>Other income (expense)</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Sale of royalty and milestone rights, net</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20,379,376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(20,379,376)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153,060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(981,490)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1,134,550</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116 %</w:t>
            </w:r>
          </w:p>
        </w:tc>
        <w:tc>
          <w:tcPr>
            <w:tcW w:w="0" w:type="dxa"/>
            <w:vAlign w:val="bottom"/>
          </w:tcPr>
          <w:p>
            <w:pPr>
              <w:spacing w:after="0"/>
              <w:rPr>
                <w:sz w:val="1"/>
                <w:szCs w:val="1"/>
                <w:color w:val="auto"/>
              </w:rPr>
            </w:pPr>
          </w:p>
        </w:tc>
      </w:tr>
      <w:tr>
        <w:trPr>
          <w:trHeight w:val="232"/>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(13,399,274)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(4,053,599)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(9,345,675)</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0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approximately $1.0 million increase in license fee and other revenue was primarily attributable to the $1.0 million of revenue recognized upon the termination of the license agreement with Bayer in December 2025.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Cost of revenues relates primarily to expenses associated with medical education and awareness related to the commercialization of DARE 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PLAY.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decrease of approximately $0.4 million in SG&amp;A expenses from 2024 to 2025 was primarily attributable to decreases in (i) stock-based compensation expense of approximately $0.5 million, (ii) personnel costs of approximately $0.3 million due to reduced compensation expense, and (iii) general corporate overhead expenses of approximately $0.3 million. Such decreases were partially offset by increases in commercial-readiness expenses of approximately $0.4 million primarily for DARE to PLAY and professional services expenses of approximately $0.3 million.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following table summarizes our R&amp;D expenses for the periods indicated, together with the changes in those items in terms of dollars and percentage: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0" w:name="page131"/>
    <w:bookmarkEnd w:id="130"/>
    <w:tbl>
      <w:tblPr>
        <w:tblLayout w:type="fixed"/>
        <w:tblInd w:w="10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Years Ended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vMerge w:val="restart"/>
          </w:tcPr>
          <w:p>
            <w:pPr>
              <w:ind w:left="740"/>
              <w:spacing w:after="0"/>
              <w:rPr>
                <w:sz w:val="20"/>
                <w:szCs w:val="20"/>
                <w:color w:val="auto"/>
              </w:rPr>
            </w:pPr>
            <w:r>
              <w:rPr>
                <w:rFonts w:ascii="Arial" w:cs="Arial" w:eastAsia="Arial" w:hAnsi="Arial"/>
                <w:sz w:val="13"/>
                <w:szCs w:val="13"/>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Direct program costs: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320"/>
              <w:spacing w:after="0" w:line="215" w:lineRule="exact"/>
              <w:rPr>
                <w:sz w:val="20"/>
                <w:szCs w:val="20"/>
                <w:color w:val="auto"/>
              </w:rPr>
            </w:pPr>
            <w:r>
              <w:rPr>
                <w:rFonts w:ascii="Arial" w:cs="Arial" w:eastAsia="Arial" w:hAnsi="Arial"/>
                <w:sz w:val="17"/>
                <w:szCs w:val="17"/>
                <w:color w:val="auto"/>
              </w:rPr>
              <w:t xml:space="preserve">Ovaprene </w:t>
            </w:r>
            <w:r>
              <w:rPr>
                <w:rFonts w:ascii="Arial" w:cs="Arial" w:eastAsia="Arial" w:hAnsi="Arial"/>
                <w:sz w:val="21"/>
                <w:szCs w:val="21"/>
                <w:color w:val="auto"/>
                <w:vertAlign w:val="superscript"/>
              </w:rPr>
              <w:t>(1)</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5,016,187</w:t>
            </w:r>
          </w:p>
        </w:tc>
        <w:tc>
          <w:tcPr>
            <w:tcW w:w="14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8,518,495</w:t>
            </w:r>
          </w:p>
        </w:tc>
        <w:tc>
          <w:tcPr>
            <w:tcW w:w="14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(3,502,308)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line="215" w:lineRule="exact"/>
              <w:rPr>
                <w:sz w:val="20"/>
                <w:szCs w:val="20"/>
                <w:color w:val="auto"/>
              </w:rPr>
            </w:pPr>
            <w:r>
              <w:rPr>
                <w:rFonts w:ascii="Arial" w:cs="Arial" w:eastAsia="Arial" w:hAnsi="Arial"/>
                <w:sz w:val="17"/>
                <w:szCs w:val="17"/>
                <w:color w:val="auto"/>
              </w:rPr>
              <w:t xml:space="preserve">Sildenafil Cream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1,143,221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2,361,052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5"/>
        </w:trPr>
        <w:tc>
          <w:tcPr>
            <w:tcW w:w="5660" w:type="dxa"/>
            <w:vAlign w:val="bottom"/>
          </w:tcPr>
          <w:p>
            <w:pPr>
              <w:ind w:left="320"/>
              <w:spacing w:after="0"/>
              <w:rPr>
                <w:sz w:val="20"/>
                <w:szCs w:val="20"/>
                <w:color w:val="auto"/>
              </w:rPr>
            </w:pPr>
            <w:r>
              <w:rPr>
                <w:rFonts w:ascii="Arial" w:cs="Arial" w:eastAsia="Arial" w:hAnsi="Arial"/>
                <w:sz w:val="17"/>
                <w:szCs w:val="17"/>
                <w:color w:val="auto"/>
              </w:rPr>
              <w:t>Other advanced clinical stage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2,805,127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1,421,888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1,383,239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line="215" w:lineRule="exact"/>
              <w:rPr>
                <w:sz w:val="20"/>
                <w:szCs w:val="20"/>
                <w:color w:val="auto"/>
              </w:rPr>
            </w:pPr>
            <w:r>
              <w:rPr>
                <w:rFonts w:ascii="Arial" w:cs="Arial" w:eastAsia="Arial" w:hAnsi="Arial"/>
                <w:sz w:val="17"/>
                <w:szCs w:val="17"/>
                <w:color w:val="auto"/>
              </w:rPr>
              <w:t xml:space="preserve">Phase 1 and Phase 1-ready clinical stage programs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1,548,800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761,721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787,079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15"/>
        </w:trPr>
        <w:tc>
          <w:tcPr>
            <w:tcW w:w="5660" w:type="dxa"/>
            <w:vAlign w:val="bottom"/>
          </w:tcPr>
          <w:p>
            <w:pPr>
              <w:ind w:left="320"/>
              <w:spacing w:after="0" w:line="215" w:lineRule="exact"/>
              <w:rPr>
                <w:sz w:val="20"/>
                <w:szCs w:val="20"/>
                <w:color w:val="auto"/>
              </w:rPr>
            </w:pPr>
            <w:r>
              <w:rPr>
                <w:rFonts w:ascii="Arial" w:cs="Arial" w:eastAsia="Arial" w:hAnsi="Arial"/>
                <w:sz w:val="17"/>
                <w:szCs w:val="17"/>
                <w:color w:val="auto"/>
              </w:rPr>
              <w:t xml:space="preserve">Preclinical stage programs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6,365,438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4,233,762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2,131,676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development programs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5"/>
        </w:trPr>
        <w:tc>
          <w:tcPr>
            <w:tcW w:w="5660" w:type="dxa"/>
            <w:vAlign w:val="bottom"/>
            <w:tcBorders>
              <w:bottom w:val="single" w:sz="8" w:color="CCEEFF"/>
            </w:tcBorders>
          </w:tcPr>
          <w:p>
            <w:pPr>
              <w:ind w:left="320"/>
              <w:spacing w:after="0" w:line="215" w:lineRule="exact"/>
              <w:rPr>
                <w:sz w:val="20"/>
                <w:szCs w:val="20"/>
                <w:color w:val="auto"/>
              </w:rPr>
            </w:pPr>
            <w:r>
              <w:rPr>
                <w:rFonts w:ascii="Arial" w:cs="Arial" w:eastAsia="Arial" w:hAnsi="Arial"/>
                <w:sz w:val="17"/>
                <w:szCs w:val="17"/>
                <w:color w:val="auto"/>
              </w:rPr>
              <w:t xml:space="preserve">Contra R&amp;D expenses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(13,919,881)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(7,685,533)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(6,234,348)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direct program costs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2,958,892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9,638,927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(6,680,035)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Indirect costs: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Personnel-related (including stock-based compensation)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4,691,957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5,611,057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5"/>
        </w:trPr>
        <w:tc>
          <w:tcPr>
            <w:tcW w:w="5660" w:type="dxa"/>
            <w:vAlign w:val="bottom"/>
          </w:tcPr>
          <w:p>
            <w:pPr>
              <w:ind w:left="320"/>
              <w:spacing w:after="0"/>
              <w:rPr>
                <w:sz w:val="20"/>
                <w:szCs w:val="20"/>
                <w:color w:val="auto"/>
              </w:rPr>
            </w:pPr>
            <w:r>
              <w:rPr>
                <w:rFonts w:ascii="Arial" w:cs="Arial" w:eastAsia="Arial" w:hAnsi="Arial"/>
                <w:sz w:val="17"/>
                <w:szCs w:val="17"/>
                <w:color w:val="auto"/>
              </w:rPr>
              <w:t>Outside services (including consulting)</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20,835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3837 %</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Facilities-related (including depreciation)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75,215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5"/>
        </w:trPr>
        <w:tc>
          <w:tcPr>
            <w:tcW w:w="5660" w:type="dxa"/>
            <w:vAlign w:val="bottom"/>
          </w:tcPr>
          <w:p>
            <w:pPr>
              <w:ind w:left="320"/>
              <w:spacing w:after="0"/>
              <w:rPr>
                <w:sz w:val="20"/>
                <w:szCs w:val="20"/>
                <w:color w:val="auto"/>
              </w:rPr>
            </w:pPr>
            <w:r>
              <w:rPr>
                <w:rFonts w:ascii="Arial" w:cs="Arial" w:eastAsia="Arial" w:hAnsi="Arial"/>
                <w:sz w:val="17"/>
                <w:szCs w:val="17"/>
                <w:color w:val="auto"/>
              </w:rPr>
              <w:t>Other indirect R&amp;D costs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185,194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176,061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Contra R&amp;D expenses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(2,409,284)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(1,199,548)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(1,209,736)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indirect R&amp;D costs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2,564,460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4,666,281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(2,101,821)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R&amp;D expenses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5,523,352</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14,305,208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(8,781,856)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bl>
    <w:p>
      <w:pPr>
        <w:ind w:left="720" w:right="140" w:hanging="298"/>
        <w:spacing w:after="0" w:line="245" w:lineRule="auto"/>
        <w:tabs>
          <w:tab w:leader="none" w:pos="711"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The applicable program(s) receive grant funding and/or the Tax Incentive. The amount of R&amp;D expense for the period indicated is shown on a gross basis (i.e., without deducting the amount of contra R&amp;D expense for the applicable program(s). See footnote (3) below.</w:t>
      </w:r>
    </w:p>
    <w:p>
      <w:pPr>
        <w:spacing w:after="0" w:line="40" w:lineRule="exact"/>
        <w:rPr>
          <w:rFonts w:ascii="Arial" w:cs="Arial" w:eastAsia="Arial" w:hAnsi="Arial"/>
          <w:sz w:val="17"/>
          <w:szCs w:val="17"/>
          <w:i w:val="1"/>
          <w:iCs w:val="1"/>
          <w:color w:val="auto"/>
        </w:rPr>
      </w:pPr>
    </w:p>
    <w:p>
      <w:pPr>
        <w:ind w:left="720" w:hanging="298"/>
        <w:spacing w:after="0"/>
        <w:tabs>
          <w:tab w:leader="none" w:pos="72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For 2025, the dollar amount also includes expenses for DARE to PLAY.</w:t>
      </w:r>
    </w:p>
    <w:p>
      <w:pPr>
        <w:spacing w:after="0" w:line="69" w:lineRule="exact"/>
        <w:rPr>
          <w:rFonts w:ascii="Arial" w:cs="Arial" w:eastAsia="Arial" w:hAnsi="Arial"/>
          <w:sz w:val="17"/>
          <w:szCs w:val="17"/>
          <w:i w:val="1"/>
          <w:iCs w:val="1"/>
          <w:color w:val="auto"/>
        </w:rPr>
      </w:pPr>
    </w:p>
    <w:p>
      <w:pPr>
        <w:ind w:left="720" w:right="120" w:hanging="298"/>
        <w:spacing w:after="0" w:line="222" w:lineRule="auto"/>
        <w:tabs>
          <w:tab w:leader="none" w:pos="711"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These contra R&amp;D expenses were recognized as follows for the years ended December 31, 2025 and 2024: (a) Ovaprene, $2.5 million, and $0.2 million, respectively; (b) Other advanced clinical stage programs, $2.9 million and $0, respectively, (c) Phase 1 and Phase 1-ready clinical stage programs, $0.4 million and $1.3 million, respectively; and (d) Preclinical stage programs, $8.1 million and $6.2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-898525</wp:posOffset>
            </wp:positionV>
            <wp:extent cx="34258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5825" cy="8255"/>
                    </a:xfrm>
                    <a:prstGeom prst="rect">
                      <a:avLst/>
                    </a:prstGeom>
                    <a:noFill/>
                  </pic:spPr>
                </pic:pic>
              </a:graphicData>
            </a:graphic>
          </wp:anchor>
        </w:drawing>
      </w:r>
    </w:p>
    <w:p>
      <w:pPr>
        <w:spacing w:after="0" w:line="354" w:lineRule="exact"/>
        <w:rPr>
          <w:sz w:val="20"/>
          <w:szCs w:val="20"/>
          <w:color w:val="auto"/>
        </w:rPr>
      </w:pPr>
    </w:p>
    <w:p>
      <w:pPr>
        <w:jc w:val="both"/>
        <w:ind w:firstLine="607"/>
        <w:spacing w:after="0" w:line="258" w:lineRule="auto"/>
        <w:rPr>
          <w:sz w:val="20"/>
          <w:szCs w:val="20"/>
          <w:color w:val="auto"/>
        </w:rPr>
      </w:pPr>
      <w:r>
        <w:rPr>
          <w:rFonts w:ascii="Arial" w:cs="Arial" w:eastAsia="Arial" w:hAnsi="Arial"/>
          <w:sz w:val="17"/>
          <w:szCs w:val="17"/>
          <w:color w:val="auto"/>
        </w:rPr>
        <w:t>The decrease of approximately $8.8 million in R&amp;D expenses from 2024 to 2025 was primarily attributable to (i) an increase in contra-R&amp;D expenses, (ii) a decrease in manufacturing costs related to Ovaprene, (iii) a decrease in costs related to development activities for Sildenafil Cream,</w:t>
      </w:r>
    </w:p>
    <w:p>
      <w:pPr>
        <w:jc w:val="both"/>
        <w:ind w:firstLine="1"/>
        <w:spacing w:after="0" w:line="250" w:lineRule="auto"/>
        <w:tabs>
          <w:tab w:leader="none" w:pos="29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decrease in personnel costs, and (v) a decrease in costs related to development activities for DARE-HRT1 partially offset by increases in costs related to development activities for (A) our other advanced clinical stage programs —primarily attributable to our DARE-HPV program, (B) our pre-clinical and other development programs —primarily attributable to our DARE-LARC1 program, and (C) our Phase 1 and Phase 1-ready clinical stage programs —primarily attributable to our DARE-PTB1 program. Contra-R&amp;D expenses for the year ended December 31, 2025 primarily offset direct program costs for DARE-LARC1, DARE-HPV and Ovaprene. Contra R&amp;D expenses for the year ended December 31, 2024 primarily offset direct program costs for DARE-LARC1.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Sale of royalty and milestone rights, net</w:t>
      </w:r>
    </w:p>
    <w:p>
      <w:pPr>
        <w:spacing w:after="0" w:line="10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$20.4 million of other net income for 2024 represents the $22.0 million payment to us in April 2024 under the royalty purchase agreements we entered into with XOMA, net of approximately $1.6 million in transaction costs.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Other income (expense), net</w:t>
      </w:r>
    </w:p>
    <w:p>
      <w:pPr>
        <w:spacing w:after="0" w:line="10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increase of $ 1.1 million in other income (expense) for 2025 as compared to 2024 was primarily due to increased interest earned on cash balances in 2025 and the receipt in the current year of approximately $0.3 million of employee retention credits for applications filed during 2023, offset by a loss on the disposal of a fixed asset of $0.6 million in 2024.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Operations and Future Funding Requirements</w:t>
      </w:r>
    </w:p>
    <w:p>
      <w:pPr>
        <w:spacing w:after="0" w:line="146"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In the near term, we plan to focus primarily on: (a) our ongoing Ovaprene Phase 3 study; (b) executing against our Section 503B compounding and consumer health products business strategies, with a focus on DARE to PLAY, DARE to RECLAIM estradiol progesterone intravaginal ring and DARE to RESTORE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w:t>
      </w:r>
    </w:p>
    <w:p>
      <w:pPr>
        <w:spacing w:after="0" w:line="11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At December 31, 2025, we had cash and cash equivalents of approximately $ 24.7 million and working capital of approximately $3.4 million. We will need additional capital to fund our operating needs through the fourth quarter of 2026 and to meet our current obligations as they become due. Our cash and cash equivalents at December 31, 2025 included funds received under grant agreements that generally may be applied solely toward direct costs for the funded project under those grant agreements other than an approximately 5% to 22% indirect cost allowance, and as of December 31, 2025, our deferred grant funding liability was approximately $19.7 million, substantially all of which consisted of funds intended to support the DARE-LARC1 program, the Ovaprene Phase 3 clinical study, and the DARE-HPV program. For more information about these grant agreements, see "—Contractual Obligations and Other Commitments—Grant Agreements" below, and Note 2 "Basis of Presentation and Summary of Significant Accounting Policies—Grant Funding" and Note 15 "Grant Awards—Other Non-Dilutive Grant Funding" to the accompanying consolidated financial statements.</w:t>
      </w:r>
    </w:p>
    <w:p>
      <w:pPr>
        <w:spacing w:after="0" w:line="14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addition to our ongoing Regulation A offering, we will continue to evaluate and may pursue various other capital raising options, including sales of equity, debt financings, government or other grant funding, collaborations, structured financings, and commercial collaborations or other strategic transactions. Our ability to obtain additional capital, including through our ongoing Regulation A offering,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spacing w:after="0" w:line="14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At December 31, 2025, our accumulated deficit was approximately $188.7 million, and we had a net loss of approximately $ 13.4 million and negative cash flows from operations of approximately $9.9 million for the year ended December 31, 2025. Because we are in the early stages of executing against our Section 503B compounding and consumer health products business strategies and, as an organization, we have no experience in or infrastructure for commercializing products, both the timing and amount of potential revenue we may generate remain uncertain. As a result,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consolidated financial statements. The accompanying consolidated financial statements were prepared on a going concern basis, which assumes that we will realize our assets and satisfy our liabilities in the normal course of business.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3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this report under “Risks Related to Our Financial Position and Capital Needs.”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10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spacing w:after="0" w:line="11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have an ongoing Regulation A offering in which are offering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$5.00. As of the date of this report, we have issued an aggregate of 65,640 units to investors in the offering, consisting of 65,640 shares of Series A convertible preferred stock and warrants to purchase up to 131,280 shares of our common stock, for gross proceeds of approximately $328,200.</w:t>
      </w:r>
    </w:p>
    <w:p>
      <w:pPr>
        <w:spacing w:after="0" w:line="6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have a sales agreement with Stifel, Nicolaus &amp; Company, Incorporated, or Stifel, to sell shares of our common stock from time to time through an ATM offering under which Stifel acts as our agent. During 2025, we sold 4,329,116 shares of our common stock under the sales agreement for net proceeds of approximately $17.6 million. Shares of our common stock sold under the sales agreement were offered and sold under our shelf registration statement on Form S-3 (File No. 333-278380), declared effective by the SEC on May 10, 2024. Because the market value of our outstanding shares of common stock held by non-affiliates, or our public float, is less than $75.0 million, our use of a shelf registration statement is currently limited by what is known as the SEC’s “baby shelf rule” to one-third of our public float in any 12-month period. Because of the "baby shelf rule" and based on sales of shares of our common stock under our ATM sales agreement, we do not expect to sell any additional shares under our ATM sales agreement during the approximately 12-month period from July 2025, unless and until our public float exceeds approximately $54.0 million, as determined in accordance with SEC rules.</w:t>
      </w:r>
    </w:p>
    <w:p>
      <w:pPr>
        <w:spacing w:after="0" w:line="14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have a purchase agreement with Lincoln Park Capital Fund, LLC, or Lincoln Park, under which, subject to the conditions thereof, we have the right, but not the obligation, to sell to Lincoln Park, and Lincoln Park is obligated to purchase, up to $15.0 million in shares of our common stock. Such sales of our common stock to Lincoln Park, if any, are subject to certain limitations, and may occur from time to time, at our sole discretion, over the 24-month period commencing on November 27, 2024. We sold 1,470,000 shares of our common stock under this purchase agreement during 2025 for net proceeds of approximately $3.1 million. As of the filing date of this report, due to the limitations in the purchase agreement on the number of shares we can sell at an average price of less than $3.59, unless we obtain stockholder approval to do so, we do not expect to sell any more shares to Lincoln Park. See Note 9 "Stockholders’ Equity—Equity Line " to the accompanying consolidated financial statements for additional information regarding these limitations.</w:t>
      </w:r>
    </w:p>
    <w:p>
      <w:pPr>
        <w:spacing w:after="0" w:line="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expect to begin recording revenue from sales of our 503B products and consumer health products when such products are commercially available for purchase and are shipped. Because we are in the early stages of executing against our Section 503B compounding and consumer health products strategy and, as an organization, we have no experience in or infrastructure for commercializing products, the amount of potential revenue we may generate during 2026 remains uncertain.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128" w:lineRule="exact"/>
        <w:rPr>
          <w:sz w:val="20"/>
          <w:szCs w:val="20"/>
          <w:color w:val="auto"/>
        </w:rPr>
      </w:pPr>
    </w:p>
    <w:p>
      <w:pPr>
        <w:ind w:left="9260"/>
        <w:spacing w:after="0"/>
        <w:rPr>
          <w:sz w:val="20"/>
          <w:szCs w:val="20"/>
          <w:color w:val="auto"/>
        </w:rPr>
      </w:pPr>
      <w:r>
        <w:rPr>
          <w:rFonts w:ascii="Arial" w:cs="Arial" w:eastAsia="Arial" w:hAnsi="Arial"/>
          <w:sz w:val="13"/>
          <w:szCs w:val="13"/>
          <w:b w:val="1"/>
          <w:bCs w:val="1"/>
          <w:color w:val="auto"/>
        </w:rPr>
        <w:t>Years Ended</w:t>
      </w:r>
    </w:p>
    <w:p>
      <w:pPr>
        <w:spacing w:after="0" w:line="3" w:lineRule="exact"/>
        <w:rPr>
          <w:sz w:val="20"/>
          <w:szCs w:val="20"/>
          <w:color w:val="auto"/>
        </w:rPr>
      </w:pPr>
    </w:p>
    <w:p>
      <w:pPr>
        <w:ind w:left="9220"/>
        <w:spacing w:after="0"/>
        <w:rPr>
          <w:sz w:val="20"/>
          <w:szCs w:val="20"/>
          <w:color w:val="auto"/>
        </w:rPr>
      </w:pPr>
      <w:r>
        <w:rPr>
          <w:rFonts w:ascii="Arial" w:cs="Arial" w:eastAsia="Arial" w:hAnsi="Arial"/>
          <w:sz w:val="13"/>
          <w:szCs w:val="13"/>
          <w:b w:val="1"/>
          <w:bCs w:val="1"/>
          <w:color w:val="auto"/>
        </w:rPr>
        <w:t>December 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0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2024</w:t>
            </w:r>
          </w:p>
        </w:tc>
      </w:tr>
      <w:tr>
        <w:trPr>
          <w:trHeight w:val="207"/>
        </w:trPr>
        <w:tc>
          <w:tcPr>
            <w:tcW w:w="8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(used in) provided by operating activities</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(9,885,870)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5,473,555</w:t>
            </w:r>
          </w:p>
        </w:tc>
      </w:tr>
      <w:tr>
        <w:trPr>
          <w:trHeight w:val="215"/>
        </w:trPr>
        <w:tc>
          <w:tcPr>
            <w:tcW w:w="8080" w:type="dxa"/>
            <w:vAlign w:val="bottom"/>
          </w:tcPr>
          <w:p>
            <w:pPr>
              <w:ind w:left="20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(385,278)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(573,046)</w:t>
            </w:r>
          </w:p>
        </w:tc>
      </w:tr>
      <w:tr>
        <w:trPr>
          <w:trHeight w:val="215"/>
        </w:trPr>
        <w:tc>
          <w:tcPr>
            <w:tcW w:w="8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19,277,144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354,522</w:t>
            </w:r>
          </w:p>
        </w:tc>
      </w:tr>
      <w:tr>
        <w:trPr>
          <w:trHeight w:val="215"/>
        </w:trPr>
        <w:tc>
          <w:tcPr>
            <w:tcW w:w="80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(67,913)</w:t>
            </w:r>
          </w:p>
        </w:tc>
      </w:tr>
      <w:tr>
        <w:trPr>
          <w:trHeight w:val="232"/>
        </w:trPr>
        <w:tc>
          <w:tcPr>
            <w:tcW w:w="8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Net increase in cash, cash equivalents and restricted cash</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9,013,182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5,187,118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18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Cash used in operating activities during the year ended December 31, 2025 included the net loss of $13.4 million, decreased by non-cash stock-based compensation expense of approximately $1.5 million. Changes in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3" w:name="page134"/>
    <w:bookmarkEnd w:id="133"/>
    <w:p>
      <w:pPr>
        <w:jc w:val="both"/>
        <w:spacing w:after="0" w:line="253" w:lineRule="auto"/>
        <w:rPr>
          <w:sz w:val="20"/>
          <w:szCs w:val="20"/>
          <w:color w:val="auto"/>
        </w:rPr>
      </w:pPr>
      <w:r>
        <w:rPr>
          <w:rFonts w:ascii="Arial" w:cs="Arial" w:eastAsia="Arial" w:hAnsi="Arial"/>
          <w:sz w:val="17"/>
          <w:szCs w:val="17"/>
          <w:color w:val="auto"/>
        </w:rPr>
        <w:t>operating assets and liabilities included a decrease in deferred revenue of $1.0 million related to revenue recognized during the period for amounts previously received, which reduced operating cash. Components providing operating cash were an increase in deferred grant funding of approximately $3.1 million, a decrease in prepaid expenses of approximately $0.7 million, and an increase in interest payable of approximately $0.6 million related to our royalty interest financing agreement with UiE. Components reducing operating cash were (i) a decrease in accrued expenses of approximately $2.3 million primarily as a result of prior year accruals not present in the current year including a $1.0 million milestone due under a license agreement, approximately $0.5 million related to the construction of capital equipment, and approximately $0.8 million of accrued bonus expense, (ii) an increase in other receivables of approximately $0.3 million, and (iii) a decrease in accounts payable of approximately $0.3 million.</w:t>
      </w:r>
    </w:p>
    <w:p>
      <w:pPr>
        <w:spacing w:after="0" w:line="150"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Cash provided by operating activities during the year ended December 31, 2024 included the net loss of $4.1 million, decreased by non-cash stock-based compensation expense of approximately $2.2 million. Components providing operating cash were a decrease in prepaid expenses of approximately $3.6 million, an increase in deferred grant funding of approximately $2.8 million, a decrease in other receivables of approximately $0.7 million, an increase in interest payable of approximately $ 0.5 million related to our royalty interest financing agreement with UiE, an increase in accrued expenses of $ 0.2 million, and a decrease in deposits of $0.4 million. Components reducing operating cash were a decrease in accounts payable of approximately $1.9 million and a decrease in other non-current assets of approximately $34,000.</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Net cash used in investing activities during the years ended December 31, 2025 and December 31, 2024 was related to purchases of property and equipment of approximately $0.4 million and $0.6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Net cash provided by financing activities during the year ended December 31, 2025 primarily consisted of net proceeds of approximately $17.6 million and $3.1 million from the sale of our common stock under our ATM sales agreement and our equity line arrangement with Lincoln Park, respectively. These proceeds were partially offset by (i) principal payments of approximately $1.3 million related to our finance lease obligation, and (ii) payments of approximately $0.3 million for deferred offering costs associated with our capital-raising activities.</w:t>
      </w:r>
    </w:p>
    <w:p>
      <w:pPr>
        <w:spacing w:after="0" w:line="12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Net cash provided by financing activities during the year ended December 31, 2024 primarily consisted of proceeds from (i) the sale of our common stock under our ATM sales agreement and (ii) the financing of certain director and officer and other liability insurance premiums, partially offset by payments on the insurance financing payable.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and Royalty Agreements</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Agreements—Strategic Agreements for Pipeline Development" to the accompanying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w:t>
      </w:r>
    </w:p>
    <w:p>
      <w:pPr>
        <w:spacing w:after="0" w:line="17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During 2026, based on our current expectations regarding the progress of development of our product candidates and sales of XACIATO and DARE to PLAY,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consolidated financial statements. With respect to DARE to PLAY, for at least the first twelve months following its market introduction, we anticipate a mid single-digit royalty payment obligation to our upstream licensor on annual net sales.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i w:val="1"/>
          <w:iCs w:val="1"/>
          <w:color w:val="auto"/>
        </w:rPr>
        <w:t>Grant Agreements</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For information regarding our grant agreements with the Foundation, see "--Deferred Grant Funding," above, and Note 2, "Basis of Presentation and Summary of Significant Accounting Policies—Grant Funding" and Note 15, "Grant Awards-Other Non-Dilutive Grant Funding" to the accompanying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Purchase Agreements with XOMA</w:t>
      </w:r>
    </w:p>
    <w:p>
      <w:pPr>
        <w:spacing w:after="0" w:line="184"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In April 2024, we entered into a traditional royalty purchase agreement and a synthetic royalty purchase agreement with XOMA pursuant to which, among other things,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and (b) a portion of future net sales of Ovaprene, Sildenafil Cream and DARE to PLAY.</w:t>
      </w:r>
    </w:p>
    <w:p>
      <w:pPr>
        <w:spacing w:after="0" w:line="11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For more information regarding our contractual obligations to XOMA, see ITEM 1. “BUSINESS— Royalty Monetization Transactions— Traditional and Synthetic Royalty Purchase Agreements with XOMA” in Part I of this report and Note 13 “Royalty Purchase Agreements” to the accompanying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Interest Financing Agreement</w:t>
      </w:r>
    </w:p>
    <w:p>
      <w:pPr>
        <w:spacing w:after="0" w:line="209"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December 2023, we entered into a royalty interest financing agreement with UiE pursuant to which we sold to UiE an interest in the royalty and milestone payments we are entitled to receive in respect of net sales of XACIATO under our license agreement with Organon.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We have the right to make prepayments on or pay in full and retire all of our payment obligations to UiE.</w:t>
      </w:r>
    </w:p>
    <w:p>
      <w:pPr>
        <w:spacing w:after="0" w:line="13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For more information regarding our contractual obligations to UiE, see ITEM 1. “BUSINESS— Royalty Monetization Transactions—Royalty Interest Financing Agreement” in Part I of this report and Note 12 “Royalty Interest Financing” to the accompanying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have two operating leases for our laboratory and office spaces that each expire in 2027. As of December 31, 2025, we had future minimum lease payments under these leases of $1.2 million, $0.6 million of which is classified as current and $0.6 million of which is classified as long-term, the remainder of which represents future interest payments. We have one finance lease for our clean room space that expires in 2026. As of December 31, 2025, we had future minimum lease payments under this lease of $1.5 million, all of which is classified as current, the remainder of which represents future interest payments. For additional information on our lease obligations, See Note 11 "Leases" to the accompanying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Contractual Obligations</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enter into contracts in the normal course of business with various third parties for research studies, clinical trials, testing and other services, and with Section 503B-registered outsourcing facilities, dispensing pharmacies, telehealth providers, and other third parties to help bring our proprietary formulations to market. These contracts generally provide for termination upon notice, and we do not believe that our non-cancelable obligations under these agreements are material.</w:t>
      </w:r>
    </w:p>
    <w:p>
      <w:pPr>
        <w:spacing w:after="0" w:line="167"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For descriptions of additional contractual obligations and commitments, see Note 14 “Commitments and Contingencies” to the accompanying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 rules.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SEC rules and regulations, as a smaller reporting company we are not required to provide the information required by this item.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Our consolidated financial statements required to be included in this Item 8 are set forth in a separate section of this report commencing on page F-1.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7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December 31, 2025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2025 to provide reasonable assurance regarding the reliability of financial reporting and the preparation of financial statements in accordance with generally accepted accounting principles in the United States.</w:t>
      </w:r>
    </w:p>
    <w:p>
      <w:pPr>
        <w:spacing w:after="0" w:line="6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There was no change in our internal control over financial reporting identified in connection with the evaluation required by Rules 13a-15(d) and 15d-15(d) of the Exchange Act that occurred during the fourth quarter ended December 31, 2025 that has materially affected, or is reasonably likely to materially affect, our internal control over financial reporting.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ITEM 9B. OTHER INFORMATION</w:t>
      </w:r>
    </w:p>
    <w:p>
      <w:pPr>
        <w:spacing w:after="0" w:line="184" w:lineRule="exact"/>
        <w:rPr>
          <w:sz w:val="20"/>
          <w:szCs w:val="20"/>
          <w:color w:val="auto"/>
        </w:rPr>
      </w:pPr>
    </w:p>
    <w:p>
      <w:pPr>
        <w:ind w:left="860" w:hanging="252"/>
        <w:spacing w:after="0"/>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None.</w:t>
      </w:r>
    </w:p>
    <w:p>
      <w:pPr>
        <w:spacing w:after="0" w:line="170" w:lineRule="exact"/>
        <w:rPr>
          <w:rFonts w:ascii="Arial" w:cs="Arial" w:eastAsia="Arial" w:hAnsi="Arial"/>
          <w:sz w:val="17"/>
          <w:szCs w:val="17"/>
          <w:color w:val="auto"/>
        </w:rPr>
      </w:pPr>
    </w:p>
    <w:p>
      <w:pPr>
        <w:jc w:val="both"/>
        <w:ind w:firstLine="608"/>
        <w:spacing w:after="0" w:line="264" w:lineRule="auto"/>
        <w:tabs>
          <w:tab w:leader="none" w:pos="879"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During the period from October 1, 2025 to December 31, 2025,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7" w:name="page138"/>
    <w:bookmarkEnd w:id="137"/>
    <w:p>
      <w:pPr>
        <w:ind w:left="5300"/>
        <w:spacing w:after="0"/>
        <w:rPr>
          <w:sz w:val="20"/>
          <w:szCs w:val="20"/>
          <w:color w:val="auto"/>
        </w:rPr>
      </w:pPr>
      <w:r>
        <w:rPr>
          <w:rFonts w:ascii="Arial" w:cs="Arial" w:eastAsia="Arial" w:hAnsi="Arial"/>
          <w:sz w:val="17"/>
          <w:szCs w:val="17"/>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09" w:lineRule="exact"/>
        <w:rPr>
          <w:sz w:val="20"/>
          <w:szCs w:val="20"/>
          <w:color w:val="auto"/>
        </w:rPr>
      </w:pPr>
    </w:p>
    <w:p>
      <w:pPr>
        <w:ind w:right="1060" w:firstLine="607"/>
        <w:spacing w:after="0" w:line="480" w:lineRule="auto"/>
        <w:rPr>
          <w:sz w:val="20"/>
          <w:szCs w:val="20"/>
          <w:color w:val="auto"/>
        </w:rPr>
      </w:pPr>
      <w:r>
        <w:rPr>
          <w:rFonts w:ascii="Arial" w:cs="Arial" w:eastAsia="Arial" w:hAnsi="Arial"/>
          <w:sz w:val="17"/>
          <w:szCs w:val="17"/>
          <w:color w:val="auto"/>
        </w:rPr>
        <w:t xml:space="preserve">The information required by this item will be included in the 2026 Proxy Statement and is incorporated in this report by reference. </w:t>
      </w:r>
      <w:r>
        <w:rPr>
          <w:rFonts w:ascii="Arial" w:cs="Arial" w:eastAsia="Arial" w:hAnsi="Arial"/>
          <w:sz w:val="17"/>
          <w:szCs w:val="17"/>
          <w:b w:val="1"/>
          <w:bCs w:val="1"/>
          <w:color w:val="auto"/>
        </w:rPr>
        <w:t>ITEM 11. EXECUTIVE COMPENSATION</w:t>
      </w:r>
    </w:p>
    <w:p>
      <w:pPr>
        <w:spacing w:after="0" w:line="2"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The information required by this item will be included in the 2026 Proxy Statement and is incorporated in this report by reference, except as to information disclosed in the 2026 Proxy Statement pursuant to Item 402(v) of Regulation S-K relating to pay versus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9" w:lineRule="exact"/>
        <w:rPr>
          <w:sz w:val="20"/>
          <w:szCs w:val="20"/>
          <w:color w:val="auto"/>
        </w:rPr>
      </w:pPr>
    </w:p>
    <w:p>
      <w:pPr>
        <w:ind w:right="1060" w:firstLine="607"/>
        <w:spacing w:after="0" w:line="473" w:lineRule="auto"/>
        <w:rPr>
          <w:sz w:val="20"/>
          <w:szCs w:val="20"/>
          <w:color w:val="auto"/>
        </w:rPr>
      </w:pPr>
      <w:r>
        <w:rPr>
          <w:rFonts w:ascii="Arial" w:cs="Arial" w:eastAsia="Arial" w:hAnsi="Arial"/>
          <w:sz w:val="17"/>
          <w:szCs w:val="17"/>
          <w:color w:val="auto"/>
        </w:rPr>
        <w:t xml:space="preserve">The information required by this item will be included in the 2026 Proxy Statement and is incorporated in this report by reference. </w:t>
      </w:r>
      <w:r>
        <w:rPr>
          <w:rFonts w:ascii="Arial" w:cs="Arial" w:eastAsia="Arial" w:hAnsi="Arial"/>
          <w:sz w:val="17"/>
          <w:szCs w:val="17"/>
          <w:b w:val="1"/>
          <w:bCs w:val="1"/>
          <w:color w:val="auto"/>
        </w:rPr>
        <w:t>ITEM 13. CERTAIN RELATIONSHIPS AND RELATED TRANSACTIONS, AND DIRECTOR INDEPENDENCE</w:t>
      </w:r>
    </w:p>
    <w:p>
      <w:pPr>
        <w:ind w:right="1060" w:firstLine="607"/>
        <w:spacing w:after="0" w:line="480" w:lineRule="auto"/>
        <w:rPr>
          <w:sz w:val="20"/>
          <w:szCs w:val="20"/>
          <w:color w:val="auto"/>
        </w:rPr>
      </w:pPr>
      <w:r>
        <w:rPr>
          <w:rFonts w:ascii="Arial" w:cs="Arial" w:eastAsia="Arial" w:hAnsi="Arial"/>
          <w:sz w:val="17"/>
          <w:szCs w:val="17"/>
          <w:color w:val="auto"/>
        </w:rPr>
        <w:t xml:space="preserve">The information required by this item will be included in the 2026 Proxy Statement and is incorporated in this report by reference. </w:t>
      </w:r>
      <w:r>
        <w:rPr>
          <w:rFonts w:ascii="Arial" w:cs="Arial" w:eastAsia="Arial" w:hAnsi="Arial"/>
          <w:sz w:val="17"/>
          <w:szCs w:val="17"/>
          <w:b w:val="1"/>
          <w:bCs w:val="1"/>
          <w:color w:val="auto"/>
        </w:rPr>
        <w:t>ITEM 14. PRINCIPAL ACCOUNTANT FEES AND SERVICES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information required by this item will be included in the 2026 Proxy Statement and is incorporated in this report by reference.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PART IV</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1" w:lineRule="exact"/>
        <w:rPr>
          <w:sz w:val="20"/>
          <w:szCs w:val="20"/>
          <w:color w:val="auto"/>
        </w:rPr>
      </w:pPr>
    </w:p>
    <w:p>
      <w:pPr>
        <w:ind w:left="860" w:hanging="252"/>
        <w:spacing w:after="0"/>
        <w:tabs>
          <w:tab w:leader="none" w:pos="8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on Form 10-K:</w:t>
      </w:r>
    </w:p>
    <w:p>
      <w:pPr>
        <w:spacing w:after="0" w:line="170" w:lineRule="exact"/>
        <w:rPr>
          <w:rFonts w:ascii="Arial" w:cs="Arial" w:eastAsia="Arial" w:hAnsi="Arial"/>
          <w:sz w:val="17"/>
          <w:szCs w:val="17"/>
          <w:color w:val="auto"/>
        </w:rPr>
      </w:pPr>
    </w:p>
    <w:p>
      <w:pPr>
        <w:ind w:left="260" w:hanging="259"/>
        <w:spacing w:after="0"/>
        <w:tabs>
          <w:tab w:leader="none" w:pos="2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“Index to Consolidated Financial Statements” on page F-1.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Exhibits not filed or furnished herewith are incorporated by reference to exhibits previously filed with the SEC, as reflected in the table below. We will furnish a copy of any exhibit to stockholders, without charge upon written request to Daré Bioscience, Inc., 3655 Nobel Drive, Suite 260, San Diego, CA 92122, or by calling 858-926-7655.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240" w:type="dxa"/>
            <w:vAlign w:val="bottom"/>
            <w:vMerge w:val="restart"/>
          </w:tcPr>
          <w:p>
            <w:pPr>
              <w:jc w:val="center"/>
              <w:ind w:right="156"/>
              <w:spacing w:after="0"/>
              <w:rPr>
                <w:sz w:val="20"/>
                <w:szCs w:val="20"/>
                <w:color w:val="auto"/>
              </w:rPr>
            </w:pPr>
            <w:r>
              <w:rPr>
                <w:rFonts w:ascii="Arial" w:cs="Arial" w:eastAsia="Arial" w:hAnsi="Arial"/>
                <w:sz w:val="17"/>
                <w:szCs w:val="17"/>
                <w:b w:val="1"/>
                <w:bCs w:val="1"/>
                <w:color w:val="auto"/>
                <w:w w:val="98"/>
              </w:rPr>
              <w:t>Exhibit</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2"/>
          </w:tcPr>
          <w:p>
            <w:pPr>
              <w:ind w:left="680"/>
              <w:spacing w:after="0"/>
              <w:rPr>
                <w:sz w:val="20"/>
                <w:szCs w:val="20"/>
                <w:color w:val="auto"/>
              </w:rPr>
            </w:pPr>
            <w:r>
              <w:rPr>
                <w:rFonts w:ascii="Arial" w:cs="Arial" w:eastAsia="Arial" w:hAnsi="Arial"/>
                <w:sz w:val="17"/>
                <w:szCs w:val="17"/>
                <w:b w:val="1"/>
                <w:bCs w:val="1"/>
                <w:color w:val="auto"/>
              </w:rPr>
              <w:t>Incorporated by Reference</w:t>
            </w:r>
          </w:p>
        </w:tc>
        <w:tc>
          <w:tcPr>
            <w:tcW w:w="1200" w:type="dxa"/>
            <w:vAlign w:val="bottom"/>
            <w:tcBorders>
              <w:bottom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3580" w:type="dxa"/>
            <w:vAlign w:val="bottom"/>
            <w:gridSpan w:val="23"/>
            <w:vMerge w:val="restart"/>
          </w:tcPr>
          <w:p>
            <w:pPr>
              <w:spacing w:after="0"/>
              <w:rPr>
                <w:sz w:val="20"/>
                <w:szCs w:val="20"/>
                <w:color w:val="auto"/>
              </w:rPr>
            </w:pPr>
            <w:r>
              <w:rPr>
                <w:rFonts w:ascii="Arial" w:cs="Arial" w:eastAsia="Arial" w:hAnsi="Arial"/>
                <w:sz w:val="17"/>
                <w:szCs w:val="17"/>
                <w:b w:val="1"/>
                <w:bCs w:val="1"/>
                <w:color w:val="auto"/>
              </w:rPr>
              <w:t>Description of Exhibit</w:t>
            </w:r>
          </w:p>
        </w:tc>
        <w:tc>
          <w:tcPr>
            <w:tcW w:w="5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Form</w:t>
            </w:r>
          </w:p>
        </w:tc>
        <w:tc>
          <w:tcPr>
            <w:tcW w:w="14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File No.</w:t>
            </w:r>
          </w:p>
        </w:tc>
        <w:tc>
          <w:tcPr>
            <w:tcW w:w="152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Filing Date</w:t>
            </w:r>
          </w:p>
        </w:tc>
        <w:tc>
          <w:tcPr>
            <w:tcW w:w="120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Exhibit No.</w:t>
            </w:r>
          </w:p>
        </w:tc>
        <w:tc>
          <w:tcPr>
            <w:tcW w:w="168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Filed Herewith</w:t>
            </w:r>
          </w:p>
        </w:tc>
        <w:tc>
          <w:tcPr>
            <w:tcW w:w="0" w:type="dxa"/>
            <w:vAlign w:val="bottom"/>
          </w:tcPr>
          <w:p>
            <w:pPr>
              <w:spacing w:after="0"/>
              <w:rPr>
                <w:sz w:val="1"/>
                <w:szCs w:val="1"/>
                <w:color w:val="auto"/>
              </w:rPr>
            </w:pPr>
          </w:p>
        </w:tc>
      </w:tr>
      <w:tr>
        <w:trPr>
          <w:trHeight w:val="227"/>
        </w:trPr>
        <w:tc>
          <w:tcPr>
            <w:tcW w:w="1240" w:type="dxa"/>
            <w:vAlign w:val="bottom"/>
          </w:tcPr>
          <w:p>
            <w:pPr>
              <w:jc w:val="center"/>
              <w:ind w:right="156"/>
              <w:spacing w:after="0"/>
              <w:rPr>
                <w:sz w:val="20"/>
                <w:szCs w:val="20"/>
                <w:color w:val="auto"/>
              </w:rPr>
            </w:pPr>
            <w:r>
              <w:rPr>
                <w:rFonts w:ascii="Arial" w:cs="Arial" w:eastAsia="Arial" w:hAnsi="Arial"/>
                <w:sz w:val="17"/>
                <w:szCs w:val="17"/>
                <w:b w:val="1"/>
                <w:bCs w:val="1"/>
                <w:color w:val="auto"/>
                <w:w w:val="99"/>
              </w:rPr>
              <w:t>Number</w:t>
            </w:r>
          </w:p>
        </w:tc>
        <w:tc>
          <w:tcPr>
            <w:tcW w:w="3580" w:type="dxa"/>
            <w:vAlign w:val="bottom"/>
            <w:gridSpan w:val="2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20" w:type="dxa"/>
            <w:vAlign w:val="bottom"/>
            <w:tcBorders>
              <w:top w:val="single" w:sz="8" w:color="auto"/>
              <w:bottom w:val="single" w:sz="8" w:color="auto"/>
            </w:tcBorders>
            <w:gridSpan w:val="24"/>
          </w:tcPr>
          <w:p>
            <w:pPr>
              <w:ind w:left="20"/>
              <w:spacing w:after="0"/>
              <w:rPr>
                <w:sz w:val="20"/>
                <w:szCs w:val="20"/>
                <w:color w:val="auto"/>
              </w:rPr>
            </w:pPr>
            <w:r>
              <w:rPr>
                <w:rFonts w:ascii="Arial" w:cs="Arial" w:eastAsia="Arial" w:hAnsi="Arial"/>
                <w:sz w:val="17"/>
                <w:szCs w:val="17"/>
                <w:i w:val="1"/>
                <w:iCs w:val="1"/>
                <w:color w:val="auto"/>
              </w:rPr>
              <w:t>PLANS OF ACQUISITION</w:t>
            </w:r>
          </w:p>
        </w:tc>
        <w:tc>
          <w:tcPr>
            <w:tcW w:w="5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40" w:type="dxa"/>
            <w:vAlign w:val="bottom"/>
          </w:tcPr>
          <w:p>
            <w:pPr>
              <w:jc w:val="center"/>
              <w:ind w:right="136"/>
              <w:spacing w:after="0" w:line="170" w:lineRule="exact"/>
              <w:rPr>
                <w:sz w:val="20"/>
                <w:szCs w:val="20"/>
                <w:color w:val="auto"/>
              </w:rPr>
            </w:pPr>
            <w:r>
              <w:rPr>
                <w:rFonts w:ascii="Arial" w:cs="Arial" w:eastAsia="Arial" w:hAnsi="Arial"/>
                <w:sz w:val="17"/>
                <w:szCs w:val="17"/>
                <w:color w:val="auto"/>
              </w:rPr>
              <w:t>2.1§</w:t>
            </w:r>
          </w:p>
        </w:tc>
        <w:tc>
          <w:tcPr>
            <w:tcW w:w="3580" w:type="dxa"/>
            <w:vAlign w:val="bottom"/>
            <w:gridSpan w:val="23"/>
          </w:tcPr>
          <w:p>
            <w:pPr>
              <w:spacing w:after="0" w:line="170" w:lineRule="exact"/>
              <w:rPr>
                <w:rFonts w:ascii="Arial" w:cs="Arial" w:eastAsia="Arial" w:hAnsi="Arial"/>
                <w:sz w:val="17"/>
                <w:szCs w:val="17"/>
                <w:color w:val="0000FF"/>
              </w:rPr>
            </w:pPr>
            <w:hyperlink r:id="rId152">
              <w:r>
                <w:rPr>
                  <w:rFonts w:ascii="Arial" w:cs="Arial" w:eastAsia="Arial" w:hAnsi="Arial"/>
                  <w:sz w:val="17"/>
                  <w:szCs w:val="17"/>
                  <w:color w:val="0000FF"/>
                </w:rPr>
                <w:t>Agreement and Plan of Merger, dated as of</w:t>
              </w:r>
            </w:hyperlink>
          </w:p>
        </w:tc>
        <w:tc>
          <w:tcPr>
            <w:tcW w:w="560" w:type="dxa"/>
            <w:vAlign w:val="bottom"/>
          </w:tcPr>
          <w:p>
            <w:pPr>
              <w:jc w:val="center"/>
              <w:spacing w:after="0" w:line="170" w:lineRule="exact"/>
              <w:rPr>
                <w:sz w:val="20"/>
                <w:szCs w:val="20"/>
                <w:color w:val="auto"/>
              </w:rPr>
            </w:pPr>
            <w:r>
              <w:rPr>
                <w:rFonts w:ascii="Arial" w:cs="Arial" w:eastAsia="Arial" w:hAnsi="Arial"/>
                <w:sz w:val="17"/>
                <w:szCs w:val="17"/>
                <w:color w:val="auto"/>
                <w:w w:val="95"/>
              </w:rPr>
              <w:t>10-Q</w:t>
            </w:r>
          </w:p>
        </w:tc>
        <w:tc>
          <w:tcPr>
            <w:tcW w:w="1460" w:type="dxa"/>
            <w:vAlign w:val="bottom"/>
          </w:tcPr>
          <w:p>
            <w:pPr>
              <w:jc w:val="center"/>
              <w:spacing w:after="0" w:line="170" w:lineRule="exact"/>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line="170" w:lineRule="exact"/>
              <w:rPr>
                <w:sz w:val="20"/>
                <w:szCs w:val="20"/>
                <w:color w:val="auto"/>
              </w:rPr>
            </w:pPr>
            <w:r>
              <w:rPr>
                <w:rFonts w:ascii="Arial" w:cs="Arial" w:eastAsia="Arial" w:hAnsi="Arial"/>
                <w:sz w:val="17"/>
                <w:szCs w:val="17"/>
                <w:color w:val="auto"/>
                <w:w w:val="97"/>
              </w:rPr>
              <w:t>8/13/2018</w:t>
            </w:r>
          </w:p>
        </w:tc>
        <w:tc>
          <w:tcPr>
            <w:tcW w:w="1200" w:type="dxa"/>
            <w:vAlign w:val="bottom"/>
          </w:tcPr>
          <w:p>
            <w:pPr>
              <w:jc w:val="center"/>
              <w:spacing w:after="0" w:line="170" w:lineRule="exact"/>
              <w:rPr>
                <w:sz w:val="20"/>
                <w:szCs w:val="20"/>
                <w:color w:val="auto"/>
              </w:rPr>
            </w:pPr>
            <w:r>
              <w:rPr>
                <w:rFonts w:ascii="Arial" w:cs="Arial" w:eastAsia="Arial" w:hAnsi="Arial"/>
                <w:sz w:val="17"/>
                <w:szCs w:val="17"/>
                <w:color w:val="auto"/>
                <w:w w:val="98"/>
              </w:rPr>
              <w:t>10.10</w:t>
            </w: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3240" w:type="dxa"/>
            <w:vAlign w:val="bottom"/>
            <w:tcBorders>
              <w:top w:val="single" w:sz="8" w:color="0000FF"/>
            </w:tcBorders>
            <w:gridSpan w:val="19"/>
          </w:tcPr>
          <w:p>
            <w:pPr>
              <w:spacing w:after="0" w:line="132" w:lineRule="exact"/>
              <w:rPr>
                <w:rFonts w:ascii="Arial" w:cs="Arial" w:eastAsia="Arial" w:hAnsi="Arial"/>
                <w:sz w:val="15"/>
                <w:szCs w:val="15"/>
                <w:color w:val="0000FF"/>
              </w:rPr>
            </w:pPr>
            <w:hyperlink r:id="rId152">
              <w:r>
                <w:rPr>
                  <w:rFonts w:ascii="Arial" w:cs="Arial" w:eastAsia="Arial" w:hAnsi="Arial"/>
                  <w:sz w:val="15"/>
                  <w:szCs w:val="15"/>
                  <w:color w:val="0000FF"/>
                </w:rPr>
                <w:t>April 30, 2018, by and among Daré</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8"/>
              </w:rPr>
            </w:pPr>
            <w:hyperlink r:id="rId152">
              <w:r>
                <w:rPr>
                  <w:rFonts w:ascii="Arial" w:cs="Arial" w:eastAsia="Arial" w:hAnsi="Arial"/>
                  <w:sz w:val="17"/>
                  <w:szCs w:val="17"/>
                  <w:color w:val="0000FF"/>
                  <w:w w:val="98"/>
                </w:rPr>
                <w:t>Bioscience, Inc., Daré Merger Sub,</w:t>
              </w:r>
            </w:hyperlink>
          </w:p>
        </w:tc>
        <w:tc>
          <w:tcPr>
            <w:tcW w:w="380" w:type="dxa"/>
            <w:vAlign w:val="bottom"/>
            <w:tcBorders>
              <w:bottom w:val="single" w:sz="8" w:color="0000FF"/>
            </w:tcBorders>
            <w:gridSpan w:val="5"/>
          </w:tcPr>
          <w:p>
            <w:pPr>
              <w:ind w:left="40"/>
              <w:spacing w:after="0" w:line="152" w:lineRule="exact"/>
              <w:rPr>
                <w:rFonts w:ascii="Arial" w:cs="Arial" w:eastAsia="Arial" w:hAnsi="Arial"/>
                <w:sz w:val="17"/>
                <w:szCs w:val="17"/>
                <w:color w:val="0000FF"/>
                <w:w w:val="99"/>
              </w:rPr>
            </w:pPr>
            <w:hyperlink r:id="rId152">
              <w:r>
                <w:rPr>
                  <w:rFonts w:ascii="Arial" w:cs="Arial" w:eastAsia="Arial" w:hAnsi="Arial"/>
                  <w:sz w:val="17"/>
                  <w:szCs w:val="17"/>
                  <w:color w:val="0000FF"/>
                  <w:w w:val="99"/>
                </w:rPr>
                <w:t>Inc.,</w:t>
              </w:r>
            </w:hyperlink>
          </w:p>
        </w:tc>
        <w:tc>
          <w:tcPr>
            <w:tcW w:w="58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3180" w:type="dxa"/>
            <w:vAlign w:val="bottom"/>
            <w:tcBorders>
              <w:bottom w:val="single" w:sz="8" w:color="0000FF"/>
            </w:tcBorders>
            <w:gridSpan w:val="17"/>
          </w:tcPr>
          <w:p>
            <w:pPr>
              <w:spacing w:after="0" w:line="157" w:lineRule="exact"/>
              <w:rPr>
                <w:rFonts w:ascii="Arial" w:cs="Arial" w:eastAsia="Arial" w:hAnsi="Arial"/>
                <w:sz w:val="17"/>
                <w:szCs w:val="17"/>
                <w:color w:val="0000FF"/>
                <w:w w:val="98"/>
              </w:rPr>
            </w:pPr>
            <w:hyperlink r:id="rId152">
              <w:r>
                <w:rPr>
                  <w:rFonts w:ascii="Arial" w:cs="Arial" w:eastAsia="Arial" w:hAnsi="Arial"/>
                  <w:sz w:val="17"/>
                  <w:szCs w:val="17"/>
                  <w:color w:val="0000FF"/>
                  <w:w w:val="98"/>
                </w:rPr>
                <w:t>Pear Tree Pharmaceuticals, Inc., and Fred</w:t>
              </w:r>
            </w:hyperlink>
          </w:p>
        </w:tc>
        <w:tc>
          <w:tcPr>
            <w:tcW w:w="40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580" w:type="dxa"/>
            <w:vAlign w:val="bottom"/>
            <w:gridSpan w:val="23"/>
          </w:tcPr>
          <w:p>
            <w:pPr>
              <w:spacing w:after="0" w:line="145" w:lineRule="exact"/>
              <w:rPr>
                <w:rFonts w:ascii="Arial" w:cs="Arial" w:eastAsia="Arial" w:hAnsi="Arial"/>
                <w:sz w:val="16"/>
                <w:szCs w:val="16"/>
                <w:color w:val="0000FF"/>
              </w:rPr>
            </w:pPr>
            <w:hyperlink r:id="rId152">
              <w:r>
                <w:rPr>
                  <w:rFonts w:ascii="Arial" w:cs="Arial" w:eastAsia="Arial" w:hAnsi="Arial"/>
                  <w:sz w:val="16"/>
                  <w:szCs w:val="16"/>
                  <w:color w:val="0000FF"/>
                </w:rPr>
                <w:t>Mermelstein and Stephen C. Rocamboli, as</w:t>
              </w:r>
            </w:hyperlink>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5"/>
          </w:tcPr>
          <w:p>
            <w:pPr>
              <w:spacing w:after="0" w:line="145" w:lineRule="exact"/>
              <w:rPr>
                <w:rFonts w:ascii="Arial" w:cs="Arial" w:eastAsia="Arial" w:hAnsi="Arial"/>
                <w:sz w:val="16"/>
                <w:szCs w:val="16"/>
                <w:color w:val="0000FF"/>
              </w:rPr>
            </w:pPr>
            <w:hyperlink r:id="rId152">
              <w:r>
                <w:rPr>
                  <w:rFonts w:ascii="Arial" w:cs="Arial" w:eastAsia="Arial" w:hAnsi="Arial"/>
                  <w:sz w:val="16"/>
                  <w:szCs w:val="16"/>
                  <w:color w:val="0000FF"/>
                </w:rPr>
                <w:t>Holders' Representatives</w:t>
              </w:r>
            </w:hyperlink>
          </w:p>
        </w:tc>
        <w:tc>
          <w:tcPr>
            <w:tcW w:w="1380" w:type="dxa"/>
            <w:vAlign w:val="bottom"/>
            <w:tcBorders>
              <w:top w:val="single" w:sz="8" w:color="0000FF"/>
            </w:tcBorders>
            <w:gridSpan w:val="15"/>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1240" w:type="dxa"/>
            <w:vAlign w:val="bottom"/>
          </w:tcPr>
          <w:p>
            <w:pPr>
              <w:jc w:val="center"/>
              <w:ind w:right="136"/>
              <w:spacing w:after="0"/>
              <w:rPr>
                <w:sz w:val="20"/>
                <w:szCs w:val="20"/>
                <w:color w:val="auto"/>
              </w:rPr>
            </w:pPr>
            <w:r>
              <w:rPr>
                <w:rFonts w:ascii="Arial" w:cs="Arial" w:eastAsia="Arial" w:hAnsi="Arial"/>
                <w:sz w:val="17"/>
                <w:szCs w:val="17"/>
                <w:color w:val="auto"/>
              </w:rPr>
              <w:t>2.2+</w:t>
            </w:r>
          </w:p>
        </w:tc>
        <w:tc>
          <w:tcPr>
            <w:tcW w:w="3580" w:type="dxa"/>
            <w:vAlign w:val="bottom"/>
            <w:gridSpan w:val="23"/>
          </w:tcPr>
          <w:p>
            <w:pPr>
              <w:spacing w:after="0"/>
              <w:rPr>
                <w:rFonts w:ascii="Arial" w:cs="Arial" w:eastAsia="Arial" w:hAnsi="Arial"/>
                <w:sz w:val="17"/>
                <w:szCs w:val="17"/>
                <w:color w:val="0000FF"/>
              </w:rPr>
            </w:pPr>
            <w:hyperlink r:id="rId153">
              <w:r>
                <w:rPr>
                  <w:rFonts w:ascii="Arial" w:cs="Arial" w:eastAsia="Arial" w:hAnsi="Arial"/>
                  <w:sz w:val="17"/>
                  <w:szCs w:val="17"/>
                  <w:color w:val="0000FF"/>
                </w:rPr>
                <w:t>Agreement and Plan of Merger, dated</w:t>
              </w:r>
            </w:hyperlink>
          </w:p>
        </w:tc>
        <w:tc>
          <w:tcPr>
            <w:tcW w:w="56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4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rPr>
                <w:sz w:val="20"/>
                <w:szCs w:val="20"/>
                <w:color w:val="auto"/>
              </w:rPr>
            </w:pPr>
            <w:r>
              <w:rPr>
                <w:rFonts w:ascii="Arial" w:cs="Arial" w:eastAsia="Arial" w:hAnsi="Arial"/>
                <w:sz w:val="17"/>
                <w:szCs w:val="17"/>
                <w:color w:val="auto"/>
                <w:w w:val="96"/>
              </w:rPr>
              <w:t>11/12/2019</w:t>
            </w:r>
          </w:p>
        </w:tc>
        <w:tc>
          <w:tcPr>
            <w:tcW w:w="1200" w:type="dxa"/>
            <w:vAlign w:val="bottom"/>
          </w:tcPr>
          <w:p>
            <w:pPr>
              <w:jc w:val="center"/>
              <w:spacing w:after="0"/>
              <w:rPr>
                <w:sz w:val="20"/>
                <w:szCs w:val="20"/>
                <w:color w:val="auto"/>
              </w:rPr>
            </w:pPr>
            <w:r>
              <w:rPr>
                <w:rFonts w:ascii="Arial" w:cs="Arial" w:eastAsia="Arial" w:hAnsi="Arial"/>
                <w:sz w:val="17"/>
                <w:szCs w:val="17"/>
                <w:color w:val="auto"/>
              </w:rPr>
              <w:t>2.1</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820" w:type="dxa"/>
            <w:vAlign w:val="bottom"/>
            <w:tcBorders>
              <w:top w:val="single" w:sz="8" w:color="0000FF"/>
            </w:tcBorders>
            <w:gridSpan w:val="10"/>
          </w:tcPr>
          <w:p>
            <w:pPr>
              <w:spacing w:after="0" w:line="152" w:lineRule="exact"/>
              <w:rPr>
                <w:rFonts w:ascii="Arial" w:cs="Arial" w:eastAsia="Arial" w:hAnsi="Arial"/>
                <w:sz w:val="17"/>
                <w:szCs w:val="17"/>
                <w:color w:val="0000FF"/>
                <w:w w:val="97"/>
              </w:rPr>
            </w:pPr>
            <w:hyperlink r:id="rId153">
              <w:r>
                <w:rPr>
                  <w:rFonts w:ascii="Arial" w:cs="Arial" w:eastAsia="Arial" w:hAnsi="Arial"/>
                  <w:sz w:val="17"/>
                  <w:szCs w:val="17"/>
                  <w:color w:val="0000FF"/>
                  <w:w w:val="97"/>
                </w:rPr>
                <w:t>November 10, 2019, Dare Bioscience,</w:t>
              </w:r>
            </w:hyperlink>
          </w:p>
        </w:tc>
        <w:tc>
          <w:tcPr>
            <w:tcW w:w="760" w:type="dxa"/>
            <w:vAlign w:val="bottom"/>
            <w:gridSpan w:val="13"/>
          </w:tcPr>
          <w:p>
            <w:pPr>
              <w:ind w:left="80"/>
              <w:spacing w:after="0" w:line="152" w:lineRule="exact"/>
              <w:rPr>
                <w:rFonts w:ascii="Arial" w:cs="Arial" w:eastAsia="Arial" w:hAnsi="Arial"/>
                <w:sz w:val="17"/>
                <w:szCs w:val="17"/>
                <w:color w:val="0000FF"/>
              </w:rPr>
            </w:pPr>
            <w:hyperlink r:id="rId153">
              <w:r>
                <w:rPr>
                  <w:rFonts w:ascii="Arial" w:cs="Arial" w:eastAsia="Arial" w:hAnsi="Arial"/>
                  <w:sz w:val="17"/>
                  <w:szCs w:val="17"/>
                  <w:color w:val="0000FF"/>
                </w:rPr>
                <w:t>Inc.,</w:t>
              </w:r>
            </w:hyperlink>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22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r:id="rId153">
              <w:r>
                <w:rPr>
                  <w:rFonts w:ascii="Arial" w:cs="Arial" w:eastAsia="Arial" w:hAnsi="Arial"/>
                  <w:sz w:val="16"/>
                  <w:szCs w:val="16"/>
                  <w:color w:val="0000FF"/>
                </w:rPr>
                <w:t>MC Merger Sub, Inc., Microchips Biotech,</w:t>
              </w:r>
            </w:hyperlink>
          </w:p>
        </w:tc>
        <w:tc>
          <w:tcPr>
            <w:tcW w:w="120" w:type="dxa"/>
            <w:vAlign w:val="bottom"/>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3120" w:type="dxa"/>
            <w:vAlign w:val="bottom"/>
            <w:tcBorders>
              <w:top w:val="single" w:sz="8" w:color="0000FF"/>
            </w:tcBorders>
            <w:gridSpan w:val="14"/>
          </w:tcPr>
          <w:p>
            <w:pPr>
              <w:spacing w:after="0" w:line="157" w:lineRule="exact"/>
              <w:rPr>
                <w:rFonts w:ascii="Arial" w:cs="Arial" w:eastAsia="Arial" w:hAnsi="Arial"/>
                <w:sz w:val="17"/>
                <w:szCs w:val="17"/>
                <w:color w:val="0000FF"/>
              </w:rPr>
            </w:pPr>
            <w:hyperlink r:id="rId153">
              <w:r>
                <w:rPr>
                  <w:rFonts w:ascii="Arial" w:cs="Arial" w:eastAsia="Arial" w:hAnsi="Arial"/>
                  <w:sz w:val="17"/>
                  <w:szCs w:val="17"/>
                  <w:color w:val="0000FF"/>
                </w:rPr>
                <w:t>Inc., and Shareholder 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2800" w:type="dxa"/>
            <w:vAlign w:val="bottom"/>
            <w:tcBorders>
              <w:top w:val="single" w:sz="8" w:color="0000FF"/>
            </w:tcBorders>
            <w:gridSpan w:val="9"/>
          </w:tcPr>
          <w:p>
            <w:pPr>
              <w:spacing w:after="0" w:line="145" w:lineRule="exact"/>
              <w:rPr>
                <w:rFonts w:ascii="Arial" w:cs="Arial" w:eastAsia="Arial" w:hAnsi="Arial"/>
                <w:sz w:val="16"/>
                <w:szCs w:val="16"/>
                <w:color w:val="0000FF"/>
              </w:rPr>
            </w:pPr>
            <w:hyperlink r:id="rId153">
              <w:r>
                <w:rPr>
                  <w:rFonts w:ascii="Arial" w:cs="Arial" w:eastAsia="Arial" w:hAnsi="Arial"/>
                  <w:sz w:val="16"/>
                  <w:szCs w:val="16"/>
                  <w:color w:val="0000FF"/>
                </w:rPr>
                <w:t>Services LLC, as the stockholders'</w:t>
              </w:r>
            </w:hyperlink>
          </w:p>
        </w:tc>
        <w:tc>
          <w:tcPr>
            <w:tcW w:w="18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rPr>
            </w:pPr>
            <w:hyperlink r:id="rId153">
              <w:r>
                <w:rPr>
                  <w:rFonts w:ascii="Arial" w:cs="Arial" w:eastAsia="Arial" w:hAnsi="Arial"/>
                  <w:sz w:val="16"/>
                  <w:szCs w:val="16"/>
                  <w:color w:val="0000FF"/>
                </w:rPr>
                <w:t>representative</w:t>
              </w:r>
            </w:hyperlink>
          </w:p>
        </w:tc>
        <w:tc>
          <w:tcPr>
            <w:tcW w:w="1500" w:type="dxa"/>
            <w:vAlign w:val="bottom"/>
            <w:tcBorders>
              <w:top w:val="single" w:sz="8" w:color="0000FF"/>
            </w:tcBorders>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820" w:type="dxa"/>
            <w:vAlign w:val="bottom"/>
            <w:tcBorders>
              <w:bottom w:val="single" w:sz="8" w:color="auto"/>
            </w:tcBorders>
            <w:gridSpan w:val="24"/>
          </w:tcPr>
          <w:p>
            <w:pPr>
              <w:ind w:left="20"/>
              <w:spacing w:after="0"/>
              <w:rPr>
                <w:sz w:val="20"/>
                <w:szCs w:val="20"/>
                <w:color w:val="auto"/>
              </w:rPr>
            </w:pPr>
            <w:r>
              <w:rPr>
                <w:rFonts w:ascii="Arial" w:cs="Arial" w:eastAsia="Arial" w:hAnsi="Arial"/>
                <w:sz w:val="17"/>
                <w:szCs w:val="17"/>
                <w:i w:val="1"/>
                <w:iCs w:val="1"/>
                <w:color w:val="auto"/>
              </w:rPr>
              <w:t>ARTICLES OF INCORPORATION AND BYLAWS</w:t>
            </w:r>
          </w:p>
        </w:tc>
        <w:tc>
          <w:tcPr>
            <w:tcW w:w="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240" w:type="dxa"/>
            <w:vAlign w:val="bottom"/>
          </w:tcPr>
          <w:p>
            <w:pPr>
              <w:jc w:val="center"/>
              <w:ind w:right="156"/>
              <w:spacing w:after="0" w:line="170" w:lineRule="exact"/>
              <w:rPr>
                <w:sz w:val="20"/>
                <w:szCs w:val="20"/>
                <w:color w:val="auto"/>
              </w:rPr>
            </w:pPr>
            <w:r>
              <w:rPr>
                <w:rFonts w:ascii="Arial" w:cs="Arial" w:eastAsia="Arial" w:hAnsi="Arial"/>
                <w:sz w:val="17"/>
                <w:szCs w:val="17"/>
                <w:color w:val="auto"/>
              </w:rPr>
              <w:t>3.1</w:t>
            </w:r>
          </w:p>
        </w:tc>
        <w:tc>
          <w:tcPr>
            <w:tcW w:w="3580" w:type="dxa"/>
            <w:vAlign w:val="bottom"/>
            <w:gridSpan w:val="23"/>
          </w:tcPr>
          <w:p>
            <w:pPr>
              <w:spacing w:after="0" w:line="170" w:lineRule="exact"/>
              <w:rPr>
                <w:rFonts w:ascii="Arial" w:cs="Arial" w:eastAsia="Arial" w:hAnsi="Arial"/>
                <w:sz w:val="17"/>
                <w:szCs w:val="17"/>
                <w:color w:val="0000FF"/>
              </w:rPr>
            </w:pPr>
            <w:hyperlink r:id="rId154">
              <w:r>
                <w:rPr>
                  <w:rFonts w:ascii="Arial" w:cs="Arial" w:eastAsia="Arial" w:hAnsi="Arial"/>
                  <w:sz w:val="17"/>
                  <w:szCs w:val="17"/>
                  <w:color w:val="0000FF"/>
                </w:rPr>
                <w:t>Restated Certificate of Incorporation, as</w:t>
              </w:r>
            </w:hyperlink>
          </w:p>
        </w:tc>
        <w:tc>
          <w:tcPr>
            <w:tcW w:w="560" w:type="dxa"/>
            <w:vAlign w:val="bottom"/>
          </w:tcPr>
          <w:p>
            <w:pPr>
              <w:jc w:val="center"/>
              <w:spacing w:after="0" w:line="170" w:lineRule="exact"/>
              <w:rPr>
                <w:sz w:val="20"/>
                <w:szCs w:val="20"/>
                <w:color w:val="auto"/>
              </w:rPr>
            </w:pPr>
            <w:r>
              <w:rPr>
                <w:rFonts w:ascii="Arial" w:cs="Arial" w:eastAsia="Arial" w:hAnsi="Arial"/>
                <w:sz w:val="17"/>
                <w:szCs w:val="17"/>
                <w:color w:val="auto"/>
                <w:w w:val="95"/>
              </w:rPr>
              <w:t>10-Q</w:t>
            </w:r>
          </w:p>
        </w:tc>
        <w:tc>
          <w:tcPr>
            <w:tcW w:w="1460" w:type="dxa"/>
            <w:vAlign w:val="bottom"/>
          </w:tcPr>
          <w:p>
            <w:pPr>
              <w:jc w:val="center"/>
              <w:spacing w:after="0" w:line="170" w:lineRule="exact"/>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line="170" w:lineRule="exact"/>
              <w:rPr>
                <w:sz w:val="20"/>
                <w:szCs w:val="20"/>
                <w:color w:val="auto"/>
              </w:rPr>
            </w:pPr>
            <w:r>
              <w:rPr>
                <w:rFonts w:ascii="Arial" w:cs="Arial" w:eastAsia="Arial" w:hAnsi="Arial"/>
                <w:sz w:val="17"/>
                <w:szCs w:val="17"/>
                <w:color w:val="auto"/>
              </w:rPr>
              <w:t>08/12/2024</w:t>
            </w:r>
          </w:p>
        </w:tc>
        <w:tc>
          <w:tcPr>
            <w:tcW w:w="1200" w:type="dxa"/>
            <w:vAlign w:val="bottom"/>
          </w:tcPr>
          <w:p>
            <w:pPr>
              <w:jc w:val="center"/>
              <w:spacing w:after="0" w:line="170" w:lineRule="exact"/>
              <w:rPr>
                <w:sz w:val="20"/>
                <w:szCs w:val="20"/>
                <w:color w:val="auto"/>
              </w:rPr>
            </w:pPr>
            <w:r>
              <w:rPr>
                <w:rFonts w:ascii="Arial" w:cs="Arial" w:eastAsia="Arial" w:hAnsi="Arial"/>
                <w:sz w:val="17"/>
                <w:szCs w:val="17"/>
                <w:color w:val="auto"/>
              </w:rPr>
              <w:t>3.1</w:t>
            </w: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2980" w:type="dxa"/>
            <w:vAlign w:val="bottom"/>
            <w:tcBorders>
              <w:top w:val="single" w:sz="8" w:color="0000FF"/>
            </w:tcBorders>
            <w:gridSpan w:val="11"/>
          </w:tcPr>
          <w:p>
            <w:pPr>
              <w:spacing w:after="0" w:line="145" w:lineRule="exact"/>
              <w:rPr>
                <w:rFonts w:ascii="Arial" w:cs="Arial" w:eastAsia="Arial" w:hAnsi="Arial"/>
                <w:sz w:val="16"/>
                <w:szCs w:val="16"/>
                <w:color w:val="0000FF"/>
              </w:rPr>
            </w:pPr>
            <w:hyperlink r:id="rId154">
              <w:r>
                <w:rPr>
                  <w:rFonts w:ascii="Arial" w:cs="Arial" w:eastAsia="Arial" w:hAnsi="Arial"/>
                  <w:sz w:val="16"/>
                  <w:szCs w:val="16"/>
                  <w:color w:val="0000FF"/>
                </w:rPr>
                <w:t>amended to date</w:t>
              </w:r>
            </w:hyperlink>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rPr>
              <w:t>3.2</w:t>
            </w:r>
          </w:p>
        </w:tc>
        <w:tc>
          <w:tcPr>
            <w:tcW w:w="3580" w:type="dxa"/>
            <w:vAlign w:val="bottom"/>
            <w:gridSpan w:val="23"/>
          </w:tcPr>
          <w:p>
            <w:pPr>
              <w:spacing w:after="0"/>
              <w:rPr>
                <w:rFonts w:ascii="Arial" w:cs="Arial" w:eastAsia="Arial" w:hAnsi="Arial"/>
                <w:sz w:val="17"/>
                <w:szCs w:val="17"/>
                <w:color w:val="0000FF"/>
              </w:rPr>
            </w:pPr>
            <w:hyperlink r:id="rId155">
              <w:r>
                <w:rPr>
                  <w:rFonts w:ascii="Arial" w:cs="Arial" w:eastAsia="Arial" w:hAnsi="Arial"/>
                  <w:sz w:val="17"/>
                  <w:szCs w:val="17"/>
                  <w:color w:val="0000FF"/>
                </w:rPr>
                <w:t>Third Amended and Restated By-Laws (as</w:t>
              </w:r>
            </w:hyperlink>
          </w:p>
        </w:tc>
        <w:tc>
          <w:tcPr>
            <w:tcW w:w="56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4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rPr>
                <w:sz w:val="20"/>
                <w:szCs w:val="20"/>
                <w:color w:val="auto"/>
              </w:rPr>
            </w:pPr>
            <w:r>
              <w:rPr>
                <w:rFonts w:ascii="Arial" w:cs="Arial" w:eastAsia="Arial" w:hAnsi="Arial"/>
                <w:sz w:val="17"/>
                <w:szCs w:val="17"/>
                <w:color w:val="auto"/>
                <w:w w:val="97"/>
              </w:rPr>
              <w:t>5/14/2024</w:t>
            </w:r>
          </w:p>
        </w:tc>
        <w:tc>
          <w:tcPr>
            <w:tcW w:w="1200" w:type="dxa"/>
            <w:vAlign w:val="bottom"/>
          </w:tcPr>
          <w:p>
            <w:pPr>
              <w:jc w:val="center"/>
              <w:spacing w:after="0"/>
              <w:rPr>
                <w:sz w:val="20"/>
                <w:szCs w:val="20"/>
                <w:color w:val="auto"/>
              </w:rPr>
            </w:pPr>
            <w:r>
              <w:rPr>
                <w:rFonts w:ascii="Arial" w:cs="Arial" w:eastAsia="Arial" w:hAnsi="Arial"/>
                <w:sz w:val="17"/>
                <w:szCs w:val="17"/>
                <w:color w:val="auto"/>
              </w:rPr>
              <w:t>3.1</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180" w:type="dxa"/>
            <w:vAlign w:val="bottom"/>
            <w:tcBorders>
              <w:top w:val="single" w:sz="8" w:color="0000FF"/>
            </w:tcBorders>
            <w:gridSpan w:val="17"/>
          </w:tcPr>
          <w:p>
            <w:pPr>
              <w:spacing w:after="0" w:line="145" w:lineRule="exact"/>
              <w:rPr>
                <w:rFonts w:ascii="Arial" w:cs="Arial" w:eastAsia="Arial" w:hAnsi="Arial"/>
                <w:sz w:val="16"/>
                <w:szCs w:val="16"/>
                <w:color w:val="0000FF"/>
              </w:rPr>
            </w:pPr>
            <w:hyperlink r:id="rId155">
              <w:r>
                <w:rPr>
                  <w:rFonts w:ascii="Arial" w:cs="Arial" w:eastAsia="Arial" w:hAnsi="Arial"/>
                  <w:sz w:val="16"/>
                  <w:szCs w:val="16"/>
                  <w:color w:val="0000FF"/>
                </w:rPr>
                <w:t>amended through January 24, 2023)</w:t>
              </w:r>
            </w:hyperlink>
          </w:p>
        </w:tc>
        <w:tc>
          <w:tcPr>
            <w:tcW w:w="160" w:type="dxa"/>
            <w:vAlign w:val="bottom"/>
            <w:gridSpan w:val="4"/>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20" w:type="dxa"/>
            <w:vAlign w:val="bottom"/>
            <w:tcBorders>
              <w:bottom w:val="single" w:sz="8" w:color="auto"/>
            </w:tcBorders>
            <w:gridSpan w:val="24"/>
          </w:tcPr>
          <w:p>
            <w:pPr>
              <w:ind w:left="20"/>
              <w:spacing w:after="0"/>
              <w:rPr>
                <w:sz w:val="20"/>
                <w:szCs w:val="20"/>
                <w:color w:val="auto"/>
              </w:rPr>
            </w:pPr>
            <w:r>
              <w:rPr>
                <w:rFonts w:ascii="Arial" w:cs="Arial" w:eastAsia="Arial" w:hAnsi="Arial"/>
                <w:sz w:val="17"/>
                <w:szCs w:val="17"/>
                <w:i w:val="1"/>
                <w:iCs w:val="1"/>
                <w:color w:val="auto"/>
                <w:w w:val="98"/>
              </w:rPr>
              <w:t>INSTRUMENTS DEFINING RIGHTS OF SECURITY HOLDERS</w:t>
            </w: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40" w:type="dxa"/>
            <w:vAlign w:val="bottom"/>
          </w:tcPr>
          <w:p>
            <w:pPr>
              <w:jc w:val="center"/>
              <w:ind w:right="156"/>
              <w:spacing w:after="0" w:line="170" w:lineRule="exact"/>
              <w:rPr>
                <w:sz w:val="20"/>
                <w:szCs w:val="20"/>
                <w:color w:val="auto"/>
              </w:rPr>
            </w:pPr>
            <w:r>
              <w:rPr>
                <w:rFonts w:ascii="Arial" w:cs="Arial" w:eastAsia="Arial" w:hAnsi="Arial"/>
                <w:sz w:val="17"/>
                <w:szCs w:val="17"/>
                <w:color w:val="auto"/>
              </w:rPr>
              <w:t>4.1</w:t>
            </w:r>
          </w:p>
        </w:tc>
        <w:tc>
          <w:tcPr>
            <w:tcW w:w="3580" w:type="dxa"/>
            <w:vAlign w:val="bottom"/>
            <w:gridSpan w:val="23"/>
          </w:tcPr>
          <w:p>
            <w:pPr>
              <w:spacing w:after="0" w:line="170" w:lineRule="exact"/>
              <w:rPr>
                <w:rFonts w:ascii="Arial" w:cs="Arial" w:eastAsia="Arial" w:hAnsi="Arial"/>
                <w:sz w:val="17"/>
                <w:szCs w:val="17"/>
                <w:color w:val="0000FF"/>
              </w:rPr>
            </w:pPr>
            <w:hyperlink r:id="rId156">
              <w:r>
                <w:rPr>
                  <w:rFonts w:ascii="Arial" w:cs="Arial" w:eastAsia="Arial" w:hAnsi="Arial"/>
                  <w:sz w:val="17"/>
                  <w:szCs w:val="17"/>
                  <w:color w:val="0000FF"/>
                </w:rPr>
                <w:t>Specimen stock certificate evidencing the</w:t>
              </w:r>
            </w:hyperlink>
          </w:p>
        </w:tc>
        <w:tc>
          <w:tcPr>
            <w:tcW w:w="560" w:type="dxa"/>
            <w:vAlign w:val="bottom"/>
          </w:tcPr>
          <w:p>
            <w:pPr>
              <w:jc w:val="center"/>
              <w:spacing w:after="0" w:line="170" w:lineRule="exact"/>
              <w:rPr>
                <w:sz w:val="20"/>
                <w:szCs w:val="20"/>
                <w:color w:val="auto"/>
              </w:rPr>
            </w:pPr>
            <w:r>
              <w:rPr>
                <w:rFonts w:ascii="Arial" w:cs="Arial" w:eastAsia="Arial" w:hAnsi="Arial"/>
                <w:sz w:val="17"/>
                <w:szCs w:val="17"/>
                <w:color w:val="auto"/>
              </w:rPr>
              <w:t>10-K</w:t>
            </w:r>
          </w:p>
        </w:tc>
        <w:tc>
          <w:tcPr>
            <w:tcW w:w="1460" w:type="dxa"/>
            <w:vAlign w:val="bottom"/>
          </w:tcPr>
          <w:p>
            <w:pPr>
              <w:jc w:val="center"/>
              <w:spacing w:after="0" w:line="170" w:lineRule="exact"/>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line="170" w:lineRule="exact"/>
              <w:rPr>
                <w:sz w:val="20"/>
                <w:szCs w:val="20"/>
                <w:color w:val="auto"/>
              </w:rPr>
            </w:pPr>
            <w:r>
              <w:rPr>
                <w:rFonts w:ascii="Arial" w:cs="Arial" w:eastAsia="Arial" w:hAnsi="Arial"/>
                <w:sz w:val="17"/>
                <w:szCs w:val="17"/>
                <w:color w:val="auto"/>
              </w:rPr>
              <w:t>03/28/2018</w:t>
            </w:r>
          </w:p>
        </w:tc>
        <w:tc>
          <w:tcPr>
            <w:tcW w:w="1200" w:type="dxa"/>
            <w:vAlign w:val="bottom"/>
          </w:tcPr>
          <w:p>
            <w:pPr>
              <w:jc w:val="center"/>
              <w:spacing w:after="0" w:line="170" w:lineRule="exact"/>
              <w:rPr>
                <w:sz w:val="20"/>
                <w:szCs w:val="20"/>
                <w:color w:val="auto"/>
              </w:rPr>
            </w:pPr>
            <w:r>
              <w:rPr>
                <w:rFonts w:ascii="Arial" w:cs="Arial" w:eastAsia="Arial" w:hAnsi="Arial"/>
                <w:sz w:val="17"/>
                <w:szCs w:val="17"/>
                <w:color w:val="auto"/>
              </w:rPr>
              <w:t>4.1</w:t>
            </w: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100" w:type="dxa"/>
            <w:vAlign w:val="bottom"/>
            <w:tcBorders>
              <w:top w:val="single" w:sz="8" w:color="0000FF"/>
            </w:tcBorders>
            <w:gridSpan w:val="13"/>
          </w:tcPr>
          <w:p>
            <w:pPr>
              <w:spacing w:after="0" w:line="145" w:lineRule="exact"/>
              <w:rPr>
                <w:rFonts w:ascii="Arial" w:cs="Arial" w:eastAsia="Arial" w:hAnsi="Arial"/>
                <w:sz w:val="16"/>
                <w:szCs w:val="16"/>
                <w:color w:val="0000FF"/>
              </w:rPr>
            </w:pPr>
            <w:hyperlink r:id="rId156">
              <w:r>
                <w:rPr>
                  <w:rFonts w:ascii="Arial" w:cs="Arial" w:eastAsia="Arial" w:hAnsi="Arial"/>
                  <w:sz w:val="16"/>
                  <w:szCs w:val="16"/>
                  <w:color w:val="0000FF"/>
                </w:rPr>
                <w:t>shares of common stock</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rPr>
              <w:t>4.2</w:t>
            </w:r>
          </w:p>
        </w:tc>
        <w:tc>
          <w:tcPr>
            <w:tcW w:w="3580" w:type="dxa"/>
            <w:vAlign w:val="bottom"/>
            <w:gridSpan w:val="23"/>
          </w:tcPr>
          <w:p>
            <w:pPr>
              <w:spacing w:after="0"/>
              <w:rPr>
                <w:rFonts w:ascii="Arial" w:cs="Arial" w:eastAsia="Arial" w:hAnsi="Arial"/>
                <w:sz w:val="17"/>
                <w:szCs w:val="17"/>
                <w:color w:val="0000FF"/>
              </w:rPr>
            </w:pPr>
            <w:hyperlink r:id="rId157">
              <w:r>
                <w:rPr>
                  <w:rFonts w:ascii="Arial" w:cs="Arial" w:eastAsia="Arial" w:hAnsi="Arial"/>
                  <w:sz w:val="17"/>
                  <w:szCs w:val="17"/>
                  <w:color w:val="0000FF"/>
                </w:rPr>
                <w:t>Warrant Agreement to purchase shares of</w:t>
              </w:r>
            </w:hyperlink>
          </w:p>
        </w:tc>
        <w:tc>
          <w:tcPr>
            <w:tcW w:w="560" w:type="dxa"/>
            <w:vAlign w:val="bottom"/>
          </w:tcPr>
          <w:p>
            <w:pPr>
              <w:jc w:val="center"/>
              <w:spacing w:after="0"/>
              <w:rPr>
                <w:sz w:val="20"/>
                <w:szCs w:val="20"/>
                <w:color w:val="auto"/>
              </w:rPr>
            </w:pPr>
            <w:r>
              <w:rPr>
                <w:rFonts w:ascii="Arial" w:cs="Arial" w:eastAsia="Arial" w:hAnsi="Arial"/>
                <w:sz w:val="17"/>
                <w:szCs w:val="17"/>
                <w:color w:val="auto"/>
              </w:rPr>
              <w:t>10-K</w:t>
            </w:r>
          </w:p>
        </w:tc>
        <w:tc>
          <w:tcPr>
            <w:tcW w:w="14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20" w:type="dxa"/>
            <w:vAlign w:val="bottom"/>
          </w:tcPr>
          <w:p>
            <w:pPr>
              <w:jc w:val="center"/>
              <w:ind w:right="16"/>
              <w:spacing w:after="0"/>
              <w:rPr>
                <w:sz w:val="20"/>
                <w:szCs w:val="20"/>
                <w:color w:val="auto"/>
              </w:rPr>
            </w:pPr>
            <w:r>
              <w:rPr>
                <w:rFonts w:ascii="Arial" w:cs="Arial" w:eastAsia="Arial" w:hAnsi="Arial"/>
                <w:sz w:val="17"/>
                <w:szCs w:val="17"/>
                <w:color w:val="auto"/>
              </w:rPr>
              <w:t>03/31/2022</w:t>
            </w:r>
          </w:p>
        </w:tc>
        <w:tc>
          <w:tcPr>
            <w:tcW w:w="1200" w:type="dxa"/>
            <w:vAlign w:val="bottom"/>
          </w:tcPr>
          <w:p>
            <w:pPr>
              <w:jc w:val="center"/>
              <w:spacing w:after="0"/>
              <w:rPr>
                <w:sz w:val="20"/>
                <w:szCs w:val="20"/>
                <w:color w:val="auto"/>
              </w:rPr>
            </w:pPr>
            <w:r>
              <w:rPr>
                <w:rFonts w:ascii="Arial" w:cs="Arial" w:eastAsia="Arial" w:hAnsi="Arial"/>
                <w:sz w:val="17"/>
                <w:szCs w:val="17"/>
                <w:color w:val="auto"/>
              </w:rPr>
              <w:t>4.2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15"/>
          </w:tcPr>
          <w:p>
            <w:pPr>
              <w:spacing w:after="0" w:line="145" w:lineRule="exact"/>
              <w:rPr>
                <w:rFonts w:ascii="Arial" w:cs="Arial" w:eastAsia="Arial" w:hAnsi="Arial"/>
                <w:sz w:val="16"/>
                <w:szCs w:val="16"/>
                <w:color w:val="0000FF"/>
              </w:rPr>
            </w:pPr>
            <w:hyperlink r:id="rId157">
              <w:r>
                <w:rPr>
                  <w:rFonts w:ascii="Arial" w:cs="Arial" w:eastAsia="Arial" w:hAnsi="Arial"/>
                  <w:sz w:val="16"/>
                  <w:szCs w:val="16"/>
                  <w:color w:val="0000FF"/>
                </w:rPr>
                <w:t>common stock of the registrant with Aquilo</w:t>
              </w:r>
            </w:hyperlink>
          </w:p>
        </w:tc>
        <w:tc>
          <w:tcPr>
            <w:tcW w:w="20" w:type="dxa"/>
            <w:vAlign w:val="bottom"/>
            <w:tcBorders>
              <w:bottom w:val="single" w:sz="8" w:color="0000FF"/>
            </w:tcBorders>
          </w:tcPr>
          <w:p>
            <w:pPr>
              <w:spacing w:after="0"/>
              <w:rPr>
                <w:sz w:val="12"/>
                <w:szCs w:val="12"/>
                <w:color w:val="auto"/>
              </w:rPr>
            </w:pPr>
          </w:p>
        </w:tc>
        <w:tc>
          <w:tcPr>
            <w:tcW w:w="180" w:type="dxa"/>
            <w:vAlign w:val="bottom"/>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3580" w:type="dxa"/>
            <w:vAlign w:val="bottom"/>
            <w:gridSpan w:val="23"/>
          </w:tcPr>
          <w:p>
            <w:pPr>
              <w:spacing w:after="0" w:line="145" w:lineRule="exact"/>
              <w:rPr>
                <w:rFonts w:ascii="Arial" w:cs="Arial" w:eastAsia="Arial" w:hAnsi="Arial"/>
                <w:sz w:val="16"/>
                <w:szCs w:val="16"/>
                <w:color w:val="0000FF"/>
              </w:rPr>
            </w:pPr>
            <w:hyperlink r:id="rId157">
              <w:r>
                <w:rPr>
                  <w:rFonts w:ascii="Arial" w:cs="Arial" w:eastAsia="Arial" w:hAnsi="Arial"/>
                  <w:sz w:val="16"/>
                  <w:szCs w:val="16"/>
                  <w:color w:val="0000FF"/>
                </w:rPr>
                <w:t>Partners, L.P., entered into as of October 16,</w:t>
              </w:r>
            </w:hyperlink>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1080" w:type="dxa"/>
            <w:vAlign w:val="bottom"/>
            <w:tcBorders>
              <w:top w:val="single" w:sz="8" w:color="0000FF"/>
            </w:tcBorders>
            <w:gridSpan w:val="2"/>
          </w:tcPr>
          <w:p>
            <w:pPr>
              <w:spacing w:after="0" w:line="157" w:lineRule="exact"/>
              <w:rPr>
                <w:rFonts w:ascii="Arial" w:cs="Arial" w:eastAsia="Arial" w:hAnsi="Arial"/>
                <w:sz w:val="17"/>
                <w:szCs w:val="17"/>
                <w:color w:val="0000FF"/>
              </w:rPr>
            </w:pPr>
            <w:hyperlink r:id="rId157">
              <w:r>
                <w:rPr>
                  <w:rFonts w:ascii="Arial" w:cs="Arial" w:eastAsia="Arial" w:hAnsi="Arial"/>
                  <w:sz w:val="17"/>
                  <w:szCs w:val="17"/>
                  <w:color w:val="0000FF"/>
                </w:rPr>
                <w:t>2016.</w:t>
              </w:r>
            </w:hyperlink>
          </w:p>
        </w:tc>
        <w:tc>
          <w:tcPr>
            <w:tcW w:w="1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5"/>
        </w:trPr>
        <w:tc>
          <w:tcPr>
            <w:tcW w:w="12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jc w:val="right"/>
              <w:ind w:right="996"/>
              <w:spacing w:after="0"/>
              <w:rPr>
                <w:sz w:val="20"/>
                <w:szCs w:val="20"/>
                <w:color w:val="auto"/>
              </w:rPr>
            </w:pPr>
            <w:r>
              <w:rPr>
                <w:rFonts w:ascii="Arial" w:cs="Arial" w:eastAsia="Arial" w:hAnsi="Arial"/>
                <w:sz w:val="17"/>
                <w:szCs w:val="17"/>
                <w:color w:val="auto"/>
              </w:rPr>
              <w:t>136</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95"/>
        </w:trPr>
        <w:tc>
          <w:tcPr>
            <w:tcW w:w="1240" w:type="dxa"/>
            <w:vAlign w:val="bottom"/>
          </w:tcPr>
          <w:p>
            <w:pPr>
              <w:jc w:val="center"/>
              <w:ind w:right="156"/>
              <w:spacing w:after="0"/>
              <w:rPr>
                <w:sz w:val="20"/>
                <w:szCs w:val="20"/>
                <w:color w:val="auto"/>
              </w:rPr>
            </w:pPr>
            <w:r>
              <w:rPr>
                <w:rFonts w:ascii="Arial" w:cs="Arial" w:eastAsia="Arial" w:hAnsi="Arial"/>
                <w:sz w:val="17"/>
                <w:szCs w:val="17"/>
                <w:color w:val="auto"/>
              </w:rPr>
              <w:t>4.3</w:t>
            </w:r>
          </w:p>
        </w:tc>
        <w:tc>
          <w:tcPr>
            <w:tcW w:w="3460" w:type="dxa"/>
            <w:vAlign w:val="bottom"/>
            <w:gridSpan w:val="28"/>
          </w:tcPr>
          <w:p>
            <w:pPr>
              <w:spacing w:after="0"/>
              <w:rPr>
                <w:rFonts w:ascii="Arial" w:cs="Arial" w:eastAsia="Arial" w:hAnsi="Arial"/>
                <w:sz w:val="17"/>
                <w:szCs w:val="17"/>
                <w:color w:val="0000FF"/>
              </w:rPr>
            </w:pPr>
            <w:hyperlink r:id="rId160">
              <w:r>
                <w:rPr>
                  <w:rFonts w:ascii="Arial" w:cs="Arial" w:eastAsia="Arial" w:hAnsi="Arial"/>
                  <w:sz w:val="17"/>
                  <w:szCs w:val="17"/>
                  <w:color w:val="0000FF"/>
                </w:rPr>
                <w:t>Form of common stock purchase warrants</w:t>
              </w:r>
            </w:hyperlink>
          </w:p>
        </w:tc>
        <w:tc>
          <w:tcPr>
            <w:tcW w:w="82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360" w:type="dxa"/>
            <w:vAlign w:val="bottom"/>
          </w:tcPr>
          <w:p>
            <w:pPr>
              <w:jc w:val="center"/>
              <w:ind w:right="16"/>
              <w:spacing w:after="0"/>
              <w:rPr>
                <w:sz w:val="20"/>
                <w:szCs w:val="20"/>
                <w:color w:val="auto"/>
              </w:rPr>
            </w:pPr>
            <w:r>
              <w:rPr>
                <w:rFonts w:ascii="Arial" w:cs="Arial" w:eastAsia="Arial" w:hAnsi="Arial"/>
                <w:sz w:val="17"/>
                <w:szCs w:val="17"/>
                <w:color w:val="auto"/>
                <w:w w:val="99"/>
              </w:rPr>
              <w:t>0001-36395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08/30/2023</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w w:val="92"/>
              </w:rPr>
              <w:t>4.1</w:t>
            </w:r>
          </w:p>
        </w:tc>
      </w:tr>
      <w:tr>
        <w:trPr>
          <w:trHeight w:val="144"/>
        </w:trPr>
        <w:tc>
          <w:tcPr>
            <w:tcW w:w="1240" w:type="dxa"/>
            <w:vAlign w:val="bottom"/>
          </w:tcPr>
          <w:p>
            <w:pPr>
              <w:spacing w:after="0"/>
              <w:rPr>
                <w:sz w:val="12"/>
                <w:szCs w:val="12"/>
                <w:color w:val="auto"/>
              </w:rPr>
            </w:pPr>
          </w:p>
        </w:tc>
        <w:tc>
          <w:tcPr>
            <w:tcW w:w="3140" w:type="dxa"/>
            <w:vAlign w:val="bottom"/>
            <w:tcBorders>
              <w:top w:val="single" w:sz="8" w:color="0000FF"/>
            </w:tcBorders>
            <w:gridSpan w:val="15"/>
          </w:tcPr>
          <w:p>
            <w:pPr>
              <w:spacing w:after="0" w:line="145" w:lineRule="exact"/>
              <w:rPr>
                <w:rFonts w:ascii="Arial" w:cs="Arial" w:eastAsia="Arial" w:hAnsi="Arial"/>
                <w:sz w:val="16"/>
                <w:szCs w:val="16"/>
                <w:color w:val="0000FF"/>
              </w:rPr>
            </w:pPr>
            <w:hyperlink r:id="rId160">
              <w:r>
                <w:rPr>
                  <w:rFonts w:ascii="Arial" w:cs="Arial" w:eastAsia="Arial" w:hAnsi="Arial"/>
                  <w:sz w:val="16"/>
                  <w:szCs w:val="16"/>
                  <w:color w:val="0000FF"/>
                </w:rPr>
                <w:t>issued on September 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rPr>
              <w:t>4.4</w:t>
            </w:r>
          </w:p>
        </w:tc>
        <w:tc>
          <w:tcPr>
            <w:tcW w:w="3460" w:type="dxa"/>
            <w:vAlign w:val="bottom"/>
            <w:gridSpan w:val="28"/>
          </w:tcPr>
          <w:p>
            <w:pPr>
              <w:spacing w:after="0"/>
              <w:rPr>
                <w:rFonts w:ascii="Arial" w:cs="Arial" w:eastAsia="Arial" w:hAnsi="Arial"/>
                <w:sz w:val="17"/>
                <w:szCs w:val="17"/>
                <w:color w:val="0000FF"/>
              </w:rPr>
            </w:pPr>
            <w:hyperlink r:id="rId161">
              <w:r>
                <w:rPr>
                  <w:rFonts w:ascii="Arial" w:cs="Arial" w:eastAsia="Arial" w:hAnsi="Arial"/>
                  <w:sz w:val="17"/>
                  <w:szCs w:val="17"/>
                  <w:color w:val="0000FF"/>
                </w:rPr>
                <w:t>Form of common stock purchase warrants</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10-K</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03/28/2024</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w w:val="92"/>
              </w:rPr>
              <w:t>4.4</w:t>
            </w:r>
          </w:p>
        </w:tc>
      </w:tr>
      <w:tr>
        <w:trPr>
          <w:trHeight w:val="144"/>
        </w:trPr>
        <w:tc>
          <w:tcPr>
            <w:tcW w:w="124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6"/>
          </w:tcPr>
          <w:p>
            <w:pPr>
              <w:spacing w:after="0" w:line="145" w:lineRule="exact"/>
              <w:rPr>
                <w:rFonts w:ascii="Arial" w:cs="Arial" w:eastAsia="Arial" w:hAnsi="Arial"/>
                <w:sz w:val="16"/>
                <w:szCs w:val="16"/>
                <w:color w:val="0000FF"/>
              </w:rPr>
            </w:pPr>
            <w:hyperlink r:id="rId161">
              <w:r>
                <w:rPr>
                  <w:rFonts w:ascii="Arial" w:cs="Arial" w:eastAsia="Arial" w:hAnsi="Arial"/>
                  <w:sz w:val="16"/>
                  <w:szCs w:val="16"/>
                  <w:color w:val="0000FF"/>
                </w:rPr>
                <w:t>issued on December 21, 2023</w:t>
              </w:r>
            </w:hyperlink>
          </w:p>
        </w:tc>
        <w:tc>
          <w:tcPr>
            <w:tcW w:w="8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rPr>
              <w:t>4.5</w:t>
            </w:r>
          </w:p>
        </w:tc>
        <w:tc>
          <w:tcPr>
            <w:tcW w:w="3460" w:type="dxa"/>
            <w:vAlign w:val="bottom"/>
            <w:gridSpan w:val="28"/>
          </w:tcPr>
          <w:p>
            <w:pPr>
              <w:spacing w:after="0"/>
              <w:rPr>
                <w:sz w:val="20"/>
                <w:szCs w:val="20"/>
                <w:color w:val="auto"/>
              </w:rPr>
            </w:pPr>
            <w:r>
              <w:rPr>
                <w:rFonts w:ascii="Arial" w:cs="Arial" w:eastAsia="Arial" w:hAnsi="Arial"/>
                <w:sz w:val="17"/>
                <w:szCs w:val="17"/>
                <w:color w:val="0000FF"/>
              </w:rPr>
              <w:t>Description of securities of the registrant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0"/>
        </w:trPr>
        <w:tc>
          <w:tcPr>
            <w:tcW w:w="12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3"/>
        </w:trPr>
        <w:tc>
          <w:tcPr>
            <w:tcW w:w="4700" w:type="dxa"/>
            <w:vAlign w:val="bottom"/>
            <w:tcBorders>
              <w:bottom w:val="single" w:sz="8" w:color="auto"/>
            </w:tcBorders>
            <w:gridSpan w:val="29"/>
          </w:tcPr>
          <w:p>
            <w:pPr>
              <w:ind w:left="20"/>
              <w:spacing w:after="0"/>
              <w:rPr>
                <w:sz w:val="20"/>
                <w:szCs w:val="20"/>
                <w:color w:val="auto"/>
              </w:rPr>
            </w:pPr>
            <w:r>
              <w:rPr>
                <w:rFonts w:ascii="Arial" w:cs="Arial" w:eastAsia="Arial" w:hAnsi="Arial"/>
                <w:sz w:val="17"/>
                <w:szCs w:val="17"/>
                <w:i w:val="1"/>
                <w:iCs w:val="1"/>
                <w:color w:val="auto"/>
              </w:rPr>
              <w:t>COMMERCIAL AGREEMENTS</w:t>
            </w: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r>
      <w:tr>
        <w:trPr>
          <w:trHeight w:val="170"/>
        </w:trPr>
        <w:tc>
          <w:tcPr>
            <w:tcW w:w="1240" w:type="dxa"/>
            <w:vAlign w:val="bottom"/>
          </w:tcPr>
          <w:p>
            <w:pPr>
              <w:jc w:val="center"/>
              <w:ind w:right="136"/>
              <w:spacing w:after="0" w:line="170" w:lineRule="exact"/>
              <w:rPr>
                <w:sz w:val="20"/>
                <w:szCs w:val="20"/>
                <w:color w:val="auto"/>
              </w:rPr>
            </w:pPr>
            <w:r>
              <w:rPr>
                <w:rFonts w:ascii="Arial" w:cs="Arial" w:eastAsia="Arial" w:hAnsi="Arial"/>
                <w:sz w:val="17"/>
                <w:szCs w:val="17"/>
                <w:color w:val="auto"/>
                <w:w w:val="97"/>
              </w:rPr>
              <w:t>10.1(a)+</w:t>
            </w:r>
          </w:p>
        </w:tc>
        <w:tc>
          <w:tcPr>
            <w:tcW w:w="3460" w:type="dxa"/>
            <w:vAlign w:val="bottom"/>
            <w:gridSpan w:val="28"/>
          </w:tcPr>
          <w:p>
            <w:pPr>
              <w:spacing w:after="0" w:line="170" w:lineRule="exact"/>
              <w:rPr>
                <w:rFonts w:ascii="Arial" w:cs="Arial" w:eastAsia="Arial" w:hAnsi="Arial"/>
                <w:sz w:val="17"/>
                <w:szCs w:val="17"/>
                <w:color w:val="0000FF"/>
              </w:rPr>
            </w:pPr>
            <w:hyperlink r:id="rId162">
              <w:r>
                <w:rPr>
                  <w:rFonts w:ascii="Arial" w:cs="Arial" w:eastAsia="Arial" w:hAnsi="Arial"/>
                  <w:sz w:val="17"/>
                  <w:szCs w:val="17"/>
                  <w:color w:val="0000FF"/>
                </w:rPr>
                <w:t>Exclusive License Agreement dated March</w:t>
              </w:r>
            </w:hyperlink>
          </w:p>
        </w:tc>
        <w:tc>
          <w:tcPr>
            <w:tcW w:w="820" w:type="dxa"/>
            <w:vAlign w:val="bottom"/>
          </w:tcPr>
          <w:p>
            <w:pPr>
              <w:jc w:val="center"/>
              <w:spacing w:after="0" w:line="170" w:lineRule="exact"/>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line="170" w:lineRule="exact"/>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line="170" w:lineRule="exact"/>
              <w:rPr>
                <w:sz w:val="20"/>
                <w:szCs w:val="20"/>
                <w:color w:val="auto"/>
              </w:rPr>
            </w:pPr>
            <w:r>
              <w:rPr>
                <w:rFonts w:ascii="Arial" w:cs="Arial" w:eastAsia="Arial" w:hAnsi="Arial"/>
                <w:sz w:val="17"/>
                <w:szCs w:val="17"/>
                <w:color w:val="auto"/>
                <w:w w:val="98"/>
              </w:rPr>
              <w:t>05/12/2022</w:t>
            </w:r>
          </w:p>
        </w:tc>
        <w:tc>
          <w:tcPr>
            <w:tcW w:w="2820" w:type="dxa"/>
            <w:vAlign w:val="bottom"/>
          </w:tcPr>
          <w:p>
            <w:pPr>
              <w:jc w:val="center"/>
              <w:ind w:right="1596"/>
              <w:spacing w:after="0" w:line="170" w:lineRule="exact"/>
              <w:rPr>
                <w:sz w:val="20"/>
                <w:szCs w:val="20"/>
                <w:color w:val="auto"/>
              </w:rPr>
            </w:pPr>
            <w:r>
              <w:rPr>
                <w:rFonts w:ascii="Arial" w:cs="Arial" w:eastAsia="Arial" w:hAnsi="Arial"/>
                <w:sz w:val="17"/>
                <w:szCs w:val="17"/>
                <w:color w:val="auto"/>
              </w:rPr>
              <w:t>10.1</w:t>
            </w:r>
          </w:p>
        </w:tc>
      </w:tr>
      <w:tr>
        <w:trPr>
          <w:trHeight w:val="144"/>
        </w:trPr>
        <w:tc>
          <w:tcPr>
            <w:tcW w:w="1240" w:type="dxa"/>
            <w:vAlign w:val="bottom"/>
          </w:tcPr>
          <w:p>
            <w:pPr>
              <w:spacing w:after="0"/>
              <w:rPr>
                <w:sz w:val="12"/>
                <w:szCs w:val="12"/>
                <w:color w:val="auto"/>
              </w:rPr>
            </w:pPr>
          </w:p>
        </w:tc>
        <w:tc>
          <w:tcPr>
            <w:tcW w:w="3260" w:type="dxa"/>
            <w:vAlign w:val="bottom"/>
            <w:tcBorders>
              <w:top w:val="single" w:sz="8" w:color="0000FF"/>
            </w:tcBorders>
            <w:gridSpan w:val="21"/>
          </w:tcPr>
          <w:p>
            <w:pPr>
              <w:spacing w:after="0" w:line="145" w:lineRule="exact"/>
              <w:rPr>
                <w:rFonts w:ascii="Arial" w:cs="Arial" w:eastAsia="Arial" w:hAnsi="Arial"/>
                <w:sz w:val="16"/>
                <w:szCs w:val="16"/>
                <w:color w:val="0000FF"/>
              </w:rPr>
            </w:pPr>
            <w:hyperlink r:id="rId162">
              <w:r>
                <w:rPr>
                  <w:rFonts w:ascii="Arial" w:cs="Arial" w:eastAsia="Arial" w:hAnsi="Arial"/>
                  <w:sz w:val="16"/>
                  <w:szCs w:val="16"/>
                  <w:color w:val="0000FF"/>
                </w:rPr>
                <w:t>31, 2022 between Organon International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13"/>
          </w:tcPr>
          <w:p>
            <w:pPr>
              <w:spacing w:after="0" w:line="145"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GmbH and Dare Bioscience, Inc., effective</w:t>
              </w:r>
            </w:hyperlink>
          </w:p>
        </w:tc>
        <w:tc>
          <w:tcPr>
            <w:tcW w:w="6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3220" w:type="dxa"/>
            <w:vAlign w:val="bottom"/>
            <w:gridSpan w:val="19"/>
          </w:tcPr>
          <w:p>
            <w:pPr>
              <w:spacing w:after="0" w:line="157" w:lineRule="exact"/>
              <w:rPr>
                <w:rFonts w:ascii="Arial" w:cs="Arial" w:eastAsia="Arial" w:hAnsi="Arial"/>
                <w:sz w:val="17"/>
                <w:szCs w:val="17"/>
                <w:color w:val="0000FF"/>
              </w:rPr>
            </w:pPr>
            <w:hyperlink r:id="rId162">
              <w:r>
                <w:rPr>
                  <w:rFonts w:ascii="Arial" w:cs="Arial" w:eastAsia="Arial" w:hAnsi="Arial"/>
                  <w:sz w:val="17"/>
                  <w:szCs w:val="17"/>
                  <w:color w:val="0000FF"/>
                </w:rPr>
                <w:t>as of June 30,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96"/>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7"/>
              </w:rPr>
              <w:t>10.1(b)+</w:t>
            </w:r>
          </w:p>
        </w:tc>
        <w:tc>
          <w:tcPr>
            <w:tcW w:w="3460" w:type="dxa"/>
            <w:vAlign w:val="bottom"/>
            <w:gridSpan w:val="28"/>
          </w:tcPr>
          <w:p>
            <w:pPr>
              <w:spacing w:after="0"/>
              <w:rPr>
                <w:rFonts w:ascii="Arial" w:cs="Arial" w:eastAsia="Arial" w:hAnsi="Arial"/>
                <w:sz w:val="17"/>
                <w:szCs w:val="17"/>
                <w:color w:val="0000FF"/>
              </w:rPr>
            </w:pPr>
            <w:hyperlink r:id="rId163">
              <w:r>
                <w:rPr>
                  <w:rFonts w:ascii="Arial" w:cs="Arial" w:eastAsia="Arial" w:hAnsi="Arial"/>
                  <w:sz w:val="17"/>
                  <w:szCs w:val="17"/>
                  <w:color w:val="0000FF"/>
                </w:rPr>
                <w:t>First Amendment to License Agreement by</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11/09/2023</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10.2</w:t>
            </w:r>
          </w:p>
        </w:tc>
      </w:tr>
      <w:tr>
        <w:trPr>
          <w:trHeight w:val="144"/>
        </w:trPr>
        <w:tc>
          <w:tcPr>
            <w:tcW w:w="124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20"/>
          </w:tcPr>
          <w:p>
            <w:pPr>
              <w:spacing w:after="0" w:line="145" w:lineRule="exact"/>
              <w:rPr>
                <w:rFonts w:ascii="Arial" w:cs="Arial" w:eastAsia="Arial" w:hAnsi="Arial"/>
                <w:sz w:val="16"/>
                <w:szCs w:val="16"/>
                <w:color w:val="0000FF"/>
              </w:rPr>
            </w:pPr>
            <w:hyperlink r:id="rId163">
              <w:r>
                <w:rPr>
                  <w:rFonts w:ascii="Arial" w:cs="Arial" w:eastAsia="Arial" w:hAnsi="Arial"/>
                  <w:sz w:val="16"/>
                  <w:szCs w:val="16"/>
                  <w:color w:val="0000FF"/>
                </w:rPr>
                <w:t>and between Organon International GmbH</w:t>
              </w:r>
            </w:hyperlink>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460" w:type="dxa"/>
            <w:vAlign w:val="bottom"/>
            <w:gridSpan w:val="28"/>
          </w:tcPr>
          <w:p>
            <w:pPr>
              <w:spacing w:after="0" w:line="145" w:lineRule="exact"/>
              <w:rPr>
                <w:rFonts w:ascii="Arial" w:cs="Arial" w:eastAsia="Arial" w:hAnsi="Arial"/>
                <w:sz w:val="16"/>
                <w:szCs w:val="16"/>
                <w:color w:val="0000FF"/>
              </w:rPr>
            </w:pPr>
            <w:hyperlink r:id="rId163">
              <w:r>
                <w:rPr>
                  <w:rFonts w:ascii="Arial" w:cs="Arial" w:eastAsia="Arial" w:hAnsi="Arial"/>
                  <w:sz w:val="16"/>
                  <w:szCs w:val="16"/>
                  <w:color w:val="0000FF"/>
                </w:rPr>
                <w:t>and Dare Bioscience, Inc. entered into as of</w:t>
              </w:r>
            </w:hyperlink>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7" w:lineRule="exact"/>
              <w:rPr>
                <w:rFonts w:ascii="Arial" w:cs="Arial" w:eastAsia="Arial" w:hAnsi="Arial"/>
                <w:sz w:val="17"/>
                <w:szCs w:val="17"/>
                <w:color w:val="0000FF"/>
                <w:w w:val="98"/>
              </w:rPr>
            </w:pPr>
            <w:hyperlink r:id="rId163">
              <w:r>
                <w:rPr>
                  <w:rFonts w:ascii="Arial" w:cs="Arial" w:eastAsia="Arial" w:hAnsi="Arial"/>
                  <w:sz w:val="17"/>
                  <w:szCs w:val="17"/>
                  <w:color w:val="0000FF"/>
                  <w:w w:val="98"/>
                </w:rPr>
                <w:t>July 4, 2023</w:t>
              </w:r>
            </w:hyperlink>
          </w:p>
        </w:tc>
        <w:tc>
          <w:tcPr>
            <w:tcW w:w="23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289"/>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7"/>
              </w:rPr>
              <w:t>10.2+</w:t>
            </w:r>
          </w:p>
        </w:tc>
        <w:tc>
          <w:tcPr>
            <w:tcW w:w="3460" w:type="dxa"/>
            <w:vAlign w:val="bottom"/>
            <w:gridSpan w:val="28"/>
          </w:tcPr>
          <w:p>
            <w:pPr>
              <w:spacing w:after="0"/>
              <w:rPr>
                <w:rFonts w:ascii="Arial" w:cs="Arial" w:eastAsia="Arial" w:hAnsi="Arial"/>
                <w:sz w:val="17"/>
                <w:szCs w:val="17"/>
                <w:color w:val="0000FF"/>
              </w:rPr>
            </w:pPr>
            <w:hyperlink r:id="rId164">
              <w:r>
                <w:rPr>
                  <w:rFonts w:ascii="Arial" w:cs="Arial" w:eastAsia="Arial" w:hAnsi="Arial"/>
                  <w:sz w:val="17"/>
                  <w:szCs w:val="17"/>
                  <w:color w:val="0000FF"/>
                </w:rPr>
                <w:t>Consent, Waiver and Stand-By License</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05/12/2022</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10.2</w:t>
            </w:r>
          </w:p>
        </w:tc>
      </w:tr>
      <w:tr>
        <w:trPr>
          <w:trHeight w:val="152"/>
        </w:trPr>
        <w:tc>
          <w:tcPr>
            <w:tcW w:w="1240" w:type="dxa"/>
            <w:vAlign w:val="bottom"/>
          </w:tcPr>
          <w:p>
            <w:pPr>
              <w:spacing w:after="0"/>
              <w:rPr>
                <w:sz w:val="13"/>
                <w:szCs w:val="13"/>
                <w:color w:val="auto"/>
              </w:rPr>
            </w:pPr>
          </w:p>
        </w:tc>
        <w:tc>
          <w:tcPr>
            <w:tcW w:w="294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164">
              <w:r>
                <w:rPr>
                  <w:rFonts w:ascii="Arial" w:cs="Arial" w:eastAsia="Arial" w:hAnsi="Arial"/>
                  <w:sz w:val="17"/>
                  <w:szCs w:val="17"/>
                  <w:color w:val="0000FF"/>
                </w:rPr>
                <w:t>Agreement, dated March 30, 2022, by</w:t>
              </w:r>
            </w:hyperlink>
          </w:p>
        </w:tc>
        <w:tc>
          <w:tcPr>
            <w:tcW w:w="520" w:type="dxa"/>
            <w:vAlign w:val="bottom"/>
            <w:gridSpan w:val="17"/>
          </w:tcPr>
          <w:p>
            <w:pPr>
              <w:spacing w:after="0" w:line="152" w:lineRule="exact"/>
              <w:rPr>
                <w:rFonts w:ascii="Arial" w:cs="Arial" w:eastAsia="Arial" w:hAnsi="Arial"/>
                <w:sz w:val="17"/>
                <w:szCs w:val="17"/>
                <w:color w:val="0000FF"/>
              </w:rPr>
            </w:pPr>
            <w:hyperlink r:id="rId164">
              <w:r>
                <w:rPr>
                  <w:rFonts w:ascii="Arial" w:cs="Arial" w:eastAsia="Arial" w:hAnsi="Arial"/>
                  <w:sz w:val="17"/>
                  <w:szCs w:val="17"/>
                  <w:color w:val="0000FF"/>
                </w:rPr>
                <w:t>and</w:t>
              </w:r>
            </w:hyperlink>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320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r:id="rId164">
              <w:r>
                <w:rPr>
                  <w:rFonts w:ascii="Arial" w:cs="Arial" w:eastAsia="Arial" w:hAnsi="Arial"/>
                  <w:sz w:val="16"/>
                  <w:szCs w:val="16"/>
                  <w:color w:val="0000FF"/>
                </w:rPr>
                <w:t>among TriLogic Pharma, LLC,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2580" w:type="dxa"/>
            <w:vAlign w:val="bottom"/>
            <w:tcBorders>
              <w:top w:val="single" w:sz="8" w:color="0000FF"/>
            </w:tcBorders>
            <w:gridSpan w:val="9"/>
          </w:tcPr>
          <w:p>
            <w:pPr>
              <w:spacing w:after="0" w:line="157" w:lineRule="exact"/>
              <w:rPr>
                <w:rFonts w:ascii="Arial" w:cs="Arial" w:eastAsia="Arial" w:hAnsi="Arial"/>
                <w:sz w:val="17"/>
                <w:szCs w:val="17"/>
                <w:color w:val="0000FF"/>
                <w:w w:val="93"/>
              </w:rPr>
            </w:pPr>
            <w:hyperlink r:id="rId164">
              <w:r>
                <w:rPr>
                  <w:rFonts w:ascii="Arial" w:cs="Arial" w:eastAsia="Arial" w:hAnsi="Arial"/>
                  <w:sz w:val="17"/>
                  <w:szCs w:val="17"/>
                  <w:color w:val="0000FF"/>
                  <w:w w:val="93"/>
                </w:rPr>
                <w:t>MilanaPharm LLC, Dare Bioscience,</w:t>
              </w:r>
            </w:hyperlink>
          </w:p>
        </w:tc>
        <w:tc>
          <w:tcPr>
            <w:tcW w:w="880" w:type="dxa"/>
            <w:vAlign w:val="bottom"/>
            <w:gridSpan w:val="19"/>
          </w:tcPr>
          <w:p>
            <w:pPr>
              <w:ind w:left="180"/>
              <w:spacing w:after="0" w:line="157" w:lineRule="exact"/>
              <w:rPr>
                <w:rFonts w:ascii="Arial" w:cs="Arial" w:eastAsia="Arial" w:hAnsi="Arial"/>
                <w:sz w:val="17"/>
                <w:szCs w:val="17"/>
                <w:color w:val="0000FF"/>
              </w:rPr>
            </w:pPr>
            <w:hyperlink r:id="rId164">
              <w:r>
                <w:rPr>
                  <w:rFonts w:ascii="Arial" w:cs="Arial" w:eastAsia="Arial" w:hAnsi="Arial"/>
                  <w:sz w:val="17"/>
                  <w:szCs w:val="17"/>
                  <w:color w:val="0000FF"/>
                </w:rPr>
                <w:t>Inc.,</w:t>
              </w:r>
            </w:hyperlink>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3080" w:type="dxa"/>
            <w:vAlign w:val="bottom"/>
            <w:tcBorders>
              <w:top w:val="single" w:sz="8" w:color="0000FF"/>
            </w:tcBorders>
            <w:gridSpan w:val="14"/>
          </w:tcPr>
          <w:p>
            <w:pPr>
              <w:spacing w:after="0" w:line="145" w:lineRule="exact"/>
              <w:rPr>
                <w:rFonts w:ascii="Arial" w:cs="Arial" w:eastAsia="Arial" w:hAnsi="Arial"/>
                <w:sz w:val="16"/>
                <w:szCs w:val="16"/>
                <w:color w:val="0000FF"/>
              </w:rPr>
            </w:pPr>
            <w:hyperlink r:id="rId164">
              <w:r>
                <w:rPr>
                  <w:rFonts w:ascii="Arial" w:cs="Arial" w:eastAsia="Arial" w:hAnsi="Arial"/>
                  <w:sz w:val="16"/>
                  <w:szCs w:val="16"/>
                  <w:color w:val="0000FF"/>
                </w:rPr>
                <w:t>and Organon International GmbH.</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96"/>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8"/>
              </w:rPr>
              <w:t>10.3Δ</w:t>
            </w:r>
          </w:p>
        </w:tc>
        <w:tc>
          <w:tcPr>
            <w:tcW w:w="3460" w:type="dxa"/>
            <w:vAlign w:val="bottom"/>
            <w:gridSpan w:val="28"/>
          </w:tcPr>
          <w:p>
            <w:pPr>
              <w:spacing w:after="0"/>
              <w:rPr>
                <w:rFonts w:ascii="Arial" w:cs="Arial" w:eastAsia="Arial" w:hAnsi="Arial"/>
                <w:sz w:val="17"/>
                <w:szCs w:val="17"/>
                <w:color w:val="0000FF"/>
              </w:rPr>
            </w:pPr>
            <w:hyperlink r:id="rId165">
              <w:r>
                <w:rPr>
                  <w:rFonts w:ascii="Arial" w:cs="Arial" w:eastAsia="Arial" w:hAnsi="Arial"/>
                  <w:sz w:val="17"/>
                  <w:szCs w:val="17"/>
                  <w:color w:val="0000FF"/>
                </w:rPr>
                <w:t>License and Collaboration Agreement dated</w:t>
              </w:r>
            </w:hyperlink>
          </w:p>
        </w:tc>
        <w:tc>
          <w:tcPr>
            <w:tcW w:w="820" w:type="dxa"/>
            <w:vAlign w:val="bottom"/>
          </w:tcPr>
          <w:p>
            <w:pPr>
              <w:jc w:val="center"/>
              <w:spacing w:after="0"/>
              <w:rPr>
                <w:sz w:val="20"/>
                <w:szCs w:val="20"/>
                <w:color w:val="auto"/>
              </w:rPr>
            </w:pPr>
            <w:r>
              <w:rPr>
                <w:rFonts w:ascii="Arial" w:cs="Arial" w:eastAsia="Arial" w:hAnsi="Arial"/>
                <w:sz w:val="17"/>
                <w:szCs w:val="17"/>
                <w:color w:val="auto"/>
                <w:w w:val="99"/>
              </w:rPr>
              <w:t>10-K/A</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04/30/2018</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10.1</w:t>
            </w:r>
          </w:p>
        </w:tc>
      </w:tr>
      <w:tr>
        <w:trPr>
          <w:trHeight w:val="137"/>
        </w:trPr>
        <w:tc>
          <w:tcPr>
            <w:tcW w:w="1240" w:type="dxa"/>
            <w:vAlign w:val="bottom"/>
          </w:tcPr>
          <w:p>
            <w:pPr>
              <w:spacing w:after="0"/>
              <w:rPr>
                <w:sz w:val="11"/>
                <w:szCs w:val="11"/>
                <w:color w:val="auto"/>
              </w:rPr>
            </w:pPr>
          </w:p>
        </w:tc>
        <w:tc>
          <w:tcPr>
            <w:tcW w:w="3360" w:type="dxa"/>
            <w:vAlign w:val="bottom"/>
            <w:tcBorders>
              <w:top w:val="single" w:sz="8" w:color="0000FF"/>
            </w:tcBorders>
            <w:gridSpan w:val="26"/>
          </w:tcPr>
          <w:p>
            <w:pPr>
              <w:spacing w:after="0" w:line="132" w:lineRule="exact"/>
              <w:rPr>
                <w:rFonts w:ascii="Arial" w:cs="Arial" w:eastAsia="Arial" w:hAnsi="Arial"/>
                <w:sz w:val="15"/>
                <w:szCs w:val="15"/>
                <w:color w:val="0000FF"/>
              </w:rPr>
            </w:pPr>
            <w:hyperlink r:id="rId165">
              <w:r>
                <w:rPr>
                  <w:rFonts w:ascii="Arial" w:cs="Arial" w:eastAsia="Arial" w:hAnsi="Arial"/>
                  <w:sz w:val="15"/>
                  <w:szCs w:val="15"/>
                  <w:color w:val="0000FF"/>
                </w:rPr>
                <w:t>February 11, 2018 between Daré</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52"/>
        </w:trPr>
        <w:tc>
          <w:tcPr>
            <w:tcW w:w="12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3"/>
              </w:rPr>
            </w:pPr>
            <w:hyperlink r:id="rId165">
              <w:r>
                <w:rPr>
                  <w:rFonts w:ascii="Arial" w:cs="Arial" w:eastAsia="Arial" w:hAnsi="Arial"/>
                  <w:sz w:val="17"/>
                  <w:szCs w:val="17"/>
                  <w:color w:val="0000FF"/>
                  <w:w w:val="93"/>
                </w:rPr>
                <w:t>Bioscience, Inc., Strategic Science</w:t>
              </w:r>
            </w:hyperlink>
          </w:p>
        </w:tc>
        <w:tc>
          <w:tcPr>
            <w:tcW w:w="460" w:type="dxa"/>
            <w:vAlign w:val="bottom"/>
            <w:tcBorders>
              <w:bottom w:val="single" w:sz="8" w:color="0000FF"/>
            </w:tcBorders>
            <w:gridSpan w:val="3"/>
          </w:tcPr>
          <w:p>
            <w:pPr>
              <w:ind w:left="180"/>
              <w:spacing w:after="0" w:line="152" w:lineRule="exact"/>
              <w:rPr>
                <w:rFonts w:ascii="Arial" w:cs="Arial" w:eastAsia="Arial" w:hAnsi="Arial"/>
                <w:sz w:val="17"/>
                <w:szCs w:val="17"/>
                <w:color w:val="0000FF"/>
                <w:w w:val="91"/>
              </w:rPr>
            </w:pPr>
            <w:hyperlink r:id="rId165">
              <w:r>
                <w:rPr>
                  <w:rFonts w:ascii="Arial" w:cs="Arial" w:eastAsia="Arial" w:hAnsi="Arial"/>
                  <w:sz w:val="17"/>
                  <w:szCs w:val="17"/>
                  <w:color w:val="0000FF"/>
                  <w:w w:val="91"/>
                </w:rPr>
                <w:t>and</w:t>
              </w:r>
            </w:hyperlink>
          </w:p>
        </w:tc>
        <w:tc>
          <w:tcPr>
            <w:tcW w:w="540" w:type="dxa"/>
            <w:vAlign w:val="bottom"/>
            <w:gridSpan w:val="18"/>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57"/>
        </w:trPr>
        <w:tc>
          <w:tcPr>
            <w:tcW w:w="1240" w:type="dxa"/>
            <w:vAlign w:val="bottom"/>
          </w:tcPr>
          <w:p>
            <w:pPr>
              <w:spacing w:after="0"/>
              <w:rPr>
                <w:sz w:val="13"/>
                <w:szCs w:val="13"/>
                <w:color w:val="auto"/>
              </w:rPr>
            </w:pPr>
          </w:p>
        </w:tc>
        <w:tc>
          <w:tcPr>
            <w:tcW w:w="3460" w:type="dxa"/>
            <w:vAlign w:val="bottom"/>
            <w:gridSpan w:val="28"/>
          </w:tcPr>
          <w:p>
            <w:pPr>
              <w:spacing w:after="0" w:line="157" w:lineRule="exact"/>
              <w:rPr>
                <w:rFonts w:ascii="Arial" w:cs="Arial" w:eastAsia="Arial" w:hAnsi="Arial"/>
                <w:sz w:val="17"/>
                <w:szCs w:val="17"/>
                <w:color w:val="0000FF"/>
              </w:rPr>
            </w:pPr>
            <w:hyperlink r:id="rId165">
              <w:r>
                <w:rPr>
                  <w:rFonts w:ascii="Arial" w:cs="Arial" w:eastAsia="Arial" w:hAnsi="Arial"/>
                  <w:sz w:val="17"/>
                  <w:szCs w:val="17"/>
                  <w:color w:val="0000FF"/>
                </w:rPr>
                <w:t>Technologies-D, LLC and Strategic Science</w:t>
              </w:r>
            </w:hyperlink>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3280" w:type="dxa"/>
            <w:vAlign w:val="bottom"/>
            <w:tcBorders>
              <w:top w:val="single" w:sz="8" w:color="0000FF"/>
            </w:tcBorders>
            <w:gridSpan w:val="22"/>
          </w:tcPr>
          <w:p>
            <w:pPr>
              <w:spacing w:after="0" w:line="145" w:lineRule="exact"/>
              <w:rPr>
                <w:rFonts w:ascii="Arial" w:cs="Arial" w:eastAsia="Arial" w:hAnsi="Arial"/>
                <w:sz w:val="16"/>
                <w:szCs w:val="16"/>
                <w:color w:val="0000FF"/>
              </w:rPr>
            </w:pPr>
            <w:hyperlink r:id="rId165">
              <w:r>
                <w:rPr>
                  <w:rFonts w:ascii="Arial" w:cs="Arial" w:eastAsia="Arial" w:hAnsi="Arial"/>
                  <w:sz w:val="16"/>
                  <w:szCs w:val="16"/>
                  <w:color w:val="0000FF"/>
                </w:rPr>
                <w:t>Technologies, LLC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8"/>
              </w:rPr>
              <w:t>10.4Δ</w:t>
            </w:r>
          </w:p>
        </w:tc>
        <w:tc>
          <w:tcPr>
            <w:tcW w:w="3460" w:type="dxa"/>
            <w:vAlign w:val="bottom"/>
            <w:gridSpan w:val="28"/>
          </w:tcPr>
          <w:p>
            <w:pPr>
              <w:spacing w:after="0"/>
              <w:rPr>
                <w:rFonts w:ascii="Arial" w:cs="Arial" w:eastAsia="Arial" w:hAnsi="Arial"/>
                <w:sz w:val="17"/>
                <w:szCs w:val="17"/>
                <w:color w:val="0000FF"/>
              </w:rPr>
            </w:pPr>
            <w:hyperlink r:id="rId166">
              <w:r>
                <w:rPr>
                  <w:rFonts w:ascii="Arial" w:cs="Arial" w:eastAsia="Arial" w:hAnsi="Arial"/>
                  <w:sz w:val="17"/>
                  <w:szCs w:val="17"/>
                  <w:color w:val="0000FF"/>
                </w:rPr>
                <w:t>License Agreement dated March 19, 2017,</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w w:val="98"/>
              </w:rPr>
              <w:t>11/13/2017</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10.1</w:t>
            </w:r>
          </w:p>
        </w:tc>
      </w:tr>
      <w:tr>
        <w:trPr>
          <w:trHeight w:val="144"/>
        </w:trPr>
        <w:tc>
          <w:tcPr>
            <w:tcW w:w="1240" w:type="dxa"/>
            <w:vAlign w:val="bottom"/>
          </w:tcPr>
          <w:p>
            <w:pPr>
              <w:spacing w:after="0"/>
              <w:rPr>
                <w:sz w:val="12"/>
                <w:szCs w:val="12"/>
                <w:color w:val="auto"/>
              </w:rPr>
            </w:pPr>
          </w:p>
        </w:tc>
        <w:tc>
          <w:tcPr>
            <w:tcW w:w="3240" w:type="dxa"/>
            <w:vAlign w:val="bottom"/>
            <w:tcBorders>
              <w:top w:val="single" w:sz="8" w:color="0000FF"/>
            </w:tcBorders>
            <w:gridSpan w:val="20"/>
          </w:tcPr>
          <w:p>
            <w:pPr>
              <w:spacing w:after="0" w:line="145" w:lineRule="exact"/>
              <w:rPr>
                <w:rFonts w:ascii="Arial" w:cs="Arial" w:eastAsia="Arial" w:hAnsi="Arial"/>
                <w:sz w:val="16"/>
                <w:szCs w:val="16"/>
                <w:color w:val="0000FF"/>
              </w:rPr>
            </w:pPr>
            <w:hyperlink r:id="rId166">
              <w:r>
                <w:rPr>
                  <w:rFonts w:ascii="Arial" w:cs="Arial" w:eastAsia="Arial" w:hAnsi="Arial"/>
                  <w:sz w:val="16"/>
                  <w:szCs w:val="16"/>
                  <w:color w:val="0000FF"/>
                </w:rPr>
                <w:t>between Daré Bioscience Operations, Inc.</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16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r:id="rId166">
              <w:r>
                <w:rPr>
                  <w:rFonts w:ascii="Arial" w:cs="Arial" w:eastAsia="Arial" w:hAnsi="Arial"/>
                  <w:sz w:val="16"/>
                  <w:szCs w:val="16"/>
                  <w:color w:val="0000FF"/>
                </w:rPr>
                <w:t>and ADVA-Tec, Inc.</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8"/>
              </w:rPr>
              <w:t>10.5Δ</w:t>
            </w:r>
          </w:p>
        </w:tc>
        <w:tc>
          <w:tcPr>
            <w:tcW w:w="3460" w:type="dxa"/>
            <w:vAlign w:val="bottom"/>
            <w:gridSpan w:val="28"/>
          </w:tcPr>
          <w:p>
            <w:pPr>
              <w:spacing w:after="0"/>
              <w:rPr>
                <w:rFonts w:ascii="Arial" w:cs="Arial" w:eastAsia="Arial" w:hAnsi="Arial"/>
                <w:sz w:val="17"/>
                <w:szCs w:val="17"/>
                <w:color w:val="0000FF"/>
              </w:rPr>
            </w:pPr>
            <w:hyperlink r:id="rId167">
              <w:r>
                <w:rPr>
                  <w:rFonts w:ascii="Arial" w:cs="Arial" w:eastAsia="Arial" w:hAnsi="Arial"/>
                  <w:sz w:val="17"/>
                  <w:szCs w:val="17"/>
                  <w:color w:val="0000FF"/>
                </w:rPr>
                <w:t>Exclusive License Agreement made as April</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rPr>
              <w:t>8/13/2018</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10.1</w:t>
            </w:r>
          </w:p>
        </w:tc>
      </w:tr>
      <w:tr>
        <w:trPr>
          <w:trHeight w:val="144"/>
        </w:trPr>
        <w:tc>
          <w:tcPr>
            <w:tcW w:w="1240" w:type="dxa"/>
            <w:vAlign w:val="bottom"/>
          </w:tcPr>
          <w:p>
            <w:pPr>
              <w:spacing w:after="0"/>
              <w:rPr>
                <w:sz w:val="12"/>
                <w:szCs w:val="12"/>
                <w:color w:val="auto"/>
              </w:rPr>
            </w:pPr>
          </w:p>
        </w:tc>
        <w:tc>
          <w:tcPr>
            <w:tcW w:w="3340" w:type="dxa"/>
            <w:vAlign w:val="bottom"/>
            <w:tcBorders>
              <w:top w:val="single" w:sz="8" w:color="0000FF"/>
            </w:tcBorders>
            <w:gridSpan w:val="25"/>
          </w:tcPr>
          <w:p>
            <w:pPr>
              <w:spacing w:after="0" w:line="145" w:lineRule="exact"/>
              <w:rPr>
                <w:rFonts w:ascii="Arial" w:cs="Arial" w:eastAsia="Arial" w:hAnsi="Arial"/>
                <w:sz w:val="16"/>
                <w:szCs w:val="16"/>
                <w:color w:val="0000FF"/>
              </w:rPr>
            </w:pPr>
            <w:hyperlink r:id="rId167">
              <w:r>
                <w:rPr>
                  <w:rFonts w:ascii="Arial" w:cs="Arial" w:eastAsia="Arial" w:hAnsi="Arial"/>
                  <w:sz w:val="16"/>
                  <w:szCs w:val="16"/>
                  <w:color w:val="0000FF"/>
                </w:rPr>
                <w:t>24, 2018 by and between Catalent JNP, Inc.</w:t>
              </w:r>
            </w:hyperlink>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320" w:type="dxa"/>
            <w:vAlign w:val="bottom"/>
            <w:tcBorders>
              <w:top w:val="single" w:sz="8" w:color="0000FF"/>
            </w:tcBorders>
            <w:gridSpan w:val="24"/>
          </w:tcPr>
          <w:p>
            <w:pPr>
              <w:spacing w:after="0" w:line="145" w:lineRule="exact"/>
              <w:rPr>
                <w:rFonts w:ascii="Arial" w:cs="Arial" w:eastAsia="Arial" w:hAnsi="Arial"/>
                <w:sz w:val="16"/>
                <w:szCs w:val="16"/>
                <w:color w:val="0000FF"/>
              </w:rPr>
            </w:pPr>
            <w:hyperlink r:id="rId167">
              <w:r>
                <w:rPr>
                  <w:rFonts w:ascii="Arial" w:cs="Arial" w:eastAsia="Arial" w:hAnsi="Arial"/>
                  <w:sz w:val="16"/>
                  <w:szCs w:val="16"/>
                  <w:color w:val="0000FF"/>
                </w:rPr>
                <w:t>(fka Juniper Pharmaceuticals, Inc.), and</w:t>
              </w:r>
            </w:hyperlink>
          </w:p>
        </w:tc>
        <w:tc>
          <w:tcPr>
            <w:tcW w:w="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7" w:lineRule="exact"/>
              <w:rPr>
                <w:rFonts w:ascii="Arial" w:cs="Arial" w:eastAsia="Arial" w:hAnsi="Arial"/>
                <w:sz w:val="17"/>
                <w:szCs w:val="17"/>
                <w:color w:val="0000FF"/>
                <w:w w:val="98"/>
              </w:rPr>
            </w:pPr>
            <w:hyperlink r:id="rId167">
              <w:r>
                <w:rPr>
                  <w:rFonts w:ascii="Arial" w:cs="Arial" w:eastAsia="Arial" w:hAnsi="Arial"/>
                  <w:sz w:val="17"/>
                  <w:szCs w:val="17"/>
                  <w:color w:val="0000FF"/>
                  <w:w w:val="98"/>
                </w:rPr>
                <w:t>Daré Bioscience, Inc.</w:t>
              </w:r>
            </w:hyperlink>
          </w:p>
        </w:tc>
        <w:tc>
          <w:tcPr>
            <w:tcW w:w="1400" w:type="dxa"/>
            <w:vAlign w:val="bottom"/>
            <w:tcBorders>
              <w:top w:val="single" w:sz="8" w:color="0000FF"/>
            </w:tcBorders>
            <w:gridSpan w:val="8"/>
          </w:tcPr>
          <w:p>
            <w:pPr>
              <w:spacing w:after="0"/>
              <w:rPr>
                <w:sz w:val="13"/>
                <w:szCs w:val="13"/>
                <w:color w:val="auto"/>
              </w:rPr>
            </w:pPr>
          </w:p>
        </w:tc>
        <w:tc>
          <w:tcPr>
            <w:tcW w:w="180" w:type="dxa"/>
            <w:vAlign w:val="bottom"/>
            <w:gridSpan w:val="5"/>
          </w:tcPr>
          <w:p>
            <w:pPr>
              <w:spacing w:after="0"/>
              <w:rPr>
                <w:sz w:val="13"/>
                <w:szCs w:val="13"/>
                <w:color w:val="auto"/>
              </w:rPr>
            </w:pPr>
          </w:p>
        </w:tc>
        <w:tc>
          <w:tcPr>
            <w:tcW w:w="200" w:type="dxa"/>
            <w:vAlign w:val="bottom"/>
            <w:gridSpan w:val="10"/>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346"/>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8"/>
              </w:rPr>
              <w:t>10.6(a)Δ</w:t>
            </w:r>
          </w:p>
        </w:tc>
        <w:tc>
          <w:tcPr>
            <w:tcW w:w="3460" w:type="dxa"/>
            <w:vAlign w:val="bottom"/>
            <w:gridSpan w:val="28"/>
          </w:tcPr>
          <w:p>
            <w:pPr>
              <w:spacing w:after="0"/>
              <w:rPr>
                <w:rFonts w:ascii="Arial" w:cs="Arial" w:eastAsia="Arial" w:hAnsi="Arial"/>
                <w:sz w:val="17"/>
                <w:szCs w:val="17"/>
                <w:color w:val="0000FF"/>
              </w:rPr>
            </w:pPr>
            <w:hyperlink r:id="rId168">
              <w:r>
                <w:rPr>
                  <w:rFonts w:ascii="Arial" w:cs="Arial" w:eastAsia="Arial" w:hAnsi="Arial"/>
                  <w:sz w:val="17"/>
                  <w:szCs w:val="17"/>
                  <w:color w:val="0000FF"/>
                </w:rPr>
                <w:t>Amended and Restated Exclusive License</w:t>
              </w:r>
            </w:hyperlink>
          </w:p>
        </w:tc>
        <w:tc>
          <w:tcPr>
            <w:tcW w:w="820" w:type="dxa"/>
            <w:vAlign w:val="bottom"/>
          </w:tcPr>
          <w:p>
            <w:pPr>
              <w:jc w:val="center"/>
              <w:spacing w:after="0"/>
              <w:rPr>
                <w:sz w:val="20"/>
                <w:szCs w:val="20"/>
                <w:color w:val="auto"/>
              </w:rPr>
            </w:pPr>
            <w:r>
              <w:rPr>
                <w:rFonts w:ascii="Arial" w:cs="Arial" w:eastAsia="Arial" w:hAnsi="Arial"/>
                <w:sz w:val="17"/>
                <w:szCs w:val="17"/>
                <w:color w:val="auto"/>
              </w:rPr>
              <w:t>10-Q</w:t>
            </w:r>
          </w:p>
        </w:tc>
        <w:tc>
          <w:tcPr>
            <w:tcW w:w="136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center"/>
              <w:ind w:right="56"/>
              <w:spacing w:after="0"/>
              <w:rPr>
                <w:sz w:val="20"/>
                <w:szCs w:val="20"/>
                <w:color w:val="auto"/>
              </w:rPr>
            </w:pPr>
            <w:r>
              <w:rPr>
                <w:rFonts w:ascii="Arial" w:cs="Arial" w:eastAsia="Arial" w:hAnsi="Arial"/>
                <w:sz w:val="17"/>
                <w:szCs w:val="17"/>
                <w:color w:val="auto"/>
              </w:rPr>
              <w:t>8/13/2018</w:t>
            </w:r>
          </w:p>
        </w:tc>
        <w:tc>
          <w:tcPr>
            <w:tcW w:w="2820" w:type="dxa"/>
            <w:vAlign w:val="bottom"/>
          </w:tcPr>
          <w:p>
            <w:pPr>
              <w:jc w:val="center"/>
              <w:ind w:right="1596"/>
              <w:spacing w:after="0"/>
              <w:rPr>
                <w:sz w:val="20"/>
                <w:szCs w:val="20"/>
                <w:color w:val="auto"/>
              </w:rPr>
            </w:pPr>
            <w:r>
              <w:rPr>
                <w:rFonts w:ascii="Arial" w:cs="Arial" w:eastAsia="Arial" w:hAnsi="Arial"/>
                <w:sz w:val="17"/>
                <w:szCs w:val="17"/>
                <w:color w:val="auto"/>
              </w:rPr>
              <w:t>10.5</w:t>
            </w:r>
          </w:p>
        </w:tc>
      </w:tr>
      <w:tr>
        <w:trPr>
          <w:trHeight w:val="144"/>
        </w:trPr>
        <w:tc>
          <w:tcPr>
            <w:tcW w:w="124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17"/>
          </w:tcPr>
          <w:p>
            <w:pPr>
              <w:spacing w:after="0" w:line="145" w:lineRule="exact"/>
              <w:rPr>
                <w:rFonts w:ascii="Arial" w:cs="Arial" w:eastAsia="Arial" w:hAnsi="Arial"/>
                <w:sz w:val="16"/>
                <w:szCs w:val="16"/>
                <w:color w:val="0000FF"/>
                <w:w w:val="98"/>
              </w:rPr>
            </w:pPr>
            <w:hyperlink r:id="rId168">
              <w:r>
                <w:rPr>
                  <w:rFonts w:ascii="Arial" w:cs="Arial" w:eastAsia="Arial" w:hAnsi="Arial"/>
                  <w:sz w:val="16"/>
                  <w:szCs w:val="16"/>
                  <w:color w:val="0000FF"/>
                  <w:w w:val="98"/>
                </w:rPr>
                <w:t>Agreement for Atrophic Vaginitis Technology,</w:t>
              </w:r>
            </w:hyperlink>
          </w:p>
        </w:tc>
        <w:tc>
          <w:tcPr>
            <w:tcW w:w="200" w:type="dxa"/>
            <w:vAlign w:val="bottom"/>
            <w:tcBorders>
              <w:bottom w:val="single" w:sz="8" w:color="0000FF"/>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56"/>
        </w:trPr>
        <w:tc>
          <w:tcPr>
            <w:tcW w:w="1240" w:type="dxa"/>
            <w:vAlign w:val="bottom"/>
          </w:tcPr>
          <w:p>
            <w:pPr>
              <w:spacing w:after="0"/>
              <w:rPr>
                <w:sz w:val="13"/>
                <w:szCs w:val="13"/>
                <w:color w:val="auto"/>
              </w:rPr>
            </w:pPr>
          </w:p>
        </w:tc>
        <w:tc>
          <w:tcPr>
            <w:tcW w:w="3380" w:type="dxa"/>
            <w:vAlign w:val="bottom"/>
            <w:gridSpan w:val="27"/>
          </w:tcPr>
          <w:p>
            <w:pPr>
              <w:spacing w:after="0" w:line="156" w:lineRule="exact"/>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effective as of July 14, 2006, dated August</w:t>
              </w:r>
            </w:hyperlink>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spacing w:after="0"/>
              <w:rPr>
                <w:sz w:val="13"/>
                <w:szCs w:val="13"/>
                <w:color w:val="auto"/>
              </w:rPr>
            </w:pPr>
          </w:p>
        </w:tc>
      </w:tr>
    </w:tbl>
    <w:p>
      <w:pPr>
        <w:ind w:left="1240"/>
        <w:spacing w:after="0" w:line="201" w:lineRule="auto"/>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15, 2007, by and between Fred Mermelstein,</w:t>
        </w:r>
      </w:hyperlink>
    </w:p>
    <w:p>
      <w:pPr>
        <w:ind w:left="1240"/>
        <w:spacing w:after="0" w:line="202" w:lineRule="auto"/>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Ph.D., and Janet Chollet, M.D., and Pear</w:t>
        </w:r>
      </w:hyperlink>
    </w:p>
    <w:p>
      <w:pPr>
        <w:ind w:left="1240"/>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Tree Women’s Health Care, Inc.</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95"/>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8"/>
              </w:rPr>
              <w:t>10.6(b)Δ</w:t>
            </w:r>
          </w:p>
        </w:tc>
        <w:tc>
          <w:tcPr>
            <w:tcW w:w="3400" w:type="dxa"/>
            <w:vAlign w:val="bottom"/>
            <w:gridSpan w:val="32"/>
          </w:tcPr>
          <w:p>
            <w:pPr>
              <w:spacing w:after="0"/>
              <w:rPr>
                <w:rFonts w:ascii="Arial" w:cs="Arial" w:eastAsia="Arial" w:hAnsi="Arial"/>
                <w:sz w:val="17"/>
                <w:szCs w:val="17"/>
                <w:color w:val="0000FF"/>
              </w:rPr>
            </w:pPr>
            <w:hyperlink r:id="rId170">
              <w:r>
                <w:rPr>
                  <w:rFonts w:ascii="Arial" w:cs="Arial" w:eastAsia="Arial" w:hAnsi="Arial"/>
                  <w:sz w:val="17"/>
                  <w:szCs w:val="17"/>
                  <w:color w:val="0000FF"/>
                </w:rPr>
                <w:t>Amendment No. 1 to the Amended and</w:t>
              </w:r>
            </w:hyperlink>
          </w:p>
        </w:tc>
      </w:tr>
      <w:tr>
        <w:trPr>
          <w:trHeight w:val="144"/>
        </w:trPr>
        <w:tc>
          <w:tcPr>
            <w:tcW w:w="106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14"/>
          </w:tcPr>
          <w:p>
            <w:pPr>
              <w:spacing w:after="0" w:line="145" w:lineRule="exact"/>
              <w:rPr>
                <w:rFonts w:ascii="Arial" w:cs="Arial" w:eastAsia="Arial" w:hAnsi="Arial"/>
                <w:sz w:val="16"/>
                <w:szCs w:val="16"/>
                <w:color w:val="0000FF"/>
              </w:rPr>
            </w:pPr>
            <w:hyperlink r:id="rId170">
              <w:r>
                <w:rPr>
                  <w:rFonts w:ascii="Arial" w:cs="Arial" w:eastAsia="Arial" w:hAnsi="Arial"/>
                  <w:sz w:val="16"/>
                  <w:szCs w:val="16"/>
                  <w:color w:val="0000FF"/>
                </w:rPr>
                <w:t>Restated Exclusive License Agreement,</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3400" w:type="dxa"/>
            <w:vAlign w:val="bottom"/>
            <w:gridSpan w:val="32"/>
          </w:tcPr>
          <w:p>
            <w:pPr>
              <w:spacing w:after="0" w:line="145" w:lineRule="exact"/>
              <w:rPr>
                <w:rFonts w:ascii="Arial" w:cs="Arial" w:eastAsia="Arial" w:hAnsi="Arial"/>
                <w:sz w:val="16"/>
                <w:szCs w:val="16"/>
                <w:color w:val="0000FF"/>
              </w:rPr>
            </w:pPr>
            <w:hyperlink r:id="rId170">
              <w:r>
                <w:rPr>
                  <w:rFonts w:ascii="Arial" w:cs="Arial" w:eastAsia="Arial" w:hAnsi="Arial"/>
                  <w:sz w:val="16"/>
                  <w:szCs w:val="16"/>
                  <w:color w:val="0000FF"/>
                </w:rPr>
                <w:t>dated as of October 10, 2007, by and among</w:t>
              </w:r>
            </w:hyperlink>
          </w:p>
        </w:tc>
      </w:tr>
      <w:tr>
        <w:trPr>
          <w:trHeight w:val="157"/>
        </w:trPr>
        <w:tc>
          <w:tcPr>
            <w:tcW w:w="1060" w:type="dxa"/>
            <w:vAlign w:val="bottom"/>
          </w:tcPr>
          <w:p>
            <w:pPr>
              <w:spacing w:after="0"/>
              <w:rPr>
                <w:sz w:val="13"/>
                <w:szCs w:val="13"/>
                <w:color w:val="auto"/>
              </w:rPr>
            </w:pPr>
          </w:p>
        </w:tc>
        <w:tc>
          <w:tcPr>
            <w:tcW w:w="3380" w:type="dxa"/>
            <w:vAlign w:val="bottom"/>
            <w:tcBorders>
              <w:top w:val="single" w:sz="8" w:color="0000FF"/>
            </w:tcBorders>
            <w:gridSpan w:val="31"/>
          </w:tcPr>
          <w:p>
            <w:pPr>
              <w:spacing w:after="0" w:line="157" w:lineRule="exact"/>
              <w:rPr>
                <w:rFonts w:ascii="Arial" w:cs="Arial" w:eastAsia="Arial" w:hAnsi="Arial"/>
                <w:sz w:val="17"/>
                <w:szCs w:val="17"/>
                <w:color w:val="0000FF"/>
              </w:rPr>
            </w:pPr>
            <w:hyperlink r:id="rId170">
              <w:r>
                <w:rPr>
                  <w:rFonts w:ascii="Arial" w:cs="Arial" w:eastAsia="Arial" w:hAnsi="Arial"/>
                  <w:sz w:val="17"/>
                  <w:szCs w:val="17"/>
                  <w:color w:val="0000FF"/>
                </w:rPr>
                <w:t>Fred Mermelstein, Ph.D. and Janet Chollet,</w:t>
              </w:r>
            </w:hyperlink>
          </w:p>
        </w:tc>
        <w:tc>
          <w:tcPr>
            <w:tcW w:w="20" w:type="dxa"/>
            <w:vAlign w:val="bottom"/>
          </w:tcPr>
          <w:p>
            <w:pPr>
              <w:spacing w:after="0"/>
              <w:rPr>
                <w:sz w:val="13"/>
                <w:szCs w:val="13"/>
                <w:color w:val="auto"/>
              </w:rPr>
            </w:pPr>
          </w:p>
        </w:tc>
      </w:tr>
      <w:tr>
        <w:trPr>
          <w:trHeight w:val="144"/>
        </w:trPr>
        <w:tc>
          <w:tcPr>
            <w:tcW w:w="106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22"/>
          </w:tcPr>
          <w:p>
            <w:pPr>
              <w:spacing w:after="0" w:line="145" w:lineRule="exact"/>
              <w:rPr>
                <w:rFonts w:ascii="Arial" w:cs="Arial" w:eastAsia="Arial" w:hAnsi="Arial"/>
                <w:sz w:val="16"/>
                <w:szCs w:val="16"/>
                <w:color w:val="0000FF"/>
              </w:rPr>
            </w:pPr>
            <w:hyperlink r:id="rId170">
              <w:r>
                <w:rPr>
                  <w:rFonts w:ascii="Arial" w:cs="Arial" w:eastAsia="Arial" w:hAnsi="Arial"/>
                  <w:sz w:val="16"/>
                  <w:szCs w:val="16"/>
                  <w:color w:val="0000FF"/>
                </w:rPr>
                <w:t>M.D., and Pear Tree Pharmaceuticals, Inc.</w:t>
              </w:r>
            </w:hyperlink>
          </w:p>
        </w:tc>
        <w:tc>
          <w:tcPr>
            <w:tcW w:w="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59"/>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9"/>
              </w:rPr>
              <w:t>10.6(c)Δ</w:t>
            </w:r>
          </w:p>
        </w:tc>
        <w:tc>
          <w:tcPr>
            <w:tcW w:w="3400" w:type="dxa"/>
            <w:vAlign w:val="bottom"/>
            <w:gridSpan w:val="32"/>
          </w:tcPr>
          <w:p>
            <w:pPr>
              <w:spacing w:after="0"/>
              <w:rPr>
                <w:rFonts w:ascii="Arial" w:cs="Arial" w:eastAsia="Arial" w:hAnsi="Arial"/>
                <w:sz w:val="17"/>
                <w:szCs w:val="17"/>
                <w:color w:val="0000FF"/>
              </w:rPr>
            </w:pPr>
            <w:hyperlink r:id="rId171">
              <w:r>
                <w:rPr>
                  <w:rFonts w:ascii="Arial" w:cs="Arial" w:eastAsia="Arial" w:hAnsi="Arial"/>
                  <w:sz w:val="17"/>
                  <w:szCs w:val="17"/>
                  <w:color w:val="0000FF"/>
                </w:rPr>
                <w:t>Amendment No. 2 to the Amended and</w:t>
              </w:r>
            </w:hyperlink>
          </w:p>
        </w:tc>
      </w:tr>
      <w:tr>
        <w:trPr>
          <w:trHeight w:val="144"/>
        </w:trPr>
        <w:tc>
          <w:tcPr>
            <w:tcW w:w="106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14"/>
          </w:tcPr>
          <w:p>
            <w:pPr>
              <w:spacing w:after="0" w:line="145" w:lineRule="exact"/>
              <w:rPr>
                <w:rFonts w:ascii="Arial" w:cs="Arial" w:eastAsia="Arial" w:hAnsi="Arial"/>
                <w:sz w:val="16"/>
                <w:szCs w:val="16"/>
                <w:color w:val="0000FF"/>
              </w:rPr>
            </w:pPr>
            <w:hyperlink r:id="rId171">
              <w:r>
                <w:rPr>
                  <w:rFonts w:ascii="Arial" w:cs="Arial" w:eastAsia="Arial" w:hAnsi="Arial"/>
                  <w:sz w:val="16"/>
                  <w:szCs w:val="16"/>
                  <w:color w:val="0000FF"/>
                </w:rPr>
                <w:t>Restated Exclusive License Agreement,</w:t>
              </w:r>
            </w:hyperlink>
          </w:p>
        </w:tc>
        <w:tc>
          <w:tcPr>
            <w:tcW w:w="6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980" w:type="dxa"/>
            <w:vAlign w:val="bottom"/>
            <w:gridSpan w:val="15"/>
          </w:tcPr>
          <w:p>
            <w:pPr>
              <w:spacing w:after="0" w:line="145" w:lineRule="exact"/>
              <w:rPr>
                <w:rFonts w:ascii="Arial" w:cs="Arial" w:eastAsia="Arial" w:hAnsi="Arial"/>
                <w:sz w:val="16"/>
                <w:szCs w:val="16"/>
                <w:color w:val="0000FF"/>
              </w:rPr>
            </w:pPr>
            <w:hyperlink r:id="rId171">
              <w:r>
                <w:rPr>
                  <w:rFonts w:ascii="Arial" w:cs="Arial" w:eastAsia="Arial" w:hAnsi="Arial"/>
                  <w:sz w:val="16"/>
                  <w:szCs w:val="16"/>
                  <w:color w:val="0000FF"/>
                </w:rPr>
                <w:t>dated as of February 13, 2017, by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2860" w:type="dxa"/>
            <w:vAlign w:val="bottom"/>
            <w:tcBorders>
              <w:top w:val="single" w:sz="8" w:color="0000FF"/>
            </w:tcBorders>
            <w:gridSpan w:val="13"/>
          </w:tcPr>
          <w:p>
            <w:pPr>
              <w:spacing w:after="0" w:line="157" w:lineRule="exact"/>
              <w:rPr>
                <w:rFonts w:ascii="Arial" w:cs="Arial" w:eastAsia="Arial" w:hAnsi="Arial"/>
                <w:sz w:val="17"/>
                <w:szCs w:val="17"/>
                <w:color w:val="0000FF"/>
              </w:rPr>
            </w:pPr>
            <w:hyperlink r:id="rId171">
              <w:r>
                <w:rPr>
                  <w:rFonts w:ascii="Arial" w:cs="Arial" w:eastAsia="Arial" w:hAnsi="Arial"/>
                  <w:sz w:val="17"/>
                  <w:szCs w:val="17"/>
                  <w:color w:val="0000FF"/>
                </w:rPr>
                <w:t>among Fred Mermelstein, Ph.D., and</w:t>
              </w:r>
            </w:hyperlink>
          </w:p>
        </w:tc>
        <w:tc>
          <w:tcPr>
            <w:tcW w:w="540" w:type="dxa"/>
            <w:vAlign w:val="bottom"/>
            <w:gridSpan w:val="19"/>
          </w:tcPr>
          <w:p>
            <w:pPr>
              <w:spacing w:after="0" w:line="157" w:lineRule="exact"/>
              <w:rPr>
                <w:rFonts w:ascii="Arial" w:cs="Arial" w:eastAsia="Arial" w:hAnsi="Arial"/>
                <w:sz w:val="17"/>
                <w:szCs w:val="17"/>
                <w:color w:val="0000FF"/>
              </w:rPr>
            </w:pPr>
            <w:hyperlink r:id="rId171">
              <w:r>
                <w:rPr>
                  <w:rFonts w:ascii="Arial" w:cs="Arial" w:eastAsia="Arial" w:hAnsi="Arial"/>
                  <w:sz w:val="17"/>
                  <w:szCs w:val="17"/>
                  <w:color w:val="0000FF"/>
                </w:rPr>
                <w:t>Janet</w:t>
              </w:r>
            </w:hyperlink>
          </w:p>
        </w:tc>
      </w:tr>
      <w:tr>
        <w:trPr>
          <w:trHeight w:val="144"/>
        </w:trPr>
        <w:tc>
          <w:tcPr>
            <w:tcW w:w="1060" w:type="dxa"/>
            <w:vAlign w:val="bottom"/>
          </w:tcPr>
          <w:p>
            <w:pPr>
              <w:spacing w:after="0"/>
              <w:rPr>
                <w:sz w:val="12"/>
                <w:szCs w:val="12"/>
                <w:color w:val="auto"/>
              </w:rPr>
            </w:pPr>
          </w:p>
        </w:tc>
        <w:tc>
          <w:tcPr>
            <w:tcW w:w="3220" w:type="dxa"/>
            <w:vAlign w:val="bottom"/>
            <w:tcBorders>
              <w:top w:val="single" w:sz="8" w:color="0000FF"/>
            </w:tcBorders>
            <w:gridSpan w:val="24"/>
          </w:tcPr>
          <w:p>
            <w:pPr>
              <w:spacing w:after="0" w:line="145" w:lineRule="exact"/>
              <w:rPr>
                <w:rFonts w:ascii="Arial" w:cs="Arial" w:eastAsia="Arial" w:hAnsi="Arial"/>
                <w:sz w:val="16"/>
                <w:szCs w:val="16"/>
                <w:color w:val="0000FF"/>
              </w:rPr>
            </w:pPr>
            <w:hyperlink r:id="rId171">
              <w:r>
                <w:rPr>
                  <w:rFonts w:ascii="Arial" w:cs="Arial" w:eastAsia="Arial" w:hAnsi="Arial"/>
                  <w:sz w:val="16"/>
                  <w:szCs w:val="16"/>
                  <w:color w:val="0000FF"/>
                </w:rPr>
                <w:t>Chollet, M.D., Pear Tree Pharmaceuticals,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rPr>
            </w:pPr>
            <w:hyperlink r:id="rId171">
              <w:r>
                <w:rPr>
                  <w:rFonts w:ascii="Arial" w:cs="Arial" w:eastAsia="Arial" w:hAnsi="Arial"/>
                  <w:sz w:val="16"/>
                  <w:szCs w:val="16"/>
                  <w:color w:val="0000FF"/>
                </w:rPr>
                <w:t>Inc. and Bernadette Klamerus</w:t>
              </w:r>
            </w:hyperlink>
          </w:p>
        </w:tc>
        <w:tc>
          <w:tcPr>
            <w:tcW w:w="92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59"/>
        </w:trPr>
        <w:tc>
          <w:tcPr>
            <w:tcW w:w="1060" w:type="dxa"/>
            <w:vAlign w:val="bottom"/>
          </w:tcPr>
          <w:p>
            <w:pPr>
              <w:jc w:val="center"/>
              <w:ind w:right="316"/>
              <w:spacing w:after="0"/>
              <w:rPr>
                <w:sz w:val="20"/>
                <w:szCs w:val="20"/>
                <w:color w:val="auto"/>
              </w:rPr>
            </w:pPr>
            <w:r>
              <w:rPr>
                <w:rFonts w:ascii="Arial" w:cs="Arial" w:eastAsia="Arial" w:hAnsi="Arial"/>
                <w:sz w:val="17"/>
                <w:szCs w:val="17"/>
                <w:color w:val="auto"/>
                <w:w w:val="97"/>
              </w:rPr>
              <w:t>10.6(d)+</w:t>
            </w:r>
          </w:p>
        </w:tc>
        <w:tc>
          <w:tcPr>
            <w:tcW w:w="3400" w:type="dxa"/>
            <w:vAlign w:val="bottom"/>
            <w:gridSpan w:val="32"/>
          </w:tcPr>
          <w:p>
            <w:pPr>
              <w:spacing w:after="0"/>
              <w:rPr>
                <w:rFonts w:ascii="Arial" w:cs="Arial" w:eastAsia="Arial" w:hAnsi="Arial"/>
                <w:sz w:val="17"/>
                <w:szCs w:val="17"/>
                <w:color w:val="0000FF"/>
              </w:rPr>
            </w:pPr>
            <w:hyperlink r:id="rId172">
              <w:r>
                <w:rPr>
                  <w:rFonts w:ascii="Arial" w:cs="Arial" w:eastAsia="Arial" w:hAnsi="Arial"/>
                  <w:sz w:val="17"/>
                  <w:szCs w:val="17"/>
                  <w:color w:val="0000FF"/>
                </w:rPr>
                <w:t>Amendment No. 3 to the Amended and</w:t>
              </w:r>
            </w:hyperlink>
          </w:p>
        </w:tc>
      </w:tr>
      <w:tr>
        <w:trPr>
          <w:trHeight w:val="144"/>
        </w:trPr>
        <w:tc>
          <w:tcPr>
            <w:tcW w:w="106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14"/>
          </w:tcPr>
          <w:p>
            <w:pPr>
              <w:spacing w:after="0" w:line="145" w:lineRule="exact"/>
              <w:rPr>
                <w:rFonts w:ascii="Arial" w:cs="Arial" w:eastAsia="Arial" w:hAnsi="Arial"/>
                <w:sz w:val="16"/>
                <w:szCs w:val="16"/>
                <w:color w:val="0000FF"/>
              </w:rPr>
            </w:pPr>
            <w:hyperlink r:id="rId172">
              <w:r>
                <w:rPr>
                  <w:rFonts w:ascii="Arial" w:cs="Arial" w:eastAsia="Arial" w:hAnsi="Arial"/>
                  <w:sz w:val="16"/>
                  <w:szCs w:val="16"/>
                  <w:color w:val="0000FF"/>
                </w:rPr>
                <w:t>Restated Exclusive License Agreement,</w:t>
              </w:r>
            </w:hyperlink>
          </w:p>
        </w:tc>
        <w:tc>
          <w:tcPr>
            <w:tcW w:w="8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3400" w:type="dxa"/>
            <w:vAlign w:val="bottom"/>
            <w:gridSpan w:val="32"/>
          </w:tcPr>
          <w:p>
            <w:pPr>
              <w:spacing w:after="0" w:line="145" w:lineRule="exact"/>
              <w:rPr>
                <w:rFonts w:ascii="Arial" w:cs="Arial" w:eastAsia="Arial" w:hAnsi="Arial"/>
                <w:sz w:val="16"/>
                <w:szCs w:val="16"/>
                <w:color w:val="0000FF"/>
              </w:rPr>
            </w:pPr>
            <w:hyperlink r:id="rId172">
              <w:r>
                <w:rPr>
                  <w:rFonts w:ascii="Arial" w:cs="Arial" w:eastAsia="Arial" w:hAnsi="Arial"/>
                  <w:sz w:val="16"/>
                  <w:szCs w:val="16"/>
                  <w:color w:val="0000FF"/>
                </w:rPr>
                <w:t>effective as of February 13, 2017, by and</w:t>
              </w:r>
            </w:hyperlink>
          </w:p>
        </w:tc>
      </w:tr>
      <w:tr>
        <w:trPr>
          <w:trHeight w:val="20"/>
        </w:trPr>
        <w:tc>
          <w:tcPr>
            <w:tcW w:w="10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7"/>
        </w:trPr>
        <w:tc>
          <w:tcPr>
            <w:tcW w:w="1060" w:type="dxa"/>
            <w:vAlign w:val="bottom"/>
          </w:tcPr>
          <w:p>
            <w:pPr>
              <w:spacing w:after="0"/>
              <w:rPr>
                <w:sz w:val="13"/>
                <w:szCs w:val="13"/>
                <w:color w:val="auto"/>
              </w:rPr>
            </w:pPr>
          </w:p>
        </w:tc>
        <w:tc>
          <w:tcPr>
            <w:tcW w:w="3400" w:type="dxa"/>
            <w:vAlign w:val="bottom"/>
            <w:gridSpan w:val="32"/>
          </w:tcPr>
          <w:p>
            <w:pPr>
              <w:spacing w:after="0" w:line="157" w:lineRule="exact"/>
              <w:rPr>
                <w:rFonts w:ascii="Arial" w:cs="Arial" w:eastAsia="Arial" w:hAnsi="Arial"/>
                <w:sz w:val="17"/>
                <w:szCs w:val="17"/>
                <w:color w:val="0000FF"/>
              </w:rPr>
            </w:pPr>
            <w:hyperlink r:id="rId172">
              <w:r>
                <w:rPr>
                  <w:rFonts w:ascii="Arial" w:cs="Arial" w:eastAsia="Arial" w:hAnsi="Arial"/>
                  <w:sz w:val="17"/>
                  <w:szCs w:val="17"/>
                  <w:color w:val="0000FF"/>
                </w:rPr>
                <w:t>among Fred Mermelstein, Ph.D., and Janet</w:t>
              </w:r>
            </w:hyperlink>
          </w:p>
        </w:tc>
      </w:tr>
      <w:tr>
        <w:trPr>
          <w:trHeight w:val="144"/>
        </w:trPr>
        <w:tc>
          <w:tcPr>
            <w:tcW w:w="1060" w:type="dxa"/>
            <w:vAlign w:val="bottom"/>
          </w:tcPr>
          <w:p>
            <w:pPr>
              <w:spacing w:after="0"/>
              <w:rPr>
                <w:sz w:val="12"/>
                <w:szCs w:val="12"/>
                <w:color w:val="auto"/>
              </w:rPr>
            </w:pPr>
          </w:p>
        </w:tc>
        <w:tc>
          <w:tcPr>
            <w:tcW w:w="3220" w:type="dxa"/>
            <w:vAlign w:val="bottom"/>
            <w:tcBorders>
              <w:top w:val="single" w:sz="8" w:color="0000FF"/>
            </w:tcBorders>
            <w:gridSpan w:val="24"/>
          </w:tcPr>
          <w:p>
            <w:pPr>
              <w:spacing w:after="0" w:line="145" w:lineRule="exact"/>
              <w:rPr>
                <w:rFonts w:ascii="Arial" w:cs="Arial" w:eastAsia="Arial" w:hAnsi="Arial"/>
                <w:sz w:val="16"/>
                <w:szCs w:val="16"/>
                <w:color w:val="0000FF"/>
              </w:rPr>
            </w:pPr>
            <w:hyperlink r:id="rId172">
              <w:r>
                <w:rPr>
                  <w:rFonts w:ascii="Arial" w:cs="Arial" w:eastAsia="Arial" w:hAnsi="Arial"/>
                  <w:sz w:val="16"/>
                  <w:szCs w:val="16"/>
                  <w:color w:val="0000FF"/>
                </w:rPr>
                <w:t>Chollet, M.D., Pear Tree Pharmaceuticals,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rPr>
            </w:pPr>
            <w:hyperlink r:id="rId172">
              <w:r>
                <w:rPr>
                  <w:rFonts w:ascii="Arial" w:cs="Arial" w:eastAsia="Arial" w:hAnsi="Arial"/>
                  <w:sz w:val="16"/>
                  <w:szCs w:val="16"/>
                  <w:color w:val="0000FF"/>
                </w:rPr>
                <w:t>Inc. and Bernadette Klamerus</w:t>
              </w:r>
            </w:hyperlink>
          </w:p>
        </w:tc>
        <w:tc>
          <w:tcPr>
            <w:tcW w:w="92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59"/>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8"/>
              </w:rPr>
              <w:t>10.6(e)Δ</w:t>
            </w:r>
          </w:p>
        </w:tc>
        <w:tc>
          <w:tcPr>
            <w:tcW w:w="3400" w:type="dxa"/>
            <w:vAlign w:val="bottom"/>
            <w:gridSpan w:val="32"/>
          </w:tcPr>
          <w:p>
            <w:pPr>
              <w:spacing w:after="0"/>
              <w:rPr>
                <w:rFonts w:ascii="Arial" w:cs="Arial" w:eastAsia="Arial" w:hAnsi="Arial"/>
                <w:sz w:val="17"/>
                <w:szCs w:val="17"/>
                <w:color w:val="0000FF"/>
              </w:rPr>
            </w:pPr>
            <w:hyperlink r:id="rId173">
              <w:r>
                <w:rPr>
                  <w:rFonts w:ascii="Arial" w:cs="Arial" w:eastAsia="Arial" w:hAnsi="Arial"/>
                  <w:sz w:val="17"/>
                  <w:szCs w:val="17"/>
                  <w:color w:val="0000FF"/>
                </w:rPr>
                <w:t>Exclusive License Agreement, dated as of</w:t>
              </w:r>
            </w:hyperlink>
          </w:p>
        </w:tc>
      </w:tr>
      <w:tr>
        <w:trPr>
          <w:trHeight w:val="137"/>
        </w:trPr>
        <w:tc>
          <w:tcPr>
            <w:tcW w:w="1060" w:type="dxa"/>
            <w:vAlign w:val="bottom"/>
          </w:tcPr>
          <w:p>
            <w:pPr>
              <w:spacing w:after="0"/>
              <w:rPr>
                <w:sz w:val="11"/>
                <w:szCs w:val="11"/>
                <w:color w:val="auto"/>
              </w:rPr>
            </w:pPr>
          </w:p>
        </w:tc>
        <w:tc>
          <w:tcPr>
            <w:tcW w:w="3140" w:type="dxa"/>
            <w:vAlign w:val="bottom"/>
            <w:tcBorders>
              <w:top w:val="single" w:sz="8" w:color="0000FF"/>
            </w:tcBorders>
            <w:gridSpan w:val="20"/>
          </w:tcPr>
          <w:p>
            <w:pPr>
              <w:spacing w:after="0" w:line="132" w:lineRule="exact"/>
              <w:rPr>
                <w:rFonts w:ascii="Arial" w:cs="Arial" w:eastAsia="Arial" w:hAnsi="Arial"/>
                <w:sz w:val="15"/>
                <w:szCs w:val="15"/>
                <w:color w:val="0000FF"/>
              </w:rPr>
            </w:pPr>
            <w:hyperlink r:id="rId173">
              <w:r>
                <w:rPr>
                  <w:rFonts w:ascii="Arial" w:cs="Arial" w:eastAsia="Arial" w:hAnsi="Arial"/>
                  <w:sz w:val="15"/>
                  <w:szCs w:val="15"/>
                  <w:color w:val="0000FF"/>
                </w:rPr>
                <w:t>February 13, 2017, by and between GYN</w:t>
              </w:r>
            </w:hyperlink>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52"/>
        </w:trPr>
        <w:tc>
          <w:tcPr>
            <w:tcW w:w="1060" w:type="dxa"/>
            <w:vAlign w:val="bottom"/>
          </w:tcPr>
          <w:p>
            <w:pPr>
              <w:spacing w:after="0"/>
              <w:rPr>
                <w:sz w:val="13"/>
                <w:szCs w:val="13"/>
                <w:color w:val="auto"/>
              </w:rPr>
            </w:pPr>
          </w:p>
        </w:tc>
        <w:tc>
          <w:tcPr>
            <w:tcW w:w="3080" w:type="dxa"/>
            <w:vAlign w:val="bottom"/>
            <w:tcBorders>
              <w:top w:val="single" w:sz="8" w:color="0000FF"/>
            </w:tcBorders>
            <w:gridSpan w:val="19"/>
          </w:tcPr>
          <w:p>
            <w:pPr>
              <w:spacing w:after="0" w:line="152" w:lineRule="exact"/>
              <w:rPr>
                <w:rFonts w:ascii="Arial" w:cs="Arial" w:eastAsia="Arial" w:hAnsi="Arial"/>
                <w:sz w:val="17"/>
                <w:szCs w:val="17"/>
                <w:color w:val="0000FF"/>
                <w:w w:val="98"/>
              </w:rPr>
            </w:pPr>
            <w:hyperlink r:id="rId173">
              <w:r>
                <w:rPr>
                  <w:rFonts w:ascii="Arial" w:cs="Arial" w:eastAsia="Arial" w:hAnsi="Arial"/>
                  <w:sz w:val="17"/>
                  <w:szCs w:val="17"/>
                  <w:color w:val="0000FF"/>
                  <w:w w:val="98"/>
                </w:rPr>
                <w:t>Holdings, Inc., a wholly-owned subsidiary</w:t>
              </w:r>
            </w:hyperlink>
          </w:p>
        </w:tc>
        <w:tc>
          <w:tcPr>
            <w:tcW w:w="320" w:type="dxa"/>
            <w:vAlign w:val="bottom"/>
            <w:gridSpan w:val="13"/>
          </w:tcPr>
          <w:p>
            <w:pPr>
              <w:ind w:left="60"/>
              <w:spacing w:after="0" w:line="152" w:lineRule="exact"/>
              <w:rPr>
                <w:rFonts w:ascii="Arial" w:cs="Arial" w:eastAsia="Arial" w:hAnsi="Arial"/>
                <w:sz w:val="17"/>
                <w:szCs w:val="17"/>
                <w:color w:val="0000FF"/>
              </w:rPr>
            </w:pPr>
            <w:hyperlink r:id="rId173">
              <w:r>
                <w:rPr>
                  <w:rFonts w:ascii="Arial" w:cs="Arial" w:eastAsia="Arial" w:hAnsi="Arial"/>
                  <w:sz w:val="17"/>
                  <w:szCs w:val="17"/>
                  <w:color w:val="0000FF"/>
                </w:rPr>
                <w:t>of</w:t>
              </w:r>
            </w:hyperlink>
          </w:p>
        </w:tc>
      </w:tr>
      <w:tr>
        <w:trPr>
          <w:trHeight w:val="157"/>
        </w:trPr>
        <w:tc>
          <w:tcPr>
            <w:tcW w:w="1060" w:type="dxa"/>
            <w:vAlign w:val="bottom"/>
          </w:tcPr>
          <w:p>
            <w:pPr>
              <w:spacing w:after="0"/>
              <w:rPr>
                <w:sz w:val="13"/>
                <w:szCs w:val="13"/>
                <w:color w:val="auto"/>
              </w:rPr>
            </w:pPr>
          </w:p>
        </w:tc>
        <w:tc>
          <w:tcPr>
            <w:tcW w:w="3280" w:type="dxa"/>
            <w:vAlign w:val="bottom"/>
            <w:tcBorders>
              <w:top w:val="single" w:sz="8" w:color="0000FF"/>
            </w:tcBorders>
            <w:gridSpan w:val="27"/>
          </w:tcPr>
          <w:p>
            <w:pPr>
              <w:spacing w:after="0" w:line="157" w:lineRule="exact"/>
              <w:rPr>
                <w:rFonts w:ascii="Arial" w:cs="Arial" w:eastAsia="Arial" w:hAnsi="Arial"/>
                <w:sz w:val="17"/>
                <w:szCs w:val="17"/>
                <w:color w:val="0000FF"/>
              </w:rPr>
            </w:pPr>
            <w:hyperlink r:id="rId173">
              <w:r>
                <w:rPr>
                  <w:rFonts w:ascii="Arial" w:cs="Arial" w:eastAsia="Arial" w:hAnsi="Arial"/>
                  <w:sz w:val="17"/>
                  <w:szCs w:val="17"/>
                  <w:color w:val="0000FF"/>
                </w:rPr>
                <w:t>Pear Tree Pharmaceuticals, Inc.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4"/>
        </w:trPr>
        <w:tc>
          <w:tcPr>
            <w:tcW w:w="1060" w:type="dxa"/>
            <w:vAlign w:val="bottom"/>
          </w:tcPr>
          <w:p>
            <w:pPr>
              <w:spacing w:after="0"/>
              <w:rPr>
                <w:sz w:val="12"/>
                <w:szCs w:val="12"/>
                <w:color w:val="auto"/>
              </w:rPr>
            </w:pPr>
          </w:p>
        </w:tc>
        <w:tc>
          <w:tcPr>
            <w:tcW w:w="2740" w:type="dxa"/>
            <w:vAlign w:val="bottom"/>
            <w:tcBorders>
              <w:top w:val="single" w:sz="8" w:color="0000FF"/>
            </w:tcBorders>
            <w:gridSpan w:val="9"/>
          </w:tcPr>
          <w:p>
            <w:pPr>
              <w:spacing w:after="0" w:line="145" w:lineRule="exact"/>
              <w:rPr>
                <w:rFonts w:ascii="Arial" w:cs="Arial" w:eastAsia="Arial" w:hAnsi="Arial"/>
                <w:sz w:val="16"/>
                <w:szCs w:val="16"/>
                <w:color w:val="0000FF"/>
              </w:rPr>
            </w:pPr>
            <w:hyperlink r:id="rId173">
              <w:r>
                <w:rPr>
                  <w:rFonts w:ascii="Arial" w:cs="Arial" w:eastAsia="Arial" w:hAnsi="Arial"/>
                  <w:sz w:val="16"/>
                  <w:szCs w:val="16"/>
                  <w:color w:val="0000FF"/>
                </w:rPr>
                <w:t>Bernadette Klamerus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6"/>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9"/>
              </w:rPr>
              <w:t>10.6(f)Δ</w:t>
            </w:r>
          </w:p>
        </w:tc>
        <w:tc>
          <w:tcPr>
            <w:tcW w:w="3400" w:type="dxa"/>
            <w:vAlign w:val="bottom"/>
            <w:gridSpan w:val="32"/>
          </w:tcPr>
          <w:p>
            <w:pPr>
              <w:spacing w:after="0"/>
              <w:rPr>
                <w:rFonts w:ascii="Arial" w:cs="Arial" w:eastAsia="Arial" w:hAnsi="Arial"/>
                <w:sz w:val="17"/>
                <w:szCs w:val="17"/>
                <w:color w:val="0000FF"/>
              </w:rPr>
            </w:pPr>
            <w:hyperlink r:id="rId174">
              <w:r>
                <w:rPr>
                  <w:rFonts w:ascii="Arial" w:cs="Arial" w:eastAsia="Arial" w:hAnsi="Arial"/>
                  <w:sz w:val="17"/>
                  <w:szCs w:val="17"/>
                  <w:color w:val="0000FF"/>
                </w:rPr>
                <w:t>Exclusive License Agreement, effective as of</w:t>
              </w:r>
            </w:hyperlink>
          </w:p>
        </w:tc>
      </w:tr>
      <w:tr>
        <w:trPr>
          <w:trHeight w:val="144"/>
        </w:trPr>
        <w:tc>
          <w:tcPr>
            <w:tcW w:w="1060" w:type="dxa"/>
            <w:vAlign w:val="bottom"/>
          </w:tcPr>
          <w:p>
            <w:pPr>
              <w:spacing w:after="0"/>
              <w:rPr>
                <w:sz w:val="12"/>
                <w:szCs w:val="12"/>
                <w:color w:val="auto"/>
              </w:rPr>
            </w:pPr>
          </w:p>
        </w:tc>
        <w:tc>
          <w:tcPr>
            <w:tcW w:w="3340" w:type="dxa"/>
            <w:vAlign w:val="bottom"/>
            <w:tcBorders>
              <w:top w:val="single" w:sz="8" w:color="0000FF"/>
            </w:tcBorders>
            <w:gridSpan w:val="29"/>
          </w:tcPr>
          <w:p>
            <w:pPr>
              <w:spacing w:after="0" w:line="145" w:lineRule="exact"/>
              <w:rPr>
                <w:rFonts w:ascii="Arial" w:cs="Arial" w:eastAsia="Arial" w:hAnsi="Arial"/>
                <w:sz w:val="16"/>
                <w:szCs w:val="16"/>
                <w:color w:val="0000FF"/>
              </w:rPr>
            </w:pPr>
            <w:hyperlink r:id="rId174">
              <w:r>
                <w:rPr>
                  <w:rFonts w:ascii="Arial" w:cs="Arial" w:eastAsia="Arial" w:hAnsi="Arial"/>
                  <w:sz w:val="16"/>
                  <w:szCs w:val="16"/>
                  <w:color w:val="0000FF"/>
                </w:rPr>
                <w:t>September 15, 2017, by and between Fred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3200" w:type="dxa"/>
            <w:vAlign w:val="bottom"/>
            <w:tcBorders>
              <w:top w:val="single" w:sz="8" w:color="0000FF"/>
            </w:tcBorders>
            <w:gridSpan w:val="23"/>
          </w:tcPr>
          <w:p>
            <w:pPr>
              <w:spacing w:after="0" w:line="145" w:lineRule="exact"/>
              <w:rPr>
                <w:rFonts w:ascii="Arial" w:cs="Arial" w:eastAsia="Arial" w:hAnsi="Arial"/>
                <w:sz w:val="16"/>
                <w:szCs w:val="16"/>
                <w:color w:val="0000FF"/>
              </w:rPr>
            </w:pPr>
            <w:hyperlink r:id="rId174">
              <w:r>
                <w:rPr>
                  <w:rFonts w:ascii="Arial" w:cs="Arial" w:eastAsia="Arial" w:hAnsi="Arial"/>
                  <w:sz w:val="16"/>
                  <w:szCs w:val="16"/>
                  <w:color w:val="0000FF"/>
                </w:rPr>
                <w:t>Mermelstein, Ph.D., Janet Chollet, M.D.,</w:t>
              </w:r>
            </w:hyperlink>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3020" w:type="dxa"/>
            <w:vAlign w:val="bottom"/>
            <w:tcBorders>
              <w:top w:val="single" w:sz="8" w:color="0000FF"/>
            </w:tcBorders>
            <w:gridSpan w:val="17"/>
          </w:tcPr>
          <w:p>
            <w:pPr>
              <w:spacing w:after="0" w:line="157" w:lineRule="exact"/>
              <w:rPr>
                <w:rFonts w:ascii="Arial" w:cs="Arial" w:eastAsia="Arial" w:hAnsi="Arial"/>
                <w:sz w:val="17"/>
                <w:szCs w:val="17"/>
                <w:color w:val="0000FF"/>
              </w:rPr>
            </w:pPr>
            <w:hyperlink r:id="rId174">
              <w:r>
                <w:rPr>
                  <w:rFonts w:ascii="Arial" w:cs="Arial" w:eastAsia="Arial" w:hAnsi="Arial"/>
                  <w:sz w:val="17"/>
                  <w:szCs w:val="17"/>
                  <w:color w:val="0000FF"/>
                </w:rPr>
                <w:t>Pear Tree Pharmaceuticals, Inc., and</w:t>
              </w:r>
            </w:hyperlink>
          </w:p>
        </w:tc>
        <w:tc>
          <w:tcPr>
            <w:tcW w:w="4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4"/>
        </w:trPr>
        <w:tc>
          <w:tcPr>
            <w:tcW w:w="1060" w:type="dxa"/>
            <w:vAlign w:val="bottom"/>
          </w:tcPr>
          <w:p>
            <w:pPr>
              <w:spacing w:after="0"/>
              <w:rPr>
                <w:sz w:val="12"/>
                <w:szCs w:val="12"/>
                <w:color w:val="auto"/>
              </w:rPr>
            </w:pPr>
          </w:p>
        </w:tc>
        <w:tc>
          <w:tcPr>
            <w:tcW w:w="2780" w:type="dxa"/>
            <w:vAlign w:val="bottom"/>
            <w:tcBorders>
              <w:top w:val="single" w:sz="8" w:color="0000FF"/>
            </w:tcBorders>
            <w:gridSpan w:val="11"/>
          </w:tcPr>
          <w:p>
            <w:pPr>
              <w:spacing w:after="0" w:line="145" w:lineRule="exact"/>
              <w:rPr>
                <w:rFonts w:ascii="Arial" w:cs="Arial" w:eastAsia="Arial" w:hAnsi="Arial"/>
                <w:sz w:val="16"/>
                <w:szCs w:val="16"/>
                <w:color w:val="0000FF"/>
              </w:rPr>
            </w:pPr>
            <w:hyperlink r:id="rId174">
              <w:r>
                <w:rPr>
                  <w:rFonts w:ascii="Arial" w:cs="Arial" w:eastAsia="Arial" w:hAnsi="Arial"/>
                  <w:sz w:val="16"/>
                  <w:szCs w:val="16"/>
                  <w:color w:val="0000FF"/>
                </w:rPr>
                <w:t>Stephen C. Rocamboli</w:t>
              </w:r>
            </w:hyperlink>
          </w:p>
        </w:tc>
        <w:tc>
          <w:tcPr>
            <w:tcW w:w="6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00" w:type="dxa"/>
            <w:vAlign w:val="bottom"/>
            <w:gridSpan w:val="8"/>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9"/>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8"/>
              </w:rPr>
              <w:t>10.7(a)Δ</w:t>
            </w:r>
          </w:p>
        </w:tc>
        <w:tc>
          <w:tcPr>
            <w:tcW w:w="3400" w:type="dxa"/>
            <w:vAlign w:val="bottom"/>
            <w:gridSpan w:val="32"/>
          </w:tcPr>
          <w:p>
            <w:pPr>
              <w:spacing w:after="0"/>
              <w:rPr>
                <w:rFonts w:ascii="Arial" w:cs="Arial" w:eastAsia="Arial" w:hAnsi="Arial"/>
                <w:sz w:val="17"/>
                <w:szCs w:val="17"/>
                <w:color w:val="0000FF"/>
              </w:rPr>
            </w:pPr>
            <w:hyperlink r:id="rId175">
              <w:r>
                <w:rPr>
                  <w:rFonts w:ascii="Arial" w:cs="Arial" w:eastAsia="Arial" w:hAnsi="Arial"/>
                  <w:sz w:val="17"/>
                  <w:szCs w:val="17"/>
                  <w:color w:val="0000FF"/>
                </w:rPr>
                <w:t>Assignment Agreement by and between</w:t>
              </w:r>
            </w:hyperlink>
          </w:p>
        </w:tc>
      </w:tr>
      <w:tr>
        <w:trPr>
          <w:trHeight w:val="144"/>
        </w:trPr>
        <w:tc>
          <w:tcPr>
            <w:tcW w:w="1060" w:type="dxa"/>
            <w:vAlign w:val="bottom"/>
          </w:tcPr>
          <w:p>
            <w:pPr>
              <w:spacing w:after="0"/>
              <w:rPr>
                <w:sz w:val="12"/>
                <w:szCs w:val="12"/>
                <w:color w:val="auto"/>
              </w:rPr>
            </w:pPr>
          </w:p>
        </w:tc>
        <w:tc>
          <w:tcPr>
            <w:tcW w:w="300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r:id="rId175">
              <w:r>
                <w:rPr>
                  <w:rFonts w:ascii="Arial" w:cs="Arial" w:eastAsia="Arial" w:hAnsi="Arial"/>
                  <w:sz w:val="16"/>
                  <w:szCs w:val="16"/>
                  <w:color w:val="0000FF"/>
                </w:rPr>
                <w:t>Daré Bioscience, Inc. and Hammock</w:t>
              </w:r>
            </w:hyperlink>
          </w:p>
        </w:tc>
        <w:tc>
          <w:tcPr>
            <w:tcW w:w="60" w:type="dxa"/>
            <w:vAlign w:val="bottom"/>
            <w:gridSpan w:val="2"/>
          </w:tcPr>
          <w:p>
            <w:pPr>
              <w:spacing w:after="0"/>
              <w:rPr>
                <w:sz w:val="12"/>
                <w:szCs w:val="12"/>
                <w:color w:val="auto"/>
              </w:rPr>
            </w:pPr>
          </w:p>
        </w:tc>
        <w:tc>
          <w:tcPr>
            <w:tcW w:w="200" w:type="dxa"/>
            <w:vAlign w:val="bottom"/>
            <w:gridSpan w:val="8"/>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720" w:type="dxa"/>
            <w:vAlign w:val="bottom"/>
            <w:tcBorders>
              <w:top w:val="single" w:sz="8" w:color="0000FF"/>
            </w:tcBorders>
            <w:gridSpan w:val="8"/>
          </w:tcPr>
          <w:p>
            <w:pPr>
              <w:spacing w:after="0" w:line="145" w:lineRule="exact"/>
              <w:rPr>
                <w:rFonts w:ascii="Arial" w:cs="Arial" w:eastAsia="Arial" w:hAnsi="Arial"/>
                <w:sz w:val="16"/>
                <w:szCs w:val="16"/>
                <w:color w:val="0000FF"/>
              </w:rPr>
            </w:pPr>
            <w:hyperlink r:id="rId175">
              <w:r>
                <w:rPr>
                  <w:rFonts w:ascii="Arial" w:cs="Arial" w:eastAsia="Arial" w:hAnsi="Arial"/>
                  <w:sz w:val="16"/>
                  <w:szCs w:val="16"/>
                  <w:color w:val="0000FF"/>
                </w:rPr>
                <w:t>Pharmaceuticals, Inc. effective as of</w:t>
              </w:r>
            </w:hyperlink>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200" w:type="dxa"/>
            <w:vAlign w:val="bottom"/>
            <w:gridSpan w:val="8"/>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2700" w:type="dxa"/>
            <w:vAlign w:val="bottom"/>
            <w:tcBorders>
              <w:top w:val="single" w:sz="8" w:color="0000FF"/>
            </w:tcBorders>
            <w:gridSpan w:val="7"/>
          </w:tcPr>
          <w:p>
            <w:pPr>
              <w:spacing w:after="0" w:line="157" w:lineRule="exact"/>
              <w:rPr>
                <w:rFonts w:ascii="Arial" w:cs="Arial" w:eastAsia="Arial" w:hAnsi="Arial"/>
                <w:sz w:val="17"/>
                <w:szCs w:val="17"/>
                <w:color w:val="0000FF"/>
              </w:rPr>
            </w:pPr>
            <w:hyperlink r:id="rId175">
              <w:r>
                <w:rPr>
                  <w:rFonts w:ascii="Arial" w:cs="Arial" w:eastAsia="Arial" w:hAnsi="Arial"/>
                  <w:sz w:val="17"/>
                  <w:szCs w:val="17"/>
                  <w:color w:val="0000FF"/>
                </w:rPr>
                <w:t>December 5,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gridSpan w:val="6"/>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6"/>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8"/>
              </w:rPr>
              <w:t>10.7(b)Δ</w:t>
            </w:r>
          </w:p>
        </w:tc>
        <w:tc>
          <w:tcPr>
            <w:tcW w:w="3400" w:type="dxa"/>
            <w:vAlign w:val="bottom"/>
            <w:gridSpan w:val="32"/>
          </w:tcPr>
          <w:p>
            <w:pPr>
              <w:spacing w:after="0"/>
              <w:rPr>
                <w:rFonts w:ascii="Arial" w:cs="Arial" w:eastAsia="Arial" w:hAnsi="Arial"/>
                <w:sz w:val="17"/>
                <w:szCs w:val="17"/>
                <w:color w:val="0000FF"/>
              </w:rPr>
            </w:pPr>
            <w:hyperlink r:id="rId176">
              <w:r>
                <w:rPr>
                  <w:rFonts w:ascii="Arial" w:cs="Arial" w:eastAsia="Arial" w:hAnsi="Arial"/>
                  <w:sz w:val="17"/>
                  <w:szCs w:val="17"/>
                  <w:color w:val="0000FF"/>
                </w:rPr>
                <w:t>First Amendment to the License Agreement</w:t>
              </w:r>
            </w:hyperlink>
          </w:p>
        </w:tc>
      </w:tr>
      <w:tr>
        <w:trPr>
          <w:trHeight w:val="144"/>
        </w:trPr>
        <w:tc>
          <w:tcPr>
            <w:tcW w:w="1060" w:type="dxa"/>
            <w:vAlign w:val="bottom"/>
          </w:tcPr>
          <w:p>
            <w:pPr>
              <w:spacing w:after="0"/>
              <w:rPr>
                <w:sz w:val="12"/>
                <w:szCs w:val="12"/>
                <w:color w:val="auto"/>
              </w:rPr>
            </w:pPr>
          </w:p>
        </w:tc>
        <w:tc>
          <w:tcPr>
            <w:tcW w:w="3260" w:type="dxa"/>
            <w:vAlign w:val="bottom"/>
            <w:tcBorders>
              <w:top w:val="single" w:sz="8" w:color="0000FF"/>
            </w:tcBorders>
            <w:gridSpan w:val="26"/>
          </w:tcPr>
          <w:p>
            <w:pPr>
              <w:spacing w:after="0" w:line="145" w:lineRule="exact"/>
              <w:rPr>
                <w:rFonts w:ascii="Arial" w:cs="Arial" w:eastAsia="Arial" w:hAnsi="Arial"/>
                <w:sz w:val="16"/>
                <w:szCs w:val="16"/>
                <w:color w:val="0000FF"/>
              </w:rPr>
            </w:pPr>
            <w:hyperlink r:id="rId176">
              <w:r>
                <w:rPr>
                  <w:rFonts w:ascii="Arial" w:cs="Arial" w:eastAsia="Arial" w:hAnsi="Arial"/>
                  <w:sz w:val="16"/>
                  <w:szCs w:val="16"/>
                  <w:color w:val="0000FF"/>
                </w:rPr>
                <w:t>effective as of December 5, 2018 by and</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306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r:id="rId176">
              <w:r>
                <w:rPr>
                  <w:rFonts w:ascii="Arial" w:cs="Arial" w:eastAsia="Arial" w:hAnsi="Arial"/>
                  <w:sz w:val="16"/>
                  <w:szCs w:val="16"/>
                  <w:color w:val="0000FF"/>
                </w:rPr>
                <w:t>among Daré Bioscience, Inc., TriLogic</w:t>
              </w:r>
            </w:hyperlink>
          </w:p>
        </w:tc>
        <w:tc>
          <w:tcPr>
            <w:tcW w:w="26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8"/>
          </w:tcPr>
          <w:p>
            <w:pPr>
              <w:spacing w:after="0" w:line="157" w:lineRule="exact"/>
              <w:rPr>
                <w:rFonts w:ascii="Arial" w:cs="Arial" w:eastAsia="Arial" w:hAnsi="Arial"/>
                <w:sz w:val="17"/>
                <w:szCs w:val="17"/>
                <w:color w:val="0000FF"/>
                <w:w w:val="98"/>
              </w:rPr>
            </w:pPr>
            <w:hyperlink r:id="rId176">
              <w:r>
                <w:rPr>
                  <w:rFonts w:ascii="Arial" w:cs="Arial" w:eastAsia="Arial" w:hAnsi="Arial"/>
                  <w:sz w:val="17"/>
                  <w:szCs w:val="17"/>
                  <w:color w:val="0000FF"/>
                  <w:w w:val="98"/>
                </w:rPr>
                <w:t>Pharma, LLC and MilanaPharm LLC</w:t>
              </w:r>
            </w:hyperlink>
          </w:p>
        </w:tc>
        <w:tc>
          <w:tcPr>
            <w:tcW w:w="120" w:type="dxa"/>
            <w:vAlign w:val="bottom"/>
            <w:tcBorders>
              <w:top w:val="single" w:sz="8" w:color="0000FF"/>
            </w:tcBorders>
            <w:gridSpan w:val="4"/>
          </w:tcPr>
          <w:p>
            <w:pPr>
              <w:spacing w:after="0"/>
              <w:rPr>
                <w:sz w:val="13"/>
                <w:szCs w:val="13"/>
                <w:color w:val="auto"/>
              </w:rPr>
            </w:pPr>
          </w:p>
        </w:tc>
        <w:tc>
          <w:tcPr>
            <w:tcW w:w="48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6"/>
        </w:trPr>
        <w:tc>
          <w:tcPr>
            <w:tcW w:w="1060" w:type="dxa"/>
            <w:vAlign w:val="bottom"/>
          </w:tcPr>
          <w:p>
            <w:pPr>
              <w:jc w:val="center"/>
              <w:ind w:right="336"/>
              <w:spacing w:after="0"/>
              <w:rPr>
                <w:sz w:val="20"/>
                <w:szCs w:val="20"/>
                <w:color w:val="auto"/>
              </w:rPr>
            </w:pPr>
            <w:r>
              <w:rPr>
                <w:rFonts w:ascii="Arial" w:cs="Arial" w:eastAsia="Arial" w:hAnsi="Arial"/>
                <w:sz w:val="17"/>
                <w:szCs w:val="17"/>
                <w:color w:val="auto"/>
                <w:w w:val="98"/>
              </w:rPr>
              <w:t>10.7(c)</w:t>
            </w:r>
          </w:p>
        </w:tc>
        <w:tc>
          <w:tcPr>
            <w:tcW w:w="3400" w:type="dxa"/>
            <w:vAlign w:val="bottom"/>
            <w:gridSpan w:val="32"/>
          </w:tcPr>
          <w:p>
            <w:pPr>
              <w:spacing w:after="0"/>
              <w:rPr>
                <w:rFonts w:ascii="Arial" w:cs="Arial" w:eastAsia="Arial" w:hAnsi="Arial"/>
                <w:sz w:val="17"/>
                <w:szCs w:val="17"/>
                <w:color w:val="0000FF"/>
              </w:rPr>
            </w:pPr>
            <w:hyperlink r:id="rId177">
              <w:r>
                <w:rPr>
                  <w:rFonts w:ascii="Arial" w:cs="Arial" w:eastAsia="Arial" w:hAnsi="Arial"/>
                  <w:sz w:val="17"/>
                  <w:szCs w:val="17"/>
                  <w:color w:val="0000FF"/>
                </w:rPr>
                <w:t>Amendment No. 1 to Assignment Agreement</w:t>
              </w:r>
            </w:hyperlink>
          </w:p>
        </w:tc>
      </w:tr>
      <w:tr>
        <w:trPr>
          <w:trHeight w:val="144"/>
        </w:trPr>
        <w:tc>
          <w:tcPr>
            <w:tcW w:w="1060" w:type="dxa"/>
            <w:vAlign w:val="bottom"/>
          </w:tcPr>
          <w:p>
            <w:pPr>
              <w:spacing w:after="0"/>
              <w:rPr>
                <w:sz w:val="12"/>
                <w:szCs w:val="12"/>
                <w:color w:val="auto"/>
              </w:rPr>
            </w:pPr>
          </w:p>
        </w:tc>
        <w:tc>
          <w:tcPr>
            <w:tcW w:w="3360" w:type="dxa"/>
            <w:vAlign w:val="bottom"/>
            <w:tcBorders>
              <w:top w:val="single" w:sz="8" w:color="0000FF"/>
            </w:tcBorders>
            <w:gridSpan w:val="30"/>
          </w:tcPr>
          <w:p>
            <w:pPr>
              <w:spacing w:after="0" w:line="145" w:lineRule="exact"/>
              <w:rPr>
                <w:rFonts w:ascii="Arial" w:cs="Arial" w:eastAsia="Arial" w:hAnsi="Arial"/>
                <w:sz w:val="16"/>
                <w:szCs w:val="16"/>
                <w:color w:val="0000FF"/>
              </w:rPr>
            </w:pPr>
            <w:hyperlink r:id="rId177">
              <w:r>
                <w:rPr>
                  <w:rFonts w:ascii="Arial" w:cs="Arial" w:eastAsia="Arial" w:hAnsi="Arial"/>
                  <w:sz w:val="16"/>
                  <w:szCs w:val="16"/>
                  <w:color w:val="0000FF"/>
                </w:rPr>
                <w:t>entered into as of December 4, 2019</w:t>
              </w:r>
            </w:hyperlink>
          </w:p>
        </w:tc>
        <w:tc>
          <w:tcPr>
            <w:tcW w:w="40" w:type="dxa"/>
            <w:vAlign w:val="bottom"/>
            <w:gridSpan w:val="2"/>
          </w:tcPr>
          <w:p>
            <w:pPr>
              <w:spacing w:after="0"/>
              <w:rPr>
                <w:sz w:val="12"/>
                <w:szCs w:val="12"/>
                <w:color w:val="auto"/>
              </w:rPr>
            </w:pPr>
          </w:p>
        </w:tc>
      </w:tr>
      <w:tr>
        <w:trPr>
          <w:trHeight w:val="144"/>
        </w:trPr>
        <w:tc>
          <w:tcPr>
            <w:tcW w:w="1060" w:type="dxa"/>
            <w:vAlign w:val="bottom"/>
          </w:tcPr>
          <w:p>
            <w:pPr>
              <w:spacing w:after="0"/>
              <w:rPr>
                <w:sz w:val="12"/>
                <w:szCs w:val="12"/>
                <w:color w:val="auto"/>
              </w:rPr>
            </w:pPr>
          </w:p>
        </w:tc>
        <w:tc>
          <w:tcPr>
            <w:tcW w:w="2760" w:type="dxa"/>
            <w:vAlign w:val="bottom"/>
            <w:tcBorders>
              <w:top w:val="single" w:sz="8" w:color="0000FF"/>
            </w:tcBorders>
            <w:gridSpan w:val="10"/>
          </w:tcPr>
          <w:p>
            <w:pPr>
              <w:spacing w:after="0" w:line="145" w:lineRule="exact"/>
              <w:rPr>
                <w:rFonts w:ascii="Arial" w:cs="Arial" w:eastAsia="Arial" w:hAnsi="Arial"/>
                <w:sz w:val="16"/>
                <w:szCs w:val="16"/>
                <w:color w:val="0000FF"/>
              </w:rPr>
            </w:pPr>
            <w:hyperlink r:id="rId177">
              <w:r>
                <w:rPr>
                  <w:rFonts w:ascii="Arial" w:cs="Arial" w:eastAsia="Arial" w:hAnsi="Arial"/>
                  <w:sz w:val="16"/>
                  <w:szCs w:val="16"/>
                  <w:color w:val="0000FF"/>
                </w:rPr>
                <w:t>between Daré Bioscience, Inc. and</w:t>
              </w:r>
            </w:hyperlink>
          </w:p>
        </w:tc>
        <w:tc>
          <w:tcPr>
            <w:tcW w:w="560" w:type="dxa"/>
            <w:vAlign w:val="bottom"/>
            <w:gridSpan w:val="18"/>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7" w:lineRule="exact"/>
              <w:rPr>
                <w:rFonts w:ascii="Arial" w:cs="Arial" w:eastAsia="Arial" w:hAnsi="Arial"/>
                <w:sz w:val="17"/>
                <w:szCs w:val="17"/>
                <w:color w:val="0000FF"/>
                <w:w w:val="98"/>
              </w:rPr>
            </w:pPr>
            <w:hyperlink r:id="rId177">
              <w:r>
                <w:rPr>
                  <w:rFonts w:ascii="Arial" w:cs="Arial" w:eastAsia="Arial" w:hAnsi="Arial"/>
                  <w:sz w:val="17"/>
                  <w:szCs w:val="17"/>
                  <w:color w:val="0000FF"/>
                  <w:w w:val="98"/>
                </w:rPr>
                <w:t>Hammock Pharmaceuticals, Inc.</w:t>
              </w:r>
            </w:hyperlink>
          </w:p>
        </w:tc>
        <w:tc>
          <w:tcPr>
            <w:tcW w:w="180" w:type="dxa"/>
            <w:vAlign w:val="bottom"/>
            <w:tcBorders>
              <w:top w:val="single" w:sz="8" w:color="0000FF"/>
            </w:tcBorders>
          </w:tcPr>
          <w:p>
            <w:pPr>
              <w:spacing w:after="0"/>
              <w:rPr>
                <w:sz w:val="13"/>
                <w:szCs w:val="13"/>
                <w:color w:val="auto"/>
              </w:rPr>
            </w:pPr>
          </w:p>
        </w:tc>
        <w:tc>
          <w:tcPr>
            <w:tcW w:w="720" w:type="dxa"/>
            <w:vAlign w:val="bottom"/>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6"/>
        </w:trPr>
        <w:tc>
          <w:tcPr>
            <w:tcW w:w="1060" w:type="dxa"/>
            <w:vAlign w:val="bottom"/>
          </w:tcPr>
          <w:p>
            <w:pPr>
              <w:jc w:val="center"/>
              <w:ind w:right="316"/>
              <w:spacing w:after="0"/>
              <w:rPr>
                <w:sz w:val="20"/>
                <w:szCs w:val="20"/>
                <w:color w:val="auto"/>
              </w:rPr>
            </w:pPr>
            <w:r>
              <w:rPr>
                <w:rFonts w:ascii="Arial" w:cs="Arial" w:eastAsia="Arial" w:hAnsi="Arial"/>
                <w:sz w:val="17"/>
                <w:szCs w:val="17"/>
                <w:color w:val="auto"/>
              </w:rPr>
              <w:t>10.7(d)</w:t>
            </w:r>
          </w:p>
        </w:tc>
        <w:tc>
          <w:tcPr>
            <w:tcW w:w="3400" w:type="dxa"/>
            <w:vAlign w:val="bottom"/>
            <w:gridSpan w:val="32"/>
          </w:tcPr>
          <w:p>
            <w:pPr>
              <w:spacing w:after="0"/>
              <w:rPr>
                <w:rFonts w:ascii="Arial" w:cs="Arial" w:eastAsia="Arial" w:hAnsi="Arial"/>
                <w:sz w:val="17"/>
                <w:szCs w:val="17"/>
                <w:color w:val="0000FF"/>
              </w:rPr>
            </w:pPr>
            <w:hyperlink r:id="rId178">
              <w:r>
                <w:rPr>
                  <w:rFonts w:ascii="Arial" w:cs="Arial" w:eastAsia="Arial" w:hAnsi="Arial"/>
                  <w:sz w:val="17"/>
                  <w:szCs w:val="17"/>
                  <w:color w:val="0000FF"/>
                </w:rPr>
                <w:t>Amendment No. 2 to the License Agreement</w:t>
              </w:r>
            </w:hyperlink>
          </w:p>
        </w:tc>
      </w:tr>
      <w:tr>
        <w:trPr>
          <w:trHeight w:val="144"/>
        </w:trPr>
        <w:tc>
          <w:tcPr>
            <w:tcW w:w="1060" w:type="dxa"/>
            <w:vAlign w:val="bottom"/>
          </w:tcPr>
          <w:p>
            <w:pPr>
              <w:spacing w:after="0"/>
              <w:rPr>
                <w:sz w:val="12"/>
                <w:szCs w:val="12"/>
                <w:color w:val="auto"/>
              </w:rPr>
            </w:pPr>
          </w:p>
        </w:tc>
        <w:tc>
          <w:tcPr>
            <w:tcW w:w="2760" w:type="dxa"/>
            <w:vAlign w:val="bottom"/>
            <w:tcBorders>
              <w:top w:val="single" w:sz="8" w:color="0000FF"/>
              <w:bottom w:val="single" w:sz="8" w:color="0000FF"/>
            </w:tcBorders>
            <w:gridSpan w:val="10"/>
          </w:tcPr>
          <w:p>
            <w:pPr>
              <w:spacing w:after="0" w:line="145" w:lineRule="exact"/>
              <w:rPr>
                <w:rFonts w:ascii="Arial" w:cs="Arial" w:eastAsia="Arial" w:hAnsi="Arial"/>
                <w:sz w:val="16"/>
                <w:szCs w:val="16"/>
                <w:color w:val="0000FF"/>
              </w:rPr>
            </w:pPr>
            <w:hyperlink r:id="rId178">
              <w:r>
                <w:rPr>
                  <w:rFonts w:ascii="Arial" w:cs="Arial" w:eastAsia="Arial" w:hAnsi="Arial"/>
                  <w:sz w:val="16"/>
                  <w:szCs w:val="16"/>
                  <w:color w:val="0000FF"/>
                </w:rPr>
                <w:t>entered into as of December 3, 2019</w:t>
              </w:r>
            </w:hyperlink>
          </w:p>
        </w:tc>
        <w:tc>
          <w:tcPr>
            <w:tcW w:w="560" w:type="dxa"/>
            <w:vAlign w:val="bottom"/>
            <w:tcBorders>
              <w:top w:val="single" w:sz="8" w:color="0000FF"/>
            </w:tcBorders>
            <w:gridSpan w:val="18"/>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56"/>
        </w:trPr>
        <w:tc>
          <w:tcPr>
            <w:tcW w:w="1060" w:type="dxa"/>
            <w:vAlign w:val="bottom"/>
          </w:tcPr>
          <w:p>
            <w:pPr>
              <w:spacing w:after="0"/>
              <w:rPr>
                <w:sz w:val="13"/>
                <w:szCs w:val="13"/>
                <w:color w:val="auto"/>
              </w:rPr>
            </w:pPr>
          </w:p>
        </w:tc>
        <w:tc>
          <w:tcPr>
            <w:tcW w:w="3400" w:type="dxa"/>
            <w:vAlign w:val="bottom"/>
            <w:gridSpan w:val="32"/>
          </w:tcPr>
          <w:p>
            <w:pPr>
              <w:spacing w:after="0" w:line="156" w:lineRule="exact"/>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between Daré Bioscience, Inc., TriLogic</w:t>
              </w:r>
            </w:hyperlink>
          </w:p>
        </w:tc>
      </w:tr>
    </w:tbl>
    <w:p>
      <w:pPr>
        <w:ind w:left="1060"/>
        <w:spacing w:after="0"/>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Pharma, LLC and MilanaPharm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rPr>
              <w:t>8/13/2018</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rPr>
              <w:t>10.6</w:t>
            </w:r>
          </w:p>
        </w:tc>
      </w:tr>
      <w:tr>
        <w:trPr>
          <w:trHeight w:val="1049"/>
        </w:trPr>
        <w:tc>
          <w:tcPr>
            <w:tcW w:w="500" w:type="dxa"/>
            <w:vAlign w:val="bottom"/>
          </w:tcPr>
          <w:p>
            <w:pP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rPr>
              <w:t>8/13/2018</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rPr>
              <w:t>10.7</w:t>
            </w:r>
          </w:p>
        </w:tc>
      </w:tr>
      <w:tr>
        <w:trPr>
          <w:trHeight w:val="1213"/>
        </w:trPr>
        <w:tc>
          <w:tcPr>
            <w:tcW w:w="500" w:type="dxa"/>
            <w:vAlign w:val="bottom"/>
          </w:tcPr>
          <w:p>
            <w:pPr>
              <w:ind w:left="20"/>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rPr>
              <w:t>3/30/2023</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rPr>
              <w:t>10.6(d)</w:t>
            </w:r>
          </w:p>
        </w:tc>
      </w:tr>
      <w:tr>
        <w:trPr>
          <w:trHeight w:val="1213"/>
        </w:trPr>
        <w:tc>
          <w:tcPr>
            <w:tcW w:w="500" w:type="dxa"/>
            <w:vAlign w:val="bottom"/>
          </w:tcPr>
          <w:p>
            <w:pP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rPr>
              <w:t>8/13/2018</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rPr>
              <w:t>10.8</w:t>
            </w:r>
          </w:p>
        </w:tc>
      </w:tr>
      <w:tr>
        <w:trPr>
          <w:trHeight w:val="1036"/>
        </w:trPr>
        <w:tc>
          <w:tcPr>
            <w:tcW w:w="500" w:type="dxa"/>
            <w:vAlign w:val="bottom"/>
          </w:tcPr>
          <w:p>
            <w:pP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rPr>
              <w:t>8/13/2018</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rPr>
              <w:t>10.9</w:t>
            </w:r>
          </w:p>
        </w:tc>
      </w:tr>
      <w:tr>
        <w:trPr>
          <w:trHeight w:val="1049"/>
        </w:trPr>
        <w:tc>
          <w:tcPr>
            <w:tcW w:w="500" w:type="dxa"/>
            <w:vAlign w:val="bottom"/>
          </w:tcPr>
          <w:p>
            <w:pPr>
              <w:ind w:left="20"/>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04/01/2019</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w w:val="97"/>
              </w:rPr>
              <w:t>10.10(a)</w:t>
            </w:r>
          </w:p>
        </w:tc>
      </w:tr>
      <w:tr>
        <w:trPr>
          <w:trHeight w:val="872"/>
        </w:trPr>
        <w:tc>
          <w:tcPr>
            <w:tcW w:w="500" w:type="dxa"/>
            <w:vAlign w:val="bottom"/>
          </w:tcPr>
          <w:p>
            <w:pPr>
              <w:ind w:left="20"/>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04/01/2019</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w w:val="97"/>
              </w:rPr>
              <w:t>10.10(b)</w:t>
            </w:r>
          </w:p>
        </w:tc>
      </w:tr>
      <w:tr>
        <w:trPr>
          <w:trHeight w:val="872"/>
        </w:trPr>
        <w:tc>
          <w:tcPr>
            <w:tcW w:w="500" w:type="dxa"/>
            <w:vAlign w:val="bottom"/>
          </w:tcPr>
          <w:p>
            <w:pPr>
              <w:ind w:left="20"/>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03/27/2020</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w w:val="99"/>
              </w:rPr>
              <w:t>10.10(c)</w:t>
            </w:r>
          </w:p>
        </w:tc>
      </w:tr>
      <w:tr>
        <w:trPr>
          <w:trHeight w:val="872"/>
        </w:trPr>
        <w:tc>
          <w:tcPr>
            <w:tcW w:w="500" w:type="dxa"/>
            <w:vAlign w:val="bottom"/>
          </w:tcPr>
          <w:p>
            <w:pPr>
              <w:ind w:left="20"/>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03/27/2020</w:t>
            </w:r>
          </w:p>
        </w:tc>
        <w:tc>
          <w:tcPr>
            <w:tcW w:w="940" w:type="dxa"/>
            <w:vAlign w:val="bottom"/>
          </w:tcPr>
          <w:p>
            <w:pPr>
              <w:jc w:val="center"/>
              <w:ind w:left="236"/>
              <w:spacing w:after="0"/>
              <w:rPr>
                <w:sz w:val="20"/>
                <w:szCs w:val="20"/>
                <w:color w:val="auto"/>
              </w:rPr>
            </w:pPr>
            <w:r>
              <w:rPr>
                <w:rFonts w:ascii="Arial" w:cs="Arial" w:eastAsia="Arial" w:hAnsi="Arial"/>
                <w:sz w:val="17"/>
                <w:szCs w:val="17"/>
                <w:color w:val="auto"/>
                <w:w w:val="97"/>
              </w:rPr>
              <w:t>10.10(d)</w:t>
            </w:r>
          </w:p>
        </w:tc>
      </w:tr>
      <w:tr>
        <w:trPr>
          <w:trHeight w:val="1339"/>
        </w:trPr>
        <w:tc>
          <w:tcPr>
            <w:tcW w:w="500" w:type="dxa"/>
            <w:vAlign w:val="bottom"/>
          </w:tcPr>
          <w:p>
            <w:pPr>
              <w:spacing w:after="0"/>
              <w:rPr>
                <w:sz w:val="24"/>
                <w:szCs w:val="24"/>
                <w:color w:val="auto"/>
              </w:rPr>
            </w:pPr>
          </w:p>
        </w:tc>
        <w:tc>
          <w:tcPr>
            <w:tcW w:w="1460" w:type="dxa"/>
            <w:vAlign w:val="bottom"/>
          </w:tcPr>
          <w:p>
            <w:pPr>
              <w:jc w:val="right"/>
              <w:ind w:right="996"/>
              <w:spacing w:after="0"/>
              <w:rPr>
                <w:sz w:val="20"/>
                <w:szCs w:val="20"/>
                <w:color w:val="auto"/>
              </w:rPr>
            </w:pPr>
            <w:r>
              <w:rPr>
                <w:rFonts w:ascii="Arial" w:cs="Arial" w:eastAsia="Arial" w:hAnsi="Arial"/>
                <w:sz w:val="17"/>
                <w:szCs w:val="17"/>
                <w:color w:val="auto"/>
              </w:rPr>
              <w:t>138</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49530</wp:posOffset>
            </wp:positionV>
            <wp:extent cx="716661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2">
            <w:col w:w="4400" w:space="300"/>
            <w:col w:w="5259"/>
          </w:cols>
          <w:pgMar w:left="500" w:top="841"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95"/>
        </w:trPr>
        <w:tc>
          <w:tcPr>
            <w:tcW w:w="1240" w:type="dxa"/>
            <w:vAlign w:val="bottom"/>
          </w:tcPr>
          <w:p>
            <w:pPr>
              <w:jc w:val="center"/>
              <w:ind w:right="136"/>
              <w:spacing w:after="0"/>
              <w:rPr>
                <w:sz w:val="20"/>
                <w:szCs w:val="20"/>
                <w:color w:val="auto"/>
              </w:rPr>
            </w:pPr>
            <w:r>
              <w:rPr>
                <w:rFonts w:ascii="Arial" w:cs="Arial" w:eastAsia="Arial" w:hAnsi="Arial"/>
                <w:sz w:val="17"/>
                <w:szCs w:val="17"/>
                <w:color w:val="auto"/>
              </w:rPr>
              <w:t>10.7(e)</w:t>
            </w:r>
          </w:p>
        </w:tc>
        <w:tc>
          <w:tcPr>
            <w:tcW w:w="3500" w:type="dxa"/>
            <w:vAlign w:val="bottom"/>
            <w:gridSpan w:val="39"/>
          </w:tcPr>
          <w:p>
            <w:pPr>
              <w:spacing w:after="0"/>
              <w:rPr>
                <w:rFonts w:ascii="Arial" w:cs="Arial" w:eastAsia="Arial" w:hAnsi="Arial"/>
                <w:sz w:val="17"/>
                <w:szCs w:val="17"/>
                <w:color w:val="0000FF"/>
              </w:rPr>
            </w:pPr>
            <w:hyperlink r:id="rId180">
              <w:r>
                <w:rPr>
                  <w:rFonts w:ascii="Arial" w:cs="Arial" w:eastAsia="Arial" w:hAnsi="Arial"/>
                  <w:sz w:val="17"/>
                  <w:szCs w:val="17"/>
                  <w:color w:val="0000FF"/>
                </w:rPr>
                <w:t>Amendment to License Agreement effective</w:t>
              </w:r>
            </w:hyperlink>
          </w:p>
        </w:tc>
        <w:tc>
          <w:tcPr>
            <w:tcW w:w="640" w:type="dxa"/>
            <w:vAlign w:val="bottom"/>
          </w:tcPr>
          <w:p>
            <w:pPr>
              <w:jc w:val="cente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11/10/2021</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rPr>
              <w:t>10.1</w:t>
            </w:r>
          </w:p>
        </w:tc>
      </w:tr>
      <w:tr>
        <w:trPr>
          <w:trHeight w:val="137"/>
        </w:trPr>
        <w:tc>
          <w:tcPr>
            <w:tcW w:w="1240" w:type="dxa"/>
            <w:vAlign w:val="bottom"/>
          </w:tcPr>
          <w:p>
            <w:pPr>
              <w:spacing w:after="0"/>
              <w:rPr>
                <w:sz w:val="11"/>
                <w:szCs w:val="11"/>
                <w:color w:val="auto"/>
              </w:rPr>
            </w:pPr>
          </w:p>
        </w:tc>
        <w:tc>
          <w:tcPr>
            <w:tcW w:w="3260" w:type="dxa"/>
            <w:vAlign w:val="bottom"/>
            <w:tcBorders>
              <w:top w:val="single" w:sz="8" w:color="0000FF"/>
            </w:tcBorders>
            <w:gridSpan w:val="30"/>
          </w:tcPr>
          <w:p>
            <w:pPr>
              <w:spacing w:after="0" w:line="132" w:lineRule="exact"/>
              <w:rPr>
                <w:rFonts w:ascii="Arial" w:cs="Arial" w:eastAsia="Arial" w:hAnsi="Arial"/>
                <w:sz w:val="15"/>
                <w:szCs w:val="15"/>
                <w:color w:val="0000FF"/>
              </w:rPr>
            </w:pPr>
            <w:hyperlink r:id="rId180">
              <w:r>
                <w:rPr>
                  <w:rFonts w:ascii="Arial" w:cs="Arial" w:eastAsia="Arial" w:hAnsi="Arial"/>
                  <w:sz w:val="15"/>
                  <w:szCs w:val="15"/>
                  <w:color w:val="0000FF"/>
                </w:rPr>
                <w:t>as of September 21, 2021 by and among</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80" w:type="dxa"/>
            <w:vAlign w:val="bottom"/>
          </w:tcPr>
          <w:p>
            <w:pPr>
              <w:spacing w:after="0"/>
              <w:rPr>
                <w:sz w:val="11"/>
                <w:szCs w:val="11"/>
                <w:color w:val="auto"/>
              </w:rPr>
            </w:pPr>
          </w:p>
        </w:tc>
      </w:tr>
      <w:tr>
        <w:trPr>
          <w:trHeight w:val="152"/>
        </w:trPr>
        <w:tc>
          <w:tcPr>
            <w:tcW w:w="1240" w:type="dxa"/>
            <w:vAlign w:val="bottom"/>
          </w:tcPr>
          <w:p>
            <w:pPr>
              <w:spacing w:after="0"/>
              <w:rPr>
                <w:sz w:val="13"/>
                <w:szCs w:val="13"/>
                <w:color w:val="auto"/>
              </w:rPr>
            </w:pPr>
          </w:p>
        </w:tc>
        <w:tc>
          <w:tcPr>
            <w:tcW w:w="312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Daré Bioscience, Inc., TriLogic Pharma,</w:t>
              </w:r>
            </w:hyperlink>
          </w:p>
        </w:tc>
        <w:tc>
          <w:tcPr>
            <w:tcW w:w="380" w:type="dxa"/>
            <w:vAlign w:val="bottom"/>
            <w:gridSpan w:val="15"/>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LLC</w:t>
              </w:r>
            </w:hyperlink>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7"/>
        </w:trPr>
        <w:tc>
          <w:tcPr>
            <w:tcW w:w="124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6"/>
          </w:tcPr>
          <w:p>
            <w:pPr>
              <w:spacing w:after="0" w:line="157" w:lineRule="exact"/>
              <w:rPr>
                <w:rFonts w:ascii="Arial" w:cs="Arial" w:eastAsia="Arial" w:hAnsi="Arial"/>
                <w:sz w:val="17"/>
                <w:szCs w:val="17"/>
                <w:color w:val="0000FF"/>
                <w:w w:val="98"/>
              </w:rPr>
            </w:pPr>
            <w:hyperlink r:id="rId180">
              <w:r>
                <w:rPr>
                  <w:rFonts w:ascii="Arial" w:cs="Arial" w:eastAsia="Arial" w:hAnsi="Arial"/>
                  <w:sz w:val="17"/>
                  <w:szCs w:val="17"/>
                  <w:color w:val="0000FF"/>
                  <w:w w:val="98"/>
                </w:rPr>
                <w:t>and MilanaPharm LLC</w:t>
              </w:r>
            </w:hyperlink>
          </w:p>
        </w:tc>
        <w:tc>
          <w:tcPr>
            <w:tcW w:w="168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46"/>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7"/>
              </w:rPr>
              <w:t>10.8+</w:t>
            </w:r>
          </w:p>
        </w:tc>
        <w:tc>
          <w:tcPr>
            <w:tcW w:w="3500" w:type="dxa"/>
            <w:vAlign w:val="bottom"/>
            <w:gridSpan w:val="39"/>
          </w:tcPr>
          <w:p>
            <w:pPr>
              <w:spacing w:after="0"/>
              <w:rPr>
                <w:rFonts w:ascii="Arial" w:cs="Arial" w:eastAsia="Arial" w:hAnsi="Arial"/>
                <w:sz w:val="17"/>
                <w:szCs w:val="17"/>
                <w:color w:val="0000FF"/>
              </w:rPr>
            </w:pPr>
            <w:hyperlink r:id="rId181">
              <w:r>
                <w:rPr>
                  <w:rFonts w:ascii="Arial" w:cs="Arial" w:eastAsia="Arial" w:hAnsi="Arial"/>
                  <w:sz w:val="17"/>
                  <w:szCs w:val="17"/>
                  <w:color w:val="0000FF"/>
                </w:rPr>
                <w:t>Cooperative Research and Development</w:t>
              </w:r>
            </w:hyperlink>
          </w:p>
        </w:tc>
        <w:tc>
          <w:tcPr>
            <w:tcW w:w="640" w:type="dxa"/>
            <w:vAlign w:val="bottom"/>
          </w:tcPr>
          <w:p>
            <w:pPr>
              <w:jc w:val="cente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11/10/2021</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rPr>
              <w:t>10.2</w:t>
            </w:r>
          </w:p>
        </w:tc>
      </w:tr>
      <w:tr>
        <w:trPr>
          <w:trHeight w:val="144"/>
        </w:trPr>
        <w:tc>
          <w:tcPr>
            <w:tcW w:w="124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22"/>
          </w:tcPr>
          <w:p>
            <w:pPr>
              <w:spacing w:after="0" w:line="145" w:lineRule="exact"/>
              <w:rPr>
                <w:rFonts w:ascii="Arial" w:cs="Arial" w:eastAsia="Arial" w:hAnsi="Arial"/>
                <w:sz w:val="16"/>
                <w:szCs w:val="16"/>
                <w:color w:val="0000FF"/>
              </w:rPr>
            </w:pPr>
            <w:hyperlink r:id="rId181">
              <w:r>
                <w:rPr>
                  <w:rFonts w:ascii="Arial" w:cs="Arial" w:eastAsia="Arial" w:hAnsi="Arial"/>
                  <w:sz w:val="16"/>
                  <w:szCs w:val="16"/>
                  <w:color w:val="0000FF"/>
                </w:rPr>
                <w:t>Agreement entered into as of July 8, 2021</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2900" w:type="dxa"/>
            <w:vAlign w:val="bottom"/>
            <w:tcBorders>
              <w:bottom w:val="single" w:sz="8" w:color="0000FF"/>
            </w:tcBorders>
            <w:gridSpan w:val="16"/>
          </w:tcPr>
          <w:p>
            <w:pPr>
              <w:spacing w:after="0" w:line="145" w:lineRule="exact"/>
              <w:rPr>
                <w:rFonts w:ascii="Arial" w:cs="Arial" w:eastAsia="Arial" w:hAnsi="Arial"/>
                <w:sz w:val="16"/>
                <w:szCs w:val="16"/>
                <w:color w:val="0000FF"/>
              </w:rPr>
            </w:pPr>
            <w:hyperlink r:id="rId181">
              <w:r>
                <w:rPr>
                  <w:rFonts w:ascii="Arial" w:cs="Arial" w:eastAsia="Arial" w:hAnsi="Arial"/>
                  <w:sz w:val="16"/>
                  <w:szCs w:val="16"/>
                  <w:color w:val="0000FF"/>
                </w:rPr>
                <w:t>between Daré Bioscience, Inc. and the</w:t>
              </w:r>
            </w:hyperlink>
          </w:p>
        </w:tc>
        <w:tc>
          <w:tcPr>
            <w:tcW w:w="26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3500" w:type="dxa"/>
            <w:vAlign w:val="bottom"/>
            <w:gridSpan w:val="39"/>
          </w:tcPr>
          <w:p>
            <w:pPr>
              <w:spacing w:after="0" w:line="157" w:lineRule="exact"/>
              <w:rPr>
                <w:rFonts w:ascii="Arial" w:cs="Arial" w:eastAsia="Arial" w:hAnsi="Arial"/>
                <w:sz w:val="17"/>
                <w:szCs w:val="17"/>
                <w:color w:val="0000FF"/>
              </w:rPr>
            </w:pPr>
            <w:hyperlink r:id="rId181">
              <w:r>
                <w:rPr>
                  <w:rFonts w:ascii="Arial" w:cs="Arial" w:eastAsia="Arial" w:hAnsi="Arial"/>
                  <w:sz w:val="17"/>
                  <w:szCs w:val="17"/>
                  <w:color w:val="0000FF"/>
                </w:rPr>
                <w:t>Eunice Kennedy Shriver National Institutes</w:t>
              </w:r>
            </w:hyperlink>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3220" w:type="dxa"/>
            <w:vAlign w:val="bottom"/>
            <w:tcBorders>
              <w:top w:val="single" w:sz="8" w:color="0000FF"/>
            </w:tcBorders>
            <w:gridSpan w:val="29"/>
          </w:tcPr>
          <w:p>
            <w:pPr>
              <w:spacing w:after="0" w:line="145" w:lineRule="exact"/>
              <w:rPr>
                <w:rFonts w:ascii="Arial" w:cs="Arial" w:eastAsia="Arial" w:hAnsi="Arial"/>
                <w:sz w:val="16"/>
                <w:szCs w:val="16"/>
                <w:color w:val="0000FF"/>
              </w:rPr>
            </w:pPr>
            <w:hyperlink r:id="rId181">
              <w:r>
                <w:rPr>
                  <w:rFonts w:ascii="Arial" w:cs="Arial" w:eastAsia="Arial" w:hAnsi="Arial"/>
                  <w:sz w:val="16"/>
                  <w:szCs w:val="16"/>
                  <w:color w:val="0000FF"/>
                </w:rPr>
                <w:t>of Child Health and Human Development</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60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rPr>
            </w:pPr>
            <w:hyperlink r:id="rId181">
              <w:r>
                <w:rPr>
                  <w:rFonts w:ascii="Arial" w:cs="Arial" w:eastAsia="Arial" w:hAnsi="Arial"/>
                  <w:sz w:val="16"/>
                  <w:szCs w:val="16"/>
                  <w:color w:val="0000FF"/>
                </w:rPr>
                <w:t>Institute</w:t>
              </w:r>
            </w:hyperlink>
          </w:p>
        </w:tc>
        <w:tc>
          <w:tcPr>
            <w:tcW w:w="254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59"/>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7"/>
              </w:rPr>
              <w:t>10.9+</w:t>
            </w:r>
          </w:p>
        </w:tc>
        <w:tc>
          <w:tcPr>
            <w:tcW w:w="3500" w:type="dxa"/>
            <w:vAlign w:val="bottom"/>
            <w:gridSpan w:val="39"/>
          </w:tcPr>
          <w:p>
            <w:pPr>
              <w:spacing w:after="0"/>
              <w:rPr>
                <w:rFonts w:ascii="Arial" w:cs="Arial" w:eastAsia="Arial" w:hAnsi="Arial"/>
                <w:sz w:val="17"/>
                <w:szCs w:val="17"/>
                <w:color w:val="0000FF"/>
              </w:rPr>
            </w:pPr>
            <w:hyperlink r:id="rId182">
              <w:r>
                <w:rPr>
                  <w:rFonts w:ascii="Arial" w:cs="Arial" w:eastAsia="Arial" w:hAnsi="Arial"/>
                  <w:sz w:val="17"/>
                  <w:szCs w:val="17"/>
                  <w:color w:val="0000FF"/>
                </w:rPr>
                <w:t>License Agreement dated as of August 12,</w:t>
              </w:r>
            </w:hyperlink>
          </w:p>
        </w:tc>
        <w:tc>
          <w:tcPr>
            <w:tcW w:w="640" w:type="dxa"/>
            <w:vAlign w:val="bottom"/>
          </w:tcPr>
          <w:p>
            <w:pPr>
              <w:jc w:val="center"/>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03/31/2025</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w w:val="98"/>
              </w:rPr>
              <w:t>10.10</w:t>
            </w:r>
          </w:p>
        </w:tc>
      </w:tr>
      <w:tr>
        <w:trPr>
          <w:trHeight w:val="144"/>
        </w:trPr>
        <w:tc>
          <w:tcPr>
            <w:tcW w:w="1240" w:type="dxa"/>
            <w:vAlign w:val="bottom"/>
          </w:tcPr>
          <w:p>
            <w:pPr>
              <w:spacing w:after="0"/>
              <w:rPr>
                <w:sz w:val="12"/>
                <w:szCs w:val="12"/>
                <w:color w:val="auto"/>
              </w:rPr>
            </w:pPr>
          </w:p>
        </w:tc>
        <w:tc>
          <w:tcPr>
            <w:tcW w:w="3200" w:type="dxa"/>
            <w:vAlign w:val="bottom"/>
            <w:tcBorders>
              <w:top w:val="single" w:sz="8" w:color="0000FF"/>
            </w:tcBorders>
            <w:gridSpan w:val="28"/>
          </w:tcPr>
          <w:p>
            <w:pPr>
              <w:spacing w:after="0" w:line="145" w:lineRule="exact"/>
              <w:rPr>
                <w:rFonts w:ascii="Arial" w:cs="Arial" w:eastAsia="Arial" w:hAnsi="Arial"/>
                <w:sz w:val="16"/>
                <w:szCs w:val="16"/>
                <w:color w:val="0000FF"/>
              </w:rPr>
            </w:pPr>
            <w:hyperlink r:id="rId182">
              <w:r>
                <w:rPr>
                  <w:rFonts w:ascii="Arial" w:cs="Arial" w:eastAsia="Arial" w:hAnsi="Arial"/>
                  <w:sz w:val="16"/>
                  <w:szCs w:val="16"/>
                  <w:color w:val="0000FF"/>
                </w:rPr>
                <w:t>2023 between Douglas Pharmaceuticals</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7"/>
          </w:tcPr>
          <w:p>
            <w:pPr>
              <w:spacing w:after="0" w:line="145" w:lineRule="exact"/>
              <w:rPr>
                <w:rFonts w:ascii="Arial" w:cs="Arial" w:eastAsia="Arial" w:hAnsi="Arial"/>
                <w:sz w:val="16"/>
                <w:szCs w:val="16"/>
                <w:color w:val="0000FF"/>
              </w:rPr>
            </w:pPr>
            <w:hyperlink r:id="rId182">
              <w:r>
                <w:rPr>
                  <w:rFonts w:ascii="Arial" w:cs="Arial" w:eastAsia="Arial" w:hAnsi="Arial"/>
                  <w:sz w:val="16"/>
                  <w:szCs w:val="16"/>
                  <w:color w:val="0000FF"/>
                </w:rPr>
                <w:t>Limited and Daré Bioscience, Inc.</w:t>
              </w:r>
            </w:hyperlink>
          </w:p>
        </w:tc>
        <w:tc>
          <w:tcPr>
            <w:tcW w:w="5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59"/>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9"/>
              </w:rPr>
              <w:t>10.10+</w:t>
            </w:r>
          </w:p>
        </w:tc>
        <w:tc>
          <w:tcPr>
            <w:tcW w:w="3500" w:type="dxa"/>
            <w:vAlign w:val="bottom"/>
            <w:gridSpan w:val="39"/>
          </w:tcPr>
          <w:p>
            <w:pPr>
              <w:spacing w:after="0"/>
              <w:rPr>
                <w:sz w:val="20"/>
                <w:szCs w:val="20"/>
                <w:color w:val="auto"/>
              </w:rPr>
            </w:pPr>
            <w:r>
              <w:rPr>
                <w:rFonts w:ascii="Arial" w:cs="Arial" w:eastAsia="Arial" w:hAnsi="Arial"/>
                <w:sz w:val="17"/>
                <w:szCs w:val="17"/>
                <w:color w:val="0000FF"/>
              </w:rPr>
              <w:t>Grant Agreement between Daré Bioscience,</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80" w:type="dxa"/>
            <w:vAlign w:val="bottom"/>
          </w:tcPr>
          <w:p>
            <w:pPr>
              <w:ind w:left="2020"/>
              <w:spacing w:after="0"/>
              <w:rPr>
                <w:sz w:val="20"/>
                <w:szCs w:val="20"/>
                <w:color w:val="auto"/>
              </w:rPr>
            </w:pPr>
            <w:r>
              <w:rPr>
                <w:rFonts w:ascii="Arial" w:cs="Arial" w:eastAsia="Arial" w:hAnsi="Arial"/>
                <w:sz w:val="17"/>
                <w:szCs w:val="17"/>
                <w:color w:val="auto"/>
              </w:rPr>
              <w:t>X</w:t>
            </w:r>
          </w:p>
        </w:tc>
      </w:tr>
      <w:tr>
        <w:trPr>
          <w:trHeight w:val="144"/>
        </w:trPr>
        <w:tc>
          <w:tcPr>
            <w:tcW w:w="124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31"/>
          </w:tcPr>
          <w:p>
            <w:pPr>
              <w:spacing w:after="0" w:line="145" w:lineRule="exact"/>
              <w:rPr>
                <w:sz w:val="20"/>
                <w:szCs w:val="20"/>
                <w:color w:val="auto"/>
              </w:rPr>
            </w:pPr>
            <w:r>
              <w:rPr>
                <w:rFonts w:ascii="Arial" w:cs="Arial" w:eastAsia="Arial" w:hAnsi="Arial"/>
                <w:sz w:val="16"/>
                <w:szCs w:val="16"/>
                <w:color w:val="0000FF"/>
              </w:rPr>
              <w:t>Inc. and the Bill &amp; Melinda Gates Foundation</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400" w:type="dxa"/>
            <w:vAlign w:val="bottom"/>
            <w:tcBorders>
              <w:bottom w:val="single" w:sz="8" w:color="0000FF"/>
            </w:tcBorders>
            <w:gridSpan w:val="36"/>
          </w:tcPr>
          <w:p>
            <w:pPr>
              <w:spacing w:after="0" w:line="145" w:lineRule="exact"/>
              <w:rPr>
                <w:sz w:val="20"/>
                <w:szCs w:val="20"/>
                <w:color w:val="auto"/>
              </w:rPr>
            </w:pPr>
            <w:r>
              <w:rPr>
                <w:rFonts w:ascii="Arial" w:cs="Arial" w:eastAsia="Arial" w:hAnsi="Arial"/>
                <w:sz w:val="16"/>
                <w:szCs w:val="16"/>
                <w:color w:val="0000FF"/>
              </w:rPr>
              <w:t>effective as of June 30, 2021, as amended to</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340" w:type="dxa"/>
            <w:vAlign w:val="bottom"/>
            <w:tcBorders>
              <w:bottom w:val="single" w:sz="8" w:color="0000FF"/>
            </w:tcBorders>
          </w:tcPr>
          <w:p>
            <w:pPr>
              <w:spacing w:after="0" w:line="157" w:lineRule="exact"/>
              <w:rPr>
                <w:sz w:val="20"/>
                <w:szCs w:val="20"/>
                <w:color w:val="auto"/>
              </w:rPr>
            </w:pPr>
            <w:r>
              <w:rPr>
                <w:rFonts w:ascii="Arial" w:cs="Arial" w:eastAsia="Arial" w:hAnsi="Arial"/>
                <w:sz w:val="17"/>
                <w:szCs w:val="17"/>
                <w:color w:val="0000FF"/>
                <w:w w:val="96"/>
              </w:rPr>
              <w:t>date</w:t>
            </w:r>
          </w:p>
        </w:tc>
        <w:tc>
          <w:tcPr>
            <w:tcW w:w="3100" w:type="dxa"/>
            <w:vAlign w:val="bottom"/>
            <w:gridSpan w:val="37"/>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46"/>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5"/>
              </w:rPr>
              <w:t>10.11+</w:t>
            </w:r>
          </w:p>
        </w:tc>
        <w:tc>
          <w:tcPr>
            <w:tcW w:w="3500" w:type="dxa"/>
            <w:vAlign w:val="bottom"/>
            <w:gridSpan w:val="39"/>
          </w:tcPr>
          <w:p>
            <w:pPr>
              <w:spacing w:after="0"/>
              <w:rPr>
                <w:rFonts w:ascii="Arial" w:cs="Arial" w:eastAsia="Arial" w:hAnsi="Arial"/>
                <w:sz w:val="17"/>
                <w:szCs w:val="17"/>
                <w:color w:val="0000FF"/>
              </w:rPr>
            </w:pPr>
            <w:hyperlink r:id="rId183">
              <w:r>
                <w:rPr>
                  <w:rFonts w:ascii="Arial" w:cs="Arial" w:eastAsia="Arial" w:hAnsi="Arial"/>
                  <w:sz w:val="17"/>
                  <w:szCs w:val="17"/>
                  <w:color w:val="0000FF"/>
                </w:rPr>
                <w:t>Grant Agreement between Daré Bioscience,</w:t>
              </w:r>
            </w:hyperlink>
          </w:p>
        </w:tc>
        <w:tc>
          <w:tcPr>
            <w:tcW w:w="640" w:type="dxa"/>
            <w:vAlign w:val="bottom"/>
          </w:tcPr>
          <w:p>
            <w:pPr>
              <w:jc w:val="center"/>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03/31/2025</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w w:val="98"/>
              </w:rPr>
              <w:t>10.12</w:t>
            </w:r>
          </w:p>
        </w:tc>
      </w:tr>
      <w:tr>
        <w:trPr>
          <w:trHeight w:val="144"/>
        </w:trPr>
        <w:tc>
          <w:tcPr>
            <w:tcW w:w="124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31"/>
          </w:tcPr>
          <w:p>
            <w:pPr>
              <w:spacing w:after="0" w:line="145" w:lineRule="exact"/>
              <w:rPr>
                <w:rFonts w:ascii="Arial" w:cs="Arial" w:eastAsia="Arial" w:hAnsi="Arial"/>
                <w:sz w:val="16"/>
                <w:szCs w:val="16"/>
                <w:color w:val="0000FF"/>
              </w:rPr>
            </w:pPr>
            <w:hyperlink r:id="rId183">
              <w:r>
                <w:rPr>
                  <w:rFonts w:ascii="Arial" w:cs="Arial" w:eastAsia="Arial" w:hAnsi="Arial"/>
                  <w:sz w:val="16"/>
                  <w:szCs w:val="16"/>
                  <w:color w:val="0000FF"/>
                </w:rPr>
                <w:t>Inc. and the Bill &amp; Melinda Gates Foundation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380" w:type="dxa"/>
            <w:vAlign w:val="bottom"/>
            <w:gridSpan w:val="35"/>
          </w:tcPr>
          <w:p>
            <w:pPr>
              <w:spacing w:after="0" w:line="145" w:lineRule="exact"/>
              <w:rPr>
                <w:rFonts w:ascii="Arial" w:cs="Arial" w:eastAsia="Arial" w:hAnsi="Arial"/>
                <w:sz w:val="16"/>
                <w:szCs w:val="16"/>
                <w:color w:val="0000FF"/>
              </w:rPr>
            </w:pPr>
            <w:hyperlink r:id="rId183">
              <w:r>
                <w:rPr>
                  <w:rFonts w:ascii="Arial" w:cs="Arial" w:eastAsia="Arial" w:hAnsi="Arial"/>
                  <w:sz w:val="16"/>
                  <w:szCs w:val="16"/>
                  <w:color w:val="0000FF"/>
                </w:rPr>
                <w:t>effective as of November 11, 2024, as</w:t>
              </w:r>
            </w:hyperlink>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2860" w:type="dxa"/>
            <w:vAlign w:val="bottom"/>
            <w:tcBorders>
              <w:top w:val="single" w:sz="8" w:color="0000FF"/>
            </w:tcBorders>
            <w:gridSpan w:val="14"/>
          </w:tcPr>
          <w:p>
            <w:pPr>
              <w:spacing w:after="0" w:line="157" w:lineRule="exact"/>
              <w:rPr>
                <w:rFonts w:ascii="Arial" w:cs="Arial" w:eastAsia="Arial" w:hAnsi="Arial"/>
                <w:sz w:val="17"/>
                <w:szCs w:val="17"/>
                <w:color w:val="0000FF"/>
              </w:rPr>
            </w:pPr>
            <w:hyperlink r:id="rId183">
              <w:r>
                <w:rPr>
                  <w:rFonts w:ascii="Arial" w:cs="Arial" w:eastAsia="Arial" w:hAnsi="Arial"/>
                  <w:sz w:val="17"/>
                  <w:szCs w:val="17"/>
                  <w:color w:val="0000FF"/>
                </w:rPr>
                <w:t>amended to date</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34"/>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9"/>
              </w:rPr>
              <w:t>10.12+</w:t>
            </w:r>
          </w:p>
        </w:tc>
        <w:tc>
          <w:tcPr>
            <w:tcW w:w="2600" w:type="dxa"/>
            <w:vAlign w:val="bottom"/>
            <w:tcBorders>
              <w:bottom w:val="single" w:sz="8" w:color="0000FF"/>
            </w:tcBorders>
            <w:gridSpan w:val="8"/>
          </w:tcPr>
          <w:p>
            <w:pPr>
              <w:spacing w:after="0"/>
              <w:rPr>
                <w:rFonts w:ascii="Arial" w:cs="Arial" w:eastAsia="Arial" w:hAnsi="Arial"/>
                <w:sz w:val="17"/>
                <w:szCs w:val="17"/>
                <w:color w:val="0000FF"/>
                <w:w w:val="98"/>
              </w:rPr>
            </w:pPr>
            <w:hyperlink r:id="rId184">
              <w:r>
                <w:rPr>
                  <w:rFonts w:ascii="Arial" w:cs="Arial" w:eastAsia="Arial" w:hAnsi="Arial"/>
                  <w:sz w:val="17"/>
                  <w:szCs w:val="17"/>
                  <w:color w:val="0000FF"/>
                  <w:w w:val="98"/>
                </w:rPr>
                <w:t>Subaward Agreement between the</w:t>
              </w:r>
            </w:hyperlink>
          </w:p>
        </w:tc>
        <w:tc>
          <w:tcPr>
            <w:tcW w:w="900" w:type="dxa"/>
            <w:vAlign w:val="bottom"/>
            <w:gridSpan w:val="31"/>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03/31/2025</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w w:val="98"/>
              </w:rPr>
              <w:t>10.13</w:t>
            </w:r>
          </w:p>
        </w:tc>
      </w:tr>
      <w:tr>
        <w:trPr>
          <w:trHeight w:val="144"/>
        </w:trPr>
        <w:tc>
          <w:tcPr>
            <w:tcW w:w="1240" w:type="dxa"/>
            <w:vAlign w:val="bottom"/>
          </w:tcPr>
          <w:p>
            <w:pPr>
              <w:spacing w:after="0"/>
              <w:rPr>
                <w:sz w:val="12"/>
                <w:szCs w:val="12"/>
                <w:color w:val="auto"/>
              </w:rPr>
            </w:pPr>
          </w:p>
        </w:tc>
        <w:tc>
          <w:tcPr>
            <w:tcW w:w="3500" w:type="dxa"/>
            <w:vAlign w:val="bottom"/>
            <w:gridSpan w:val="39"/>
          </w:tcPr>
          <w:p>
            <w:pPr>
              <w:spacing w:after="0" w:line="145" w:lineRule="exact"/>
              <w:rPr>
                <w:rFonts w:ascii="Arial" w:cs="Arial" w:eastAsia="Arial" w:hAnsi="Arial"/>
                <w:sz w:val="16"/>
                <w:szCs w:val="16"/>
                <w:color w:val="0000FF"/>
              </w:rPr>
            </w:pPr>
            <w:hyperlink r:id="rId184">
              <w:r>
                <w:rPr>
                  <w:rFonts w:ascii="Arial" w:cs="Arial" w:eastAsia="Arial" w:hAnsi="Arial"/>
                  <w:sz w:val="16"/>
                  <w:szCs w:val="16"/>
                  <w:color w:val="0000FF"/>
                </w:rPr>
                <w:t>Consortium Management Firm, National</w:t>
              </w:r>
            </w:hyperlink>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4"/>
        </w:trPr>
        <w:tc>
          <w:tcPr>
            <w:tcW w:w="1240" w:type="dxa"/>
            <w:vAlign w:val="bottom"/>
          </w:tcPr>
          <w:p>
            <w:pPr>
              <w:spacing w:after="0"/>
              <w:rPr>
                <w:sz w:val="12"/>
                <w:szCs w:val="12"/>
                <w:color w:val="auto"/>
              </w:rPr>
            </w:pPr>
          </w:p>
        </w:tc>
        <w:tc>
          <w:tcPr>
            <w:tcW w:w="3500" w:type="dxa"/>
            <w:vAlign w:val="bottom"/>
            <w:gridSpan w:val="39"/>
          </w:tcPr>
          <w:p>
            <w:pPr>
              <w:spacing w:after="0" w:line="145" w:lineRule="exact"/>
              <w:rPr>
                <w:rFonts w:ascii="Arial" w:cs="Arial" w:eastAsia="Arial" w:hAnsi="Arial"/>
                <w:sz w:val="16"/>
                <w:szCs w:val="16"/>
                <w:color w:val="0000FF"/>
              </w:rPr>
            </w:pPr>
            <w:hyperlink r:id="rId184">
              <w:r>
                <w:rPr>
                  <w:rFonts w:ascii="Arial" w:cs="Arial" w:eastAsia="Arial" w:hAnsi="Arial"/>
                  <w:sz w:val="16"/>
                  <w:szCs w:val="16"/>
                  <w:color w:val="0000FF"/>
                </w:rPr>
                <w:t>Collegiate Inventors and Innovators Alliance,</w:t>
              </w:r>
            </w:hyperlink>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36"/>
          </w:tcPr>
          <w:p>
            <w:pPr>
              <w:spacing w:after="0" w:line="157" w:lineRule="exact"/>
              <w:rPr>
                <w:rFonts w:ascii="Arial" w:cs="Arial" w:eastAsia="Arial" w:hAnsi="Arial"/>
                <w:sz w:val="17"/>
                <w:szCs w:val="17"/>
                <w:color w:val="0000FF"/>
                <w:w w:val="99"/>
              </w:rPr>
            </w:pPr>
            <w:hyperlink r:id="rId184">
              <w:r>
                <w:rPr>
                  <w:rFonts w:ascii="Arial" w:cs="Arial" w:eastAsia="Arial" w:hAnsi="Arial"/>
                  <w:sz w:val="17"/>
                  <w:szCs w:val="17"/>
                  <w:color w:val="0000FF"/>
                  <w:w w:val="99"/>
                </w:rPr>
                <w:t>Inc. d/b/a/ VentureWell and Daré Bioscience,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2760" w:type="dxa"/>
            <w:vAlign w:val="bottom"/>
            <w:tcBorders>
              <w:bottom w:val="single" w:sz="8" w:color="0000FF"/>
            </w:tcBorders>
            <w:gridSpan w:val="11"/>
          </w:tcPr>
          <w:p>
            <w:pPr>
              <w:spacing w:after="0" w:line="145" w:lineRule="exact"/>
              <w:rPr>
                <w:rFonts w:ascii="Arial" w:cs="Arial" w:eastAsia="Arial" w:hAnsi="Arial"/>
                <w:sz w:val="16"/>
                <w:szCs w:val="16"/>
                <w:color w:val="0000FF"/>
              </w:rPr>
            </w:pPr>
            <w:hyperlink r:id="rId184">
              <w:r>
                <w:rPr>
                  <w:rFonts w:ascii="Arial" w:cs="Arial" w:eastAsia="Arial" w:hAnsi="Arial"/>
                  <w:sz w:val="16"/>
                  <w:szCs w:val="16"/>
                  <w:color w:val="0000FF"/>
                </w:rPr>
                <w:t>Inc., effective as of October 12, 2024</w:t>
              </w:r>
            </w:hyperlink>
          </w:p>
        </w:tc>
        <w:tc>
          <w:tcPr>
            <w:tcW w:w="660" w:type="dxa"/>
            <w:vAlign w:val="bottom"/>
            <w:gridSpan w:val="26"/>
          </w:tcPr>
          <w:p>
            <w:pPr>
              <w:spacing w:after="0"/>
              <w:rPr>
                <w:sz w:val="12"/>
                <w:szCs w:val="12"/>
                <w:color w:val="auto"/>
              </w:rPr>
            </w:pPr>
          </w:p>
        </w:tc>
        <w:tc>
          <w:tcPr>
            <w:tcW w:w="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46"/>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8"/>
              </w:rPr>
              <w:t>10.13</w:t>
            </w:r>
          </w:p>
        </w:tc>
        <w:tc>
          <w:tcPr>
            <w:tcW w:w="3500" w:type="dxa"/>
            <w:vAlign w:val="bottom"/>
            <w:gridSpan w:val="39"/>
          </w:tcPr>
          <w:p>
            <w:pPr>
              <w:spacing w:after="0"/>
              <w:rPr>
                <w:rFonts w:ascii="Arial" w:cs="Arial" w:eastAsia="Arial" w:hAnsi="Arial"/>
                <w:sz w:val="17"/>
                <w:szCs w:val="17"/>
                <w:color w:val="0000FF"/>
              </w:rPr>
            </w:pPr>
            <w:hyperlink r:id="rId185">
              <w:r>
                <w:rPr>
                  <w:rFonts w:ascii="Arial" w:cs="Arial" w:eastAsia="Arial" w:hAnsi="Arial"/>
                  <w:sz w:val="17"/>
                  <w:szCs w:val="17"/>
                  <w:color w:val="0000FF"/>
                </w:rPr>
                <w:t>Royalty Interest Financing Agreement</w:t>
              </w:r>
            </w:hyperlink>
          </w:p>
        </w:tc>
        <w:tc>
          <w:tcPr>
            <w:tcW w:w="640" w:type="dxa"/>
            <w:vAlign w:val="bottom"/>
          </w:tcPr>
          <w:p>
            <w:pPr>
              <w:jc w:val="center"/>
              <w:spacing w:after="0"/>
              <w:rPr>
                <w:sz w:val="20"/>
                <w:szCs w:val="20"/>
                <w:color w:val="auto"/>
              </w:rPr>
            </w:pPr>
            <w:r>
              <w:rPr>
                <w:rFonts w:ascii="Arial" w:cs="Arial" w:eastAsia="Arial" w:hAnsi="Arial"/>
                <w:sz w:val="17"/>
                <w:szCs w:val="17"/>
                <w:color w:val="auto"/>
              </w:rPr>
              <w:t>10-K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03/28/2024</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w w:val="98"/>
              </w:rPr>
              <w:t>10.12</w:t>
            </w:r>
          </w:p>
        </w:tc>
      </w:tr>
      <w:tr>
        <w:trPr>
          <w:trHeight w:val="144"/>
        </w:trPr>
        <w:tc>
          <w:tcPr>
            <w:tcW w:w="124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13"/>
          </w:tcPr>
          <w:p>
            <w:pPr>
              <w:spacing w:after="0" w:line="145" w:lineRule="exact"/>
              <w:rPr>
                <w:rFonts w:ascii="Arial" w:cs="Arial" w:eastAsia="Arial" w:hAnsi="Arial"/>
                <w:sz w:val="16"/>
                <w:szCs w:val="16"/>
                <w:color w:val="0000FF"/>
              </w:rPr>
            </w:pPr>
            <w:hyperlink r:id="rId185">
              <w:r>
                <w:rPr>
                  <w:rFonts w:ascii="Arial" w:cs="Arial" w:eastAsia="Arial" w:hAnsi="Arial"/>
                  <w:sz w:val="16"/>
                  <w:szCs w:val="16"/>
                  <w:color w:val="0000FF"/>
                </w:rPr>
                <w:t>entered into as of December 21, 2023</w:t>
              </w:r>
            </w:hyperlink>
          </w:p>
        </w:tc>
        <w:tc>
          <w:tcPr>
            <w:tcW w:w="40" w:type="dxa"/>
            <w:vAlign w:val="bottom"/>
            <w:tcBorders>
              <w:bottom w:val="single" w:sz="8" w:color="0000FF"/>
            </w:tcBorders>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500" w:type="dxa"/>
            <w:vAlign w:val="bottom"/>
            <w:gridSpan w:val="39"/>
          </w:tcPr>
          <w:p>
            <w:pPr>
              <w:spacing w:after="0" w:line="145" w:lineRule="exact"/>
              <w:rPr>
                <w:rFonts w:ascii="Arial" w:cs="Arial" w:eastAsia="Arial" w:hAnsi="Arial"/>
                <w:sz w:val="16"/>
                <w:szCs w:val="16"/>
                <w:color w:val="0000FF"/>
              </w:rPr>
            </w:pPr>
            <w:hyperlink r:id="rId185">
              <w:r>
                <w:rPr>
                  <w:rFonts w:ascii="Arial" w:cs="Arial" w:eastAsia="Arial" w:hAnsi="Arial"/>
                  <w:sz w:val="16"/>
                  <w:szCs w:val="16"/>
                  <w:color w:val="0000FF"/>
                </w:rPr>
                <w:t>between Dare Bioscience, Inc. and United in</w:t>
              </w:r>
            </w:hyperlink>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4"/>
          </w:tcPr>
          <w:p>
            <w:pPr>
              <w:spacing w:after="0" w:line="157" w:lineRule="exact"/>
              <w:rPr>
                <w:rFonts w:ascii="Arial" w:cs="Arial" w:eastAsia="Arial" w:hAnsi="Arial"/>
                <w:sz w:val="17"/>
                <w:szCs w:val="17"/>
                <w:color w:val="0000FF"/>
                <w:w w:val="96"/>
              </w:rPr>
            </w:pPr>
            <w:hyperlink r:id="rId185">
              <w:r>
                <w:rPr>
                  <w:rFonts w:ascii="Arial" w:cs="Arial" w:eastAsia="Arial" w:hAnsi="Arial"/>
                  <w:sz w:val="17"/>
                  <w:szCs w:val="17"/>
                  <w:color w:val="0000FF"/>
                  <w:w w:val="96"/>
                </w:rPr>
                <w:t>Endeavor, LLC</w:t>
              </w:r>
            </w:hyperlink>
          </w:p>
        </w:tc>
        <w:tc>
          <w:tcPr>
            <w:tcW w:w="2220" w:type="dxa"/>
            <w:vAlign w:val="bottom"/>
            <w:tcBorders>
              <w:top w:val="single" w:sz="8" w:color="0000FF"/>
            </w:tcBorders>
            <w:gridSpan w:val="29"/>
          </w:tcPr>
          <w:p>
            <w:pPr>
              <w:spacing w:after="0"/>
              <w:rPr>
                <w:sz w:val="13"/>
                <w:szCs w:val="13"/>
                <w:color w:val="auto"/>
              </w:rPr>
            </w:pPr>
          </w:p>
        </w:tc>
        <w:tc>
          <w:tcPr>
            <w:tcW w:w="16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39"/>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8"/>
              </w:rPr>
              <w:t>10.14</w:t>
            </w:r>
          </w:p>
        </w:tc>
        <w:tc>
          <w:tcPr>
            <w:tcW w:w="3500" w:type="dxa"/>
            <w:vAlign w:val="bottom"/>
            <w:gridSpan w:val="39"/>
          </w:tcPr>
          <w:p>
            <w:pPr>
              <w:spacing w:after="0"/>
              <w:rPr>
                <w:rFonts w:ascii="Arial" w:cs="Arial" w:eastAsia="Arial" w:hAnsi="Arial"/>
                <w:sz w:val="17"/>
                <w:szCs w:val="17"/>
                <w:color w:val="0000FF"/>
              </w:rPr>
            </w:pPr>
            <w:hyperlink r:id="rId186">
              <w:r>
                <w:rPr>
                  <w:rFonts w:ascii="Arial" w:cs="Arial" w:eastAsia="Arial" w:hAnsi="Arial"/>
                  <w:sz w:val="17"/>
                  <w:szCs w:val="17"/>
                  <w:color w:val="0000FF"/>
                </w:rPr>
                <w:t>Purchase Agreement, dated October 21,</w:t>
              </w:r>
            </w:hyperlink>
          </w:p>
        </w:tc>
        <w:tc>
          <w:tcPr>
            <w:tcW w:w="64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10/21/2024</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rPr>
              <w:t>10.1</w:t>
            </w:r>
          </w:p>
        </w:tc>
      </w:tr>
      <w:tr>
        <w:trPr>
          <w:trHeight w:val="152"/>
        </w:trPr>
        <w:tc>
          <w:tcPr>
            <w:tcW w:w="1240" w:type="dxa"/>
            <w:vAlign w:val="bottom"/>
          </w:tcPr>
          <w:p>
            <w:pPr>
              <w:spacing w:after="0"/>
              <w:rPr>
                <w:sz w:val="13"/>
                <w:szCs w:val="13"/>
                <w:color w:val="auto"/>
              </w:rPr>
            </w:pPr>
          </w:p>
        </w:tc>
        <w:tc>
          <w:tcPr>
            <w:tcW w:w="306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86">
              <w:r>
                <w:rPr>
                  <w:rFonts w:ascii="Arial" w:cs="Arial" w:eastAsia="Arial" w:hAnsi="Arial"/>
                  <w:sz w:val="17"/>
                  <w:szCs w:val="17"/>
                  <w:color w:val="0000FF"/>
                </w:rPr>
                <w:t>2024, by and between Daré Bioscience,</w:t>
              </w:r>
            </w:hyperlink>
          </w:p>
        </w:tc>
        <w:tc>
          <w:tcPr>
            <w:tcW w:w="440" w:type="dxa"/>
            <w:vAlign w:val="bottom"/>
            <w:gridSpan w:val="18"/>
          </w:tcPr>
          <w:p>
            <w:pPr>
              <w:spacing w:after="0" w:line="152" w:lineRule="exact"/>
              <w:rPr>
                <w:rFonts w:ascii="Arial" w:cs="Arial" w:eastAsia="Arial" w:hAnsi="Arial"/>
                <w:sz w:val="17"/>
                <w:szCs w:val="17"/>
                <w:color w:val="0000FF"/>
              </w:rPr>
            </w:pPr>
            <w:hyperlink r:id="rId186">
              <w:r>
                <w:rPr>
                  <w:rFonts w:ascii="Arial" w:cs="Arial" w:eastAsia="Arial" w:hAnsi="Arial"/>
                  <w:sz w:val="17"/>
                  <w:szCs w:val="17"/>
                  <w:color w:val="0000FF"/>
                </w:rPr>
                <w:t>Inc.</w:t>
              </w:r>
            </w:hyperlink>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44"/>
        </w:trPr>
        <w:tc>
          <w:tcPr>
            <w:tcW w:w="1240" w:type="dxa"/>
            <w:vAlign w:val="bottom"/>
          </w:tcPr>
          <w:p>
            <w:pPr>
              <w:spacing w:after="0"/>
              <w:rPr>
                <w:sz w:val="12"/>
                <w:szCs w:val="12"/>
                <w:color w:val="auto"/>
              </w:rPr>
            </w:pPr>
          </w:p>
        </w:tc>
        <w:tc>
          <w:tcPr>
            <w:tcW w:w="3320" w:type="dxa"/>
            <w:vAlign w:val="bottom"/>
            <w:tcBorders>
              <w:top w:val="single" w:sz="8" w:color="0000FF"/>
            </w:tcBorders>
            <w:gridSpan w:val="32"/>
          </w:tcPr>
          <w:p>
            <w:pPr>
              <w:spacing w:after="0" w:line="145" w:lineRule="exact"/>
              <w:rPr>
                <w:rFonts w:ascii="Arial" w:cs="Arial" w:eastAsia="Arial" w:hAnsi="Arial"/>
                <w:sz w:val="16"/>
                <w:szCs w:val="16"/>
                <w:color w:val="0000FF"/>
              </w:rPr>
            </w:pPr>
            <w:hyperlink r:id="rId186">
              <w:r>
                <w:rPr>
                  <w:rFonts w:ascii="Arial" w:cs="Arial" w:eastAsia="Arial" w:hAnsi="Arial"/>
                  <w:sz w:val="16"/>
                  <w:szCs w:val="16"/>
                  <w:color w:val="0000FF"/>
                </w:rPr>
                <w:t>and Lincoln Park Capital Fund, LLC</w:t>
              </w:r>
            </w:hyperlink>
          </w:p>
        </w:tc>
        <w:tc>
          <w:tcPr>
            <w:tcW w:w="180" w:type="dxa"/>
            <w:vAlign w:val="bottom"/>
            <w:gridSpan w:val="7"/>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59"/>
        </w:trPr>
        <w:tc>
          <w:tcPr>
            <w:tcW w:w="1240" w:type="dxa"/>
            <w:vAlign w:val="bottom"/>
          </w:tcPr>
          <w:p>
            <w:pPr>
              <w:jc w:val="center"/>
              <w:ind w:right="136"/>
              <w:spacing w:after="0"/>
              <w:rPr>
                <w:sz w:val="20"/>
                <w:szCs w:val="20"/>
                <w:color w:val="auto"/>
              </w:rPr>
            </w:pPr>
            <w:r>
              <w:rPr>
                <w:rFonts w:ascii="Arial" w:cs="Arial" w:eastAsia="Arial" w:hAnsi="Arial"/>
                <w:sz w:val="17"/>
                <w:szCs w:val="17"/>
                <w:color w:val="auto"/>
                <w:w w:val="98"/>
              </w:rPr>
              <w:t>10.15</w:t>
            </w:r>
          </w:p>
        </w:tc>
        <w:tc>
          <w:tcPr>
            <w:tcW w:w="2820" w:type="dxa"/>
            <w:vAlign w:val="bottom"/>
            <w:tcBorders>
              <w:bottom w:val="single" w:sz="8" w:color="0000FF"/>
            </w:tcBorders>
            <w:gridSpan w:val="12"/>
          </w:tcPr>
          <w:p>
            <w:pPr>
              <w:spacing w:after="0"/>
              <w:rPr>
                <w:rFonts w:ascii="Arial" w:cs="Arial" w:eastAsia="Arial" w:hAnsi="Arial"/>
                <w:sz w:val="17"/>
                <w:szCs w:val="17"/>
                <w:color w:val="0000FF"/>
                <w:w w:val="98"/>
              </w:rPr>
            </w:pPr>
            <w:hyperlink r:id="rId187">
              <w:r>
                <w:rPr>
                  <w:rFonts w:ascii="Arial" w:cs="Arial" w:eastAsia="Arial" w:hAnsi="Arial"/>
                  <w:sz w:val="17"/>
                  <w:szCs w:val="17"/>
                  <w:color w:val="0000FF"/>
                  <w:w w:val="98"/>
                </w:rPr>
                <w:t>Registration Rights Agreement, dated</w:t>
              </w:r>
            </w:hyperlink>
          </w:p>
        </w:tc>
        <w:tc>
          <w:tcPr>
            <w:tcW w:w="680" w:type="dxa"/>
            <w:vAlign w:val="bottom"/>
            <w:gridSpan w:val="2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10/21/2024</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rPr>
              <w:t>10.2</w:t>
            </w:r>
          </w:p>
        </w:tc>
      </w:tr>
      <w:tr>
        <w:trPr>
          <w:trHeight w:val="144"/>
        </w:trPr>
        <w:tc>
          <w:tcPr>
            <w:tcW w:w="1240" w:type="dxa"/>
            <w:vAlign w:val="bottom"/>
          </w:tcPr>
          <w:p>
            <w:pPr>
              <w:spacing w:after="0"/>
              <w:rPr>
                <w:sz w:val="12"/>
                <w:szCs w:val="12"/>
                <w:color w:val="auto"/>
              </w:rPr>
            </w:pPr>
          </w:p>
        </w:tc>
        <w:tc>
          <w:tcPr>
            <w:tcW w:w="3500" w:type="dxa"/>
            <w:vAlign w:val="bottom"/>
            <w:gridSpan w:val="39"/>
          </w:tcPr>
          <w:p>
            <w:pPr>
              <w:spacing w:after="0" w:line="145" w:lineRule="exact"/>
              <w:rPr>
                <w:rFonts w:ascii="Arial" w:cs="Arial" w:eastAsia="Arial" w:hAnsi="Arial"/>
                <w:sz w:val="16"/>
                <w:szCs w:val="16"/>
                <w:color w:val="0000FF"/>
              </w:rPr>
            </w:pPr>
            <w:hyperlink r:id="rId187">
              <w:r>
                <w:rPr>
                  <w:rFonts w:ascii="Arial" w:cs="Arial" w:eastAsia="Arial" w:hAnsi="Arial"/>
                  <w:sz w:val="16"/>
                  <w:szCs w:val="16"/>
                  <w:color w:val="0000FF"/>
                </w:rPr>
                <w:t>October 21, 2024, by and between Daré</w:t>
              </w:r>
            </w:hyperlink>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18"/>
          </w:tcPr>
          <w:p>
            <w:pPr>
              <w:spacing w:after="0" w:line="145" w:lineRule="exact"/>
              <w:rPr>
                <w:rFonts w:ascii="Arial" w:cs="Arial" w:eastAsia="Arial" w:hAnsi="Arial"/>
                <w:sz w:val="16"/>
                <w:szCs w:val="16"/>
                <w:color w:val="0000FF"/>
              </w:rPr>
            </w:pPr>
            <w:hyperlink r:id="rId187">
              <w:r>
                <w:rPr>
                  <w:rFonts w:ascii="Arial" w:cs="Arial" w:eastAsia="Arial" w:hAnsi="Arial"/>
                  <w:sz w:val="16"/>
                  <w:szCs w:val="16"/>
                  <w:color w:val="0000FF"/>
                </w:rPr>
                <w:t>Bioscience, Inc. and Lincoln Park Capital</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320" w:type="dxa"/>
            <w:vAlign w:val="bottom"/>
            <w:gridSpan w:val="12"/>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40" w:type="dxa"/>
            <w:vAlign w:val="bottom"/>
          </w:tcPr>
          <w:p>
            <w:pPr>
              <w:spacing w:after="0"/>
              <w:rPr>
                <w:sz w:val="13"/>
                <w:szCs w:val="13"/>
                <w:color w:val="auto"/>
              </w:rPr>
            </w:pPr>
          </w:p>
        </w:tc>
        <w:tc>
          <w:tcPr>
            <w:tcW w:w="3100" w:type="dxa"/>
            <w:vAlign w:val="bottom"/>
            <w:gridSpan w:val="23"/>
          </w:tcPr>
          <w:p>
            <w:pPr>
              <w:spacing w:after="0" w:line="157" w:lineRule="exact"/>
              <w:rPr>
                <w:rFonts w:ascii="Arial" w:cs="Arial" w:eastAsia="Arial" w:hAnsi="Arial"/>
                <w:sz w:val="17"/>
                <w:szCs w:val="17"/>
                <w:color w:val="0000FF"/>
              </w:rPr>
            </w:pPr>
            <w:hyperlink r:id="rId187">
              <w:r>
                <w:rPr>
                  <w:rFonts w:ascii="Arial" w:cs="Arial" w:eastAsia="Arial" w:hAnsi="Arial"/>
                  <w:sz w:val="17"/>
                  <w:szCs w:val="17"/>
                  <w:color w:val="0000FF"/>
                </w:rPr>
                <w:t>Fund, LLC</w:t>
              </w:r>
            </w:hyperlink>
          </w:p>
        </w:tc>
        <w:tc>
          <w:tcPr>
            <w:tcW w:w="80" w:type="dxa"/>
            <w:vAlign w:val="bottom"/>
            <w:gridSpan w:val="4"/>
          </w:tcPr>
          <w:p>
            <w:pPr>
              <w:spacing w:after="0"/>
              <w:rPr>
                <w:sz w:val="13"/>
                <w:szCs w:val="13"/>
                <w:color w:val="auto"/>
              </w:rPr>
            </w:pPr>
          </w:p>
        </w:tc>
        <w:tc>
          <w:tcPr>
            <w:tcW w:w="320" w:type="dxa"/>
            <w:vAlign w:val="bottom"/>
            <w:gridSpan w:val="12"/>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6"/>
        </w:trPr>
        <w:tc>
          <w:tcPr>
            <w:tcW w:w="1240" w:type="dxa"/>
            <w:vAlign w:val="bottom"/>
          </w:tcPr>
          <w:p>
            <w:pPr>
              <w:jc w:val="center"/>
              <w:ind w:right="156"/>
              <w:spacing w:after="0"/>
              <w:rPr>
                <w:sz w:val="20"/>
                <w:szCs w:val="20"/>
                <w:color w:val="auto"/>
              </w:rPr>
            </w:pPr>
            <w:r>
              <w:rPr>
                <w:rFonts w:ascii="Arial" w:cs="Arial" w:eastAsia="Arial" w:hAnsi="Arial"/>
                <w:sz w:val="17"/>
                <w:szCs w:val="17"/>
                <w:color w:val="auto"/>
                <w:w w:val="99"/>
              </w:rPr>
              <w:t>10.16+</w:t>
            </w:r>
          </w:p>
        </w:tc>
        <w:tc>
          <w:tcPr>
            <w:tcW w:w="3040" w:type="dxa"/>
            <w:vAlign w:val="bottom"/>
            <w:tcBorders>
              <w:bottom w:val="single" w:sz="8" w:color="0000FF"/>
            </w:tcBorders>
            <w:gridSpan w:val="20"/>
          </w:tcPr>
          <w:p>
            <w:pPr>
              <w:spacing w:after="0"/>
              <w:rPr>
                <w:rFonts w:ascii="Arial" w:cs="Arial" w:eastAsia="Arial" w:hAnsi="Arial"/>
                <w:sz w:val="17"/>
                <w:szCs w:val="17"/>
                <w:color w:val="0000FF"/>
                <w:w w:val="98"/>
              </w:rPr>
            </w:pPr>
            <w:hyperlink r:id="rId188">
              <w:r>
                <w:rPr>
                  <w:rFonts w:ascii="Arial" w:cs="Arial" w:eastAsia="Arial" w:hAnsi="Arial"/>
                  <w:sz w:val="17"/>
                  <w:szCs w:val="17"/>
                  <w:color w:val="0000FF"/>
                  <w:w w:val="98"/>
                </w:rPr>
                <w:t>Traditional Royalty Purchase Agreement</w:t>
              </w:r>
            </w:hyperlink>
          </w:p>
        </w:tc>
        <w:tc>
          <w:tcPr>
            <w:tcW w:w="460" w:type="dxa"/>
            <w:vAlign w:val="bottom"/>
            <w:gridSpan w:val="19"/>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196"/>
              <w:spacing w:after="0"/>
              <w:rPr>
                <w:sz w:val="20"/>
                <w:szCs w:val="20"/>
                <w:color w:val="auto"/>
              </w:rPr>
            </w:pPr>
            <w:r>
              <w:rPr>
                <w:rFonts w:ascii="Arial" w:cs="Arial" w:eastAsia="Arial" w:hAnsi="Arial"/>
                <w:sz w:val="17"/>
                <w:szCs w:val="17"/>
                <w:color w:val="auto"/>
              </w:rPr>
              <w:t>001-36395</w:t>
            </w:r>
          </w:p>
        </w:tc>
        <w:tc>
          <w:tcPr>
            <w:tcW w:w="1520" w:type="dxa"/>
            <w:vAlign w:val="bottom"/>
          </w:tcPr>
          <w:p>
            <w:pPr>
              <w:jc w:val="right"/>
              <w:ind w:right="296"/>
              <w:spacing w:after="0"/>
              <w:rPr>
                <w:sz w:val="20"/>
                <w:szCs w:val="20"/>
                <w:color w:val="auto"/>
              </w:rPr>
            </w:pPr>
            <w:r>
              <w:rPr>
                <w:rFonts w:ascii="Arial" w:cs="Arial" w:eastAsia="Arial" w:hAnsi="Arial"/>
                <w:sz w:val="17"/>
                <w:szCs w:val="17"/>
                <w:color w:val="auto"/>
              </w:rPr>
              <w:t>08/12/2024</w:t>
            </w:r>
          </w:p>
        </w:tc>
        <w:tc>
          <w:tcPr>
            <w:tcW w:w="2880" w:type="dxa"/>
            <w:vAlign w:val="bottom"/>
          </w:tcPr>
          <w:p>
            <w:pPr>
              <w:jc w:val="center"/>
              <w:ind w:right="1616"/>
              <w:spacing w:after="0"/>
              <w:rPr>
                <w:sz w:val="20"/>
                <w:szCs w:val="20"/>
                <w:color w:val="auto"/>
              </w:rPr>
            </w:pPr>
            <w:r>
              <w:rPr>
                <w:rFonts w:ascii="Arial" w:cs="Arial" w:eastAsia="Arial" w:hAnsi="Arial"/>
                <w:sz w:val="17"/>
                <w:szCs w:val="17"/>
                <w:color w:val="auto"/>
              </w:rPr>
              <w:t>10.1</w:t>
            </w:r>
          </w:p>
        </w:tc>
      </w:tr>
      <w:tr>
        <w:trPr>
          <w:trHeight w:val="144"/>
        </w:trPr>
        <w:tc>
          <w:tcPr>
            <w:tcW w:w="1240" w:type="dxa"/>
            <w:vAlign w:val="bottom"/>
          </w:tcPr>
          <w:p>
            <w:pPr>
              <w:spacing w:after="0"/>
              <w:rPr>
                <w:sz w:val="12"/>
                <w:szCs w:val="12"/>
                <w:color w:val="auto"/>
              </w:rPr>
            </w:pPr>
          </w:p>
        </w:tc>
        <w:tc>
          <w:tcPr>
            <w:tcW w:w="3500" w:type="dxa"/>
            <w:vAlign w:val="bottom"/>
            <w:gridSpan w:val="39"/>
          </w:tcPr>
          <w:p>
            <w:pPr>
              <w:spacing w:after="0" w:line="145" w:lineRule="exact"/>
              <w:rPr>
                <w:rFonts w:ascii="Arial" w:cs="Arial" w:eastAsia="Arial" w:hAnsi="Arial"/>
                <w:sz w:val="16"/>
                <w:szCs w:val="16"/>
                <w:color w:val="0000FF"/>
              </w:rPr>
            </w:pPr>
            <w:hyperlink r:id="rId188">
              <w:r>
                <w:rPr>
                  <w:rFonts w:ascii="Arial" w:cs="Arial" w:eastAsia="Arial" w:hAnsi="Arial"/>
                  <w:sz w:val="16"/>
                  <w:szCs w:val="16"/>
                  <w:color w:val="0000FF"/>
                </w:rPr>
                <w:t>between Daré Bioscience, Inc. and XOMA</w:t>
              </w:r>
            </w:hyperlink>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40" w:type="dxa"/>
            <w:vAlign w:val="bottom"/>
          </w:tcPr>
          <w:p>
            <w:pPr>
              <w:spacing w:after="0"/>
              <w:rPr>
                <w:sz w:val="12"/>
                <w:szCs w:val="12"/>
                <w:color w:val="auto"/>
              </w:rPr>
            </w:pPr>
          </w:p>
        </w:tc>
        <w:tc>
          <w:tcPr>
            <w:tcW w:w="3180" w:type="dxa"/>
            <w:vAlign w:val="bottom"/>
            <w:tcBorders>
              <w:top w:val="single" w:sz="8" w:color="0000FF"/>
            </w:tcBorders>
            <w:gridSpan w:val="27"/>
          </w:tcPr>
          <w:p>
            <w:pPr>
              <w:spacing w:after="0" w:line="145" w:lineRule="exact"/>
              <w:rPr>
                <w:rFonts w:ascii="Arial" w:cs="Arial" w:eastAsia="Arial" w:hAnsi="Arial"/>
                <w:sz w:val="16"/>
                <w:szCs w:val="16"/>
                <w:color w:val="0000FF"/>
              </w:rPr>
            </w:pPr>
            <w:hyperlink r:id="rId188">
              <w:r>
                <w:rPr>
                  <w:rFonts w:ascii="Arial" w:cs="Arial" w:eastAsia="Arial" w:hAnsi="Arial"/>
                  <w:sz w:val="16"/>
                  <w:szCs w:val="16"/>
                  <w:color w:val="0000FF"/>
                </w:rPr>
                <w:t>(US) LLC, dated as of April 29, 2024</w:t>
              </w:r>
            </w:hyperlink>
          </w:p>
        </w:tc>
        <w:tc>
          <w:tcPr>
            <w:tcW w:w="320" w:type="dxa"/>
            <w:vAlign w:val="bottom"/>
            <w:gridSpan w:val="12"/>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868"/>
        </w:trPr>
        <w:tc>
          <w:tcPr>
            <w:tcW w:w="12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jc w:val="right"/>
              <w:ind w:right="996"/>
              <w:spacing w:after="0"/>
              <w:rPr>
                <w:sz w:val="20"/>
                <w:szCs w:val="20"/>
                <w:color w:val="auto"/>
              </w:rPr>
            </w:pPr>
            <w:r>
              <w:rPr>
                <w:rFonts w:ascii="Arial" w:cs="Arial" w:eastAsia="Arial" w:hAnsi="Arial"/>
                <w:sz w:val="17"/>
                <w:szCs w:val="17"/>
                <w:color w:val="auto"/>
              </w:rPr>
              <w:t>139</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3"/>
        </w:trPr>
        <w:tc>
          <w:tcPr>
            <w:tcW w:w="1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95"/>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9"/>
              </w:rPr>
              <w:t>10.17+</w:t>
            </w:r>
          </w:p>
        </w:tc>
        <w:tc>
          <w:tcPr>
            <w:tcW w:w="3580" w:type="dxa"/>
            <w:vAlign w:val="bottom"/>
            <w:gridSpan w:val="27"/>
          </w:tcPr>
          <w:p>
            <w:pPr>
              <w:spacing w:after="0"/>
              <w:rPr>
                <w:rFonts w:ascii="Arial" w:cs="Arial" w:eastAsia="Arial" w:hAnsi="Arial"/>
                <w:sz w:val="17"/>
                <w:szCs w:val="17"/>
                <w:color w:val="0000FF"/>
              </w:rPr>
            </w:pPr>
            <w:hyperlink r:id="rId191">
              <w:r>
                <w:rPr>
                  <w:rFonts w:ascii="Arial" w:cs="Arial" w:eastAsia="Arial" w:hAnsi="Arial"/>
                  <w:sz w:val="17"/>
                  <w:szCs w:val="17"/>
                  <w:color w:val="0000FF"/>
                </w:rPr>
                <w:t>Synthetic Royalty Purchase Agreement</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08/12/2024</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10.2</w:t>
            </w:r>
          </w:p>
        </w:tc>
      </w:tr>
      <w:tr>
        <w:trPr>
          <w:trHeight w:val="20"/>
        </w:trPr>
        <w:tc>
          <w:tcPr>
            <w:tcW w:w="1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580" w:type="dxa"/>
            <w:vAlign w:val="bottom"/>
            <w:gridSpan w:val="27"/>
          </w:tcPr>
          <w:p>
            <w:pPr>
              <w:spacing w:after="0" w:line="145" w:lineRule="exact"/>
              <w:rPr>
                <w:rFonts w:ascii="Arial" w:cs="Arial" w:eastAsia="Arial" w:hAnsi="Arial"/>
                <w:sz w:val="16"/>
                <w:szCs w:val="16"/>
                <w:color w:val="0000FF"/>
              </w:rPr>
            </w:pPr>
            <w:hyperlink r:id="rId191">
              <w:r>
                <w:rPr>
                  <w:rFonts w:ascii="Arial" w:cs="Arial" w:eastAsia="Arial" w:hAnsi="Arial"/>
                  <w:sz w:val="16"/>
                  <w:szCs w:val="16"/>
                  <w:color w:val="0000FF"/>
                </w:rPr>
                <w:t>between Daré Bioscience, Inc. and XOMA</w:t>
              </w:r>
            </w:hyperlink>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11"/>
          </w:tcPr>
          <w:p>
            <w:pPr>
              <w:spacing w:after="0" w:line="145" w:lineRule="exact"/>
              <w:rPr>
                <w:rFonts w:ascii="Arial" w:cs="Arial" w:eastAsia="Arial" w:hAnsi="Arial"/>
                <w:sz w:val="16"/>
                <w:szCs w:val="16"/>
                <w:color w:val="0000FF"/>
              </w:rPr>
            </w:pPr>
            <w:hyperlink r:id="rId191">
              <w:r>
                <w:rPr>
                  <w:rFonts w:ascii="Arial" w:cs="Arial" w:eastAsia="Arial" w:hAnsi="Arial"/>
                  <w:sz w:val="16"/>
                  <w:szCs w:val="16"/>
                  <w:color w:val="0000FF"/>
                </w:rPr>
                <w:t>(US) LLC, dated as of April 29, 2024</w:t>
              </w:r>
            </w:hyperlink>
          </w:p>
        </w:tc>
        <w:tc>
          <w:tcPr>
            <w:tcW w:w="4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45"/>
        </w:trPr>
        <w:tc>
          <w:tcPr>
            <w:tcW w:w="4840" w:type="dxa"/>
            <w:vAlign w:val="bottom"/>
            <w:tcBorders>
              <w:bottom w:val="single" w:sz="8" w:color="auto"/>
            </w:tcBorders>
            <w:gridSpan w:val="28"/>
          </w:tcPr>
          <w:p>
            <w:pPr>
              <w:ind w:left="20"/>
              <w:spacing w:after="0"/>
              <w:rPr>
                <w:sz w:val="20"/>
                <w:szCs w:val="20"/>
                <w:color w:val="auto"/>
              </w:rPr>
            </w:pPr>
            <w:r>
              <w:rPr>
                <w:rFonts w:ascii="Arial" w:cs="Arial" w:eastAsia="Arial" w:hAnsi="Arial"/>
                <w:sz w:val="17"/>
                <w:szCs w:val="17"/>
                <w:i w:val="1"/>
                <w:iCs w:val="1"/>
                <w:color w:val="auto"/>
                <w:w w:val="99"/>
              </w:rPr>
              <w:t>MANAGEMENT CONTRACTS AND COMPENSATORY PLANS</w:t>
            </w:r>
          </w:p>
        </w:tc>
        <w:tc>
          <w:tcPr>
            <w:tcW w:w="6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r>
      <w:tr>
        <w:trPr>
          <w:trHeight w:val="170"/>
        </w:trPr>
        <w:tc>
          <w:tcPr>
            <w:tcW w:w="1260" w:type="dxa"/>
            <w:vAlign w:val="bottom"/>
          </w:tcPr>
          <w:p>
            <w:pPr>
              <w:jc w:val="center"/>
              <w:ind w:right="156"/>
              <w:spacing w:after="0" w:line="170" w:lineRule="exact"/>
              <w:rPr>
                <w:sz w:val="20"/>
                <w:szCs w:val="20"/>
                <w:color w:val="auto"/>
              </w:rPr>
            </w:pPr>
            <w:r>
              <w:rPr>
                <w:rFonts w:ascii="Arial" w:cs="Arial" w:eastAsia="Arial" w:hAnsi="Arial"/>
                <w:sz w:val="17"/>
                <w:szCs w:val="17"/>
                <w:color w:val="auto"/>
              </w:rPr>
              <w:t>10.18(a)*</w:t>
            </w:r>
          </w:p>
        </w:tc>
        <w:tc>
          <w:tcPr>
            <w:tcW w:w="3580" w:type="dxa"/>
            <w:vAlign w:val="bottom"/>
            <w:gridSpan w:val="27"/>
          </w:tcPr>
          <w:p>
            <w:pPr>
              <w:spacing w:after="0" w:line="170" w:lineRule="exact"/>
              <w:rPr>
                <w:rFonts w:ascii="Arial" w:cs="Arial" w:eastAsia="Arial" w:hAnsi="Arial"/>
                <w:sz w:val="17"/>
                <w:szCs w:val="17"/>
                <w:color w:val="0000FF"/>
              </w:rPr>
            </w:pPr>
            <w:hyperlink r:id="rId192">
              <w:r>
                <w:rPr>
                  <w:rFonts w:ascii="Arial" w:cs="Arial" w:eastAsia="Arial" w:hAnsi="Arial"/>
                  <w:sz w:val="17"/>
                  <w:szCs w:val="17"/>
                  <w:color w:val="0000FF"/>
                </w:rPr>
                <w:t>Daré Bioscience, Inc. Amended and</w:t>
              </w:r>
            </w:hyperlink>
          </w:p>
        </w:tc>
        <w:tc>
          <w:tcPr>
            <w:tcW w:w="640" w:type="dxa"/>
            <w:vAlign w:val="bottom"/>
          </w:tcPr>
          <w:p>
            <w:pPr>
              <w:jc w:val="center"/>
              <w:ind w:right="96"/>
              <w:spacing w:after="0" w:line="170" w:lineRule="exact"/>
              <w:rPr>
                <w:sz w:val="20"/>
                <w:szCs w:val="20"/>
                <w:color w:val="auto"/>
              </w:rPr>
            </w:pPr>
            <w:r>
              <w:rPr>
                <w:rFonts w:ascii="Arial" w:cs="Arial" w:eastAsia="Arial" w:hAnsi="Arial"/>
                <w:sz w:val="17"/>
                <w:szCs w:val="17"/>
                <w:color w:val="auto"/>
                <w:w w:val="98"/>
              </w:rPr>
              <w:t>8-K</w:t>
            </w:r>
          </w:p>
        </w:tc>
        <w:tc>
          <w:tcPr>
            <w:tcW w:w="1400" w:type="dxa"/>
            <w:vAlign w:val="bottom"/>
          </w:tcPr>
          <w:p>
            <w:pPr>
              <w:jc w:val="center"/>
              <w:spacing w:after="0" w:line="170" w:lineRule="exact"/>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line="170" w:lineRule="exact"/>
              <w:rPr>
                <w:sz w:val="20"/>
                <w:szCs w:val="20"/>
                <w:color w:val="auto"/>
              </w:rPr>
            </w:pPr>
            <w:r>
              <w:rPr>
                <w:rFonts w:ascii="Arial" w:cs="Arial" w:eastAsia="Arial" w:hAnsi="Arial"/>
                <w:sz w:val="17"/>
                <w:szCs w:val="17"/>
                <w:color w:val="auto"/>
              </w:rPr>
              <w:t>7/12/2018</w:t>
            </w:r>
          </w:p>
        </w:tc>
        <w:tc>
          <w:tcPr>
            <w:tcW w:w="2880" w:type="dxa"/>
            <w:vAlign w:val="bottom"/>
          </w:tcPr>
          <w:p>
            <w:pPr>
              <w:jc w:val="center"/>
              <w:ind w:right="1536"/>
              <w:spacing w:after="0" w:line="170" w:lineRule="exact"/>
              <w:rPr>
                <w:sz w:val="20"/>
                <w:szCs w:val="20"/>
                <w:color w:val="auto"/>
              </w:rPr>
            </w:pPr>
            <w:r>
              <w:rPr>
                <w:rFonts w:ascii="Arial" w:cs="Arial" w:eastAsia="Arial" w:hAnsi="Arial"/>
                <w:sz w:val="17"/>
                <w:szCs w:val="17"/>
                <w:color w:val="auto"/>
              </w:rPr>
              <w:t>10.1</w:t>
            </w:r>
          </w:p>
        </w:tc>
      </w:tr>
      <w:tr>
        <w:trPr>
          <w:trHeight w:val="144"/>
        </w:trPr>
        <w:tc>
          <w:tcPr>
            <w:tcW w:w="126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9"/>
          </w:tcPr>
          <w:p>
            <w:pPr>
              <w:spacing w:after="0" w:line="145" w:lineRule="exact"/>
              <w:rPr>
                <w:rFonts w:ascii="Arial" w:cs="Arial" w:eastAsia="Arial" w:hAnsi="Arial"/>
                <w:sz w:val="16"/>
                <w:szCs w:val="16"/>
                <w:color w:val="0000FF"/>
              </w:rPr>
            </w:pPr>
            <w:hyperlink r:id="rId192">
              <w:r>
                <w:rPr>
                  <w:rFonts w:ascii="Arial" w:cs="Arial" w:eastAsia="Arial" w:hAnsi="Arial"/>
                  <w:sz w:val="16"/>
                  <w:szCs w:val="16"/>
                  <w:color w:val="0000FF"/>
                </w:rPr>
                <w:t>Restated 2014 Stock Incentive Plan</w:t>
              </w:r>
            </w:hyperlink>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5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10.18(b)*</w:t>
            </w:r>
          </w:p>
        </w:tc>
        <w:tc>
          <w:tcPr>
            <w:tcW w:w="3580" w:type="dxa"/>
            <w:vAlign w:val="bottom"/>
            <w:gridSpan w:val="27"/>
          </w:tcPr>
          <w:p>
            <w:pPr>
              <w:spacing w:after="0"/>
              <w:rPr>
                <w:rFonts w:ascii="Arial" w:cs="Arial" w:eastAsia="Arial" w:hAnsi="Arial"/>
                <w:sz w:val="17"/>
                <w:szCs w:val="17"/>
                <w:color w:val="0000FF"/>
              </w:rPr>
            </w:pPr>
            <w:hyperlink r:id="rId193">
              <w:r>
                <w:rPr>
                  <w:rFonts w:ascii="Arial" w:cs="Arial" w:eastAsia="Arial" w:hAnsi="Arial"/>
                  <w:sz w:val="17"/>
                  <w:szCs w:val="17"/>
                  <w:color w:val="0000FF"/>
                </w:rPr>
                <w:t>Form of Incentive Stock Option Agreement</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rPr>
              <w:t>8/13/2018</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10.3</w:t>
            </w:r>
          </w:p>
        </w:tc>
      </w:tr>
      <w:tr>
        <w:trPr>
          <w:trHeight w:val="144"/>
        </w:trPr>
        <w:tc>
          <w:tcPr>
            <w:tcW w:w="1260" w:type="dxa"/>
            <w:vAlign w:val="bottom"/>
          </w:tcPr>
          <w:p>
            <w:pPr>
              <w:spacing w:after="0"/>
              <w:rPr>
                <w:sz w:val="12"/>
                <w:szCs w:val="12"/>
                <w:color w:val="auto"/>
              </w:rPr>
            </w:pPr>
          </w:p>
        </w:tc>
        <w:tc>
          <w:tcPr>
            <w:tcW w:w="3180" w:type="dxa"/>
            <w:vAlign w:val="bottom"/>
            <w:tcBorders>
              <w:top w:val="single" w:sz="8" w:color="0000FF"/>
            </w:tcBorders>
            <w:gridSpan w:val="22"/>
          </w:tcPr>
          <w:p>
            <w:pPr>
              <w:spacing w:after="0" w:line="145" w:lineRule="exact"/>
              <w:rPr>
                <w:rFonts w:ascii="Arial" w:cs="Arial" w:eastAsia="Arial" w:hAnsi="Arial"/>
                <w:sz w:val="16"/>
                <w:szCs w:val="16"/>
                <w:color w:val="0000FF"/>
              </w:rPr>
            </w:pPr>
            <w:hyperlink r:id="rId193">
              <w:r>
                <w:rPr>
                  <w:rFonts w:ascii="Arial" w:cs="Arial" w:eastAsia="Arial" w:hAnsi="Arial"/>
                  <w:sz w:val="16"/>
                  <w:szCs w:val="16"/>
                  <w:color w:val="0000FF"/>
                </w:rPr>
                <w:t>for grants under the Daré Bioscience,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0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r:id="rId193">
              <w:r>
                <w:rPr>
                  <w:rFonts w:ascii="Arial" w:cs="Arial" w:eastAsia="Arial" w:hAnsi="Arial"/>
                  <w:sz w:val="16"/>
                  <w:szCs w:val="16"/>
                  <w:color w:val="0000FF"/>
                </w:rPr>
                <w:t>Amended and Restated 2014 Stock</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6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7" w:lineRule="exact"/>
              <w:rPr>
                <w:rFonts w:ascii="Arial" w:cs="Arial" w:eastAsia="Arial" w:hAnsi="Arial"/>
                <w:sz w:val="17"/>
                <w:szCs w:val="17"/>
                <w:color w:val="0000FF"/>
                <w:w w:val="97"/>
              </w:rPr>
            </w:pPr>
            <w:hyperlink r:id="rId193">
              <w:r>
                <w:rPr>
                  <w:rFonts w:ascii="Arial" w:cs="Arial" w:eastAsia="Arial" w:hAnsi="Arial"/>
                  <w:sz w:val="17"/>
                  <w:szCs w:val="17"/>
                  <w:color w:val="0000FF"/>
                  <w:w w:val="97"/>
                </w:rPr>
                <w:t>Incentive Plan</w:t>
              </w:r>
            </w:hyperlink>
          </w:p>
        </w:tc>
        <w:tc>
          <w:tcPr>
            <w:tcW w:w="160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97"/>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10.18(c)*</w:t>
            </w:r>
          </w:p>
        </w:tc>
        <w:tc>
          <w:tcPr>
            <w:tcW w:w="3580" w:type="dxa"/>
            <w:vAlign w:val="bottom"/>
            <w:gridSpan w:val="27"/>
          </w:tcPr>
          <w:p>
            <w:pPr>
              <w:spacing w:after="0"/>
              <w:rPr>
                <w:rFonts w:ascii="Arial" w:cs="Arial" w:eastAsia="Arial" w:hAnsi="Arial"/>
                <w:sz w:val="17"/>
                <w:szCs w:val="17"/>
                <w:color w:val="0000FF"/>
              </w:rPr>
            </w:pPr>
            <w:hyperlink r:id="rId194">
              <w:r>
                <w:rPr>
                  <w:rFonts w:ascii="Arial" w:cs="Arial" w:eastAsia="Arial" w:hAnsi="Arial"/>
                  <w:sz w:val="17"/>
                  <w:szCs w:val="17"/>
                  <w:color w:val="0000FF"/>
                </w:rPr>
                <w:t>Form of Nonstatutory Stock Option</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rPr>
              <w:t>8/13/2018</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10.4</w:t>
            </w:r>
          </w:p>
        </w:tc>
      </w:tr>
      <w:tr>
        <w:trPr>
          <w:trHeight w:val="20"/>
        </w:trPr>
        <w:tc>
          <w:tcPr>
            <w:tcW w:w="1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580" w:type="dxa"/>
            <w:vAlign w:val="bottom"/>
            <w:gridSpan w:val="27"/>
          </w:tcPr>
          <w:p>
            <w:pPr>
              <w:spacing w:after="0" w:line="145" w:lineRule="exact"/>
              <w:rPr>
                <w:rFonts w:ascii="Arial" w:cs="Arial" w:eastAsia="Arial" w:hAnsi="Arial"/>
                <w:sz w:val="16"/>
                <w:szCs w:val="16"/>
                <w:color w:val="0000FF"/>
              </w:rPr>
            </w:pPr>
            <w:hyperlink r:id="rId194">
              <w:r>
                <w:rPr>
                  <w:rFonts w:ascii="Arial" w:cs="Arial" w:eastAsia="Arial" w:hAnsi="Arial"/>
                  <w:sz w:val="16"/>
                  <w:szCs w:val="16"/>
                  <w:color w:val="0000FF"/>
                </w:rPr>
                <w:t>Agreement for grants under the Daré</w:t>
              </w:r>
            </w:hyperlink>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580" w:type="dxa"/>
            <w:vAlign w:val="bottom"/>
            <w:gridSpan w:val="27"/>
          </w:tcPr>
          <w:p>
            <w:pPr>
              <w:spacing w:after="0" w:line="145" w:lineRule="exact"/>
              <w:rPr>
                <w:rFonts w:ascii="Arial" w:cs="Arial" w:eastAsia="Arial" w:hAnsi="Arial"/>
                <w:sz w:val="16"/>
                <w:szCs w:val="16"/>
                <w:color w:val="0000FF"/>
              </w:rPr>
            </w:pPr>
            <w:hyperlink r:id="rId194">
              <w:r>
                <w:rPr>
                  <w:rFonts w:ascii="Arial" w:cs="Arial" w:eastAsia="Arial" w:hAnsi="Arial"/>
                  <w:sz w:val="16"/>
                  <w:szCs w:val="16"/>
                  <w:color w:val="0000FF"/>
                </w:rPr>
                <w:t>Bioscience, Inc. Amended and Restated</w:t>
              </w:r>
            </w:hyperlink>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57"/>
        </w:trPr>
        <w:tc>
          <w:tcPr>
            <w:tcW w:w="1260" w:type="dxa"/>
            <w:vAlign w:val="bottom"/>
          </w:tcPr>
          <w:p>
            <w:pPr>
              <w:spacing w:after="0"/>
              <w:rPr>
                <w:sz w:val="13"/>
                <w:szCs w:val="13"/>
                <w:color w:val="auto"/>
              </w:rPr>
            </w:pPr>
          </w:p>
        </w:tc>
        <w:tc>
          <w:tcPr>
            <w:tcW w:w="3000" w:type="dxa"/>
            <w:vAlign w:val="bottom"/>
            <w:tcBorders>
              <w:top w:val="single" w:sz="8" w:color="0000FF"/>
            </w:tcBorders>
            <w:gridSpan w:val="16"/>
          </w:tcPr>
          <w:p>
            <w:pPr>
              <w:spacing w:after="0" w:line="157" w:lineRule="exact"/>
              <w:rPr>
                <w:rFonts w:ascii="Arial" w:cs="Arial" w:eastAsia="Arial" w:hAnsi="Arial"/>
                <w:sz w:val="17"/>
                <w:szCs w:val="17"/>
                <w:color w:val="0000FF"/>
              </w:rPr>
            </w:pPr>
            <w:hyperlink r:id="rId194">
              <w:r>
                <w:rPr>
                  <w:rFonts w:ascii="Arial" w:cs="Arial" w:eastAsia="Arial" w:hAnsi="Arial"/>
                  <w:sz w:val="17"/>
                  <w:szCs w:val="17"/>
                  <w:color w:val="0000FF"/>
                </w:rPr>
                <w:t>2014 Stock Incentive Plan</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46"/>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10.19(a)*</w:t>
            </w:r>
          </w:p>
        </w:tc>
        <w:tc>
          <w:tcPr>
            <w:tcW w:w="3580" w:type="dxa"/>
            <w:vAlign w:val="bottom"/>
            <w:gridSpan w:val="27"/>
          </w:tcPr>
          <w:p>
            <w:pPr>
              <w:spacing w:after="0"/>
              <w:rPr>
                <w:rFonts w:ascii="Arial" w:cs="Arial" w:eastAsia="Arial" w:hAnsi="Arial"/>
                <w:sz w:val="17"/>
                <w:szCs w:val="17"/>
                <w:color w:val="0000FF"/>
              </w:rPr>
            </w:pPr>
            <w:hyperlink r:id="rId195">
              <w:r>
                <w:rPr>
                  <w:rFonts w:ascii="Arial" w:cs="Arial" w:eastAsia="Arial" w:hAnsi="Arial"/>
                  <w:sz w:val="17"/>
                  <w:szCs w:val="17"/>
                  <w:color w:val="0000FF"/>
                </w:rPr>
                <w:t>Daré Bioscience, Inc. 2022 Stock Incentive</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rPr>
              <w:t>8/12/2024</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10.7</w:t>
            </w:r>
          </w:p>
        </w:tc>
      </w:tr>
      <w:tr>
        <w:trPr>
          <w:trHeight w:val="144"/>
        </w:trPr>
        <w:tc>
          <w:tcPr>
            <w:tcW w:w="12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5" w:lineRule="exact"/>
              <w:rPr>
                <w:rFonts w:ascii="Arial" w:cs="Arial" w:eastAsia="Arial" w:hAnsi="Arial"/>
                <w:sz w:val="16"/>
                <w:szCs w:val="16"/>
                <w:color w:val="0000FF"/>
                <w:w w:val="99"/>
              </w:rPr>
            </w:pPr>
            <w:hyperlink r:id="rId195">
              <w:r>
                <w:rPr>
                  <w:rFonts w:ascii="Arial" w:cs="Arial" w:eastAsia="Arial" w:hAnsi="Arial"/>
                  <w:sz w:val="16"/>
                  <w:szCs w:val="16"/>
                  <w:color w:val="0000FF"/>
                  <w:w w:val="99"/>
                </w:rPr>
                <w:t>Plan</w:t>
              </w:r>
            </w:hyperlink>
          </w:p>
        </w:tc>
        <w:tc>
          <w:tcPr>
            <w:tcW w:w="28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0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10.19(b)*</w:t>
            </w:r>
          </w:p>
        </w:tc>
        <w:tc>
          <w:tcPr>
            <w:tcW w:w="3580" w:type="dxa"/>
            <w:vAlign w:val="bottom"/>
            <w:gridSpan w:val="27"/>
          </w:tcPr>
          <w:p>
            <w:pPr>
              <w:spacing w:after="0"/>
              <w:rPr>
                <w:rFonts w:ascii="Arial" w:cs="Arial" w:eastAsia="Arial" w:hAnsi="Arial"/>
                <w:sz w:val="17"/>
                <w:szCs w:val="17"/>
                <w:color w:val="0000FF"/>
              </w:rPr>
            </w:pPr>
            <w:hyperlink r:id="rId196">
              <w:r>
                <w:rPr>
                  <w:rFonts w:ascii="Arial" w:cs="Arial" w:eastAsia="Arial" w:hAnsi="Arial"/>
                  <w:sz w:val="17"/>
                  <w:szCs w:val="17"/>
                  <w:color w:val="0000FF"/>
                </w:rPr>
                <w:t>Amendment No. 1 to Daré Bioscience, Inc.</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w w:val="98"/>
              </w:rPr>
              <w:t>8-K</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7/9/2025</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10.1</w:t>
            </w:r>
          </w:p>
        </w:tc>
      </w:tr>
      <w:tr>
        <w:trPr>
          <w:trHeight w:val="144"/>
        </w:trPr>
        <w:tc>
          <w:tcPr>
            <w:tcW w:w="1260" w:type="dxa"/>
            <w:vAlign w:val="bottom"/>
          </w:tcPr>
          <w:p>
            <w:pPr>
              <w:spacing w:after="0"/>
              <w:rPr>
                <w:sz w:val="12"/>
                <w:szCs w:val="12"/>
                <w:color w:val="auto"/>
              </w:rPr>
            </w:pPr>
          </w:p>
        </w:tc>
        <w:tc>
          <w:tcPr>
            <w:tcW w:w="3180" w:type="dxa"/>
            <w:vAlign w:val="bottom"/>
            <w:tcBorders>
              <w:top w:val="single" w:sz="8" w:color="0000FF"/>
            </w:tcBorders>
            <w:gridSpan w:val="22"/>
          </w:tcPr>
          <w:p>
            <w:pPr>
              <w:spacing w:after="0" w:line="145" w:lineRule="exact"/>
              <w:rPr>
                <w:rFonts w:ascii="Arial" w:cs="Arial" w:eastAsia="Arial" w:hAnsi="Arial"/>
                <w:sz w:val="16"/>
                <w:szCs w:val="16"/>
                <w:color w:val="0000FF"/>
              </w:rPr>
            </w:pPr>
            <w:hyperlink r:id="rId196">
              <w:r>
                <w:rPr>
                  <w:rFonts w:ascii="Arial" w:cs="Arial" w:eastAsia="Arial" w:hAnsi="Arial"/>
                  <w:sz w:val="16"/>
                  <w:szCs w:val="16"/>
                  <w:color w:val="0000FF"/>
                </w:rPr>
                <w:t>2022 Stock Incentive Plan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9"/>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10.19(c)*</w:t>
            </w:r>
          </w:p>
        </w:tc>
        <w:tc>
          <w:tcPr>
            <w:tcW w:w="3580" w:type="dxa"/>
            <w:vAlign w:val="bottom"/>
            <w:gridSpan w:val="27"/>
          </w:tcPr>
          <w:p>
            <w:pPr>
              <w:spacing w:after="0"/>
              <w:rPr>
                <w:rFonts w:ascii="Arial" w:cs="Arial" w:eastAsia="Arial" w:hAnsi="Arial"/>
                <w:sz w:val="17"/>
                <w:szCs w:val="17"/>
                <w:color w:val="0000FF"/>
              </w:rPr>
            </w:pPr>
            <w:hyperlink r:id="rId197">
              <w:r>
                <w:rPr>
                  <w:rFonts w:ascii="Arial" w:cs="Arial" w:eastAsia="Arial" w:hAnsi="Arial"/>
                  <w:sz w:val="17"/>
                  <w:szCs w:val="17"/>
                  <w:color w:val="0000FF"/>
                </w:rPr>
                <w:t>Form of Incentive Stock Option Agreement</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w w:val="98"/>
              </w:rPr>
              <w:t>8-K</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rPr>
              <w:t>6/24/2022</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10.1(b)</w:t>
            </w:r>
          </w:p>
        </w:tc>
      </w:tr>
      <w:tr>
        <w:trPr>
          <w:trHeight w:val="144"/>
        </w:trPr>
        <w:tc>
          <w:tcPr>
            <w:tcW w:w="1260" w:type="dxa"/>
            <w:vAlign w:val="bottom"/>
          </w:tcPr>
          <w:p>
            <w:pPr>
              <w:spacing w:after="0"/>
              <w:rPr>
                <w:sz w:val="12"/>
                <w:szCs w:val="12"/>
                <w:color w:val="auto"/>
              </w:rPr>
            </w:pPr>
          </w:p>
        </w:tc>
        <w:tc>
          <w:tcPr>
            <w:tcW w:w="3180" w:type="dxa"/>
            <w:vAlign w:val="bottom"/>
            <w:tcBorders>
              <w:top w:val="single" w:sz="8" w:color="0000FF"/>
            </w:tcBorders>
            <w:gridSpan w:val="22"/>
          </w:tcPr>
          <w:p>
            <w:pPr>
              <w:spacing w:after="0" w:line="145" w:lineRule="exact"/>
              <w:rPr>
                <w:rFonts w:ascii="Arial" w:cs="Arial" w:eastAsia="Arial" w:hAnsi="Arial"/>
                <w:sz w:val="16"/>
                <w:szCs w:val="16"/>
                <w:color w:val="0000FF"/>
              </w:rPr>
            </w:pPr>
            <w:hyperlink r:id="rId197">
              <w:r>
                <w:rPr>
                  <w:rFonts w:ascii="Arial" w:cs="Arial" w:eastAsia="Arial" w:hAnsi="Arial"/>
                  <w:sz w:val="16"/>
                  <w:szCs w:val="16"/>
                  <w:color w:val="0000FF"/>
                </w:rPr>
                <w:t>for Grants under the Daré Bioscience, Inc.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40" w:type="dxa"/>
            <w:vAlign w:val="bottom"/>
            <w:tcBorders>
              <w:top w:val="single" w:sz="8" w:color="0000FF"/>
            </w:tcBorders>
            <w:gridSpan w:val="20"/>
          </w:tcPr>
          <w:p>
            <w:pPr>
              <w:spacing w:after="0" w:line="145" w:lineRule="exact"/>
              <w:rPr>
                <w:rFonts w:ascii="Arial" w:cs="Arial" w:eastAsia="Arial" w:hAnsi="Arial"/>
                <w:sz w:val="16"/>
                <w:szCs w:val="16"/>
                <w:color w:val="0000FF"/>
              </w:rPr>
            </w:pPr>
            <w:hyperlink r:id="rId197">
              <w:r>
                <w:rPr>
                  <w:rFonts w:ascii="Arial" w:cs="Arial" w:eastAsia="Arial" w:hAnsi="Arial"/>
                  <w:sz w:val="16"/>
                  <w:szCs w:val="16"/>
                  <w:color w:val="0000FF"/>
                </w:rPr>
                <w:t>2022 Stock Incentive Plan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9"/>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10.19(c)*</w:t>
            </w:r>
          </w:p>
        </w:tc>
        <w:tc>
          <w:tcPr>
            <w:tcW w:w="3580" w:type="dxa"/>
            <w:vAlign w:val="bottom"/>
            <w:gridSpan w:val="27"/>
          </w:tcPr>
          <w:p>
            <w:pPr>
              <w:spacing w:after="0"/>
              <w:rPr>
                <w:rFonts w:ascii="Arial" w:cs="Arial" w:eastAsia="Arial" w:hAnsi="Arial"/>
                <w:sz w:val="17"/>
                <w:szCs w:val="17"/>
                <w:color w:val="0000FF"/>
              </w:rPr>
            </w:pPr>
            <w:hyperlink r:id="rId198">
              <w:r>
                <w:rPr>
                  <w:rFonts w:ascii="Arial" w:cs="Arial" w:eastAsia="Arial" w:hAnsi="Arial"/>
                  <w:sz w:val="17"/>
                  <w:szCs w:val="17"/>
                  <w:color w:val="0000FF"/>
                </w:rPr>
                <w:t>Form of Nonstatutory Stock Option</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w w:val="98"/>
              </w:rPr>
              <w:t>8-K</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rPr>
              <w:t>6/24/2022</w:t>
            </w:r>
          </w:p>
        </w:tc>
        <w:tc>
          <w:tcPr>
            <w:tcW w:w="2880" w:type="dxa"/>
            <w:vAlign w:val="bottom"/>
          </w:tcPr>
          <w:p>
            <w:pPr>
              <w:jc w:val="center"/>
              <w:ind w:right="1516"/>
              <w:spacing w:after="0"/>
              <w:rPr>
                <w:sz w:val="20"/>
                <w:szCs w:val="20"/>
                <w:color w:val="auto"/>
              </w:rPr>
            </w:pPr>
            <w:r>
              <w:rPr>
                <w:rFonts w:ascii="Arial" w:cs="Arial" w:eastAsia="Arial" w:hAnsi="Arial"/>
                <w:sz w:val="17"/>
                <w:szCs w:val="17"/>
                <w:color w:val="auto"/>
                <w:w w:val="98"/>
              </w:rPr>
              <w:t>10.2(c)</w:t>
            </w:r>
          </w:p>
        </w:tc>
      </w:tr>
      <w:tr>
        <w:trPr>
          <w:trHeight w:val="20"/>
        </w:trPr>
        <w:tc>
          <w:tcPr>
            <w:tcW w:w="12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37"/>
        </w:trPr>
        <w:tc>
          <w:tcPr>
            <w:tcW w:w="1260" w:type="dxa"/>
            <w:vAlign w:val="bottom"/>
          </w:tcPr>
          <w:p>
            <w:pPr>
              <w:spacing w:after="0"/>
              <w:rPr>
                <w:sz w:val="11"/>
                <w:szCs w:val="11"/>
                <w:color w:val="auto"/>
              </w:rPr>
            </w:pPr>
          </w:p>
        </w:tc>
        <w:tc>
          <w:tcPr>
            <w:tcW w:w="3580" w:type="dxa"/>
            <w:vAlign w:val="bottom"/>
            <w:gridSpan w:val="27"/>
          </w:tcPr>
          <w:p>
            <w:pPr>
              <w:spacing w:after="0" w:line="132" w:lineRule="exact"/>
              <w:rPr>
                <w:rFonts w:ascii="Arial" w:cs="Arial" w:eastAsia="Arial" w:hAnsi="Arial"/>
                <w:sz w:val="15"/>
                <w:szCs w:val="15"/>
                <w:color w:val="0000FF"/>
              </w:rPr>
            </w:pPr>
            <w:hyperlink r:id="rId198">
              <w:r>
                <w:rPr>
                  <w:rFonts w:ascii="Arial" w:cs="Arial" w:eastAsia="Arial" w:hAnsi="Arial"/>
                  <w:sz w:val="15"/>
                  <w:szCs w:val="15"/>
                  <w:color w:val="0000FF"/>
                </w:rPr>
                <w:t>Agreement for Grants under the Daré</w:t>
              </w:r>
            </w:hyperlink>
          </w:p>
        </w:tc>
        <w:tc>
          <w:tcPr>
            <w:tcW w:w="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80" w:type="dxa"/>
            <w:vAlign w:val="bottom"/>
          </w:tcPr>
          <w:p>
            <w:pPr>
              <w:spacing w:after="0"/>
              <w:rPr>
                <w:sz w:val="11"/>
                <w:szCs w:val="11"/>
                <w:color w:val="auto"/>
              </w:rPr>
            </w:pPr>
          </w:p>
        </w:tc>
      </w:tr>
      <w:tr>
        <w:trPr>
          <w:trHeight w:val="152"/>
        </w:trPr>
        <w:tc>
          <w:tcPr>
            <w:tcW w:w="1260" w:type="dxa"/>
            <w:vAlign w:val="bottom"/>
          </w:tcPr>
          <w:p>
            <w:pPr>
              <w:spacing w:after="0"/>
              <w:rPr>
                <w:sz w:val="13"/>
                <w:szCs w:val="13"/>
                <w:color w:val="auto"/>
              </w:rPr>
            </w:pPr>
          </w:p>
        </w:tc>
        <w:tc>
          <w:tcPr>
            <w:tcW w:w="2780" w:type="dxa"/>
            <w:vAlign w:val="bottom"/>
            <w:tcBorders>
              <w:top w:val="single" w:sz="8" w:color="0000FF"/>
            </w:tcBorders>
            <w:gridSpan w:val="13"/>
          </w:tcPr>
          <w:p>
            <w:pPr>
              <w:spacing w:after="0" w:line="152" w:lineRule="exact"/>
              <w:rPr>
                <w:rFonts w:ascii="Arial" w:cs="Arial" w:eastAsia="Arial" w:hAnsi="Arial"/>
                <w:sz w:val="17"/>
                <w:szCs w:val="17"/>
                <w:color w:val="0000FF"/>
                <w:w w:val="97"/>
              </w:rPr>
            </w:pPr>
            <w:hyperlink r:id="rId198">
              <w:r>
                <w:rPr>
                  <w:rFonts w:ascii="Arial" w:cs="Arial" w:eastAsia="Arial" w:hAnsi="Arial"/>
                  <w:sz w:val="17"/>
                  <w:szCs w:val="17"/>
                  <w:color w:val="0000FF"/>
                  <w:w w:val="97"/>
                </w:rPr>
                <w:t>Bioscience, Inc. 2022 Stock Incentive</w:t>
              </w:r>
            </w:hyperlink>
          </w:p>
        </w:tc>
        <w:tc>
          <w:tcPr>
            <w:tcW w:w="20" w:type="dxa"/>
            <w:vAlign w:val="bottom"/>
          </w:tcPr>
          <w:p>
            <w:pPr>
              <w:spacing w:after="0"/>
              <w:rPr>
                <w:sz w:val="13"/>
                <w:szCs w:val="13"/>
                <w:color w:val="auto"/>
              </w:rPr>
            </w:pPr>
          </w:p>
        </w:tc>
        <w:tc>
          <w:tcPr>
            <w:tcW w:w="780" w:type="dxa"/>
            <w:vAlign w:val="bottom"/>
            <w:gridSpan w:val="13"/>
          </w:tcPr>
          <w:p>
            <w:pPr>
              <w:ind w:left="40"/>
              <w:spacing w:after="0" w:line="152" w:lineRule="exact"/>
              <w:rPr>
                <w:rFonts w:ascii="Arial" w:cs="Arial" w:eastAsia="Arial" w:hAnsi="Arial"/>
                <w:sz w:val="17"/>
                <w:szCs w:val="17"/>
                <w:color w:val="0000FF"/>
              </w:rPr>
            </w:pPr>
            <w:hyperlink r:id="rId198">
              <w:r>
                <w:rPr>
                  <w:rFonts w:ascii="Arial" w:cs="Arial" w:eastAsia="Arial" w:hAnsi="Arial"/>
                  <w:sz w:val="17"/>
                  <w:szCs w:val="17"/>
                  <w:color w:val="0000FF"/>
                </w:rPr>
                <w:t>Plan</w:t>
              </w:r>
            </w:hyperlink>
          </w:p>
        </w:tc>
        <w:tc>
          <w:tcPr>
            <w:tcW w:w="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10.20*</w:t>
            </w:r>
          </w:p>
        </w:tc>
        <w:tc>
          <w:tcPr>
            <w:tcW w:w="3160" w:type="dxa"/>
            <w:vAlign w:val="bottom"/>
            <w:tcBorders>
              <w:top w:val="single" w:sz="8" w:color="0000FF"/>
            </w:tcBorders>
            <w:gridSpan w:val="21"/>
          </w:tcPr>
          <w:p>
            <w:pPr>
              <w:spacing w:after="0"/>
              <w:rPr>
                <w:rFonts w:ascii="Arial" w:cs="Arial" w:eastAsia="Arial" w:hAnsi="Arial"/>
                <w:sz w:val="17"/>
                <w:szCs w:val="17"/>
                <w:color w:val="0000FF"/>
                <w:w w:val="99"/>
              </w:rPr>
            </w:pPr>
            <w:hyperlink r:id="rId199">
              <w:r>
                <w:rPr>
                  <w:rFonts w:ascii="Arial" w:cs="Arial" w:eastAsia="Arial" w:hAnsi="Arial"/>
                  <w:sz w:val="17"/>
                  <w:szCs w:val="17"/>
                  <w:color w:val="0000FF"/>
                  <w:w w:val="99"/>
                </w:rPr>
                <w:t>Daré Bioscience, Inc. Performance Bonus</w:t>
              </w:r>
            </w:hyperlink>
          </w:p>
        </w:tc>
        <w:tc>
          <w:tcPr>
            <w:tcW w:w="420" w:type="dxa"/>
            <w:vAlign w:val="bottom"/>
            <w:gridSpan w:val="6"/>
          </w:tcPr>
          <w:p>
            <w:pPr>
              <w:spacing w:after="0"/>
              <w:rPr>
                <w:sz w:val="24"/>
                <w:szCs w:val="24"/>
                <w:color w:val="auto"/>
              </w:rPr>
            </w:pPr>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7"/>
              </w:rPr>
              <w:t>11/9/2023</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10.3</w:t>
            </w:r>
          </w:p>
        </w:tc>
      </w:tr>
      <w:tr>
        <w:trPr>
          <w:trHeight w:val="144"/>
        </w:trPr>
        <w:tc>
          <w:tcPr>
            <w:tcW w:w="126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5" w:lineRule="exact"/>
              <w:rPr>
                <w:rFonts w:ascii="Arial" w:cs="Arial" w:eastAsia="Arial" w:hAnsi="Arial"/>
                <w:sz w:val="16"/>
                <w:szCs w:val="16"/>
                <w:color w:val="0000FF"/>
              </w:rPr>
            </w:pPr>
            <w:hyperlink r:id="rId199">
              <w:r>
                <w:rPr>
                  <w:rFonts w:ascii="Arial" w:cs="Arial" w:eastAsia="Arial" w:hAnsi="Arial"/>
                  <w:sz w:val="16"/>
                  <w:szCs w:val="16"/>
                  <w:color w:val="0000FF"/>
                </w:rPr>
                <w:t>Plan, as amended</w:t>
              </w:r>
            </w:hyperlink>
          </w:p>
        </w:tc>
        <w:tc>
          <w:tcPr>
            <w:tcW w:w="1760" w:type="dxa"/>
            <w:vAlign w:val="bottom"/>
            <w:tcBorders>
              <w:top w:val="single" w:sz="8" w:color="0000FF"/>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0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10.21*</w:t>
            </w:r>
          </w:p>
        </w:tc>
        <w:tc>
          <w:tcPr>
            <w:tcW w:w="3580" w:type="dxa"/>
            <w:vAlign w:val="bottom"/>
            <w:gridSpan w:val="27"/>
          </w:tcPr>
          <w:p>
            <w:pPr>
              <w:spacing w:after="0"/>
              <w:rPr>
                <w:rFonts w:ascii="Arial" w:cs="Arial" w:eastAsia="Arial" w:hAnsi="Arial"/>
                <w:sz w:val="17"/>
                <w:szCs w:val="17"/>
                <w:color w:val="0000FF"/>
              </w:rPr>
            </w:pPr>
            <w:hyperlink r:id="rId200">
              <w:r>
                <w:rPr>
                  <w:rFonts w:ascii="Arial" w:cs="Arial" w:eastAsia="Arial" w:hAnsi="Arial"/>
                  <w:sz w:val="17"/>
                  <w:szCs w:val="17"/>
                  <w:color w:val="0000FF"/>
                </w:rPr>
                <w:t>Form of indemnification agreement between</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w w:val="98"/>
              </w:rPr>
              <w:t>S-1</w:t>
            </w: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333-194442</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03/10/2014</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w w:val="98"/>
              </w:rPr>
              <w:t>10.16</w:t>
            </w:r>
          </w:p>
        </w:tc>
      </w:tr>
      <w:tr>
        <w:trPr>
          <w:trHeight w:val="144"/>
        </w:trPr>
        <w:tc>
          <w:tcPr>
            <w:tcW w:w="1260" w:type="dxa"/>
            <w:vAlign w:val="bottom"/>
          </w:tcPr>
          <w:p>
            <w:pPr>
              <w:spacing w:after="0"/>
              <w:rPr>
                <w:sz w:val="12"/>
                <w:szCs w:val="12"/>
                <w:color w:val="auto"/>
              </w:rPr>
            </w:pPr>
          </w:p>
        </w:tc>
        <w:tc>
          <w:tcPr>
            <w:tcW w:w="3280" w:type="dxa"/>
            <w:vAlign w:val="bottom"/>
            <w:tcBorders>
              <w:top w:val="single" w:sz="8" w:color="0000FF"/>
            </w:tcBorders>
            <w:gridSpan w:val="26"/>
          </w:tcPr>
          <w:p>
            <w:pPr>
              <w:spacing w:after="0" w:line="145" w:lineRule="exact"/>
              <w:rPr>
                <w:rFonts w:ascii="Arial" w:cs="Arial" w:eastAsia="Arial" w:hAnsi="Arial"/>
                <w:sz w:val="16"/>
                <w:szCs w:val="16"/>
                <w:color w:val="0000FF"/>
              </w:rPr>
            </w:pPr>
            <w:hyperlink r:id="rId200">
              <w:r>
                <w:rPr>
                  <w:rFonts w:ascii="Arial" w:cs="Arial" w:eastAsia="Arial" w:hAnsi="Arial"/>
                  <w:sz w:val="16"/>
                  <w:szCs w:val="16"/>
                  <w:color w:val="0000FF"/>
                </w:rPr>
                <w:t>the registrant and each of its executive</w:t>
              </w:r>
            </w:hyperlink>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rPr>
            </w:pPr>
            <w:hyperlink r:id="rId200">
              <w:r>
                <w:rPr>
                  <w:rFonts w:ascii="Arial" w:cs="Arial" w:eastAsia="Arial" w:hAnsi="Arial"/>
                  <w:sz w:val="16"/>
                  <w:szCs w:val="16"/>
                  <w:color w:val="0000FF"/>
                </w:rPr>
                <w:t>officers and directors</w:t>
              </w:r>
            </w:hyperlink>
          </w:p>
        </w:tc>
        <w:tc>
          <w:tcPr>
            <w:tcW w:w="1360" w:type="dxa"/>
            <w:vAlign w:val="bottom"/>
            <w:tcBorders>
              <w:top w:val="single" w:sz="8" w:color="0000FF"/>
            </w:tcBorders>
            <w:gridSpan w:val="11"/>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0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10.22*</w:t>
            </w:r>
          </w:p>
        </w:tc>
        <w:tc>
          <w:tcPr>
            <w:tcW w:w="3580" w:type="dxa"/>
            <w:vAlign w:val="bottom"/>
            <w:gridSpan w:val="27"/>
          </w:tcPr>
          <w:p>
            <w:pPr>
              <w:spacing w:after="0"/>
              <w:rPr>
                <w:rFonts w:ascii="Arial" w:cs="Arial" w:eastAsia="Arial" w:hAnsi="Arial"/>
                <w:sz w:val="17"/>
                <w:szCs w:val="17"/>
                <w:color w:val="0000FF"/>
              </w:rPr>
            </w:pPr>
            <w:hyperlink r:id="rId201">
              <w:r>
                <w:rPr>
                  <w:rFonts w:ascii="Arial" w:cs="Arial" w:eastAsia="Arial" w:hAnsi="Arial"/>
                  <w:sz w:val="17"/>
                  <w:szCs w:val="17"/>
                  <w:color w:val="0000FF"/>
                </w:rPr>
                <w:t>Amended and Restated Non-Employee</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05/13/2025</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w w:val="98"/>
              </w:rPr>
              <w:t>10.10</w:t>
            </w:r>
          </w:p>
        </w:tc>
      </w:tr>
      <w:tr>
        <w:trPr>
          <w:trHeight w:val="20"/>
        </w:trPr>
        <w:tc>
          <w:tcPr>
            <w:tcW w:w="1260" w:type="dxa"/>
            <w:vAlign w:val="bottom"/>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820" w:type="dxa"/>
            <w:vAlign w:val="bottom"/>
            <w:gridSpan w:val="8"/>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580" w:type="dxa"/>
            <w:vAlign w:val="bottom"/>
            <w:gridSpan w:val="27"/>
          </w:tcPr>
          <w:p>
            <w:pPr>
              <w:spacing w:after="0" w:line="145" w:lineRule="exact"/>
              <w:rPr>
                <w:rFonts w:ascii="Arial" w:cs="Arial" w:eastAsia="Arial" w:hAnsi="Arial"/>
                <w:sz w:val="16"/>
                <w:szCs w:val="16"/>
                <w:color w:val="0000FF"/>
              </w:rPr>
            </w:pPr>
            <w:hyperlink r:id="rId201">
              <w:r>
                <w:rPr>
                  <w:rFonts w:ascii="Arial" w:cs="Arial" w:eastAsia="Arial" w:hAnsi="Arial"/>
                  <w:sz w:val="16"/>
                  <w:szCs w:val="16"/>
                  <w:color w:val="0000FF"/>
                </w:rPr>
                <w:t>Director Compensation Policy (as amended</w:t>
              </w:r>
            </w:hyperlink>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6"/>
          </w:tcPr>
          <w:p>
            <w:pPr>
              <w:spacing w:after="0" w:line="145" w:lineRule="exact"/>
              <w:rPr>
                <w:rFonts w:ascii="Arial" w:cs="Arial" w:eastAsia="Arial" w:hAnsi="Arial"/>
                <w:sz w:val="16"/>
                <w:szCs w:val="16"/>
                <w:color w:val="0000FF"/>
              </w:rPr>
            </w:pPr>
            <w:hyperlink r:id="rId201">
              <w:r>
                <w:rPr>
                  <w:rFonts w:ascii="Arial" w:cs="Arial" w:eastAsia="Arial" w:hAnsi="Arial"/>
                  <w:sz w:val="16"/>
                  <w:szCs w:val="16"/>
                  <w:color w:val="0000FF"/>
                </w:rPr>
                <w:t>through January 28, 2025)</w:t>
              </w:r>
            </w:hyperlink>
          </w:p>
        </w:tc>
        <w:tc>
          <w:tcPr>
            <w:tcW w:w="1260" w:type="dxa"/>
            <w:vAlign w:val="bottom"/>
            <w:tcBorders>
              <w:top w:val="single" w:sz="8" w:color="0000FF"/>
            </w:tcBorders>
            <w:gridSpan w:val="19"/>
          </w:tcPr>
          <w:p>
            <w:pPr>
              <w:spacing w:after="0"/>
              <w:rPr>
                <w:sz w:val="12"/>
                <w:szCs w:val="12"/>
                <w:color w:val="auto"/>
              </w:rPr>
            </w:pPr>
          </w:p>
        </w:tc>
        <w:tc>
          <w:tcPr>
            <w:tcW w:w="3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5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10.23(a)*</w:t>
            </w:r>
          </w:p>
        </w:tc>
        <w:tc>
          <w:tcPr>
            <w:tcW w:w="3040" w:type="dxa"/>
            <w:vAlign w:val="bottom"/>
            <w:tcBorders>
              <w:bottom w:val="single" w:sz="8" w:color="0000FF"/>
            </w:tcBorders>
            <w:gridSpan w:val="17"/>
          </w:tcPr>
          <w:p>
            <w:pPr>
              <w:spacing w:after="0"/>
              <w:rPr>
                <w:rFonts w:ascii="Arial" w:cs="Arial" w:eastAsia="Arial" w:hAnsi="Arial"/>
                <w:sz w:val="17"/>
                <w:szCs w:val="17"/>
                <w:color w:val="0000FF"/>
                <w:w w:val="98"/>
              </w:rPr>
            </w:pPr>
            <w:hyperlink r:id="rId202">
              <w:r>
                <w:rPr>
                  <w:rFonts w:ascii="Arial" w:cs="Arial" w:eastAsia="Arial" w:hAnsi="Arial"/>
                  <w:sz w:val="17"/>
                  <w:szCs w:val="17"/>
                  <w:color w:val="0000FF"/>
                  <w:w w:val="98"/>
                </w:rPr>
                <w:t>Employment Agreement by and between</w:t>
              </w:r>
            </w:hyperlink>
          </w:p>
        </w:tc>
        <w:tc>
          <w:tcPr>
            <w:tcW w:w="540" w:type="dxa"/>
            <w:vAlign w:val="bottom"/>
            <w:gridSpan w:val="10"/>
          </w:tcPr>
          <w:p>
            <w:pPr>
              <w:spacing w:after="0"/>
              <w:rPr>
                <w:sz w:val="24"/>
                <w:szCs w:val="24"/>
                <w:color w:val="auto"/>
              </w:rPr>
            </w:pPr>
          </w:p>
        </w:tc>
        <w:tc>
          <w:tcPr>
            <w:tcW w:w="640" w:type="dxa"/>
            <w:vAlign w:val="bottom"/>
          </w:tcPr>
          <w:p>
            <w:pPr>
              <w:jc w:val="center"/>
              <w:ind w:right="96"/>
              <w:spacing w:after="0"/>
              <w:rPr>
                <w:sz w:val="20"/>
                <w:szCs w:val="20"/>
                <w:color w:val="auto"/>
              </w:rPr>
            </w:pPr>
            <w:r>
              <w:rPr>
                <w:rFonts w:ascii="Arial" w:cs="Arial" w:eastAsia="Arial" w:hAnsi="Arial"/>
                <w:sz w:val="17"/>
                <w:szCs w:val="17"/>
                <w:color w:val="auto"/>
                <w:w w:val="98"/>
              </w:rPr>
              <w:t>8-K</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08/18/2017</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rPr>
              <w:t>10.1</w:t>
            </w:r>
          </w:p>
        </w:tc>
      </w:tr>
      <w:tr>
        <w:trPr>
          <w:trHeight w:val="144"/>
        </w:trPr>
        <w:tc>
          <w:tcPr>
            <w:tcW w:w="1260" w:type="dxa"/>
            <w:vAlign w:val="bottom"/>
          </w:tcPr>
          <w:p>
            <w:pPr>
              <w:spacing w:after="0"/>
              <w:rPr>
                <w:sz w:val="12"/>
                <w:szCs w:val="12"/>
                <w:color w:val="auto"/>
              </w:rPr>
            </w:pPr>
          </w:p>
        </w:tc>
        <w:tc>
          <w:tcPr>
            <w:tcW w:w="3580" w:type="dxa"/>
            <w:vAlign w:val="bottom"/>
            <w:gridSpan w:val="27"/>
          </w:tcPr>
          <w:p>
            <w:pPr>
              <w:spacing w:after="0" w:line="145" w:lineRule="exact"/>
              <w:rPr>
                <w:rFonts w:ascii="Arial" w:cs="Arial" w:eastAsia="Arial" w:hAnsi="Arial"/>
                <w:sz w:val="16"/>
                <w:szCs w:val="16"/>
                <w:color w:val="0000FF"/>
              </w:rPr>
            </w:pPr>
            <w:hyperlink r:id="rId202">
              <w:r>
                <w:rPr>
                  <w:rFonts w:ascii="Arial" w:cs="Arial" w:eastAsia="Arial" w:hAnsi="Arial"/>
                  <w:sz w:val="16"/>
                  <w:szCs w:val="16"/>
                  <w:color w:val="0000FF"/>
                </w:rPr>
                <w:t>Daré Bioscience, Inc. and Sabrina Martucci</w:t>
              </w:r>
            </w:hyperlink>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14"/>
          </w:tcPr>
          <w:p>
            <w:pPr>
              <w:spacing w:after="0" w:line="145" w:lineRule="exact"/>
              <w:rPr>
                <w:rFonts w:ascii="Arial" w:cs="Arial" w:eastAsia="Arial" w:hAnsi="Arial"/>
                <w:sz w:val="16"/>
                <w:szCs w:val="16"/>
                <w:color w:val="0000FF"/>
              </w:rPr>
            </w:pPr>
            <w:hyperlink r:id="rId202">
              <w:r>
                <w:rPr>
                  <w:rFonts w:ascii="Arial" w:cs="Arial" w:eastAsia="Arial" w:hAnsi="Arial"/>
                  <w:sz w:val="16"/>
                  <w:szCs w:val="16"/>
                  <w:color w:val="0000FF"/>
                </w:rPr>
                <w:t>Johnson dated as of August 15, 2017</w:t>
              </w:r>
            </w:hyperlink>
          </w:p>
        </w:tc>
        <w:tc>
          <w:tcPr>
            <w:tcW w:w="420" w:type="dxa"/>
            <w:vAlign w:val="bottom"/>
            <w:tcBorders>
              <w:top w:val="single" w:sz="8" w:color="0000FF"/>
            </w:tcBorders>
            <w:gridSpan w:val="10"/>
          </w:tcPr>
          <w:p>
            <w:pPr>
              <w:spacing w:after="0"/>
              <w:rPr>
                <w:sz w:val="12"/>
                <w:szCs w:val="12"/>
                <w:color w:val="auto"/>
              </w:rPr>
            </w:pPr>
          </w:p>
        </w:tc>
        <w:tc>
          <w:tcPr>
            <w:tcW w:w="36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358"/>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10.23(b)*</w:t>
            </w:r>
          </w:p>
        </w:tc>
        <w:tc>
          <w:tcPr>
            <w:tcW w:w="3580" w:type="dxa"/>
            <w:vAlign w:val="bottom"/>
            <w:gridSpan w:val="27"/>
          </w:tcPr>
          <w:p>
            <w:pPr>
              <w:spacing w:after="0"/>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Amendment No. 1 to Employment</w:t>
              </w:r>
            </w:hyperlink>
          </w:p>
        </w:tc>
        <w:tc>
          <w:tcPr>
            <w:tcW w:w="640" w:type="dxa"/>
            <w:vAlign w:val="bottom"/>
          </w:tcPr>
          <w:p>
            <w:pPr>
              <w:jc w:val="center"/>
              <w:ind w:right="96"/>
              <w:spacing w:after="0"/>
              <w:rPr>
                <w:sz w:val="20"/>
                <w:szCs w:val="20"/>
                <w:color w:val="auto"/>
              </w:rPr>
            </w:pPr>
            <w:r>
              <w:rPr>
                <w:rFonts w:ascii="Arial" w:cs="Arial" w:eastAsia="Arial" w:hAnsi="Arial"/>
                <w:sz w:val="17"/>
                <w:szCs w:val="17"/>
                <w:color w:val="auto"/>
              </w:rPr>
              <w:t>10-Q</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05/14/2020</w:t>
            </w:r>
          </w:p>
        </w:tc>
        <w:tc>
          <w:tcPr>
            <w:tcW w:w="2880" w:type="dxa"/>
            <w:vAlign w:val="bottom"/>
          </w:tcPr>
          <w:p>
            <w:pPr>
              <w:jc w:val="center"/>
              <w:ind w:right="1536"/>
              <w:spacing w:after="0"/>
              <w:rPr>
                <w:sz w:val="20"/>
                <w:szCs w:val="20"/>
                <w:color w:val="auto"/>
              </w:rPr>
            </w:pPr>
            <w:r>
              <w:rPr>
                <w:rFonts w:ascii="Arial" w:cs="Arial" w:eastAsia="Arial" w:hAnsi="Arial"/>
                <w:sz w:val="17"/>
                <w:szCs w:val="17"/>
                <w:color w:val="auto"/>
                <w:w w:val="97"/>
              </w:rPr>
              <w:t>10.13(b)</w:t>
            </w:r>
          </w:p>
        </w:tc>
      </w:tr>
    </w:tbl>
    <w:p>
      <w:pPr>
        <w:ind w:left="1260"/>
        <w:spacing w:after="0" w:line="201"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Agreement between Daré Bioscience, Inc.</w:t>
        </w:r>
      </w:hyperlink>
    </w:p>
    <w:p>
      <w:pPr>
        <w:ind w:left="1260"/>
        <w:spacing w:after="0" w:line="217"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and Sabrina Martucci Johnson dated as of</w:t>
        </w:r>
      </w:hyperlink>
    </w:p>
    <w:p>
      <w:pPr>
        <w:spacing w:after="0" w:line="1" w:lineRule="exact"/>
        <w:rPr>
          <w:sz w:val="20"/>
          <w:szCs w:val="20"/>
          <w:color w:val="auto"/>
        </w:rPr>
      </w:pPr>
    </w:p>
    <w:p>
      <w:pPr>
        <w:ind w:left="1260"/>
        <w:spacing w:after="0"/>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March 9, 2020</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95"/>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10.23(c)*</w:t>
            </w:r>
          </w:p>
        </w:tc>
        <w:tc>
          <w:tcPr>
            <w:tcW w:w="3480" w:type="dxa"/>
            <w:vAlign w:val="bottom"/>
            <w:gridSpan w:val="18"/>
          </w:tcPr>
          <w:p>
            <w:pPr>
              <w:spacing w:after="0"/>
              <w:rPr>
                <w:rFonts w:ascii="Arial" w:cs="Arial" w:eastAsia="Arial" w:hAnsi="Arial"/>
                <w:sz w:val="17"/>
                <w:szCs w:val="17"/>
                <w:color w:val="0000FF"/>
              </w:rPr>
            </w:pPr>
            <w:hyperlink r:id="rId205">
              <w:r>
                <w:rPr>
                  <w:rFonts w:ascii="Arial" w:cs="Arial" w:eastAsia="Arial" w:hAnsi="Arial"/>
                  <w:sz w:val="17"/>
                  <w:szCs w:val="17"/>
                  <w:color w:val="0000FF"/>
                </w:rPr>
                <w:t>Amendment No. 2 to Employment</w:t>
              </w:r>
            </w:hyperlink>
          </w:p>
        </w:tc>
        <w:tc>
          <w:tcPr>
            <w:tcW w:w="640" w:type="dxa"/>
            <w:vAlign w:val="bottom"/>
          </w:tcPr>
          <w:p>
            <w:pPr>
              <w:ind w:left="14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right"/>
              <w:ind w:right="316"/>
              <w:spacing w:after="0"/>
              <w:rPr>
                <w:sz w:val="20"/>
                <w:szCs w:val="20"/>
                <w:color w:val="auto"/>
              </w:rPr>
            </w:pPr>
            <w:r>
              <w:rPr>
                <w:rFonts w:ascii="Arial" w:cs="Arial" w:eastAsia="Arial" w:hAnsi="Arial"/>
                <w:sz w:val="17"/>
                <w:szCs w:val="17"/>
                <w:color w:val="auto"/>
              </w:rPr>
              <w:t>08/12/2024</w:t>
            </w:r>
          </w:p>
        </w:tc>
        <w:tc>
          <w:tcPr>
            <w:tcW w:w="2860" w:type="dxa"/>
            <w:vAlign w:val="bottom"/>
          </w:tcPr>
          <w:p>
            <w:pPr>
              <w:ind w:left="400"/>
              <w:spacing w:after="0"/>
              <w:rPr>
                <w:sz w:val="20"/>
                <w:szCs w:val="20"/>
                <w:color w:val="auto"/>
              </w:rPr>
            </w:pPr>
            <w:r>
              <w:rPr>
                <w:rFonts w:ascii="Arial" w:cs="Arial" w:eastAsia="Arial" w:hAnsi="Arial"/>
                <w:sz w:val="17"/>
                <w:szCs w:val="17"/>
                <w:color w:val="auto"/>
              </w:rPr>
              <w:t>10.5</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160" w:type="dxa"/>
            <w:vAlign w:val="bottom"/>
            <w:tcBorders>
              <w:bottom w:val="single" w:sz="8" w:color="0000FF"/>
            </w:tcBorders>
            <w:gridSpan w:val="14"/>
          </w:tcPr>
          <w:p>
            <w:pPr>
              <w:spacing w:after="0" w:line="145" w:lineRule="exact"/>
              <w:rPr>
                <w:rFonts w:ascii="Arial" w:cs="Arial" w:eastAsia="Arial" w:hAnsi="Arial"/>
                <w:sz w:val="16"/>
                <w:szCs w:val="16"/>
                <w:color w:val="0000FF"/>
              </w:rPr>
            </w:pPr>
            <w:hyperlink r:id="rId205">
              <w:r>
                <w:rPr>
                  <w:rFonts w:ascii="Arial" w:cs="Arial" w:eastAsia="Arial" w:hAnsi="Arial"/>
                  <w:sz w:val="16"/>
                  <w:szCs w:val="16"/>
                  <w:color w:val="0000FF"/>
                </w:rPr>
                <w:t>Agreement between Daré Bioscience, Inc.</w:t>
              </w:r>
            </w:hyperlink>
          </w:p>
        </w:tc>
        <w:tc>
          <w:tcPr>
            <w:tcW w:w="32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480" w:type="dxa"/>
            <w:vAlign w:val="bottom"/>
            <w:gridSpan w:val="18"/>
          </w:tcPr>
          <w:p>
            <w:pPr>
              <w:spacing w:after="0" w:line="145" w:lineRule="exact"/>
              <w:rPr>
                <w:rFonts w:ascii="Arial" w:cs="Arial" w:eastAsia="Arial" w:hAnsi="Arial"/>
                <w:sz w:val="16"/>
                <w:szCs w:val="16"/>
                <w:color w:val="0000FF"/>
              </w:rPr>
            </w:pPr>
            <w:hyperlink r:id="rId205">
              <w:r>
                <w:rPr>
                  <w:rFonts w:ascii="Arial" w:cs="Arial" w:eastAsia="Arial" w:hAnsi="Arial"/>
                  <w:sz w:val="16"/>
                  <w:szCs w:val="16"/>
                  <w:color w:val="0000FF"/>
                </w:rPr>
                <w:t>and Sabrina Martucci Johnson, dated as of</w:t>
              </w:r>
            </w:hyperlink>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57"/>
        </w:trPr>
        <w:tc>
          <w:tcPr>
            <w:tcW w:w="126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7" w:lineRule="exact"/>
              <w:rPr>
                <w:rFonts w:ascii="Arial" w:cs="Arial" w:eastAsia="Arial" w:hAnsi="Arial"/>
                <w:sz w:val="17"/>
                <w:szCs w:val="17"/>
                <w:color w:val="0000FF"/>
                <w:w w:val="97"/>
              </w:rPr>
            </w:pPr>
            <w:hyperlink r:id="rId205">
              <w:r>
                <w:rPr>
                  <w:rFonts w:ascii="Arial" w:cs="Arial" w:eastAsia="Arial" w:hAnsi="Arial"/>
                  <w:sz w:val="17"/>
                  <w:szCs w:val="17"/>
                  <w:color w:val="0000FF"/>
                  <w:w w:val="97"/>
                </w:rPr>
                <w:t>May 20, 2024</w:t>
              </w:r>
            </w:hyperlink>
          </w:p>
        </w:tc>
        <w:tc>
          <w:tcPr>
            <w:tcW w:w="218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46"/>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10.24*</w:t>
            </w:r>
          </w:p>
        </w:tc>
        <w:tc>
          <w:tcPr>
            <w:tcW w:w="3480" w:type="dxa"/>
            <w:vAlign w:val="bottom"/>
            <w:gridSpan w:val="18"/>
          </w:tcPr>
          <w:p>
            <w:pPr>
              <w:spacing w:after="0"/>
              <w:rPr>
                <w:rFonts w:ascii="Arial" w:cs="Arial" w:eastAsia="Arial" w:hAnsi="Arial"/>
                <w:sz w:val="17"/>
                <w:szCs w:val="17"/>
                <w:color w:val="0000FF"/>
              </w:rPr>
            </w:pPr>
            <w:hyperlink r:id="rId206">
              <w:r>
                <w:rPr>
                  <w:rFonts w:ascii="Arial" w:cs="Arial" w:eastAsia="Arial" w:hAnsi="Arial"/>
                  <w:sz w:val="17"/>
                  <w:szCs w:val="17"/>
                  <w:color w:val="0000FF"/>
                </w:rPr>
                <w:t>Daré Bioscience, Inc. Change in Control</w:t>
              </w:r>
            </w:hyperlink>
          </w:p>
        </w:tc>
        <w:tc>
          <w:tcPr>
            <w:tcW w:w="640" w:type="dxa"/>
            <w:vAlign w:val="bottom"/>
          </w:tcPr>
          <w:p>
            <w:pPr>
              <w:ind w:left="140"/>
              <w:spacing w:after="0"/>
              <w:rPr>
                <w:sz w:val="20"/>
                <w:szCs w:val="20"/>
                <w:color w:val="auto"/>
              </w:rPr>
            </w:pPr>
            <w:r>
              <w:rPr>
                <w:rFonts w:ascii="Arial" w:cs="Arial" w:eastAsia="Arial" w:hAnsi="Arial"/>
                <w:sz w:val="17"/>
                <w:szCs w:val="17"/>
                <w:color w:val="auto"/>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333-251599</w:t>
            </w:r>
          </w:p>
        </w:tc>
        <w:tc>
          <w:tcPr>
            <w:tcW w:w="1500" w:type="dxa"/>
            <w:vAlign w:val="bottom"/>
          </w:tcPr>
          <w:p>
            <w:pPr>
              <w:jc w:val="right"/>
              <w:ind w:right="316"/>
              <w:spacing w:after="0"/>
              <w:rPr>
                <w:sz w:val="20"/>
                <w:szCs w:val="20"/>
                <w:color w:val="auto"/>
              </w:rPr>
            </w:pPr>
            <w:r>
              <w:rPr>
                <w:rFonts w:ascii="Arial" w:cs="Arial" w:eastAsia="Arial" w:hAnsi="Arial"/>
                <w:sz w:val="17"/>
                <w:szCs w:val="17"/>
                <w:color w:val="auto"/>
              </w:rPr>
              <w:t>08/12/2024</w:t>
            </w:r>
          </w:p>
        </w:tc>
        <w:tc>
          <w:tcPr>
            <w:tcW w:w="2860" w:type="dxa"/>
            <w:vAlign w:val="bottom"/>
          </w:tcPr>
          <w:p>
            <w:pPr>
              <w:ind w:left="400"/>
              <w:spacing w:after="0"/>
              <w:rPr>
                <w:sz w:val="20"/>
                <w:szCs w:val="20"/>
                <w:color w:val="auto"/>
              </w:rPr>
            </w:pPr>
            <w:r>
              <w:rPr>
                <w:rFonts w:ascii="Arial" w:cs="Arial" w:eastAsia="Arial" w:hAnsi="Arial"/>
                <w:sz w:val="17"/>
                <w:szCs w:val="17"/>
                <w:color w:val="auto"/>
              </w:rPr>
              <w:t>10.6</w:t>
            </w:r>
          </w:p>
        </w:tc>
      </w:tr>
      <w:tr>
        <w:trPr>
          <w:trHeight w:val="144"/>
        </w:trPr>
        <w:tc>
          <w:tcPr>
            <w:tcW w:w="1260" w:type="dxa"/>
            <w:vAlign w:val="bottom"/>
          </w:tcPr>
          <w:p>
            <w:pPr>
              <w:spacing w:after="0"/>
              <w:rPr>
                <w:sz w:val="12"/>
                <w:szCs w:val="12"/>
                <w:color w:val="auto"/>
              </w:rPr>
            </w:pPr>
          </w:p>
        </w:tc>
        <w:tc>
          <w:tcPr>
            <w:tcW w:w="2860" w:type="dxa"/>
            <w:vAlign w:val="bottom"/>
            <w:tcBorders>
              <w:top w:val="single" w:sz="8" w:color="0000FF"/>
              <w:bottom w:val="single" w:sz="8" w:color="0000FF"/>
            </w:tcBorders>
            <w:gridSpan w:val="9"/>
          </w:tcPr>
          <w:p>
            <w:pPr>
              <w:spacing w:after="0" w:line="145" w:lineRule="exact"/>
              <w:rPr>
                <w:rFonts w:ascii="Arial" w:cs="Arial" w:eastAsia="Arial" w:hAnsi="Arial"/>
                <w:sz w:val="16"/>
                <w:szCs w:val="16"/>
                <w:color w:val="0000FF"/>
              </w:rPr>
            </w:pPr>
            <w:hyperlink r:id="rId206">
              <w:r>
                <w:rPr>
                  <w:rFonts w:ascii="Arial" w:cs="Arial" w:eastAsia="Arial" w:hAnsi="Arial"/>
                  <w:sz w:val="16"/>
                  <w:szCs w:val="16"/>
                  <w:color w:val="0000FF"/>
                </w:rPr>
                <w:t>Policy (as amended on April 29, 2024)</w:t>
              </w:r>
            </w:hyperlink>
          </w:p>
        </w:tc>
        <w:tc>
          <w:tcPr>
            <w:tcW w:w="1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342"/>
        </w:trPr>
        <w:tc>
          <w:tcPr>
            <w:tcW w:w="4740" w:type="dxa"/>
            <w:vAlign w:val="bottom"/>
            <w:gridSpan w:val="19"/>
          </w:tcPr>
          <w:p>
            <w:pPr>
              <w:ind w:left="20"/>
              <w:spacing w:after="0"/>
              <w:rPr>
                <w:sz w:val="20"/>
                <w:szCs w:val="20"/>
                <w:color w:val="auto"/>
              </w:rPr>
            </w:pPr>
            <w:r>
              <w:rPr>
                <w:rFonts w:ascii="Arial" w:cs="Arial" w:eastAsia="Arial" w:hAnsi="Arial"/>
                <w:sz w:val="17"/>
                <w:szCs w:val="17"/>
                <w:i w:val="1"/>
                <w:iCs w:val="1"/>
                <w:color w:val="auto"/>
              </w:rPr>
              <w:t>OTHER EXHIBITS</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1"/>
        </w:trPr>
        <w:tc>
          <w:tcPr>
            <w:tcW w:w="1260" w:type="dxa"/>
            <w:vAlign w:val="bottom"/>
          </w:tcPr>
          <w:p>
            <w:pPr>
              <w:jc w:val="center"/>
              <w:ind w:right="156"/>
              <w:spacing w:after="0" w:line="181" w:lineRule="exact"/>
              <w:rPr>
                <w:sz w:val="20"/>
                <w:szCs w:val="20"/>
                <w:color w:val="auto"/>
              </w:rPr>
            </w:pPr>
            <w:r>
              <w:rPr>
                <w:rFonts w:ascii="Arial" w:cs="Arial" w:eastAsia="Arial" w:hAnsi="Arial"/>
                <w:sz w:val="17"/>
                <w:szCs w:val="17"/>
                <w:color w:val="auto"/>
              </w:rPr>
              <w:t>19.1</w:t>
            </w:r>
          </w:p>
        </w:tc>
        <w:tc>
          <w:tcPr>
            <w:tcW w:w="3480" w:type="dxa"/>
            <w:vAlign w:val="bottom"/>
            <w:gridSpan w:val="18"/>
          </w:tcPr>
          <w:p>
            <w:pPr>
              <w:spacing w:after="0" w:line="181" w:lineRule="exact"/>
              <w:rPr>
                <w:rFonts w:ascii="Arial" w:cs="Arial" w:eastAsia="Arial" w:hAnsi="Arial"/>
                <w:sz w:val="17"/>
                <w:szCs w:val="17"/>
                <w:color w:val="0000FF"/>
              </w:rPr>
            </w:pPr>
            <w:hyperlink r:id="rId207">
              <w:r>
                <w:rPr>
                  <w:rFonts w:ascii="Arial" w:cs="Arial" w:eastAsia="Arial" w:hAnsi="Arial"/>
                  <w:sz w:val="17"/>
                  <w:szCs w:val="17"/>
                  <w:color w:val="0000FF"/>
                </w:rPr>
                <w:t>Daré Bioscience, Inc. Amended and</w:t>
              </w:r>
            </w:hyperlink>
          </w:p>
        </w:tc>
        <w:tc>
          <w:tcPr>
            <w:tcW w:w="640" w:type="dxa"/>
            <w:vAlign w:val="bottom"/>
          </w:tcPr>
          <w:p>
            <w:pPr>
              <w:ind w:left="160"/>
              <w:spacing w:after="0" w:line="181" w:lineRule="exact"/>
              <w:rPr>
                <w:sz w:val="20"/>
                <w:szCs w:val="20"/>
                <w:color w:val="auto"/>
              </w:rPr>
            </w:pPr>
            <w:r>
              <w:rPr>
                <w:rFonts w:ascii="Arial" w:cs="Arial" w:eastAsia="Arial" w:hAnsi="Arial"/>
                <w:sz w:val="17"/>
                <w:szCs w:val="17"/>
                <w:color w:val="auto"/>
              </w:rPr>
              <w:t>10-K</w:t>
            </w:r>
          </w:p>
        </w:tc>
        <w:tc>
          <w:tcPr>
            <w:tcW w:w="1500" w:type="dxa"/>
            <w:vAlign w:val="bottom"/>
          </w:tcPr>
          <w:p>
            <w:pPr>
              <w:jc w:val="center"/>
              <w:spacing w:after="0" w:line="181" w:lineRule="exact"/>
              <w:rPr>
                <w:sz w:val="20"/>
                <w:szCs w:val="20"/>
                <w:color w:val="auto"/>
              </w:rPr>
            </w:pPr>
            <w:r>
              <w:rPr>
                <w:rFonts w:ascii="Arial" w:cs="Arial" w:eastAsia="Arial" w:hAnsi="Arial"/>
                <w:sz w:val="17"/>
                <w:szCs w:val="17"/>
                <w:color w:val="auto"/>
                <w:w w:val="98"/>
              </w:rPr>
              <w:t>001-36395</w:t>
            </w:r>
          </w:p>
        </w:tc>
        <w:tc>
          <w:tcPr>
            <w:tcW w:w="1500" w:type="dxa"/>
            <w:vAlign w:val="bottom"/>
          </w:tcPr>
          <w:p>
            <w:pPr>
              <w:jc w:val="right"/>
              <w:ind w:right="316"/>
              <w:spacing w:after="0" w:line="181" w:lineRule="exact"/>
              <w:rPr>
                <w:sz w:val="20"/>
                <w:szCs w:val="20"/>
                <w:color w:val="auto"/>
              </w:rPr>
            </w:pPr>
            <w:r>
              <w:rPr>
                <w:rFonts w:ascii="Arial" w:cs="Arial" w:eastAsia="Arial" w:hAnsi="Arial"/>
                <w:sz w:val="17"/>
                <w:szCs w:val="17"/>
                <w:color w:val="auto"/>
              </w:rPr>
              <w:t>03/31/2025</w:t>
            </w:r>
          </w:p>
        </w:tc>
        <w:tc>
          <w:tcPr>
            <w:tcW w:w="2860" w:type="dxa"/>
            <w:vAlign w:val="bottom"/>
          </w:tcPr>
          <w:p>
            <w:pPr>
              <w:ind w:left="400"/>
              <w:spacing w:after="0" w:line="181" w:lineRule="exact"/>
              <w:rPr>
                <w:sz w:val="20"/>
                <w:szCs w:val="20"/>
                <w:color w:val="auto"/>
              </w:rPr>
            </w:pPr>
            <w:r>
              <w:rPr>
                <w:rFonts w:ascii="Arial" w:cs="Arial" w:eastAsia="Arial" w:hAnsi="Arial"/>
                <w:sz w:val="17"/>
                <w:szCs w:val="17"/>
                <w:color w:val="auto"/>
              </w:rPr>
              <w:t>19.1</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480" w:type="dxa"/>
            <w:vAlign w:val="bottom"/>
            <w:gridSpan w:val="18"/>
          </w:tcPr>
          <w:p>
            <w:pPr>
              <w:spacing w:after="0" w:line="145" w:lineRule="exact"/>
              <w:rPr>
                <w:rFonts w:ascii="Arial" w:cs="Arial" w:eastAsia="Arial" w:hAnsi="Arial"/>
                <w:sz w:val="16"/>
                <w:szCs w:val="16"/>
                <w:color w:val="0000FF"/>
              </w:rPr>
            </w:pPr>
            <w:hyperlink r:id="rId207">
              <w:r>
                <w:rPr>
                  <w:rFonts w:ascii="Arial" w:cs="Arial" w:eastAsia="Arial" w:hAnsi="Arial"/>
                  <w:sz w:val="16"/>
                  <w:szCs w:val="16"/>
                  <w:color w:val="0000FF"/>
                </w:rPr>
                <w:t>Restated Insider Trading Policy (October 22,</w:t>
              </w:r>
            </w:hyperlink>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w w:val="97"/>
              </w:rPr>
            </w:pPr>
            <w:hyperlink r:id="rId207">
              <w:r>
                <w:rPr>
                  <w:rFonts w:ascii="Arial" w:cs="Arial" w:eastAsia="Arial" w:hAnsi="Arial"/>
                  <w:sz w:val="16"/>
                  <w:szCs w:val="16"/>
                  <w:color w:val="0000FF"/>
                  <w:w w:val="97"/>
                </w:rPr>
                <w:t>2024)</w:t>
              </w:r>
            </w:hyperlink>
          </w:p>
        </w:tc>
        <w:tc>
          <w:tcPr>
            <w:tcW w:w="60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35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21.1</w:t>
            </w:r>
          </w:p>
        </w:tc>
        <w:tc>
          <w:tcPr>
            <w:tcW w:w="21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Subsidiaries of the registrant</w:t>
            </w:r>
          </w:p>
        </w:tc>
        <w:tc>
          <w:tcPr>
            <w:tcW w:w="1340" w:type="dxa"/>
            <w:vAlign w:val="bottom"/>
            <w:gridSpan w:val="14"/>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346"/>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23.1</w:t>
            </w:r>
          </w:p>
        </w:tc>
        <w:tc>
          <w:tcPr>
            <w:tcW w:w="24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Consent of Haskell &amp; White LLP</w:t>
            </w:r>
          </w:p>
        </w:tc>
        <w:tc>
          <w:tcPr>
            <w:tcW w:w="10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195"/>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23.2</w:t>
            </w:r>
          </w:p>
        </w:tc>
        <w:tc>
          <w:tcPr>
            <w:tcW w:w="24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Consent of Haskell &amp; White LLP</w:t>
            </w:r>
          </w:p>
        </w:tc>
        <w:tc>
          <w:tcPr>
            <w:tcW w:w="1080" w:type="dxa"/>
            <w:vAlign w:val="bottom"/>
            <w:gridSpan w:val="13"/>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346"/>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31.1</w:t>
            </w:r>
          </w:p>
        </w:tc>
        <w:tc>
          <w:tcPr>
            <w:tcW w:w="3480" w:type="dxa"/>
            <w:vAlign w:val="bottom"/>
            <w:gridSpan w:val="18"/>
          </w:tcPr>
          <w:p>
            <w:pPr>
              <w:spacing w:after="0"/>
              <w:rPr>
                <w:sz w:val="20"/>
                <w:szCs w:val="20"/>
                <w:color w:val="auto"/>
              </w:rPr>
            </w:pPr>
            <w:r>
              <w:rPr>
                <w:rFonts w:ascii="Arial" w:cs="Arial" w:eastAsia="Arial" w:hAnsi="Arial"/>
                <w:sz w:val="17"/>
                <w:szCs w:val="17"/>
                <w:color w:val="0000FF"/>
              </w:rPr>
              <w:t>Certification of Principal Executive Officer</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480" w:type="dxa"/>
            <w:vAlign w:val="bottom"/>
            <w:gridSpan w:val="18"/>
          </w:tcPr>
          <w:p>
            <w:pPr>
              <w:spacing w:after="0" w:line="145" w:lineRule="exact"/>
              <w:rPr>
                <w:sz w:val="20"/>
                <w:szCs w:val="20"/>
                <w:color w:val="auto"/>
              </w:rPr>
            </w:pPr>
            <w:r>
              <w:rPr>
                <w:rFonts w:ascii="Arial" w:cs="Arial" w:eastAsia="Arial" w:hAnsi="Arial"/>
                <w:sz w:val="16"/>
                <w:szCs w:val="16"/>
                <w:color w:val="0000FF"/>
              </w:rPr>
              <w:t>and Principal Financial Officer pursuant to</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13"/>
          </w:tcPr>
          <w:p>
            <w:pPr>
              <w:spacing w:after="0" w:line="145" w:lineRule="exact"/>
              <w:rPr>
                <w:sz w:val="20"/>
                <w:szCs w:val="20"/>
                <w:color w:val="auto"/>
              </w:rPr>
            </w:pPr>
            <w:r>
              <w:rPr>
                <w:rFonts w:ascii="Arial" w:cs="Arial" w:eastAsia="Arial" w:hAnsi="Arial"/>
                <w:sz w:val="16"/>
                <w:szCs w:val="16"/>
                <w:color w:val="0000FF"/>
              </w:rPr>
              <w:t>Rule 13a-14(a)/15d-14(a) of the Securities</w:t>
            </w:r>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57"/>
        </w:trPr>
        <w:tc>
          <w:tcPr>
            <w:tcW w:w="1260" w:type="dxa"/>
            <w:vAlign w:val="bottom"/>
          </w:tcPr>
          <w:p>
            <w:pPr>
              <w:spacing w:after="0"/>
              <w:rPr>
                <w:sz w:val="13"/>
                <w:szCs w:val="13"/>
                <w:color w:val="auto"/>
              </w:rPr>
            </w:pPr>
          </w:p>
        </w:tc>
        <w:tc>
          <w:tcPr>
            <w:tcW w:w="3160" w:type="dxa"/>
            <w:vAlign w:val="bottom"/>
            <w:gridSpan w:val="14"/>
          </w:tcPr>
          <w:p>
            <w:pPr>
              <w:spacing w:after="0" w:line="157" w:lineRule="exact"/>
              <w:rPr>
                <w:sz w:val="20"/>
                <w:szCs w:val="20"/>
                <w:color w:val="auto"/>
              </w:rPr>
            </w:pPr>
            <w:r>
              <w:rPr>
                <w:rFonts w:ascii="Arial" w:cs="Arial" w:eastAsia="Arial" w:hAnsi="Arial"/>
                <w:sz w:val="17"/>
                <w:szCs w:val="17"/>
                <w:color w:val="0000FF"/>
              </w:rPr>
              <w:t>Exchange Act of 1934, as amended</w:t>
            </w:r>
          </w:p>
        </w:tc>
        <w:tc>
          <w:tcPr>
            <w:tcW w:w="10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83"/>
        </w:trPr>
        <w:tc>
          <w:tcPr>
            <w:tcW w:w="1260" w:type="dxa"/>
            <w:vAlign w:val="bottom"/>
          </w:tcPr>
          <w:p>
            <w:pPr>
              <w:jc w:val="center"/>
              <w:ind w:right="156"/>
              <w:spacing w:after="0"/>
              <w:rPr>
                <w:sz w:val="20"/>
                <w:szCs w:val="20"/>
                <w:color w:val="auto"/>
              </w:rPr>
            </w:pPr>
            <w:r>
              <w:rPr>
                <w:rFonts w:ascii="Arial" w:cs="Arial" w:eastAsia="Arial" w:hAnsi="Arial"/>
                <w:sz w:val="17"/>
                <w:szCs w:val="17"/>
                <w:color w:val="auto"/>
                <w:w w:val="98"/>
              </w:rPr>
              <w:t>32.1#</w:t>
            </w:r>
          </w:p>
        </w:tc>
        <w:tc>
          <w:tcPr>
            <w:tcW w:w="3480" w:type="dxa"/>
            <w:vAlign w:val="bottom"/>
            <w:gridSpan w:val="18"/>
          </w:tcPr>
          <w:p>
            <w:pPr>
              <w:spacing w:after="0"/>
              <w:rPr>
                <w:sz w:val="20"/>
                <w:szCs w:val="20"/>
                <w:color w:val="auto"/>
              </w:rPr>
            </w:pPr>
            <w:r>
              <w:rPr>
                <w:rFonts w:ascii="Arial" w:cs="Arial" w:eastAsia="Arial" w:hAnsi="Arial"/>
                <w:sz w:val="17"/>
                <w:szCs w:val="17"/>
                <w:color w:val="0000FF"/>
              </w:rPr>
              <w:t>Certification of Principal Executive Officer</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44"/>
        </w:trPr>
        <w:tc>
          <w:tcPr>
            <w:tcW w:w="1260" w:type="dxa"/>
            <w:vAlign w:val="bottom"/>
          </w:tcPr>
          <w:p>
            <w:pPr>
              <w:spacing w:after="0"/>
              <w:rPr>
                <w:sz w:val="12"/>
                <w:szCs w:val="12"/>
                <w:color w:val="auto"/>
              </w:rPr>
            </w:pPr>
          </w:p>
        </w:tc>
        <w:tc>
          <w:tcPr>
            <w:tcW w:w="3480" w:type="dxa"/>
            <w:vAlign w:val="bottom"/>
            <w:gridSpan w:val="18"/>
          </w:tcPr>
          <w:p>
            <w:pPr>
              <w:spacing w:after="0" w:line="145" w:lineRule="exact"/>
              <w:rPr>
                <w:sz w:val="20"/>
                <w:szCs w:val="20"/>
                <w:color w:val="auto"/>
              </w:rPr>
            </w:pPr>
            <w:r>
              <w:rPr>
                <w:rFonts w:ascii="Arial" w:cs="Arial" w:eastAsia="Arial" w:hAnsi="Arial"/>
                <w:sz w:val="16"/>
                <w:szCs w:val="16"/>
                <w:color w:val="0000FF"/>
              </w:rPr>
              <w:t>and Principal Financial Officer pursuant to</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20" w:type="dxa"/>
            <w:vAlign w:val="bottom"/>
            <w:tcBorders>
              <w:top w:val="single" w:sz="8" w:color="0000FF"/>
            </w:tcBorders>
            <w:gridSpan w:val="12"/>
          </w:tcPr>
          <w:p>
            <w:pPr>
              <w:spacing w:after="0" w:line="145" w:lineRule="exact"/>
              <w:rPr>
                <w:sz w:val="20"/>
                <w:szCs w:val="20"/>
                <w:color w:val="auto"/>
              </w:rPr>
            </w:pPr>
            <w:r>
              <w:rPr>
                <w:rFonts w:ascii="Arial" w:cs="Arial" w:eastAsia="Arial" w:hAnsi="Arial"/>
                <w:sz w:val="16"/>
                <w:szCs w:val="16"/>
                <w:color w:val="0000FF"/>
              </w:rPr>
              <w:t>18 U.S.C. §1350, as adopted pursuant to</w:t>
            </w:r>
          </w:p>
        </w:tc>
        <w:tc>
          <w:tcPr>
            <w:tcW w:w="140" w:type="dxa"/>
            <w:vAlign w:val="bottom"/>
            <w:gridSpan w:val="4"/>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57"/>
        </w:trPr>
        <w:tc>
          <w:tcPr>
            <w:tcW w:w="126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1"/>
          </w:tcPr>
          <w:p>
            <w:pPr>
              <w:spacing w:after="0" w:line="157" w:lineRule="exact"/>
              <w:rPr>
                <w:sz w:val="20"/>
                <w:szCs w:val="20"/>
                <w:color w:val="auto"/>
              </w:rPr>
            </w:pPr>
            <w:r>
              <w:rPr>
                <w:rFonts w:ascii="Arial" w:cs="Arial" w:eastAsia="Arial" w:hAnsi="Arial"/>
                <w:sz w:val="17"/>
                <w:szCs w:val="17"/>
                <w:color w:val="0000FF"/>
                <w:w w:val="97"/>
              </w:rPr>
              <w:t>Section 906 of the Sarbanes-Oxley Act of</w:t>
            </w:r>
          </w:p>
        </w:tc>
        <w:tc>
          <w:tcPr>
            <w:tcW w:w="18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144"/>
        </w:trPr>
        <w:tc>
          <w:tcPr>
            <w:tcW w:w="1260" w:type="dxa"/>
            <w:vAlign w:val="bottom"/>
          </w:tcPr>
          <w:p>
            <w:pPr>
              <w:spacing w:after="0"/>
              <w:rPr>
                <w:sz w:val="12"/>
                <w:szCs w:val="12"/>
                <w:color w:val="auto"/>
              </w:rPr>
            </w:pPr>
          </w:p>
        </w:tc>
        <w:tc>
          <w:tcPr>
            <w:tcW w:w="380" w:type="dxa"/>
            <w:vAlign w:val="bottom"/>
            <w:tcBorders>
              <w:bottom w:val="single" w:sz="8" w:color="0000FF"/>
            </w:tcBorders>
          </w:tcPr>
          <w:p>
            <w:pPr>
              <w:spacing w:after="0" w:line="145" w:lineRule="exact"/>
              <w:rPr>
                <w:sz w:val="20"/>
                <w:szCs w:val="20"/>
                <w:color w:val="auto"/>
              </w:rPr>
            </w:pPr>
            <w:r>
              <w:rPr>
                <w:rFonts w:ascii="Arial" w:cs="Arial" w:eastAsia="Arial" w:hAnsi="Arial"/>
                <w:sz w:val="16"/>
                <w:szCs w:val="16"/>
                <w:color w:val="0000FF"/>
              </w:rPr>
              <w:t>2002</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359"/>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97*</w:t>
            </w:r>
          </w:p>
        </w:tc>
        <w:tc>
          <w:tcPr>
            <w:tcW w:w="3480" w:type="dxa"/>
            <w:vAlign w:val="bottom"/>
            <w:gridSpan w:val="18"/>
          </w:tcPr>
          <w:p>
            <w:pPr>
              <w:spacing w:after="0"/>
              <w:rPr>
                <w:rFonts w:ascii="Arial" w:cs="Arial" w:eastAsia="Arial" w:hAnsi="Arial"/>
                <w:sz w:val="17"/>
                <w:szCs w:val="17"/>
                <w:color w:val="0000FF"/>
              </w:rPr>
            </w:pPr>
            <w:hyperlink r:id="rId208">
              <w:r>
                <w:rPr>
                  <w:rFonts w:ascii="Arial" w:cs="Arial" w:eastAsia="Arial" w:hAnsi="Arial"/>
                  <w:sz w:val="17"/>
                  <w:szCs w:val="17"/>
                  <w:color w:val="0000FF"/>
                </w:rPr>
                <w:t>Dare Bioscience, Inc. Policy on Recovery of</w:t>
              </w:r>
            </w:hyperlink>
          </w:p>
        </w:tc>
        <w:tc>
          <w:tcPr>
            <w:tcW w:w="640" w:type="dxa"/>
            <w:vAlign w:val="bottom"/>
          </w:tcPr>
          <w:p>
            <w:pPr>
              <w:ind w:left="160"/>
              <w:spacing w:after="0"/>
              <w:rPr>
                <w:sz w:val="20"/>
                <w:szCs w:val="20"/>
                <w:color w:val="auto"/>
              </w:rPr>
            </w:pPr>
            <w:r>
              <w:rPr>
                <w:rFonts w:ascii="Arial" w:cs="Arial" w:eastAsia="Arial" w:hAnsi="Arial"/>
                <w:sz w:val="17"/>
                <w:szCs w:val="17"/>
                <w:color w:val="auto"/>
              </w:rPr>
              <w:t>10-K</w:t>
            </w:r>
          </w:p>
        </w:tc>
        <w:tc>
          <w:tcPr>
            <w:tcW w:w="1500" w:type="dxa"/>
            <w:vAlign w:val="bottom"/>
          </w:tcPr>
          <w:p>
            <w:pPr>
              <w:jc w:val="center"/>
              <w:spacing w:after="0"/>
              <w:rPr>
                <w:sz w:val="20"/>
                <w:szCs w:val="20"/>
                <w:color w:val="auto"/>
              </w:rPr>
            </w:pPr>
            <w:r>
              <w:rPr>
                <w:rFonts w:ascii="Arial" w:cs="Arial" w:eastAsia="Arial" w:hAnsi="Arial"/>
                <w:sz w:val="17"/>
                <w:szCs w:val="17"/>
                <w:color w:val="auto"/>
                <w:w w:val="98"/>
              </w:rPr>
              <w:t>001-36395</w:t>
            </w:r>
          </w:p>
        </w:tc>
        <w:tc>
          <w:tcPr>
            <w:tcW w:w="1500" w:type="dxa"/>
            <w:vAlign w:val="bottom"/>
          </w:tcPr>
          <w:p>
            <w:pPr>
              <w:jc w:val="right"/>
              <w:ind w:right="316"/>
              <w:spacing w:after="0"/>
              <w:rPr>
                <w:sz w:val="20"/>
                <w:szCs w:val="20"/>
                <w:color w:val="auto"/>
              </w:rPr>
            </w:pPr>
            <w:r>
              <w:rPr>
                <w:rFonts w:ascii="Arial" w:cs="Arial" w:eastAsia="Arial" w:hAnsi="Arial"/>
                <w:sz w:val="17"/>
                <w:szCs w:val="17"/>
                <w:color w:val="auto"/>
              </w:rPr>
              <w:t>03/28/2024</w:t>
            </w:r>
          </w:p>
        </w:tc>
        <w:tc>
          <w:tcPr>
            <w:tcW w:w="2860" w:type="dxa"/>
            <w:vAlign w:val="bottom"/>
          </w:tcPr>
          <w:p>
            <w:pPr>
              <w:ind w:left="400"/>
              <w:spacing w:after="0"/>
              <w:rPr>
                <w:sz w:val="20"/>
                <w:szCs w:val="20"/>
                <w:color w:val="auto"/>
              </w:rPr>
            </w:pPr>
            <w:r>
              <w:rPr>
                <w:rFonts w:ascii="Arial" w:cs="Arial" w:eastAsia="Arial" w:hAnsi="Arial"/>
                <w:sz w:val="17"/>
                <w:szCs w:val="17"/>
                <w:color w:val="auto"/>
              </w:rPr>
              <w:t>99.7</w:t>
            </w:r>
          </w:p>
        </w:tc>
      </w:tr>
      <w:tr>
        <w:trPr>
          <w:trHeight w:val="144"/>
        </w:trPr>
        <w:tc>
          <w:tcPr>
            <w:tcW w:w="126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8"/>
          </w:tcPr>
          <w:p>
            <w:pPr>
              <w:spacing w:after="0" w:line="145" w:lineRule="exact"/>
              <w:rPr>
                <w:rFonts w:ascii="Arial" w:cs="Arial" w:eastAsia="Arial" w:hAnsi="Arial"/>
                <w:sz w:val="16"/>
                <w:szCs w:val="16"/>
                <w:color w:val="0000FF"/>
              </w:rPr>
            </w:pPr>
            <w:hyperlink r:id="rId208">
              <w:r>
                <w:rPr>
                  <w:rFonts w:ascii="Arial" w:cs="Arial" w:eastAsia="Arial" w:hAnsi="Arial"/>
                  <w:sz w:val="16"/>
                  <w:szCs w:val="16"/>
                  <w:color w:val="0000FF"/>
                </w:rPr>
                <w:t>Erroneously Awarded Compensation</w:t>
              </w:r>
            </w:hyperlink>
          </w:p>
        </w:tc>
        <w:tc>
          <w:tcPr>
            <w:tcW w:w="520" w:type="dxa"/>
            <w:vAlign w:val="bottom"/>
            <w:tcBorders>
              <w:top w:val="single" w:sz="8" w:color="0000FF"/>
            </w:tcBorders>
            <w:gridSpan w:val="8"/>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400"/>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101.INS</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Instance Document</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312"/>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101.SCH</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Taxonomy Extension Schema</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22"/>
        </w:trPr>
        <w:tc>
          <w:tcPr>
            <w:tcW w:w="1260" w:type="dxa"/>
            <w:vAlign w:val="bottom"/>
          </w:tcPr>
          <w:p>
            <w:pPr>
              <w:spacing w:after="0"/>
              <w:rPr>
                <w:sz w:val="19"/>
                <w:szCs w:val="19"/>
                <w:color w:val="auto"/>
              </w:rPr>
            </w:pPr>
          </w:p>
        </w:tc>
        <w:tc>
          <w:tcPr>
            <w:tcW w:w="348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21"/>
        </w:trPr>
        <w:tc>
          <w:tcPr>
            <w:tcW w:w="1260" w:type="dxa"/>
            <w:vAlign w:val="bottom"/>
          </w:tcPr>
          <w:p>
            <w:pPr>
              <w:jc w:val="center"/>
              <w:ind w:right="156"/>
              <w:spacing w:after="0"/>
              <w:rPr>
                <w:sz w:val="20"/>
                <w:szCs w:val="20"/>
                <w:color w:val="auto"/>
              </w:rPr>
            </w:pPr>
            <w:r>
              <w:rPr>
                <w:rFonts w:ascii="Arial" w:cs="Arial" w:eastAsia="Arial" w:hAnsi="Arial"/>
                <w:sz w:val="17"/>
                <w:szCs w:val="17"/>
                <w:color w:val="auto"/>
                <w:w w:val="99"/>
              </w:rPr>
              <w:t>101.CAL</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Taxonomy Calculation Linkbase</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22"/>
        </w:trPr>
        <w:tc>
          <w:tcPr>
            <w:tcW w:w="1260" w:type="dxa"/>
            <w:vAlign w:val="bottom"/>
          </w:tcPr>
          <w:p>
            <w:pPr>
              <w:spacing w:after="0"/>
              <w:rPr>
                <w:sz w:val="19"/>
                <w:szCs w:val="19"/>
                <w:color w:val="auto"/>
              </w:rPr>
            </w:pPr>
          </w:p>
        </w:tc>
        <w:tc>
          <w:tcPr>
            <w:tcW w:w="348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21"/>
        </w:trPr>
        <w:tc>
          <w:tcPr>
            <w:tcW w:w="1260" w:type="dxa"/>
            <w:vAlign w:val="bottom"/>
          </w:tcPr>
          <w:p>
            <w:pPr>
              <w:jc w:val="center"/>
              <w:ind w:right="156"/>
              <w:spacing w:after="0"/>
              <w:rPr>
                <w:sz w:val="20"/>
                <w:szCs w:val="20"/>
                <w:color w:val="auto"/>
              </w:rPr>
            </w:pPr>
            <w:r>
              <w:rPr>
                <w:rFonts w:ascii="Arial" w:cs="Arial" w:eastAsia="Arial" w:hAnsi="Arial"/>
                <w:sz w:val="17"/>
                <w:szCs w:val="17"/>
                <w:color w:val="auto"/>
                <w:w w:val="98"/>
              </w:rPr>
              <w:t>101.DEF</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Taxonomy Extension Definition</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22"/>
        </w:trPr>
        <w:tc>
          <w:tcPr>
            <w:tcW w:w="1260" w:type="dxa"/>
            <w:vAlign w:val="bottom"/>
          </w:tcPr>
          <w:p>
            <w:pPr>
              <w:spacing w:after="0"/>
              <w:rPr>
                <w:sz w:val="19"/>
                <w:szCs w:val="19"/>
                <w:color w:val="auto"/>
              </w:rPr>
            </w:pPr>
          </w:p>
        </w:tc>
        <w:tc>
          <w:tcPr>
            <w:tcW w:w="3480" w:type="dxa"/>
            <w:vAlign w:val="bottom"/>
            <w:gridSpan w:val="18"/>
          </w:tcPr>
          <w:p>
            <w:pPr>
              <w:spacing w:after="0"/>
              <w:rPr>
                <w:sz w:val="20"/>
                <w:szCs w:val="20"/>
                <w:color w:val="auto"/>
              </w:rPr>
            </w:pPr>
            <w:r>
              <w:rPr>
                <w:rFonts w:ascii="Arial" w:cs="Arial" w:eastAsia="Arial" w:hAnsi="Arial"/>
                <w:sz w:val="17"/>
                <w:szCs w:val="17"/>
                <w:color w:val="auto"/>
              </w:rPr>
              <w:t>Linkbase Document</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75"/>
        </w:trPr>
        <w:tc>
          <w:tcPr>
            <w:tcW w:w="1260" w:type="dxa"/>
            <w:vAlign w:val="bottom"/>
          </w:tcPr>
          <w:p>
            <w:pPr>
              <w:jc w:val="center"/>
              <w:ind w:right="156"/>
              <w:spacing w:after="0"/>
              <w:rPr>
                <w:sz w:val="20"/>
                <w:szCs w:val="20"/>
                <w:color w:val="auto"/>
              </w:rPr>
            </w:pPr>
            <w:r>
              <w:rPr>
                <w:rFonts w:ascii="Arial" w:cs="Arial" w:eastAsia="Arial" w:hAnsi="Arial"/>
                <w:sz w:val="17"/>
                <w:szCs w:val="17"/>
                <w:color w:val="auto"/>
              </w:rPr>
              <w:t>101.LAB</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Taxonomy Label Linkbase Document</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312"/>
        </w:trPr>
        <w:tc>
          <w:tcPr>
            <w:tcW w:w="1260" w:type="dxa"/>
            <w:vAlign w:val="bottom"/>
          </w:tcPr>
          <w:p>
            <w:pPr>
              <w:jc w:val="center"/>
              <w:ind w:right="156"/>
              <w:spacing w:after="0"/>
              <w:rPr>
                <w:sz w:val="20"/>
                <w:szCs w:val="20"/>
                <w:color w:val="auto"/>
              </w:rPr>
            </w:pPr>
            <w:r>
              <w:rPr>
                <w:rFonts w:ascii="Arial" w:cs="Arial" w:eastAsia="Arial" w:hAnsi="Arial"/>
                <w:sz w:val="17"/>
                <w:szCs w:val="17"/>
                <w:color w:val="auto"/>
                <w:w w:val="96"/>
              </w:rPr>
              <w:t>101.PRE</w:t>
            </w:r>
          </w:p>
        </w:tc>
        <w:tc>
          <w:tcPr>
            <w:tcW w:w="3480" w:type="dxa"/>
            <w:vAlign w:val="bottom"/>
            <w:gridSpan w:val="18"/>
          </w:tcPr>
          <w:p>
            <w:pPr>
              <w:spacing w:after="0"/>
              <w:rPr>
                <w:sz w:val="20"/>
                <w:szCs w:val="20"/>
                <w:color w:val="auto"/>
              </w:rPr>
            </w:pPr>
            <w:r>
              <w:rPr>
                <w:rFonts w:ascii="Arial" w:cs="Arial" w:eastAsia="Arial" w:hAnsi="Arial"/>
                <w:sz w:val="17"/>
                <w:szCs w:val="17"/>
                <w:color w:val="auto"/>
              </w:rPr>
              <w:t>XBRL Taxonomy Presentation Linkbase</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22"/>
        </w:trPr>
        <w:tc>
          <w:tcPr>
            <w:tcW w:w="1260" w:type="dxa"/>
            <w:vAlign w:val="bottom"/>
          </w:tcPr>
          <w:p>
            <w:pPr>
              <w:spacing w:after="0"/>
              <w:rPr>
                <w:sz w:val="19"/>
                <w:szCs w:val="19"/>
                <w:color w:val="auto"/>
              </w:rPr>
            </w:pPr>
          </w:p>
        </w:tc>
        <w:tc>
          <w:tcPr>
            <w:tcW w:w="348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21"/>
        </w:trPr>
        <w:tc>
          <w:tcPr>
            <w:tcW w:w="1260" w:type="dxa"/>
            <w:vAlign w:val="bottom"/>
          </w:tcPr>
          <w:p>
            <w:pPr>
              <w:jc w:val="center"/>
              <w:ind w:right="136"/>
              <w:spacing w:after="0"/>
              <w:rPr>
                <w:sz w:val="20"/>
                <w:szCs w:val="20"/>
                <w:color w:val="auto"/>
              </w:rPr>
            </w:pPr>
            <w:r>
              <w:rPr>
                <w:rFonts w:ascii="Arial" w:cs="Arial" w:eastAsia="Arial" w:hAnsi="Arial"/>
                <w:sz w:val="17"/>
                <w:szCs w:val="17"/>
                <w:color w:val="auto"/>
                <w:w w:val="98"/>
              </w:rPr>
              <w:t>104</w:t>
            </w:r>
          </w:p>
        </w:tc>
        <w:tc>
          <w:tcPr>
            <w:tcW w:w="3480" w:type="dxa"/>
            <w:vAlign w:val="bottom"/>
            <w:gridSpan w:val="18"/>
          </w:tcPr>
          <w:p>
            <w:pPr>
              <w:spacing w:after="0"/>
              <w:rPr>
                <w:sz w:val="20"/>
                <w:szCs w:val="20"/>
                <w:color w:val="auto"/>
              </w:rPr>
            </w:pPr>
            <w:r>
              <w:rPr>
                <w:rFonts w:ascii="Arial" w:cs="Arial" w:eastAsia="Arial" w:hAnsi="Arial"/>
                <w:sz w:val="17"/>
                <w:szCs w:val="17"/>
                <w:color w:val="auto"/>
              </w:rPr>
              <w:t>Cover Page Interactive Data File (formatted</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ind w:left="2000"/>
              <w:spacing w:after="0"/>
              <w:rPr>
                <w:sz w:val="20"/>
                <w:szCs w:val="20"/>
                <w:color w:val="auto"/>
              </w:rPr>
            </w:pPr>
            <w:r>
              <w:rPr>
                <w:rFonts w:ascii="Arial" w:cs="Arial" w:eastAsia="Arial" w:hAnsi="Arial"/>
                <w:sz w:val="17"/>
                <w:szCs w:val="17"/>
                <w:color w:val="auto"/>
              </w:rPr>
              <w:t>X</w:t>
            </w:r>
          </w:p>
        </w:tc>
      </w:tr>
      <w:tr>
        <w:trPr>
          <w:trHeight w:val="222"/>
        </w:trPr>
        <w:tc>
          <w:tcPr>
            <w:tcW w:w="1260" w:type="dxa"/>
            <w:vAlign w:val="bottom"/>
          </w:tcPr>
          <w:p>
            <w:pPr>
              <w:spacing w:after="0"/>
              <w:rPr>
                <w:sz w:val="19"/>
                <w:szCs w:val="19"/>
                <w:color w:val="auto"/>
              </w:rPr>
            </w:pPr>
          </w:p>
        </w:tc>
        <w:tc>
          <w:tcPr>
            <w:tcW w:w="3480" w:type="dxa"/>
            <w:vAlign w:val="bottom"/>
            <w:gridSpan w:val="18"/>
          </w:tcPr>
          <w:p>
            <w:pPr>
              <w:spacing w:after="0"/>
              <w:rPr>
                <w:sz w:val="20"/>
                <w:szCs w:val="20"/>
                <w:color w:val="auto"/>
              </w:rPr>
            </w:pPr>
            <w:r>
              <w:rPr>
                <w:rFonts w:ascii="Arial" w:cs="Arial" w:eastAsia="Arial" w:hAnsi="Arial"/>
                <w:sz w:val="17"/>
                <w:szCs w:val="17"/>
                <w:color w:val="auto"/>
              </w:rPr>
              <w:t>as inline XBRL and contained in Exhibit 101)</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842"/>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jc w:val="right"/>
              <w:ind w:right="1036"/>
              <w:spacing w:after="0"/>
              <w:rPr>
                <w:sz w:val="20"/>
                <w:szCs w:val="20"/>
                <w:color w:val="auto"/>
              </w:rPr>
            </w:pPr>
            <w:r>
              <w:rPr>
                <w:rFonts w:ascii="Arial" w:cs="Arial" w:eastAsia="Arial" w:hAnsi="Arial"/>
                <w:sz w:val="17"/>
                <w:szCs w:val="17"/>
                <w:color w:val="auto"/>
              </w:rPr>
              <w:t>141</w:t>
            </w: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03"/>
        </w:trPr>
        <w:tc>
          <w:tcPr>
            <w:tcW w:w="1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4" w:name="page145"/>
    <w:bookmarkEnd w:id="144"/>
    <w:p>
      <w:pPr>
        <w:ind w:left="1240" w:hanging="780"/>
        <w:spacing w:after="0" w:line="237"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Confidential treatment has been requested or granted to certain confidential information contained in this exhibit.</w:t>
      </w:r>
    </w:p>
    <w:p>
      <w:pPr>
        <w:spacing w:after="0" w:line="27" w:lineRule="exact"/>
        <w:rPr>
          <w:sz w:val="20"/>
          <w:szCs w:val="20"/>
          <w:color w:val="auto"/>
        </w:rPr>
      </w:pPr>
    </w:p>
    <w:p>
      <w:pPr>
        <w:ind w:left="1240" w:right="520" w:hanging="783"/>
        <w:spacing w:after="0" w:line="232"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Portions of this exhibit have been redacted in compliance with Regulation S-K Item 601(b)(10). The omitted information is not material and would likely cause competitive harm to the Company if publicly disclosed.</w:t>
      </w:r>
    </w:p>
    <w:p>
      <w:pPr>
        <w:spacing w:after="0" w:line="6" w:lineRule="exact"/>
        <w:rPr>
          <w:sz w:val="20"/>
          <w:szCs w:val="20"/>
          <w:color w:val="auto"/>
        </w:rPr>
      </w:pPr>
    </w:p>
    <w:p>
      <w:pPr>
        <w:ind w:left="1240" w:hanging="766"/>
        <w:spacing w:after="0"/>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7" w:lineRule="exact"/>
        <w:rPr>
          <w:sz w:val="20"/>
          <w:szCs w:val="20"/>
          <w:color w:val="auto"/>
        </w:rPr>
      </w:pPr>
    </w:p>
    <w:p>
      <w:pPr>
        <w:ind w:left="1240" w:right="60" w:hanging="780"/>
        <w:spacing w:after="0" w:line="221" w:lineRule="auto"/>
        <w:tabs>
          <w:tab w:leader="none" w:pos="1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60"/>
          </w:cols>
          <w:pgMar w:left="320" w:top="856" w:right="51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SIGNATURES</w:t>
      </w:r>
    </w:p>
    <w:p>
      <w:pPr>
        <w:spacing w:after="0" w:line="184"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7"/>
                <w:szCs w:val="17"/>
                <w:color w:val="auto"/>
              </w:rPr>
              <w:t>Daré Bioscience, Inc.</w:t>
            </w:r>
          </w:p>
        </w:tc>
      </w:tr>
      <w:tr>
        <w:trPr>
          <w:trHeight w:val="219"/>
        </w:trPr>
        <w:tc>
          <w:tcPr>
            <w:tcW w:w="6200" w:type="dxa"/>
            <w:vAlign w:val="bottom"/>
          </w:tcPr>
          <w:p>
            <w:pPr>
              <w:ind w:left="524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SABRINA MARTUCCI JOHNSON</w:t>
            </w:r>
          </w:p>
        </w:tc>
      </w:tr>
      <w:tr>
        <w:trPr>
          <w:trHeight w:val="215"/>
        </w:trPr>
        <w:tc>
          <w:tcPr>
            <w:tcW w:w="6200" w:type="dxa"/>
            <w:vAlign w:val="bottom"/>
          </w:tcPr>
          <w:p>
            <w:pPr>
              <w:spacing w:after="0"/>
              <w:rPr>
                <w:sz w:val="20"/>
                <w:szCs w:val="20"/>
                <w:color w:val="auto"/>
              </w:rPr>
            </w:pPr>
            <w:r>
              <w:rPr>
                <w:rFonts w:ascii="Arial" w:cs="Arial" w:eastAsia="Arial" w:hAnsi="Arial"/>
                <w:sz w:val="17"/>
                <w:szCs w:val="17"/>
                <w:color w:val="auto"/>
              </w:rPr>
              <w:t>Date: March 26, 2026</w:t>
            </w:r>
          </w:p>
        </w:tc>
        <w:tc>
          <w:tcPr>
            <w:tcW w:w="50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bl>
    <w:p>
      <w:pPr>
        <w:spacing w:after="0" w:line="22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7"/>
                <w:szCs w:val="17"/>
                <w:color w:val="auto"/>
                <w:w w:val="96"/>
              </w:rPr>
              <w:t>Signature</w:t>
            </w: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80" w:type="dxa"/>
            <w:vAlign w:val="bottom"/>
            <w:gridSpan w:val="2"/>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SABRINA MARTUCCI JOHNSON</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4600" w:type="dxa"/>
            <w:vAlign w:val="bottom"/>
            <w:gridSpan w:val="2"/>
            <w:vMerge w:val="restart"/>
          </w:tcPr>
          <w:p>
            <w:pPr>
              <w:spacing w:after="0" w:line="173" w:lineRule="exact"/>
              <w:rPr>
                <w:sz w:val="20"/>
                <w:szCs w:val="20"/>
                <w:color w:val="auto"/>
              </w:rPr>
            </w:pPr>
            <w:r>
              <w:rPr>
                <w:rFonts w:ascii="Arial" w:cs="Arial" w:eastAsia="Arial" w:hAnsi="Arial"/>
                <w:sz w:val="17"/>
                <w:szCs w:val="17"/>
                <w:color w:val="auto"/>
              </w:rPr>
              <w:t>(Principal Executive Officer and Principal Financial Officer)</w:t>
            </w:r>
          </w:p>
        </w:tc>
        <w:tc>
          <w:tcPr>
            <w:tcW w:w="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80" w:type="dxa"/>
            <w:vAlign w:val="bottom"/>
            <w:gridSpan w:val="2"/>
            <w:vMerge w:val="restart"/>
          </w:tcPr>
          <w:p>
            <w:pPr>
              <w:spacing w:after="0"/>
              <w:rPr>
                <w:sz w:val="20"/>
                <w:szCs w:val="20"/>
                <w:color w:val="auto"/>
              </w:rPr>
            </w:pPr>
            <w:r>
              <w:rPr>
                <w:rFonts w:ascii="Arial" w:cs="Arial" w:eastAsia="Arial" w:hAnsi="Arial"/>
                <w:sz w:val="17"/>
                <w:szCs w:val="17"/>
                <w:color w:val="auto"/>
              </w:rPr>
              <w:t>Sabrina Martucci Johnson</w:t>
            </w:r>
          </w:p>
        </w:tc>
        <w:tc>
          <w:tcPr>
            <w:tcW w:w="160" w:type="dxa"/>
            <w:vAlign w:val="bottom"/>
            <w:vMerge w:val="continue"/>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and Director</w:t>
            </w: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MARDEE HARING-LAYTON</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Chief Accounting Officer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MarDee Haring-Layton</w:t>
            </w:r>
          </w:p>
        </w:tc>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(Principal Accounting Officer)</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WILLIAM H. RASTETTER</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Chairman of the Board and Director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William H. Rastetter, Ph.D.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JESSICA D. GROSSMAN</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Jessica D. Grossman, M.D.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SUSAN L. KELLEY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Susan L. Kelley, M.D.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GREGORY W. MATZ</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Gregory W. Matz, CPA</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 ROBIN STEELE</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080" w:type="dxa"/>
            <w:vAlign w:val="bottom"/>
            <w:gridSpan w:val="2"/>
          </w:tcPr>
          <w:p>
            <w:pPr>
              <w:spacing w:after="0"/>
              <w:rPr>
                <w:sz w:val="20"/>
                <w:szCs w:val="20"/>
                <w:color w:val="auto"/>
              </w:rPr>
            </w:pPr>
            <w:r>
              <w:rPr>
                <w:rFonts w:ascii="Arial" w:cs="Arial" w:eastAsia="Arial" w:hAnsi="Arial"/>
                <w:sz w:val="17"/>
                <w:szCs w:val="17"/>
                <w:color w:val="auto"/>
              </w:rPr>
              <w:t>March 26,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Robin Steele, J.D., L.L.M.</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60" w:type="dxa"/>
            <w:vAlign w:val="bottom"/>
            <w:gridSpan w:val="3"/>
          </w:tcPr>
          <w:p>
            <w:pPr>
              <w:jc w:val="right"/>
              <w:ind w:right="3400"/>
              <w:spacing w:after="0"/>
              <w:rPr>
                <w:sz w:val="20"/>
                <w:szCs w:val="20"/>
                <w:color w:val="auto"/>
              </w:rPr>
            </w:pPr>
            <w:r>
              <w:rPr>
                <w:rFonts w:ascii="Arial" w:cs="Arial" w:eastAsia="Arial" w:hAnsi="Arial"/>
                <w:sz w:val="17"/>
                <w:szCs w:val="17"/>
                <w:color w:val="auto"/>
              </w:rPr>
              <w:t>143</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8"/>
              </w:rPr>
              <w:t>Page</w:t>
            </w:r>
          </w:p>
        </w:tc>
      </w:tr>
      <w:tr>
        <w:trPr>
          <w:trHeight w:val="170"/>
        </w:trPr>
        <w:tc>
          <w:tcPr>
            <w:tcW w:w="20" w:type="dxa"/>
            <w:vAlign w:val="bottom"/>
          </w:tcPr>
          <w:p>
            <w:pPr>
              <w:spacing w:after="0"/>
              <w:rPr>
                <w:sz w:val="14"/>
                <w:szCs w:val="14"/>
                <w:color w:val="auto"/>
              </w:rPr>
            </w:pPr>
          </w:p>
        </w:tc>
        <w:tc>
          <w:tcPr>
            <w:tcW w:w="10200" w:type="dxa"/>
            <w:vAlign w:val="bottom"/>
            <w:gridSpan w:val="7"/>
          </w:tcPr>
          <w:p>
            <w:pPr>
              <w:spacing w:after="0" w:line="145"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200)</w:t>
            </w:r>
          </w:p>
        </w:tc>
        <w:tc>
          <w:tcPr>
            <w:tcW w:w="1020" w:type="dxa"/>
            <w:vAlign w:val="bottom"/>
            <w:gridSpan w:val="3"/>
          </w:tcPr>
          <w:p>
            <w:pPr>
              <w:jc w:val="center"/>
              <w:spacing w:after="0" w:line="145" w:lineRule="exact"/>
              <w:rPr>
                <w:sz w:val="20"/>
                <w:szCs w:val="20"/>
                <w:color w:val="auto"/>
              </w:rPr>
            </w:pPr>
            <w:r>
              <w:rPr>
                <w:rFonts w:ascii="Arial" w:cs="Arial" w:eastAsia="Arial" w:hAnsi="Arial"/>
                <w:sz w:val="16"/>
                <w:szCs w:val="16"/>
                <w:color w:val="0000FF"/>
              </w:rPr>
              <w:t>F-2</w:t>
            </w:r>
          </w:p>
        </w:tc>
      </w:tr>
      <w:tr>
        <w:trPr>
          <w:trHeight w:val="202"/>
        </w:trPr>
        <w:tc>
          <w:tcPr>
            <w:tcW w:w="2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8"/>
              </w:rPr>
              <w:t>Consolidated Balance Sheets as of December 31, 2025 and 2024</w:t>
            </w:r>
          </w:p>
        </w:tc>
        <w:tc>
          <w:tcPr>
            <w:tcW w:w="530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rPr>
              <w:t>F-4</w:t>
            </w:r>
          </w:p>
        </w:tc>
        <w:tc>
          <w:tcPr>
            <w:tcW w:w="38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0200" w:type="dxa"/>
            <w:vAlign w:val="bottom"/>
            <w:gridSpan w:val="7"/>
          </w:tcPr>
          <w:p>
            <w:pPr>
              <w:spacing w:after="0"/>
              <w:rPr>
                <w:sz w:val="20"/>
                <w:szCs w:val="20"/>
                <w:color w:val="auto"/>
              </w:rPr>
            </w:pPr>
            <w:r>
              <w:rPr>
                <w:rFonts w:ascii="Arial" w:cs="Arial" w:eastAsia="Arial" w:hAnsi="Arial"/>
                <w:sz w:val="17"/>
                <w:szCs w:val="17"/>
                <w:color w:val="0000FF"/>
              </w:rPr>
              <w:t>Consolidated Statements of Operations and Comprehensive Loss for the years ended December 31, 2025 and 2024</w:t>
            </w:r>
          </w:p>
        </w:tc>
        <w:tc>
          <w:tcPr>
            <w:tcW w:w="1020" w:type="dxa"/>
            <w:vAlign w:val="bottom"/>
            <w:gridSpan w:val="3"/>
          </w:tcPr>
          <w:p>
            <w:pPr>
              <w:jc w:val="center"/>
              <w:spacing w:after="0"/>
              <w:rPr>
                <w:sz w:val="20"/>
                <w:szCs w:val="20"/>
                <w:color w:val="auto"/>
              </w:rPr>
            </w:pPr>
            <w:r>
              <w:rPr>
                <w:rFonts w:ascii="Arial" w:cs="Arial" w:eastAsia="Arial" w:hAnsi="Arial"/>
                <w:sz w:val="17"/>
                <w:szCs w:val="17"/>
                <w:color w:val="0000FF"/>
              </w:rPr>
              <w:t>F-5</w:t>
            </w:r>
          </w:p>
        </w:tc>
      </w:tr>
      <w:tr>
        <w:trPr>
          <w:trHeight w:val="195"/>
        </w:trPr>
        <w:tc>
          <w:tcPr>
            <w:tcW w:w="20" w:type="dxa"/>
            <w:vAlign w:val="bottom"/>
          </w:tcPr>
          <w:p>
            <w:pPr>
              <w:spacing w:after="0"/>
              <w:rPr>
                <w:sz w:val="16"/>
                <w:szCs w:val="16"/>
                <w:color w:val="auto"/>
              </w:rPr>
            </w:pPr>
          </w:p>
        </w:tc>
        <w:tc>
          <w:tcPr>
            <w:tcW w:w="80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8"/>
              </w:rPr>
              <w:t>Consolidated Statements of Stockholders’ Equity (Deficit) for the years ended December 31, 2025 and 2024</w:t>
            </w:r>
          </w:p>
        </w:tc>
        <w:tc>
          <w:tcPr>
            <w:tcW w:w="6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rPr>
              <w:t>F-6</w:t>
            </w:r>
          </w:p>
        </w:tc>
        <w:tc>
          <w:tcPr>
            <w:tcW w:w="3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0200" w:type="dxa"/>
            <w:vAlign w:val="bottom"/>
            <w:gridSpan w:val="7"/>
          </w:tcPr>
          <w:p>
            <w:pPr>
              <w:spacing w:after="0"/>
              <w:rPr>
                <w:sz w:val="20"/>
                <w:szCs w:val="20"/>
                <w:color w:val="auto"/>
              </w:rPr>
            </w:pPr>
            <w:r>
              <w:rPr>
                <w:rFonts w:ascii="Arial" w:cs="Arial" w:eastAsia="Arial" w:hAnsi="Arial"/>
                <w:sz w:val="17"/>
                <w:szCs w:val="17"/>
                <w:color w:val="0000FF"/>
              </w:rPr>
              <w:t>Consolidated Statements of Cash Flows for the years ended December 31, 2025 and 2024</w:t>
            </w:r>
          </w:p>
        </w:tc>
        <w:tc>
          <w:tcPr>
            <w:tcW w:w="1020" w:type="dxa"/>
            <w:vAlign w:val="bottom"/>
            <w:gridSpan w:val="3"/>
          </w:tcPr>
          <w:p>
            <w:pPr>
              <w:jc w:val="center"/>
              <w:spacing w:after="0"/>
              <w:rPr>
                <w:sz w:val="20"/>
                <w:szCs w:val="20"/>
                <w:color w:val="auto"/>
              </w:rPr>
            </w:pPr>
            <w:r>
              <w:rPr>
                <w:rFonts w:ascii="Arial" w:cs="Arial" w:eastAsia="Arial" w:hAnsi="Arial"/>
                <w:sz w:val="17"/>
                <w:szCs w:val="17"/>
                <w:color w:val="0000FF"/>
              </w:rPr>
              <w:t>F-7</w:t>
            </w:r>
          </w:p>
        </w:tc>
      </w:tr>
      <w:tr>
        <w:trPr>
          <w:trHeight w:val="195"/>
        </w:trPr>
        <w:tc>
          <w:tcPr>
            <w:tcW w:w="20" w:type="dxa"/>
            <w:vAlign w:val="bottom"/>
          </w:tcPr>
          <w:p>
            <w:pPr>
              <w:spacing w:after="0"/>
              <w:rPr>
                <w:sz w:val="16"/>
                <w:szCs w:val="16"/>
                <w:color w:val="auto"/>
              </w:rPr>
            </w:pPr>
          </w:p>
        </w:tc>
        <w:tc>
          <w:tcPr>
            <w:tcW w:w="67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344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rPr>
              <w:t>F-9</w:t>
            </w:r>
          </w:p>
        </w:tc>
        <w:tc>
          <w:tcPr>
            <w:tcW w:w="380" w:type="dxa"/>
            <w:vAlign w:val="bottom"/>
          </w:tcPr>
          <w:p>
            <w:pPr>
              <w:spacing w:after="0"/>
              <w:rPr>
                <w:sz w:val="16"/>
                <w:szCs w:val="16"/>
                <w:color w:val="auto"/>
              </w:rPr>
            </w:pPr>
          </w:p>
        </w:tc>
      </w:tr>
      <w:tr>
        <w:trPr>
          <w:trHeight w:val="944"/>
        </w:trPr>
        <w:tc>
          <w:tcPr>
            <w:tcW w:w="20" w:type="dxa"/>
            <w:vAlign w:val="bottom"/>
          </w:tcPr>
          <w:p>
            <w:pPr>
              <w:spacing w:after="0"/>
              <w:rPr>
                <w:sz w:val="24"/>
                <w:szCs w:val="24"/>
                <w:color w:val="auto"/>
              </w:rPr>
            </w:pPr>
          </w:p>
        </w:tc>
        <w:tc>
          <w:tcPr>
            <w:tcW w:w="32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gridSpan w:val="4"/>
          </w:tcPr>
          <w:p>
            <w:pPr>
              <w:ind w:left="580"/>
              <w:spacing w:after="0"/>
              <w:rPr>
                <w:sz w:val="20"/>
                <w:szCs w:val="20"/>
                <w:color w:val="auto"/>
              </w:rPr>
            </w:pPr>
            <w:r>
              <w:rPr>
                <w:rFonts w:ascii="Arial" w:cs="Arial" w:eastAsia="Arial" w:hAnsi="Arial"/>
                <w:sz w:val="17"/>
                <w:szCs w:val="17"/>
                <w:color w:val="auto"/>
              </w:rPr>
              <w:t>F-1</w:t>
            </w:r>
          </w:p>
        </w:tc>
        <w:tc>
          <w:tcPr>
            <w:tcW w:w="3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03"/>
        </w:trPr>
        <w:tc>
          <w:tcPr>
            <w:tcW w:w="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47" w:name="page148"/>
    <w:bookmarkEnd w:id="147"/>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Daré Bioscience, Inc.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10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We have audited the accompanying consolidated balance sheets of Daré Bioscience, Inc. and Subsidiaries (the “Company”) as of December 31, 2025 and 2024, and the related consolidated statements of operations and comprehensive loss, stockholders’ equity (deficit), and cash flows for each of the years in the two-year period ended December 31, 2025, and the related notes (collectively referred to as the “consolidated financial statements”). In our opinion, the consolidated financial statements referred to above present fairly, in all material respects, the consolidated financial position of the Company as of December 31, 2025 and 2024, and the consolidated results of its operations and its cash flows for each of the years in the two-year period ended December 31, 2025, in conformity with accounting principles generally accepted in the United States of America.</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Ability to Continue as a Going Concern</w:t>
      </w:r>
    </w:p>
    <w:p>
      <w:pPr>
        <w:spacing w:after="0" w:line="10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recurring losses from operations and is dependent on additional financing to fund operations. These conditions raise substantial doubt about the Company’s ability to continue as a going concern. Management’s plans in regard to these matters are also described in Note 2 to the consolidated financial statements. The consolidated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0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9"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 (Continued)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91" w:lineRule="exact"/>
        <w:rPr>
          <w:sz w:val="20"/>
          <w:szCs w:val="20"/>
          <w:color w:val="auto"/>
        </w:rPr>
      </w:pPr>
    </w:p>
    <w:p>
      <w:pPr>
        <w:ind w:left="4240"/>
        <w:spacing w:after="0"/>
        <w:rPr>
          <w:sz w:val="20"/>
          <w:szCs w:val="20"/>
          <w:color w:val="auto"/>
        </w:rPr>
      </w:pPr>
      <w:r>
        <w:rPr>
          <w:rFonts w:ascii="Arial" w:cs="Arial" w:eastAsia="Arial" w:hAnsi="Arial"/>
          <w:sz w:val="17"/>
          <w:szCs w:val="17"/>
          <w:i w:val="1"/>
          <w:iCs w:val="1"/>
          <w:color w:val="auto"/>
        </w:rPr>
        <w:t>/s/ Haskell &amp; White LLP</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HASKELL &amp; WHITE LLP</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March 26, 2026</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24,711,356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15,698,174</w:t>
            </w:r>
          </w:p>
        </w:tc>
        <w:tc>
          <w:tcPr>
            <w:tcW w:w="0" w:type="dxa"/>
            <w:vAlign w:val="bottom"/>
          </w:tcPr>
          <w:p>
            <w:pPr>
              <w:spacing w:after="0"/>
              <w:rPr>
                <w:sz w:val="1"/>
                <w:szCs w:val="1"/>
                <w:color w:val="auto"/>
              </w:rPr>
            </w:pPr>
          </w:p>
        </w:tc>
      </w:tr>
      <w:tr>
        <w:trPr>
          <w:trHeight w:val="253"/>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2,352,523</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2,749,689</w:t>
            </w:r>
          </w:p>
        </w:tc>
        <w:tc>
          <w:tcPr>
            <w:tcW w:w="0" w:type="dxa"/>
            <w:vAlign w:val="bottom"/>
          </w:tcPr>
          <w:p>
            <w:pPr>
              <w:spacing w:after="0"/>
              <w:rPr>
                <w:sz w:val="1"/>
                <w:szCs w:val="1"/>
                <w:color w:val="auto"/>
              </w:rPr>
            </w:pPr>
          </w:p>
        </w:tc>
      </w:tr>
      <w:tr>
        <w:trPr>
          <w:trHeight w:val="233"/>
        </w:trPr>
        <w:tc>
          <w:tcPr>
            <w:tcW w:w="57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current assets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27,063,879</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18,447,863</w:t>
            </w:r>
          </w:p>
        </w:tc>
        <w:tc>
          <w:tcPr>
            <w:tcW w:w="0" w:type="dxa"/>
            <w:vAlign w:val="bottom"/>
          </w:tcPr>
          <w:p>
            <w:pPr>
              <w:spacing w:after="0"/>
              <w:rPr>
                <w:sz w:val="1"/>
                <w:szCs w:val="1"/>
                <w:color w:val="auto"/>
              </w:rPr>
            </w:pPr>
          </w:p>
        </w:tc>
      </w:tr>
      <w:tr>
        <w:trPr>
          <w:trHeight w:val="253"/>
        </w:trPr>
        <w:tc>
          <w:tcPr>
            <w:tcW w:w="57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1,558,890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1,335,732</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1,097,580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1,206,942</w:t>
            </w:r>
          </w:p>
        </w:tc>
        <w:tc>
          <w:tcPr>
            <w:tcW w:w="0" w:type="dxa"/>
            <w:vAlign w:val="bottom"/>
          </w:tcPr>
          <w:p>
            <w:pPr>
              <w:spacing w:after="0"/>
              <w:rPr>
                <w:sz w:val="1"/>
                <w:szCs w:val="1"/>
                <w:color w:val="auto"/>
              </w:rPr>
            </w:pPr>
          </w:p>
        </w:tc>
      </w:tr>
      <w:tr>
        <w:trPr>
          <w:trHeight w:val="253"/>
        </w:trPr>
        <w:tc>
          <w:tcPr>
            <w:tcW w:w="5700" w:type="dxa"/>
            <w:vAlign w:val="bottom"/>
          </w:tcPr>
          <w:p>
            <w:pPr>
              <w:ind w:left="20"/>
              <w:spacing w:after="0"/>
              <w:rPr>
                <w:sz w:val="20"/>
                <w:szCs w:val="20"/>
                <w:color w:val="auto"/>
              </w:rPr>
            </w:pPr>
            <w:r>
              <w:rPr>
                <w:rFonts w:ascii="Arial" w:cs="Arial" w:eastAsia="Arial" w:hAnsi="Arial"/>
                <w:sz w:val="17"/>
                <w:szCs w:val="17"/>
                <w:color w:val="auto"/>
              </w:rPr>
              <w:t>Finance lease right-of-use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1,744,775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1,009,439</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1,110,594</w:t>
            </w:r>
          </w:p>
        </w:tc>
        <w:tc>
          <w:tcPr>
            <w:tcW w:w="0" w:type="dxa"/>
            <w:vAlign w:val="bottom"/>
          </w:tcPr>
          <w:p>
            <w:pPr>
              <w:spacing w:after="0"/>
              <w:rPr>
                <w:sz w:val="1"/>
                <w:szCs w:val="1"/>
                <w:color w:val="auto"/>
              </w:rPr>
            </w:pPr>
          </w:p>
        </w:tc>
      </w:tr>
      <w:tr>
        <w:trPr>
          <w:trHeight w:val="207"/>
        </w:trPr>
        <w:tc>
          <w:tcPr>
            <w:tcW w:w="5700" w:type="dxa"/>
            <w:vAlign w:val="bottom"/>
          </w:tcPr>
          <w:p>
            <w:pPr>
              <w:ind w:left="4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32,474,563</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22,101,131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 (deficit)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1,200,686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1,455,832</w:t>
            </w:r>
          </w:p>
        </w:tc>
        <w:tc>
          <w:tcPr>
            <w:tcW w:w="0" w:type="dxa"/>
            <w:vAlign w:val="bottom"/>
          </w:tcPr>
          <w:p>
            <w:pPr>
              <w:spacing w:after="0"/>
              <w:rPr>
                <w:sz w:val="1"/>
                <w:szCs w:val="1"/>
                <w:color w:val="auto"/>
              </w:rPr>
            </w:pPr>
          </w:p>
        </w:tc>
      </w:tr>
      <w:tr>
        <w:trPr>
          <w:trHeight w:val="253"/>
        </w:trPr>
        <w:tc>
          <w:tcPr>
            <w:tcW w:w="570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725,184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3,042,918</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grant funding</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19,651,452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16,561,625</w:t>
            </w:r>
          </w:p>
        </w:tc>
        <w:tc>
          <w:tcPr>
            <w:tcW w:w="0" w:type="dxa"/>
            <w:vAlign w:val="bottom"/>
          </w:tcPr>
          <w:p>
            <w:pPr>
              <w:spacing w:after="0"/>
              <w:rPr>
                <w:sz w:val="1"/>
                <w:szCs w:val="1"/>
                <w:color w:val="auto"/>
              </w:rPr>
            </w:pPr>
          </w:p>
        </w:tc>
      </w:tr>
      <w:tr>
        <w:trPr>
          <w:trHeight w:val="253"/>
        </w:trPr>
        <w:tc>
          <w:tcPr>
            <w:tcW w:w="5700" w:type="dxa"/>
            <w:vAlign w:val="bottom"/>
          </w:tcPr>
          <w:p>
            <w:pPr>
              <w:ind w:left="220"/>
              <w:spacing w:after="0"/>
              <w:rPr>
                <w:sz w:val="20"/>
                <w:szCs w:val="20"/>
                <w:color w:val="auto"/>
              </w:rPr>
            </w:pPr>
            <w:r>
              <w:rPr>
                <w:rFonts w:ascii="Arial" w:cs="Arial" w:eastAsia="Arial" w:hAnsi="Arial"/>
                <w:sz w:val="17"/>
                <w:szCs w:val="17"/>
                <w:color w:val="auto"/>
              </w:rPr>
              <w:t>Current portion of liability related to sale of future royalties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11,711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4,054</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lease liabilities (operating)</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602,552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548,638</w:t>
            </w:r>
          </w:p>
        </w:tc>
        <w:tc>
          <w:tcPr>
            <w:tcW w:w="0" w:type="dxa"/>
            <w:vAlign w:val="bottom"/>
          </w:tcPr>
          <w:p>
            <w:pPr>
              <w:spacing w:after="0"/>
              <w:rPr>
                <w:sz w:val="1"/>
                <w:szCs w:val="1"/>
                <w:color w:val="auto"/>
              </w:rPr>
            </w:pPr>
          </w:p>
        </w:tc>
      </w:tr>
      <w:tr>
        <w:trPr>
          <w:trHeight w:val="253"/>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Current portion of lease liabilities (finance)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1,494,102</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57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23,685,687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21,613,067</w:t>
            </w:r>
          </w:p>
        </w:tc>
        <w:tc>
          <w:tcPr>
            <w:tcW w:w="0" w:type="dxa"/>
            <w:vAlign w:val="bottom"/>
          </w:tcPr>
          <w:p>
            <w:pPr>
              <w:spacing w:after="0"/>
              <w:rPr>
                <w:sz w:val="1"/>
                <w:szCs w:val="1"/>
                <w:color w:val="auto"/>
              </w:rPr>
            </w:pPr>
          </w:p>
        </w:tc>
      </w:tr>
      <w:tr>
        <w:trPr>
          <w:trHeight w:val="253"/>
        </w:trPr>
        <w:tc>
          <w:tcPr>
            <w:tcW w:w="570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related to the sale of future royalties,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5,386,877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4,745,770</w:t>
            </w:r>
          </w:p>
        </w:tc>
        <w:tc>
          <w:tcPr>
            <w:tcW w:w="0" w:type="dxa"/>
            <w:vAlign w:val="bottom"/>
          </w:tcPr>
          <w:p>
            <w:pPr>
              <w:spacing w:after="0"/>
              <w:rPr>
                <w:sz w:val="1"/>
                <w:szCs w:val="1"/>
                <w:color w:val="auto"/>
              </w:rPr>
            </w:pPr>
          </w:p>
        </w:tc>
      </w:tr>
      <w:tr>
        <w:trPr>
          <w:trHeight w:val="25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 liabilities long term (operating)</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559,365</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754,383</w:t>
            </w:r>
          </w:p>
        </w:tc>
        <w:tc>
          <w:tcPr>
            <w:tcW w:w="0" w:type="dxa"/>
            <w:vAlign w:val="bottom"/>
          </w:tcPr>
          <w:p>
            <w:pPr>
              <w:spacing w:after="0"/>
              <w:rPr>
                <w:sz w:val="1"/>
                <w:szCs w:val="1"/>
                <w:color w:val="auto"/>
              </w:rPr>
            </w:pPr>
          </w:p>
        </w:tc>
      </w:tr>
      <w:tr>
        <w:trPr>
          <w:trHeight w:val="233"/>
        </w:trPr>
        <w:tc>
          <w:tcPr>
            <w:tcW w:w="57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29,631,929</w:t>
            </w: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28,113,220</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7"/>
                <w:szCs w:val="17"/>
                <w:color w:val="auto"/>
              </w:rPr>
              <w:t>Commitments and contingencies (Note 14)</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220"/>
              <w:spacing w:after="0"/>
              <w:rPr>
                <w:sz w:val="20"/>
                <w:szCs w:val="20"/>
                <w:color w:val="auto"/>
              </w:rPr>
            </w:pPr>
            <w:r>
              <w:rPr>
                <w:rFonts w:ascii="Arial" w:cs="Arial" w:eastAsia="Arial" w:hAnsi="Arial"/>
                <w:sz w:val="17"/>
                <w:szCs w:val="17"/>
                <w:color w:val="auto"/>
              </w:rPr>
              <w:t>Preferred stock, $0.01 par value, 5,000,000 shares authorized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5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None issued and outstanding</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5700" w:type="dxa"/>
            <w:vAlign w:val="bottom"/>
          </w:tcPr>
          <w:p>
            <w:pPr>
              <w:ind w:left="220"/>
              <w:spacing w:after="0"/>
              <w:rPr>
                <w:sz w:val="20"/>
                <w:szCs w:val="20"/>
                <w:color w:val="auto"/>
              </w:rPr>
            </w:pPr>
            <w:r>
              <w:rPr>
                <w:rFonts w:ascii="Arial" w:cs="Arial" w:eastAsia="Arial" w:hAnsi="Arial"/>
                <w:sz w:val="17"/>
                <w:szCs w:val="17"/>
                <w:color w:val="auto"/>
              </w:rPr>
              <w:t>Common stock, $0.0001 par value, 240,000,000 shares authorized,</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700" w:type="dxa"/>
            <w:vAlign w:val="bottom"/>
          </w:tcPr>
          <w:p>
            <w:pPr>
              <w:ind w:left="220"/>
              <w:spacing w:after="0" w:line="173" w:lineRule="exact"/>
              <w:rPr>
                <w:sz w:val="20"/>
                <w:szCs w:val="20"/>
                <w:color w:val="auto"/>
              </w:rPr>
            </w:pPr>
            <w:r>
              <w:rPr>
                <w:rFonts w:ascii="Arial" w:cs="Arial" w:eastAsia="Arial" w:hAnsi="Arial"/>
                <w:sz w:val="17"/>
                <w:szCs w:val="17"/>
                <w:color w:val="auto"/>
              </w:rPr>
              <w:t>14,499,502 and 8,700,386 shares issued and outstanding at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1,450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19"/>
        </w:trPr>
        <w:tc>
          <w:tcPr>
            <w:tcW w:w="5700" w:type="dxa"/>
            <w:vAlign w:val="bottom"/>
          </w:tcPr>
          <w:p>
            <w:pPr>
              <w:ind w:left="220"/>
              <w:spacing w:after="0"/>
              <w:rPr>
                <w:sz w:val="20"/>
                <w:szCs w:val="20"/>
                <w:color w:val="auto"/>
              </w:rPr>
            </w:pPr>
            <w:r>
              <w:rPr>
                <w:rFonts w:ascii="Arial" w:cs="Arial" w:eastAsia="Arial" w:hAnsi="Arial"/>
                <w:sz w:val="17"/>
                <w:szCs w:val="17"/>
                <w:color w:val="auto"/>
              </w:rPr>
              <w:t>December 31, 2025 and December 31, 2024, respectively</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191,951,711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169,705,480</w:t>
            </w:r>
          </w:p>
        </w:tc>
        <w:tc>
          <w:tcPr>
            <w:tcW w:w="0" w:type="dxa"/>
            <w:vAlign w:val="bottom"/>
          </w:tcPr>
          <w:p>
            <w:pPr>
              <w:spacing w:after="0"/>
              <w:rPr>
                <w:sz w:val="1"/>
                <w:szCs w:val="1"/>
                <w:color w:val="auto"/>
              </w:rPr>
            </w:pPr>
          </w:p>
        </w:tc>
      </w:tr>
      <w:tr>
        <w:trPr>
          <w:trHeight w:val="240"/>
        </w:trPr>
        <w:tc>
          <w:tcPr>
            <w:tcW w:w="570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(421,623)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(428,809)</w:t>
            </w:r>
          </w:p>
        </w:tc>
        <w:tc>
          <w:tcPr>
            <w:tcW w:w="0" w:type="dxa"/>
            <w:vAlign w:val="bottom"/>
          </w:tcPr>
          <w:p>
            <w:pPr>
              <w:spacing w:after="0"/>
              <w:rPr>
                <w:sz w:val="1"/>
                <w:szCs w:val="1"/>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(188,688,904)</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(175,289,630)</w:t>
            </w:r>
          </w:p>
        </w:tc>
        <w:tc>
          <w:tcPr>
            <w:tcW w:w="0" w:type="dxa"/>
            <w:vAlign w:val="bottom"/>
          </w:tcPr>
          <w:p>
            <w:pPr>
              <w:spacing w:after="0"/>
              <w:rPr>
                <w:sz w:val="1"/>
                <w:szCs w:val="1"/>
                <w:color w:val="auto"/>
              </w:rPr>
            </w:pPr>
          </w:p>
        </w:tc>
      </w:tr>
      <w:tr>
        <w:trPr>
          <w:trHeight w:val="233"/>
        </w:trPr>
        <w:tc>
          <w:tcPr>
            <w:tcW w:w="570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stockholders' equity (deficit)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2,842,634</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(6,012,089)</w:t>
            </w:r>
          </w:p>
        </w:tc>
        <w:tc>
          <w:tcPr>
            <w:tcW w:w="0" w:type="dxa"/>
            <w:vAlign w:val="bottom"/>
          </w:tcPr>
          <w:p>
            <w:pPr>
              <w:spacing w:after="0"/>
              <w:rPr>
                <w:sz w:val="1"/>
                <w:szCs w:val="1"/>
                <w:color w:val="auto"/>
              </w:rPr>
            </w:pPr>
          </w:p>
        </w:tc>
      </w:tr>
      <w:tr>
        <w:trPr>
          <w:trHeight w:val="232"/>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32,474,563</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22,101,131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66675</wp:posOffset>
            </wp:positionV>
            <wp:extent cx="716661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182"/>
        </w:trPr>
        <w:tc>
          <w:tcPr>
            <w:tcW w:w="5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3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License fee revenue and other revenue</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1,030,193</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33"/>
        </w:trPr>
        <w:tc>
          <w:tcPr>
            <w:tcW w:w="56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1,030,193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53"/>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Cost of revenues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295,799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00" w:type="dxa"/>
            <w:vAlign w:val="bottom"/>
            <w:gridSpan w:val="2"/>
          </w:tcPr>
          <w:p>
            <w:pPr>
              <w:ind w:left="20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8,763,376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9,156,061</w:t>
            </w:r>
          </w:p>
        </w:tc>
        <w:tc>
          <w:tcPr>
            <w:tcW w:w="0" w:type="dxa"/>
            <w:vAlign w:val="bottom"/>
          </w:tcPr>
          <w:p>
            <w:pPr>
              <w:spacing w:after="0"/>
              <w:rPr>
                <w:sz w:val="1"/>
                <w:szCs w:val="1"/>
                <w:color w:val="auto"/>
              </w:rPr>
            </w:pPr>
          </w:p>
        </w:tc>
      </w:tr>
      <w:tr>
        <w:trPr>
          <w:trHeight w:val="253"/>
        </w:trPr>
        <w:tc>
          <w:tcPr>
            <w:tcW w:w="5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5,523,352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14,305,208</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14,286,728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23,461,269</w:t>
            </w:r>
          </w:p>
        </w:tc>
        <w:tc>
          <w:tcPr>
            <w:tcW w:w="0" w:type="dxa"/>
            <w:vAlign w:val="bottom"/>
          </w:tcPr>
          <w:p>
            <w:pPr>
              <w:spacing w:after="0"/>
              <w:rPr>
                <w:sz w:val="1"/>
                <w:szCs w:val="1"/>
                <w:color w:val="auto"/>
              </w:rPr>
            </w:pPr>
          </w:p>
        </w:tc>
      </w:tr>
      <w:tr>
        <w:trPr>
          <w:trHeight w:val="23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(13,552,334)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(23,451,485)</w:t>
            </w:r>
          </w:p>
        </w:tc>
        <w:tc>
          <w:tcPr>
            <w:tcW w:w="0" w:type="dxa"/>
            <w:vAlign w:val="bottom"/>
          </w:tcPr>
          <w:p>
            <w:pPr>
              <w:spacing w:after="0"/>
              <w:rPr>
                <w:sz w:val="1"/>
                <w:szCs w:val="1"/>
                <w:color w:val="auto"/>
              </w:rPr>
            </w:pPr>
          </w:p>
        </w:tc>
      </w:tr>
      <w:tr>
        <w:trPr>
          <w:trHeight w:val="222"/>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Sale of royalty and milestone rights, net of transaction costs (Note 13)</w:t>
            </w: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20,379,376</w:t>
            </w:r>
          </w:p>
        </w:tc>
        <w:tc>
          <w:tcPr>
            <w:tcW w:w="0" w:type="dxa"/>
            <w:vAlign w:val="bottom"/>
          </w:tcPr>
          <w:p>
            <w:pPr>
              <w:spacing w:after="0"/>
              <w:rPr>
                <w:sz w:val="1"/>
                <w:szCs w:val="1"/>
                <w:color w:val="auto"/>
              </w:rPr>
            </w:pPr>
          </w:p>
        </w:tc>
      </w:tr>
      <w:tr>
        <w:trPr>
          <w:trHeight w:val="253"/>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income (expense)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153,060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(981,490)</w:t>
            </w:r>
          </w:p>
        </w:tc>
        <w:tc>
          <w:tcPr>
            <w:tcW w:w="0" w:type="dxa"/>
            <w:vAlign w:val="bottom"/>
          </w:tcPr>
          <w:p>
            <w:pPr>
              <w:spacing w:after="0"/>
              <w:rPr>
                <w:sz w:val="1"/>
                <w:szCs w:val="1"/>
                <w:color w:val="auto"/>
              </w:rPr>
            </w:pPr>
          </w:p>
        </w:tc>
      </w:tr>
      <w:tr>
        <w:trPr>
          <w:trHeight w:val="232"/>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(13,399,274)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(4,053,599)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loss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0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(13,399,274)</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(4,053,599)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(67,913)</w:t>
            </w:r>
          </w:p>
        </w:tc>
        <w:tc>
          <w:tcPr>
            <w:tcW w:w="0" w:type="dxa"/>
            <w:vAlign w:val="bottom"/>
          </w:tcPr>
          <w:p>
            <w:pPr>
              <w:spacing w:after="0"/>
              <w:rPr>
                <w:sz w:val="1"/>
                <w:szCs w:val="1"/>
                <w:color w:val="auto"/>
              </w:rPr>
            </w:pPr>
          </w:p>
        </w:tc>
      </w:tr>
      <w:tr>
        <w:trPr>
          <w:trHeight w:val="207"/>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(13,392,088)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(4,121,512)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Loss per common share - basic and diluted</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Weighted average number of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11,178,752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8,497,459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66675</wp:posOffset>
            </wp:positionV>
            <wp:extent cx="716661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151" w:name="page152"/>
    <w:bookmarkEnd w:id="151"/>
    <w:p>
      <w:pPr>
        <w:jc w:val="center"/>
        <w:ind w:right="100"/>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loss</w:t>
            </w:r>
          </w:p>
        </w:tc>
        <w:tc>
          <w:tcPr>
            <w:tcW w:w="18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20"/>
                <w:szCs w:val="20"/>
                <w:color w:val="auto"/>
              </w:rPr>
            </w:pPr>
          </w:p>
        </w:tc>
        <w:tc>
          <w:tcPr>
            <w:tcW w:w="1180" w:type="dxa"/>
            <w:vAlign w:val="bottom"/>
          </w:tcPr>
          <w:p>
            <w:pPr>
              <w:jc w:val="center"/>
              <w:ind w:right="59"/>
              <w:spacing w:after="0"/>
              <w:rPr>
                <w:sz w:val="20"/>
                <w:szCs w:val="20"/>
                <w:color w:val="auto"/>
              </w:rPr>
            </w:pPr>
            <w:r>
              <w:rPr>
                <w:rFonts w:ascii="Arial" w:cs="Arial" w:eastAsia="Arial" w:hAnsi="Arial"/>
                <w:sz w:val="13"/>
                <w:szCs w:val="13"/>
                <w:b w:val="1"/>
                <w:bCs w:val="1"/>
                <w:color w:val="auto"/>
              </w:rPr>
              <w:t>equity (deficit)</w:t>
            </w:r>
          </w:p>
        </w:tc>
        <w:tc>
          <w:tcPr>
            <w:tcW w:w="0" w:type="dxa"/>
            <w:vAlign w:val="bottom"/>
          </w:tcPr>
          <w:p>
            <w:pPr>
              <w:spacing w:after="0"/>
              <w:rPr>
                <w:sz w:val="1"/>
                <w:szCs w:val="1"/>
                <w:color w:val="auto"/>
              </w:rPr>
            </w:pPr>
          </w:p>
        </w:tc>
      </w:tr>
      <w:tr>
        <w:trPr>
          <w:trHeight w:val="321"/>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8,331,161</w:t>
            </w: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833</w:t>
            </w: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166,548,454</w:t>
            </w: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(360,896)</w:t>
            </w:r>
          </w:p>
        </w:tc>
        <w:tc>
          <w:tcPr>
            <w:tcW w:w="1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(171,236,031)</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(5,047,640)</w:t>
            </w:r>
          </w:p>
        </w:tc>
        <w:tc>
          <w:tcPr>
            <w:tcW w:w="0" w:type="dxa"/>
            <w:vAlign w:val="bottom"/>
          </w:tcPr>
          <w:p>
            <w:pPr>
              <w:spacing w:after="0"/>
              <w:rPr>
                <w:sz w:val="1"/>
                <w:szCs w:val="1"/>
                <w:color w:val="auto"/>
              </w:rPr>
            </w:pPr>
          </w:p>
        </w:tc>
      </w:tr>
      <w:tr>
        <w:trPr>
          <w:trHeight w:val="354"/>
        </w:trPr>
        <w:tc>
          <w:tcPr>
            <w:tcW w:w="35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2,203,257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32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2,203,257</w:t>
            </w:r>
          </w:p>
        </w:tc>
        <w:tc>
          <w:tcPr>
            <w:tcW w:w="0" w:type="dxa"/>
            <w:vAlign w:val="bottom"/>
          </w:tcPr>
          <w:p>
            <w:pPr>
              <w:spacing w:after="0"/>
              <w:rPr>
                <w:sz w:val="1"/>
                <w:szCs w:val="1"/>
                <w:color w:val="auto"/>
              </w:rPr>
            </w:pPr>
          </w:p>
        </w:tc>
      </w:tr>
      <w:tr>
        <w:trPr>
          <w:trHeight w:val="164"/>
        </w:trPr>
        <w:tc>
          <w:tcPr>
            <w:tcW w:w="356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rPr>
              <w:t>Issuance cost on equity line paid in common</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137,614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500,213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500,227</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w:t>
            </w: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20"/>
              <w:spacing w:after="0" w:line="164" w:lineRule="exact"/>
              <w:rPr>
                <w:sz w:val="20"/>
                <w:szCs w:val="20"/>
                <w:color w:val="auto"/>
              </w:rPr>
            </w:pPr>
            <w:r>
              <w:rPr>
                <w:rFonts w:ascii="Arial" w:cs="Arial" w:eastAsia="Arial" w:hAnsi="Arial"/>
                <w:sz w:val="17"/>
                <w:szCs w:val="17"/>
                <w:color w:val="auto"/>
              </w:rPr>
              <w:t>Issuance of common stock, net of issuance</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109,655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453,568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453,579</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Arial" w:cs="Arial" w:eastAsia="Arial" w:hAnsi="Arial"/>
                <w:sz w:val="17"/>
                <w:szCs w:val="17"/>
                <w:color w:val="auto"/>
              </w:rPr>
              <w:t>costs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stock split adjustment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54"/>
        </w:trPr>
        <w:tc>
          <w:tcPr>
            <w:tcW w:w="35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(4,053,599)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(4,053,599)</w:t>
            </w:r>
          </w:p>
        </w:tc>
        <w:tc>
          <w:tcPr>
            <w:tcW w:w="0" w:type="dxa"/>
            <w:vAlign w:val="bottom"/>
          </w:tcPr>
          <w:p>
            <w:pPr>
              <w:spacing w:after="0"/>
              <w:rPr>
                <w:sz w:val="1"/>
                <w:szCs w:val="1"/>
                <w:color w:val="auto"/>
              </w:rPr>
            </w:pPr>
          </w:p>
        </w:tc>
      </w:tr>
      <w:tr>
        <w:trPr>
          <w:trHeight w:val="354"/>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(67,913)</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(67,913)</w:t>
            </w:r>
          </w:p>
        </w:tc>
        <w:tc>
          <w:tcPr>
            <w:tcW w:w="0" w:type="dxa"/>
            <w:vAlign w:val="bottom"/>
          </w:tcPr>
          <w:p>
            <w:pPr>
              <w:spacing w:after="0"/>
              <w:rPr>
                <w:sz w:val="1"/>
                <w:szCs w:val="1"/>
                <w:color w:val="auto"/>
              </w:rPr>
            </w:pPr>
          </w:p>
        </w:tc>
      </w:tr>
      <w:tr>
        <w:trPr>
          <w:trHeight w:val="321"/>
        </w:trPr>
        <w:tc>
          <w:tcPr>
            <w:tcW w:w="356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2024</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8,700,386</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870</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169,705,480</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(428,809)</w:t>
            </w:r>
          </w:p>
        </w:tc>
        <w:tc>
          <w:tcPr>
            <w:tcW w:w="14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(175,289,630)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(6,012,089)</w:t>
            </w:r>
          </w:p>
        </w:tc>
        <w:tc>
          <w:tcPr>
            <w:tcW w:w="0" w:type="dxa"/>
            <w:vAlign w:val="bottom"/>
          </w:tcPr>
          <w:p>
            <w:pPr>
              <w:spacing w:after="0"/>
              <w:rPr>
                <w:sz w:val="1"/>
                <w:szCs w:val="1"/>
                <w:color w:val="auto"/>
              </w:rPr>
            </w:pPr>
          </w:p>
        </w:tc>
      </w:tr>
      <w:tr>
        <w:trPr>
          <w:trHeight w:val="341"/>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1,496,562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1,496,562</w:t>
            </w:r>
          </w:p>
        </w:tc>
        <w:tc>
          <w:tcPr>
            <w:tcW w:w="0" w:type="dxa"/>
            <w:vAlign w:val="bottom"/>
          </w:tcPr>
          <w:p>
            <w:pPr>
              <w:spacing w:after="0"/>
              <w:rPr>
                <w:sz w:val="1"/>
                <w:szCs w:val="1"/>
                <w:color w:val="auto"/>
              </w:rPr>
            </w:pPr>
          </w:p>
        </w:tc>
      </w:tr>
      <w:tr>
        <w:trPr>
          <w:trHeight w:val="164"/>
        </w:trPr>
        <w:tc>
          <w:tcPr>
            <w:tcW w:w="3560" w:type="dxa"/>
            <w:vAlign w:val="bottom"/>
          </w:tcPr>
          <w:p>
            <w:pPr>
              <w:ind w:left="20"/>
              <w:spacing w:after="0" w:line="164" w:lineRule="exact"/>
              <w:rPr>
                <w:sz w:val="20"/>
                <w:szCs w:val="20"/>
                <w:color w:val="auto"/>
              </w:rPr>
            </w:pPr>
            <w:r>
              <w:rPr>
                <w:rFonts w:ascii="Arial" w:cs="Arial" w:eastAsia="Arial" w:hAnsi="Arial"/>
                <w:sz w:val="17"/>
                <w:szCs w:val="17"/>
                <w:color w:val="auto"/>
              </w:rPr>
              <w:t>Issuance of common stock, net of issuance</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5,799,116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7"/>
                <w:szCs w:val="17"/>
                <w:color w:val="auto"/>
              </w:rPr>
              <w:t>580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20,749,669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20,750,249</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Arial" w:cs="Arial" w:eastAsia="Arial" w:hAnsi="Arial"/>
                <w:sz w:val="17"/>
                <w:szCs w:val="17"/>
                <w:color w:val="auto"/>
              </w:rPr>
              <w:t>costs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(13,399,274)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(13,399,274)</w:t>
            </w:r>
          </w:p>
        </w:tc>
        <w:tc>
          <w:tcPr>
            <w:tcW w:w="0" w:type="dxa"/>
            <w:vAlign w:val="bottom"/>
          </w:tcPr>
          <w:p>
            <w:pPr>
              <w:spacing w:after="0"/>
              <w:rPr>
                <w:sz w:val="1"/>
                <w:szCs w:val="1"/>
                <w:color w:val="auto"/>
              </w:rPr>
            </w:pPr>
          </w:p>
        </w:tc>
      </w:tr>
      <w:tr>
        <w:trPr>
          <w:trHeight w:val="341"/>
        </w:trPr>
        <w:tc>
          <w:tcPr>
            <w:tcW w:w="35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7,186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7,186</w:t>
            </w:r>
          </w:p>
        </w:tc>
        <w:tc>
          <w:tcPr>
            <w:tcW w:w="0" w:type="dxa"/>
            <w:vAlign w:val="bottom"/>
          </w:tcPr>
          <w:p>
            <w:pPr>
              <w:spacing w:after="0"/>
              <w:rPr>
                <w:sz w:val="1"/>
                <w:szCs w:val="1"/>
                <w:color w:val="auto"/>
              </w:rPr>
            </w:pPr>
          </w:p>
        </w:tc>
      </w:tr>
      <w:tr>
        <w:trPr>
          <w:trHeight w:val="321"/>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14,499,502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1,450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191,951,711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(421,623)</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(188,688,904)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2,842,634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893" w:right="239" w:bottom="1440" w:gutter="0" w:footer="0" w:header="0"/>
        </w:sectPr>
      </w:pPr>
    </w:p>
    <w:bookmarkStart w:id="152" w:name="page153"/>
    <w:bookmarkEnd w:id="152"/>
    <w:p>
      <w:pPr>
        <w:ind w:left="4080"/>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182"/>
        </w:trPr>
        <w:tc>
          <w:tcPr>
            <w:tcW w:w="6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08"/>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(13,399,274)</w:t>
            </w:r>
          </w:p>
        </w:tc>
        <w:tc>
          <w:tcPr>
            <w:tcW w:w="1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(4,053,599)</w:t>
            </w:r>
          </w:p>
        </w:tc>
        <w:tc>
          <w:tcPr>
            <w:tcW w:w="0" w:type="dxa"/>
            <w:vAlign w:val="bottom"/>
          </w:tcPr>
          <w:p>
            <w:pPr>
              <w:spacing w:after="0"/>
              <w:rPr>
                <w:sz w:val="1"/>
                <w:szCs w:val="1"/>
                <w:color w:val="auto"/>
              </w:rPr>
            </w:pPr>
          </w:p>
        </w:tc>
      </w:tr>
      <w:tr>
        <w:trPr>
          <w:trHeight w:val="240"/>
        </w:trPr>
        <w:tc>
          <w:tcPr>
            <w:tcW w:w="75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6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1,634,486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42,325</w:t>
            </w:r>
          </w:p>
        </w:tc>
        <w:tc>
          <w:tcPr>
            <w:tcW w:w="0" w:type="dxa"/>
            <w:vAlign w:val="bottom"/>
          </w:tcPr>
          <w:p>
            <w:pPr>
              <w:spacing w:after="0"/>
              <w:rPr>
                <w:sz w:val="1"/>
                <w:szCs w:val="1"/>
                <w:color w:val="auto"/>
              </w:rPr>
            </w:pPr>
          </w:p>
        </w:tc>
      </w:tr>
      <w:tr>
        <w:trPr>
          <w:trHeight w:val="240"/>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Right-of-use asset - operating lease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516,895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471,003</w:t>
            </w:r>
          </w:p>
        </w:tc>
        <w:tc>
          <w:tcPr>
            <w:tcW w:w="0" w:type="dxa"/>
            <w:vAlign w:val="bottom"/>
          </w:tcPr>
          <w:p>
            <w:pPr>
              <w:spacing w:after="0"/>
              <w:rPr>
                <w:sz w:val="1"/>
                <w:szCs w:val="1"/>
                <w:color w:val="auto"/>
              </w:rPr>
            </w:pPr>
          </w:p>
        </w:tc>
      </w:tr>
      <w:tr>
        <w:trPr>
          <w:trHeight w:val="240"/>
        </w:trPr>
        <w:tc>
          <w:tcPr>
            <w:tcW w:w="6140" w:type="dxa"/>
            <w:vAlign w:val="bottom"/>
          </w:tcPr>
          <w:p>
            <w:pPr>
              <w:ind w:left="62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1,496,562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2,203,256</w:t>
            </w:r>
          </w:p>
        </w:tc>
        <w:tc>
          <w:tcPr>
            <w:tcW w:w="0" w:type="dxa"/>
            <w:vAlign w:val="bottom"/>
          </w:tcPr>
          <w:p>
            <w:pPr>
              <w:spacing w:after="0"/>
              <w:rPr>
                <w:sz w:val="1"/>
                <w:szCs w:val="1"/>
                <w:color w:val="auto"/>
              </w:rPr>
            </w:pPr>
          </w:p>
        </w:tc>
      </w:tr>
      <w:tr>
        <w:trPr>
          <w:trHeight w:val="240"/>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Loss on disposal of property and equipment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240"/>
        </w:trPr>
        <w:tc>
          <w:tcPr>
            <w:tcW w:w="6140" w:type="dxa"/>
            <w:vAlign w:val="bottom"/>
          </w:tcPr>
          <w:p>
            <w:pPr>
              <w:ind w:left="620"/>
              <w:spacing w:after="0"/>
              <w:rPr>
                <w:sz w:val="20"/>
                <w:szCs w:val="20"/>
                <w:color w:val="auto"/>
              </w:rPr>
            </w:pPr>
            <w:r>
              <w:rPr>
                <w:rFonts w:ascii="Arial" w:cs="Arial" w:eastAsia="Arial" w:hAnsi="Arial"/>
                <w:sz w:val="17"/>
                <w:szCs w:val="17"/>
                <w:color w:val="auto"/>
              </w:rPr>
              <w:t>Non-cash royalty revenue related to sale of future royalties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40"/>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Non-cash interest expense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82,502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317,318</w:t>
            </w:r>
          </w:p>
        </w:tc>
        <w:tc>
          <w:tcPr>
            <w:tcW w:w="0" w:type="dxa"/>
            <w:vAlign w:val="bottom"/>
          </w:tcPr>
          <w:p>
            <w:pPr>
              <w:spacing w:after="0"/>
              <w:rPr>
                <w:sz w:val="1"/>
                <w:szCs w:val="1"/>
                <w:color w:val="auto"/>
              </w:rPr>
            </w:pPr>
          </w:p>
        </w:tc>
      </w:tr>
      <w:tr>
        <w:trPr>
          <w:trHeight w:val="231"/>
        </w:trPr>
        <w:tc>
          <w:tcPr>
            <w:tcW w:w="6140" w:type="dxa"/>
            <w:vAlign w:val="bottom"/>
          </w:tcPr>
          <w:p>
            <w:pPr>
              <w:ind w:left="24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6140" w:type="dxa"/>
            <w:vAlign w:val="bottom"/>
          </w:tcPr>
          <w:p>
            <w:pPr>
              <w:ind w:left="620"/>
              <w:spacing w:after="0"/>
              <w:rPr>
                <w:sz w:val="20"/>
                <w:szCs w:val="20"/>
                <w:color w:val="auto"/>
              </w:rPr>
            </w:pPr>
            <w:r>
              <w:rPr>
                <w:rFonts w:ascii="Arial" w:cs="Arial" w:eastAsia="Arial" w:hAnsi="Arial"/>
                <w:sz w:val="17"/>
                <w:szCs w:val="17"/>
                <w:color w:val="auto"/>
              </w:rPr>
              <w:t>Other receivables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(331,026)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719,229</w:t>
            </w:r>
          </w:p>
        </w:tc>
        <w:tc>
          <w:tcPr>
            <w:tcW w:w="0" w:type="dxa"/>
            <w:vAlign w:val="bottom"/>
          </w:tcPr>
          <w:p>
            <w:pPr>
              <w:spacing w:after="0"/>
              <w:rPr>
                <w:sz w:val="1"/>
                <w:szCs w:val="1"/>
                <w:color w:val="auto"/>
              </w:rPr>
            </w:pPr>
          </w:p>
        </w:tc>
      </w:tr>
      <w:tr>
        <w:trPr>
          <w:trHeight w:val="240"/>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Prepaid expenses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668,486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3,598,565</w:t>
            </w:r>
          </w:p>
        </w:tc>
        <w:tc>
          <w:tcPr>
            <w:tcW w:w="0" w:type="dxa"/>
            <w:vAlign w:val="bottom"/>
          </w:tcPr>
          <w:p>
            <w:pPr>
              <w:spacing w:after="0"/>
              <w:rPr>
                <w:sz w:val="1"/>
                <w:szCs w:val="1"/>
                <w:color w:val="auto"/>
              </w:rPr>
            </w:pPr>
          </w:p>
        </w:tc>
      </w:tr>
      <w:tr>
        <w:trPr>
          <w:trHeight w:val="240"/>
        </w:trPr>
        <w:tc>
          <w:tcPr>
            <w:tcW w:w="6140" w:type="dxa"/>
            <w:vAlign w:val="bottom"/>
          </w:tcPr>
          <w:p>
            <w:pPr>
              <w:ind w:left="620"/>
              <w:spacing w:after="0"/>
              <w:rPr>
                <w:sz w:val="20"/>
                <w:szCs w:val="20"/>
                <w:color w:val="auto"/>
              </w:rPr>
            </w:pPr>
            <w:r>
              <w:rPr>
                <w:rFonts w:ascii="Arial" w:cs="Arial" w:eastAsia="Arial" w:hAnsi="Arial"/>
                <w:sz w:val="17"/>
                <w:szCs w:val="17"/>
                <w:color w:val="auto"/>
              </w:rPr>
              <w:t>Deposits</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402,414</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Other current assets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140" w:type="dxa"/>
            <w:vAlign w:val="bottom"/>
          </w:tcPr>
          <w:p>
            <w:pPr>
              <w:ind w:left="620"/>
              <w:spacing w:after="0"/>
              <w:rPr>
                <w:sz w:val="20"/>
                <w:szCs w:val="20"/>
                <w:color w:val="auto"/>
              </w:rPr>
            </w:pPr>
            <w:r>
              <w:rPr>
                <w:rFonts w:ascii="Arial" w:cs="Arial" w:eastAsia="Arial" w:hAnsi="Arial"/>
                <w:sz w:val="17"/>
                <w:szCs w:val="17"/>
                <w:color w:val="auto"/>
              </w:rPr>
              <w:t>Other non-current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(78,723)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45,562</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Operating lease liability</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(548,638)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(459,763)</w:t>
            </w:r>
          </w:p>
        </w:tc>
        <w:tc>
          <w:tcPr>
            <w:tcW w:w="0" w:type="dxa"/>
            <w:vAlign w:val="bottom"/>
          </w:tcPr>
          <w:p>
            <w:pPr>
              <w:spacing w:after="0"/>
              <w:rPr>
                <w:sz w:val="1"/>
                <w:szCs w:val="1"/>
                <w:color w:val="auto"/>
              </w:rPr>
            </w:pPr>
          </w:p>
        </w:tc>
      </w:tr>
      <w:tr>
        <w:trPr>
          <w:trHeight w:val="253"/>
        </w:trPr>
        <w:tc>
          <w:tcPr>
            <w:tcW w:w="6140" w:type="dxa"/>
            <w:vAlign w:val="bottom"/>
          </w:tcPr>
          <w:p>
            <w:pPr>
              <w:ind w:left="62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(255,146)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(1,929,717)</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171,473</w:t>
            </w:r>
          </w:p>
        </w:tc>
        <w:tc>
          <w:tcPr>
            <w:tcW w:w="0" w:type="dxa"/>
            <w:vAlign w:val="bottom"/>
          </w:tcPr>
          <w:p>
            <w:pPr>
              <w:spacing w:after="0"/>
              <w:rPr>
                <w:sz w:val="1"/>
                <w:szCs w:val="1"/>
                <w:color w:val="auto"/>
              </w:rPr>
            </w:pPr>
          </w:p>
        </w:tc>
      </w:tr>
      <w:tr>
        <w:trPr>
          <w:trHeight w:val="253"/>
        </w:trPr>
        <w:tc>
          <w:tcPr>
            <w:tcW w:w="6140" w:type="dxa"/>
            <w:vAlign w:val="bottom"/>
          </w:tcPr>
          <w:p>
            <w:pPr>
              <w:ind w:left="620"/>
              <w:spacing w:after="0"/>
              <w:rPr>
                <w:sz w:val="20"/>
                <w:szCs w:val="20"/>
                <w:color w:val="auto"/>
              </w:rPr>
            </w:pPr>
            <w:r>
              <w:rPr>
                <w:rFonts w:ascii="Arial" w:cs="Arial" w:eastAsia="Arial" w:hAnsi="Arial"/>
                <w:sz w:val="17"/>
                <w:szCs w:val="17"/>
                <w:color w:val="auto"/>
              </w:rPr>
              <w:t>Interest payable</w:t>
            </w:r>
          </w:p>
        </w:tc>
        <w:tc>
          <w:tcPr>
            <w:tcW w:w="1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572,561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520,816</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Deferred grant funding</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3,089,828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2,824,471</w:t>
            </w:r>
          </w:p>
        </w:tc>
        <w:tc>
          <w:tcPr>
            <w:tcW w:w="0" w:type="dxa"/>
            <w:vAlign w:val="bottom"/>
          </w:tcPr>
          <w:p>
            <w:pPr>
              <w:spacing w:after="0"/>
              <w:rPr>
                <w:sz w:val="1"/>
                <w:szCs w:val="1"/>
                <w:color w:val="auto"/>
              </w:rPr>
            </w:pPr>
          </w:p>
        </w:tc>
      </w:tr>
      <w:tr>
        <w:trPr>
          <w:trHeight w:val="253"/>
        </w:trPr>
        <w:tc>
          <w:tcPr>
            <w:tcW w:w="61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1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(9,885,870)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5,473,555</w:t>
            </w:r>
          </w:p>
        </w:tc>
        <w:tc>
          <w:tcPr>
            <w:tcW w:w="0" w:type="dxa"/>
            <w:vAlign w:val="bottom"/>
          </w:tcPr>
          <w:p>
            <w:pPr>
              <w:spacing w:after="0"/>
              <w:rPr>
                <w:sz w:val="1"/>
                <w:szCs w:val="1"/>
                <w:color w:val="auto"/>
              </w:rPr>
            </w:pPr>
          </w:p>
        </w:tc>
      </w:tr>
      <w:tr>
        <w:trPr>
          <w:trHeight w:val="215"/>
        </w:trPr>
        <w:tc>
          <w:tcPr>
            <w:tcW w:w="61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(385,278)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(573,046)</w:t>
            </w:r>
          </w:p>
        </w:tc>
        <w:tc>
          <w:tcPr>
            <w:tcW w:w="0" w:type="dxa"/>
            <w:vAlign w:val="bottom"/>
          </w:tcPr>
          <w:p>
            <w:pPr>
              <w:spacing w:after="0"/>
              <w:rPr>
                <w:sz w:val="1"/>
                <w:szCs w:val="1"/>
                <w:color w:val="auto"/>
              </w:rPr>
            </w:pPr>
          </w:p>
        </w:tc>
      </w:tr>
      <w:tr>
        <w:trPr>
          <w:trHeight w:val="233"/>
        </w:trPr>
        <w:tc>
          <w:tcPr>
            <w:tcW w:w="6140" w:type="dxa"/>
            <w:vAlign w:val="bottom"/>
            <w:tcBorders>
              <w:bottom w:val="single" w:sz="8" w:color="CCEEFF"/>
            </w:tcBorders>
          </w:tcPr>
          <w:p>
            <w:pPr>
              <w:ind w:left="94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(385,278)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(573,046)</w:t>
            </w:r>
          </w:p>
        </w:tc>
        <w:tc>
          <w:tcPr>
            <w:tcW w:w="0" w:type="dxa"/>
            <w:vAlign w:val="bottom"/>
          </w:tcPr>
          <w:p>
            <w:pPr>
              <w:spacing w:after="0"/>
              <w:rPr>
                <w:sz w:val="1"/>
                <w:szCs w:val="1"/>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Arial" w:cs="Arial" w:eastAsia="Arial" w:hAnsi="Arial"/>
                <w:sz w:val="17"/>
                <w:szCs w:val="17"/>
                <w:color w:val="auto"/>
              </w:rPr>
              <w:t>Net proceeds from issuance of common stock</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20,930,126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453,579</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of deferred offering costs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(79,308)</w:t>
            </w:r>
          </w:p>
        </w:tc>
        <w:tc>
          <w:tcPr>
            <w:tcW w:w="0" w:type="dxa"/>
            <w:vAlign w:val="bottom"/>
          </w:tcPr>
          <w:p>
            <w:pPr>
              <w:spacing w:after="0"/>
              <w:rPr>
                <w:sz w:val="1"/>
                <w:szCs w:val="1"/>
                <w:color w:val="auto"/>
              </w:rPr>
            </w:pPr>
          </w:p>
        </w:tc>
      </w:tr>
      <w:tr>
        <w:trPr>
          <w:trHeight w:val="253"/>
        </w:trPr>
        <w:tc>
          <w:tcPr>
            <w:tcW w:w="6140" w:type="dxa"/>
            <w:vAlign w:val="bottom"/>
          </w:tcPr>
          <w:p>
            <w:pPr>
              <w:ind w:left="220"/>
              <w:spacing w:after="0"/>
              <w:rPr>
                <w:sz w:val="20"/>
                <w:szCs w:val="20"/>
                <w:color w:val="auto"/>
              </w:rPr>
            </w:pPr>
            <w:r>
              <w:rPr>
                <w:rFonts w:ascii="Arial" w:cs="Arial" w:eastAsia="Arial" w:hAnsi="Arial"/>
                <w:sz w:val="17"/>
                <w:szCs w:val="17"/>
                <w:color w:val="auto"/>
              </w:rPr>
              <w:t>Repayment of liability on sale of future royalties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of note payable</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486,721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561,663</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Arial" w:cs="Arial" w:eastAsia="Arial" w:hAnsi="Arial"/>
                <w:sz w:val="17"/>
                <w:szCs w:val="17"/>
                <w:color w:val="auto"/>
              </w:rPr>
              <w:t>Payments on note payable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(553,829)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(579,223)</w:t>
            </w:r>
          </w:p>
        </w:tc>
        <w:tc>
          <w:tcPr>
            <w:tcW w:w="0" w:type="dxa"/>
            <w:vAlign w:val="bottom"/>
          </w:tcPr>
          <w:p>
            <w:pPr>
              <w:spacing w:after="0"/>
              <w:rPr>
                <w:sz w:val="1"/>
                <w:szCs w:val="1"/>
                <w:color w:val="auto"/>
              </w:rPr>
            </w:pPr>
          </w:p>
        </w:tc>
      </w:tr>
      <w:tr>
        <w:trPr>
          <w:trHeight w:val="240"/>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on finance lease</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(1,264,188)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140" w:type="dxa"/>
            <w:vAlign w:val="bottom"/>
            <w:tcBorders>
              <w:bottom w:val="single" w:sz="8" w:color="CCEEFF"/>
            </w:tcBorders>
          </w:tcPr>
          <w:p>
            <w:pPr>
              <w:ind w:left="940"/>
              <w:spacing w:after="0"/>
              <w:rPr>
                <w:sz w:val="20"/>
                <w:szCs w:val="20"/>
                <w:color w:val="auto"/>
              </w:rPr>
            </w:pPr>
            <w:r>
              <w:rPr>
                <w:rFonts w:ascii="Arial" w:cs="Arial" w:eastAsia="Arial" w:hAnsi="Arial"/>
                <w:sz w:val="17"/>
                <w:szCs w:val="17"/>
                <w:color w:val="auto"/>
              </w:rPr>
              <w:t>Net cash provided by financing activities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19,277,144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354,522</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20"/>
              <w:spacing w:after="0" w:line="145" w:lineRule="exact"/>
              <w:rPr>
                <w:sz w:val="20"/>
                <w:szCs w:val="20"/>
                <w:color w:val="auto"/>
              </w:rPr>
            </w:pPr>
            <w:r>
              <w:rPr>
                <w:rFonts w:ascii="Arial" w:cs="Arial" w:eastAsia="Arial" w:hAnsi="Arial"/>
                <w:sz w:val="16"/>
                <w:szCs w:val="16"/>
                <w:color w:val="auto"/>
              </w:rPr>
              <w:t>Effect of exchange rate changes on cash and cash equivalents and restricted</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7,186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(67,913)</w:t>
            </w:r>
          </w:p>
        </w:tc>
        <w:tc>
          <w:tcPr>
            <w:tcW w:w="0" w:type="dxa"/>
            <w:vAlign w:val="bottom"/>
          </w:tcPr>
          <w:p>
            <w:pPr>
              <w:spacing w:after="0"/>
              <w:rPr>
                <w:sz w:val="1"/>
                <w:szCs w:val="1"/>
                <w:color w:val="auto"/>
              </w:rPr>
            </w:pPr>
          </w:p>
        </w:tc>
      </w:tr>
      <w:tr>
        <w:trPr>
          <w:trHeight w:val="227"/>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20"/>
              <w:spacing w:after="0"/>
              <w:rPr>
                <w:sz w:val="20"/>
                <w:szCs w:val="20"/>
                <w:color w:val="auto"/>
              </w:rPr>
            </w:pPr>
            <w:r>
              <w:rPr>
                <w:rFonts w:ascii="Arial" w:cs="Arial" w:eastAsia="Arial" w:hAnsi="Arial"/>
                <w:sz w:val="17"/>
                <w:szCs w:val="17"/>
                <w:color w:val="auto"/>
              </w:rPr>
              <w:t>Net change in cash, cash equivalents and restricted cash</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9,013,182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5,187,118</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15,998,174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10,811,056</w:t>
            </w:r>
          </w:p>
        </w:tc>
        <w:tc>
          <w:tcPr>
            <w:tcW w:w="0" w:type="dxa"/>
            <w:vAlign w:val="bottom"/>
          </w:tcPr>
          <w:p>
            <w:pPr>
              <w:spacing w:after="0"/>
              <w:rPr>
                <w:sz w:val="1"/>
                <w:szCs w:val="1"/>
                <w:color w:val="auto"/>
              </w:rPr>
            </w:pPr>
          </w:p>
        </w:tc>
      </w:tr>
      <w:tr>
        <w:trPr>
          <w:trHeight w:val="215"/>
        </w:trPr>
        <w:tc>
          <w:tcPr>
            <w:tcW w:w="61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year</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25,011,356</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15,998,174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-4445</wp:posOffset>
            </wp:positionV>
            <wp:extent cx="16446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ind w:left="1280" w:right="1860"/>
        <w:spacing w:after="0" w:line="244" w:lineRule="auto"/>
        <w:rPr>
          <w:sz w:val="20"/>
          <w:szCs w:val="20"/>
          <w:color w:val="auto"/>
        </w:rPr>
      </w:pPr>
      <w:r>
        <w:rPr>
          <w:rFonts w:ascii="Arial" w:cs="Arial" w:eastAsia="Arial" w:hAnsi="Arial"/>
          <w:sz w:val="17"/>
          <w:szCs w:val="17"/>
          <w:b w:val="1"/>
          <w:bCs w:val="1"/>
          <w:color w:val="auto"/>
        </w:rPr>
        <w:t>Reconciliation of cash, cash equivalents and restricted cash to amounts reported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-248920</wp:posOffset>
            </wp:positionV>
            <wp:extent cx="5536565" cy="2565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5536565" cy="256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126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24,711,356</w:t>
            </w:r>
          </w:p>
        </w:tc>
        <w:tc>
          <w:tcPr>
            <w:tcW w:w="120" w:type="dxa"/>
            <w:vAlign w:val="bottom"/>
          </w:tcPr>
          <w:p>
            <w:pPr>
              <w:spacing w:after="0"/>
              <w:rPr>
                <w:sz w:val="22"/>
                <w:szCs w:val="22"/>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15,698,174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260" w:type="dxa"/>
            <w:vAlign w:val="bottom"/>
          </w:tcPr>
          <w:p>
            <w:pPr>
              <w:spacing w:after="0"/>
              <w:rPr>
                <w:sz w:val="20"/>
                <w:szCs w:val="20"/>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included in other non-current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25,011,356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15,998,174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tcPr>
          <w:p>
            <w:pPr>
              <w:spacing w:after="0"/>
              <w:rPr>
                <w:sz w:val="17"/>
                <w:szCs w:val="17"/>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6140" w:type="dxa"/>
            <w:vAlign w:val="bottom"/>
          </w:tcPr>
          <w:p>
            <w:pPr>
              <w:ind w:left="220"/>
              <w:spacing w:after="0" w:line="164" w:lineRule="exact"/>
              <w:rPr>
                <w:sz w:val="20"/>
                <w:szCs w:val="20"/>
                <w:color w:val="auto"/>
              </w:rPr>
            </w:pPr>
            <w:r>
              <w:rPr>
                <w:rFonts w:ascii="Arial" w:cs="Arial" w:eastAsia="Arial" w:hAnsi="Arial"/>
                <w:sz w:val="17"/>
                <w:szCs w:val="17"/>
                <w:color w:val="auto"/>
                <w:w w:val="99"/>
              </w:rPr>
              <w:t>Remeasurement of operating lease right-of-use assets and lease liabilities due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26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7"/>
                <w:szCs w:val="17"/>
                <w:color w:val="auto"/>
              </w:rPr>
              <w:t>to lease modification</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407,534</w:t>
            </w:r>
          </w:p>
        </w:tc>
        <w:tc>
          <w:tcPr>
            <w:tcW w:w="1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358,315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6140" w:type="dxa"/>
            <w:vAlign w:val="bottom"/>
            <w:shd w:val="clear" w:color="auto" w:fill="CCEEFF"/>
          </w:tcPr>
          <w:p>
            <w:pPr>
              <w:ind w:left="240"/>
              <w:spacing w:after="0" w:line="164" w:lineRule="exact"/>
              <w:rPr>
                <w:sz w:val="20"/>
                <w:szCs w:val="20"/>
                <w:color w:val="auto"/>
              </w:rPr>
            </w:pPr>
            <w:r>
              <w:rPr>
                <w:rFonts w:ascii="Arial" w:cs="Arial" w:eastAsia="Arial" w:hAnsi="Arial"/>
                <w:sz w:val="17"/>
                <w:szCs w:val="17"/>
                <w:color w:val="auto"/>
              </w:rPr>
              <w:t>Finance right-of-use assets obtained in exchange for new finance lease</w:t>
            </w: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2,841,027</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260" w:type="dxa"/>
            <w:vAlign w:val="bottom"/>
          </w:tcPr>
          <w:p>
            <w:pPr>
              <w:spacing w:after="0"/>
              <w:rPr>
                <w:sz w:val="19"/>
                <w:szCs w:val="19"/>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liabilities</w:t>
            </w: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6140" w:type="dxa"/>
            <w:vAlign w:val="bottom"/>
          </w:tcPr>
          <w:p>
            <w:pPr>
              <w:ind w:left="220"/>
              <w:spacing w:after="0" w:line="164" w:lineRule="exact"/>
              <w:rPr>
                <w:sz w:val="20"/>
                <w:szCs w:val="20"/>
                <w:color w:val="auto"/>
              </w:rPr>
            </w:pPr>
            <w:r>
              <w:rPr>
                <w:rFonts w:ascii="Arial" w:cs="Arial" w:eastAsia="Arial" w:hAnsi="Arial"/>
                <w:sz w:val="17"/>
                <w:szCs w:val="17"/>
                <w:color w:val="auto"/>
                <w:w w:val="99"/>
              </w:rPr>
              <w:t>Remeasurement of finance lease right-of-use assets and lease liabilities due to</w:t>
            </w:r>
          </w:p>
        </w:tc>
        <w:tc>
          <w:tcPr>
            <w:tcW w:w="200" w:type="dxa"/>
            <w:vAlign w:val="bottom"/>
            <w:vMerge w:val="restart"/>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ind w:right="16"/>
              <w:spacing w:after="0"/>
              <w:rPr>
                <w:sz w:val="20"/>
                <w:szCs w:val="20"/>
                <w:color w:val="auto"/>
              </w:rPr>
            </w:pPr>
            <w:r>
              <w:rPr>
                <w:rFonts w:ascii="Arial" w:cs="Arial" w:eastAsia="Arial" w:hAnsi="Arial"/>
                <w:sz w:val="17"/>
                <w:szCs w:val="17"/>
                <w:color w:val="auto"/>
              </w:rPr>
              <w:t>82,736</w:t>
            </w:r>
          </w:p>
        </w:tc>
        <w:tc>
          <w:tcPr>
            <w:tcW w:w="120" w:type="dxa"/>
            <w:vAlign w:val="bottom"/>
          </w:tcPr>
          <w:p>
            <w:pPr>
              <w:spacing w:after="0"/>
              <w:rPr>
                <w:sz w:val="14"/>
                <w:szCs w:val="14"/>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7"/>
                <w:szCs w:val="17"/>
                <w:color w:val="auto"/>
                <w:w w:val="84"/>
              </w:rPr>
              <w:t>$</w:t>
            </w:r>
          </w:p>
        </w:tc>
        <w:tc>
          <w:tcPr>
            <w:tcW w:w="2280" w:type="dxa"/>
            <w:vAlign w:val="bottom"/>
            <w:gridSpan w:val="2"/>
            <w:vMerge w:val="restart"/>
          </w:tcPr>
          <w:p>
            <w:pPr>
              <w:jc w:val="right"/>
              <w:ind w:right="1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7"/>
                <w:szCs w:val="17"/>
                <w:color w:val="auto"/>
              </w:rPr>
              <w:t>lease modification</w:t>
            </w:r>
          </w:p>
        </w:tc>
        <w:tc>
          <w:tcPr>
            <w:tcW w:w="2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4"/>
                <w:szCs w:val="24"/>
                <w:color w:val="auto"/>
              </w:rPr>
            </w:pPr>
          </w:p>
        </w:tc>
        <w:tc>
          <w:tcPr>
            <w:tcW w:w="6140" w:type="dxa"/>
            <w:vAlign w:val="bottom"/>
          </w:tcPr>
          <w:p>
            <w:pPr>
              <w:ind w:left="4240"/>
              <w:spacing w:after="0"/>
              <w:rPr>
                <w:sz w:val="20"/>
                <w:szCs w:val="20"/>
                <w:color w:val="auto"/>
              </w:rPr>
            </w:pPr>
            <w:r>
              <w:rPr>
                <w:rFonts w:ascii="Arial" w:cs="Arial" w:eastAsia="Arial" w:hAnsi="Arial"/>
                <w:sz w:val="17"/>
                <w:szCs w:val="17"/>
                <w:color w:val="auto"/>
              </w:rPr>
              <w:t>F-7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26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53" w:name="page154"/>
    <w:bookmarkEnd w:id="153"/>
    <w:tbl>
      <w:tblPr>
        <w:tblLayout w:type="fixed"/>
        <w:tblInd w:w="140" w:type="dxa"/>
        <w:tblCellMar>
          <w:top w:w="0" w:type="dxa"/>
          <w:left w:w="0" w:type="dxa"/>
          <w:bottom w:w="0" w:type="dxa"/>
          <w:right w:w="0" w:type="dxa"/>
        </w:tblCellMar>
      </w:tblPr>
      <w:tr>
        <w:trPr>
          <w:trHeight w:val="24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rent reclassified to finance lease right-of-use asset</w:t>
            </w:r>
          </w:p>
        </w:tc>
        <w:tc>
          <w:tcPr>
            <w:tcW w:w="5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458,850</w:t>
            </w:r>
          </w:p>
        </w:tc>
        <w:tc>
          <w:tcPr>
            <w:tcW w:w="4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940" w:type="dxa"/>
            <w:vAlign w:val="bottom"/>
          </w:tcPr>
          <w:p>
            <w:pPr>
              <w:ind w:left="220"/>
              <w:spacing w:after="0"/>
              <w:rPr>
                <w:sz w:val="20"/>
                <w:szCs w:val="20"/>
                <w:color w:val="auto"/>
              </w:rPr>
            </w:pPr>
            <w:r>
              <w:rPr>
                <w:rFonts w:ascii="Arial" w:cs="Arial" w:eastAsia="Arial" w:hAnsi="Arial"/>
                <w:sz w:val="17"/>
                <w:szCs w:val="17"/>
                <w:color w:val="auto"/>
              </w:rPr>
              <w:t>Deferred issuance costs applied from prepayments made in the prior year</w:t>
            </w:r>
          </w:p>
        </w:tc>
        <w:tc>
          <w:tcPr>
            <w:tcW w:w="5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179,877</w:t>
            </w:r>
          </w:p>
        </w:tc>
        <w:tc>
          <w:tcPr>
            <w:tcW w:w="4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cost on equity paid in common stock</w:t>
            </w:r>
          </w:p>
        </w:tc>
        <w:tc>
          <w:tcPr>
            <w:tcW w:w="5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500,227</w:t>
            </w:r>
          </w:p>
        </w:tc>
      </w:tr>
      <w:tr>
        <w:trPr>
          <w:trHeight w:val="244"/>
        </w:trPr>
        <w:tc>
          <w:tcPr>
            <w:tcW w:w="5940" w:type="dxa"/>
            <w:vAlign w:val="bottom"/>
          </w:tcPr>
          <w:p>
            <w:pPr>
              <w:ind w:left="220"/>
              <w:spacing w:after="0"/>
              <w:rPr>
                <w:sz w:val="20"/>
                <w:szCs w:val="20"/>
                <w:color w:val="auto"/>
              </w:rPr>
            </w:pPr>
            <w:r>
              <w:rPr>
                <w:rFonts w:ascii="Arial" w:cs="Arial" w:eastAsia="Arial" w:hAnsi="Arial"/>
                <w:sz w:val="17"/>
                <w:szCs w:val="17"/>
                <w:color w:val="auto"/>
              </w:rPr>
              <w:t>Additions to property and equipment and reduction of deposits</w:t>
            </w:r>
          </w:p>
        </w:tc>
        <w:tc>
          <w:tcPr>
            <w:tcW w:w="5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749,036</w:t>
            </w:r>
          </w:p>
        </w:tc>
      </w:tr>
    </w:tbl>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66675</wp:posOffset>
            </wp:positionV>
            <wp:extent cx="716661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Daré Bioscience, Inc. and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9" w:lineRule="exact"/>
        <w:rPr>
          <w:sz w:val="20"/>
          <w:szCs w:val="20"/>
          <w:color w:val="auto"/>
        </w:rPr>
      </w:pPr>
    </w:p>
    <w:p>
      <w:pPr>
        <w:ind w:left="320" w:hanging="319"/>
        <w:spacing w:after="0"/>
        <w:tabs>
          <w:tab w:leader="none" w:pos="32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BUSINESS</w:t>
      </w:r>
    </w:p>
    <w:p>
      <w:pPr>
        <w:spacing w:after="0" w:line="13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spacing w:after="0" w:line="100"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spacing w:after="0" w:line="100"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Company’s operations have historically focused on research and development activities to advance its product candidates through clinical development and regulatory approval</w:t>
      </w:r>
      <w:r>
        <w:rPr>
          <w:rFonts w:ascii="Arial" w:cs="Arial" w:eastAsia="Arial" w:hAnsi="Arial"/>
          <w:sz w:val="17"/>
          <w:szCs w:val="17"/>
          <w:i w:val="1"/>
          <w:iCs w:val="1"/>
          <w:color w:val="auto"/>
        </w:rPr>
        <w:t>.</w:t>
      </w:r>
      <w:r>
        <w:rPr>
          <w:rFonts w:ascii="Arial" w:cs="Arial" w:eastAsia="Arial" w:hAnsi="Arial"/>
          <w:sz w:val="17"/>
          <w:szCs w:val="17"/>
          <w:color w:val="auto"/>
        </w:rPr>
        <w:t xml:space="preserve"> 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FDA approval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 outsourcing facilities and select consumer health channels. The Company uses the term "Section 503B compounding" to refer to the production and supply of compounded drugs by outsourcing facilities registered under Section 503B of the FDCA without patient-specific prescriptions in accordance with Section 503B of the FDCA. In addition to prescription-based offerings — both products approved by the U.S. Food and Drug Administration (FDA) and compounded drugs— the Company intends to bring to market select consumer health products that do not require a physician’s prescription.</w:t>
      </w:r>
    </w:p>
    <w:p>
      <w:pPr>
        <w:spacing w:after="0" w:line="10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Company's portfolio of product candidates includes drug and drug/device product candidates and potential product candidates in various stages of development, from preclinical through a Phase 3 clinical study, and will require review and approval from the FDA or a comparable foreign regulatory authority, prior to being marketed and sold.</w:t>
      </w:r>
    </w:p>
    <w:p>
      <w:pPr>
        <w:spacing w:after="0" w:line="6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pacing w:after="0" w:line="224" w:lineRule="exact"/>
        <w:rPr>
          <w:sz w:val="20"/>
          <w:szCs w:val="20"/>
          <w:color w:val="auto"/>
        </w:rPr>
      </w:pPr>
    </w:p>
    <w:p>
      <w:pPr>
        <w:ind w:left="320" w:hanging="319"/>
        <w:spacing w:after="0"/>
        <w:tabs>
          <w:tab w:leader="none" w:pos="32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consolidated financial statements have been prepared in conformity with accounting principles generally accepted in the United States, or U.S. GAAP, as defined by the Financial Accounting Standards Board, or FASB.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consolidated financial statements of the Company are stated in U.S. dollars. These consolidated financial statements include the accounts of the Company and its wholly-owned subsidiaries. One wholly-owned subsidiary, Daré Bioscience Australia Pty LTD, operates primarily in Australia. The financial statements of the Company’s wholly-owned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6"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 of Prior Year Presentation</w:t>
      </w:r>
    </w:p>
    <w:p>
      <w:pPr>
        <w:spacing w:after="0" w:line="14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Certain prior year amounts have been reclassified for consistency with the current year presentation. These reclassifications had no effect on the reported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184"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The Company prepared its consolidated financial statements on a going concern basis, which assumes that the Company will realize its assets and satisfy its liabilities in the normal course of business. The Company has a history of losses from operations, net losses and negative cash flows from operations and expects significant losses from operations, net losses and negative cash flows from operations for at least the next several years as it develops and seeks to bring to market its existing product candidates and seeks to potentially acquire, license and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2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At December 31, 2025, the Company had cash and cash equivalents of approximately $24.7 million and working capital of approximately $3.4 million. The Company's cash and cash equivalents at December 31, 2025 includes funds received under grant agreements that may be applied solely toward direct costs for the funded projects under those grant agreements, other than an approximately 5% to 22% indirect cost allowance, and as of December 31, 2025, the Company's deferred grant funding liability was approximately $19.7 million. See Note 15 Grant Awards.</w:t>
      </w:r>
    </w:p>
    <w:p>
      <w:pPr>
        <w:spacing w:after="0" w:line="104"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The Company will require additional capital to advance the development programs in its pipeline that are not currently being supported by non-dilutive grant or other funding, to enable further investment across its entire portfolio of product candidates, and to support its operating plans. The Company is currently seeking to raise capital under its Regulation A offering (see Note 17 Subsequent Events) and will continue to evaluate and may pursue various other capital raising options, including sales of equity, debt financings, government or other grant funding, collaborations, structured</w:t>
      </w:r>
    </w:p>
    <w:p>
      <w:pPr>
        <w:jc w:val="both"/>
        <w:spacing w:after="0" w:line="259" w:lineRule="auto"/>
        <w:rPr>
          <w:sz w:val="20"/>
          <w:szCs w:val="20"/>
          <w:color w:val="auto"/>
        </w:rPr>
      </w:pPr>
      <w:r>
        <w:rPr>
          <w:rFonts w:ascii="Arial" w:cs="Arial" w:eastAsia="Arial" w:hAnsi="Arial"/>
          <w:sz w:val="17"/>
          <w:szCs w:val="17"/>
          <w:color w:val="auto"/>
        </w:rPr>
        <w:t>financings, and commercial collaborations or other strategic transactions. The Company’s ability to obtain additional capital, including through its ongoing Regulation A offering,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technologies or product candidates and their future revenue streams. If the Company cannot raise capital when needed, on favorable terms or at all, the Company will need to reevaluate its planned operations and may need to delay, scale back or eliminate some or all of its product candidate programs and/or reduce expenses.</w:t>
      </w:r>
    </w:p>
    <w:p>
      <w:pPr>
        <w:spacing w:after="0" w:line="12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has a history of losses from operations, net losses and negative cash flows from operations. At December 31, 2025, the Company had an accumulated deficit of approximately $ 188.7 million and the Company incurred a net loss of approximately $ 13.4 million and had negative cash flow from operations of approximately $9.9 million for the year ended December 31, 2025. Because the Company is in the early stages of executing against its Section 503B compounding and consumer health products business strategies and, as an organization, the Company has no experience in or infrastructure for commercializing products, both the timing and amount of potential revenue the Company may generate remain uncertain. As a result,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 described above, there is substantial doubt about the Company's ability to continue as a going concern within the 12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6" w:name="page157"/>
    <w:bookmarkEnd w:id="156"/>
    <w:p>
      <w:pPr>
        <w:jc w:val="both"/>
        <w:spacing w:after="0" w:line="256" w:lineRule="auto"/>
        <w:rPr>
          <w:sz w:val="20"/>
          <w:szCs w:val="20"/>
          <w:color w:val="auto"/>
        </w:rPr>
      </w:pPr>
      <w:r>
        <w:rPr>
          <w:rFonts w:ascii="Arial" w:cs="Arial" w:eastAsia="Arial" w:hAnsi="Arial"/>
          <w:sz w:val="17"/>
          <w:szCs w:val="17"/>
          <w:color w:val="auto"/>
        </w:rPr>
        <w:t>month period from the issuance date of the accompanying consolidated financial statements. The accompanying consolidated financial statements were prepared on a going concern basis, which assumes that the Company will realize its assets and satisfy its liabilities in the normal course of business.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16, "Segment Information,"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46"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See Note 9, Stockholders' Equity, for additional information regarding the reverse stock split.</w:t>
      </w:r>
    </w:p>
    <w:p>
      <w:pPr>
        <w:spacing w:after="0" w:line="92"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All common stock share and per share data presented in the accompanying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33"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w:t>
      </w:r>
    </w:p>
    <w:p>
      <w:pPr>
        <w:spacing w:after="0" w:line="2" w:lineRule="exact"/>
        <w:rPr>
          <w:sz w:val="20"/>
          <w:szCs w:val="20"/>
          <w:color w:val="auto"/>
        </w:rPr>
      </w:pPr>
    </w:p>
    <w:p>
      <w:pPr>
        <w:jc w:val="both"/>
        <w:ind w:firstLine="1"/>
        <w:spacing w:after="0" w:line="251" w:lineRule="auto"/>
        <w:tabs>
          <w:tab w:leader="none" w:pos="263" w:val="left"/>
        </w:tabs>
        <w:numPr>
          <w:ilvl w:val="0"/>
          <w:numId w:val="66"/>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99"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12"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i w:val="1"/>
          <w:iCs w:val="1"/>
          <w:color w:val="auto"/>
        </w:rPr>
        <w:t>Collaboration Revenues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enters into collaboration and licensing agreements under which it out-licenses certain rights to its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or product candidates to third parties. The terms of these arrangements typically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57" w:name="page158"/>
    <w:bookmarkEnd w:id="157"/>
    <w:p>
      <w:pPr>
        <w:jc w:val="both"/>
        <w:spacing w:after="0" w:line="281" w:lineRule="auto"/>
        <w:rPr>
          <w:sz w:val="20"/>
          <w:szCs w:val="20"/>
          <w:color w:val="auto"/>
        </w:rPr>
      </w:pPr>
      <w:r>
        <w:rPr>
          <w:rFonts w:ascii="Arial" w:cs="Arial" w:eastAsia="Arial" w:hAnsi="Arial"/>
          <w:sz w:val="17"/>
          <w:szCs w:val="17"/>
          <w:color w:val="auto"/>
        </w:rPr>
        <w:t>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spacing w:after="0" w:line="7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i w:val="1"/>
          <w:iCs w:val="1"/>
          <w:color w:val="auto"/>
        </w:rPr>
        <w:t xml:space="preserve">License Fee Revenue.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$12.0 million in license fee revenue, $10.0 million of which represents the upfront payment under its license agreement for XACIATO, $1.0 million of which represents the payment required by the first amendment to such license agreement entered into in July 2023, and $1.0 million of which represents the license fee revenue recognized upon the termination of a license agreement in December 2025 (see Bayer License, below).</w:t>
      </w:r>
    </w:p>
    <w:p>
      <w:pPr>
        <w:spacing w:after="0" w:line="11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recognized approximately $26,000 in royalty revenue.</w:t>
      </w:r>
    </w:p>
    <w:p>
      <w:pPr>
        <w:spacing w:after="0" w:line="10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i w:val="1"/>
          <w:iCs w:val="1"/>
          <w:color w:val="auto"/>
        </w:rPr>
        <w:t>Bayer License</w:t>
      </w:r>
      <w:r>
        <w:rPr>
          <w:rFonts w:ascii="Arial" w:cs="Arial" w:eastAsia="Arial" w:hAnsi="Arial"/>
          <w:sz w:val="17"/>
          <w:szCs w:val="17"/>
          <w:color w:val="auto"/>
        </w:rPr>
        <w:t>. In 2020, the Company entered into a license agreement with Bayer Healthcare LLC, or Bayer, regarding the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commercialization of Ovaprene in the U.S. and received a $1.0 million upfront non-refundable license fee payment from Bayer (See Note 3, Strategic Agreements). The $1.0 million upfront payment was recorded as deferred license revenue in the Company's consolidated balance sheets at December 31, 2024. Bayer, in its sole discretion, had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In November 2025, the Company received notice from Bayer that it was terminating the license agreement. The Company and Bayer mutually agreed to terminate the agreement effective as of December 2, 2025 and the $1.0 million upfront payment was recognized as license fee revenue on such date.</w:t>
      </w:r>
    </w:p>
    <w:p>
      <w:pPr>
        <w:spacing w:after="0" w:line="102"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in which the Company is a licensor and that includes developmental, regulatory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Potential future milestone payments not within the Company's control, such as where achievement of the specified milestone depends on activities of a third party or regulatory approval, are not considered probable of being achieved until the specified milestone occurs.</w:t>
      </w:r>
    </w:p>
    <w:p>
      <w:pPr>
        <w:spacing w:after="0" w:line="1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Potential future payments for variable consideration, such as commercial milestones, will be recognized when it is probable that, if recorded, a significant reversal of revenue will not take place. Potential future royalty payments will be recorded as revenue when the associated sales occur (See Note 3, Strategic Agreements).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3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contract research organizations, or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Australian Research and Development Tax Incentive Program</w:t>
      </w:r>
    </w:p>
    <w:p>
      <w:pPr>
        <w:spacing w:after="0" w:line="13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is eligible under the Australian Research and Development Tax Incentive Program, or the Tax Incentive, to receive a cash refund from the Australian Taxation Office for eligible research and development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8" w:name="page159"/>
    <w:bookmarkEnd w:id="158"/>
    <w:p>
      <w:pPr>
        <w:jc w:val="both"/>
        <w:spacing w:after="0" w:line="273" w:lineRule="auto"/>
        <w:rPr>
          <w:sz w:val="20"/>
          <w:szCs w:val="20"/>
          <w:color w:val="auto"/>
        </w:rPr>
      </w:pPr>
      <w:r>
        <w:rPr>
          <w:rFonts w:ascii="Arial" w:cs="Arial" w:eastAsia="Arial" w:hAnsi="Arial"/>
          <w:sz w:val="16"/>
          <w:szCs w:val="16"/>
          <w:color w:val="auto"/>
        </w:rPr>
        <w:t>expenditures. To be eligible, the Company must have revenue of less than AUD $20.0 million during the reimbursable period and cannot be controlled by income tax exempt entities. Grants received by the Company that do not require the transfer of goods or services to a customer are accounted for by analogy to IAS 20. Under IAS 20, the Company recognizes the Tax Incentive as a reduction to research and development expense when there is reasonable assurance that the Tax Incentive will be received, the relevant expenditure has been incurred, and the amount can be reliably measured. The Company classifies its estimate for the Tax Incentive as other current assets on its consolidated balance sheets. For the years ended December 31, 2025 and 2024, the Company did not incur any research and development expenses that it believes are eligible for the Tax Incentive.</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Grant Funding</w:t>
      </w:r>
    </w:p>
    <w:p>
      <w:pPr>
        <w:spacing w:after="0" w:line="14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The Company receives certain research and development funding through grants issued by a division of the National Institutes of Health and the Gates Foundation, or the Foundation. Under the Foundation grant, which the Company considers to be a research and development contract under FASB Accounting Standards Codification, or ASC, Topic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xml:space="preserve">, the Company granted the Foundation a Humanitarian License which gives the Foundation the right to make the funded developments accessible at an affordable price to people within developing countries. Grants received by the Company that do not require the transfer of goods or services to a customer are accounted for by analogy to International Accounting Standards 20, </w:t>
      </w:r>
      <w:r>
        <w:rPr>
          <w:rFonts w:ascii="Arial" w:cs="Arial" w:eastAsia="Arial" w:hAnsi="Arial"/>
          <w:sz w:val="17"/>
          <w:szCs w:val="17"/>
          <w:i w:val="1"/>
          <w:iCs w:val="1"/>
          <w:color w:val="auto"/>
        </w:rPr>
        <w:t>Accounting for Grants and Disclosure of Government Assistance</w:t>
      </w:r>
      <w:r>
        <w:rPr>
          <w:rFonts w:ascii="Arial" w:cs="Arial" w:eastAsia="Arial" w:hAnsi="Arial"/>
          <w:sz w:val="17"/>
          <w:szCs w:val="17"/>
          <w:color w:val="auto"/>
        </w:rPr>
        <w:t>, or IAS 20. Under IAS 20, the Company recognizes grant funding in the statements of operations and comprehensive loss as a reduction to research and development expense as the related costs are incurred to meet those obligations over the grant period. The Company adopted this policy in 2018. For the years ended December 31, 2025 and December 31, 2024, the Company recognized approximately $16.4 million and $ 8.8 million, respectively, in the statements of operations and comprehensive loss as a reduction to research and development expense. Grant funding payments received in advance of research and development expenses incurred are recorded as deferred grant funding liability in the Company's consolidated balance sheets.</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3"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records compensation expense for all stock-based awards granted based on the fair value of the award at the time of grant. Compensation expense is recognized in the consolidated statements of operations and comprehensive loss on a straight-line basis over the requisite service period of the award. Forfeitures are accounted for in the period they occur. The Company uses the Black-Scholes Pricing Model to determine the fair value of each of the awards which considers factors such as the fair value of the Company's common stock, which is measured as the closing price of the Company's common stock on the date of the grant, the expected term, the volatility of the Company's common stock, risk free interest rate, and dividend yield. Due to the limited number of option exercises, the simplified method was utilized in order to determine the expected term of the awards. The Company compared U.S. Treasury Bills in determining the risk-free interest rate appropriate given the expected term. The Company has not established and has no plans to establish, a dividend policy, and the Company has not declared, and has no plans to declare dividends in the foreseeable future and thus no dividend yield was determined necessary in the calculation of fair value.</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Income Taxes</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accounts for income taxes using the asset and liability method in accordance with FASB ASC 740, Income Taxes.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07"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each of December 31, 2025 and 2024, the Company did not record any liabilities for uncertain tax positions.</w:t>
      </w:r>
    </w:p>
    <w:p>
      <w:pPr>
        <w:spacing w:after="0" w:line="9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During each of 2025 and 2024, the Company recorded no provision for income taxes. Management evaluated the Company’s tax positions and, as of December 31, 2025 and 2024, the Company had approximately $3.1 million and $2.9 million of unrecognized benefits, respectively. The tax years 2022 to 2024 and 2021 to 2024 remain open 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9" w:name="page160"/>
    <w:bookmarkEnd w:id="159"/>
    <w:p>
      <w:pPr>
        <w:jc w:val="both"/>
        <w:spacing w:after="0" w:line="281" w:lineRule="auto"/>
        <w:rPr>
          <w:sz w:val="20"/>
          <w:szCs w:val="20"/>
          <w:color w:val="auto"/>
        </w:rPr>
      </w:pPr>
      <w:r>
        <w:rPr>
          <w:rFonts w:ascii="Arial" w:cs="Arial" w:eastAsia="Arial" w:hAnsi="Arial"/>
          <w:sz w:val="17"/>
          <w:szCs w:val="17"/>
          <w:color w:val="auto"/>
        </w:rPr>
        <w:t>examination by federal and state taxing authorities, respectively, while the statute of limitations for U.S. net operating losses generated remain open beginning in the year of utilization. The Company is not currently under examination.</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4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6" w:lineRule="exact"/>
        <w:rPr>
          <w:sz w:val="20"/>
          <w:szCs w:val="20"/>
          <w:color w:val="auto"/>
        </w:rPr>
      </w:pPr>
    </w:p>
    <w:p>
      <w:pPr>
        <w:ind w:left="600" w:hanging="144"/>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Level 1: inputs are unadjusted quoted prices in active markets for identical assets or liabilities.</w:t>
      </w:r>
    </w:p>
    <w:p>
      <w:pPr>
        <w:spacing w:after="0" w:line="107" w:lineRule="exact"/>
        <w:rPr>
          <w:rFonts w:ascii="Arial" w:cs="Arial" w:eastAsia="Arial" w:hAnsi="Arial"/>
          <w:sz w:val="17"/>
          <w:szCs w:val="17"/>
          <w:color w:val="auto"/>
        </w:rPr>
      </w:pPr>
    </w:p>
    <w:p>
      <w:pPr>
        <w:jc w:val="both"/>
        <w:ind w:left="600" w:hanging="144"/>
        <w:spacing w:after="0" w:line="264" w:lineRule="auto"/>
        <w:tabs>
          <w:tab w:leader="none" w:pos="596" w:val="left"/>
        </w:tabs>
        <w:numPr>
          <w:ilvl w:val="0"/>
          <w:numId w:val="67"/>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2" w:lineRule="exact"/>
        <w:rPr>
          <w:rFonts w:ascii="Arial" w:cs="Arial" w:eastAsia="Arial" w:hAnsi="Arial"/>
          <w:sz w:val="17"/>
          <w:szCs w:val="17"/>
          <w:color w:val="auto"/>
        </w:rPr>
      </w:pPr>
    </w:p>
    <w:p>
      <w:pPr>
        <w:ind w:left="600" w:hanging="144"/>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19" w:lineRule="exact"/>
        <w:rPr>
          <w:sz w:val="20"/>
          <w:szCs w:val="20"/>
          <w:color w:val="auto"/>
        </w:rPr>
      </w:pPr>
    </w:p>
    <w:p>
      <w:pPr>
        <w:jc w:val="both"/>
        <w:ind w:firstLine="607"/>
        <w:spacing w:after="0" w:line="24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191C1F"/>
        </w:rPr>
        <w:t>following tables present the classification within the fair value hierarchy of financial assets and liabilities that are remeasured on a</w:t>
      </w:r>
      <w:r>
        <w:rPr>
          <w:rFonts w:ascii="Arial" w:cs="Arial" w:eastAsia="Arial" w:hAnsi="Arial"/>
          <w:sz w:val="17"/>
          <w:szCs w:val="17"/>
          <w:color w:val="auto"/>
        </w:rPr>
        <w:t xml:space="preserve"> </w:t>
      </w:r>
      <w:r>
        <w:rPr>
          <w:rFonts w:ascii="Arial" w:cs="Arial" w:eastAsia="Arial" w:hAnsi="Arial"/>
          <w:sz w:val="17"/>
          <w:szCs w:val="17"/>
          <w:color w:val="191C1F"/>
        </w:rPr>
        <w:t xml:space="preserve">recurring basis as of </w:t>
      </w:r>
      <w:r>
        <w:rPr>
          <w:rFonts w:ascii="Arial" w:cs="Arial" w:eastAsia="Arial" w:hAnsi="Arial"/>
          <w:sz w:val="17"/>
          <w:szCs w:val="17"/>
          <w:color w:val="000000"/>
        </w:rPr>
        <w:t>December 31, 2025</w:t>
      </w:r>
      <w:r>
        <w:rPr>
          <w:rFonts w:ascii="Arial" w:cs="Arial" w:eastAsia="Arial" w:hAnsi="Arial"/>
          <w:sz w:val="17"/>
          <w:szCs w:val="17"/>
          <w:color w:val="191C1F"/>
        </w:rPr>
        <w:t xml:space="preserve"> and December 31, 2024. There were no financial assets or liabilities that were remeasured using a quoted price in active markets for identical assets (Level 2) or using unobservable inputs (Level 3) as of </w:t>
      </w:r>
      <w:r>
        <w:rPr>
          <w:rFonts w:ascii="Arial" w:cs="Arial" w:eastAsia="Arial" w:hAnsi="Arial"/>
          <w:sz w:val="17"/>
          <w:szCs w:val="17"/>
          <w:color w:val="000000"/>
        </w:rPr>
        <w:t>December 31, 2025 or</w:t>
      </w:r>
      <w:r>
        <w:rPr>
          <w:rFonts w:ascii="Arial" w:cs="Arial" w:eastAsia="Arial" w:hAnsi="Arial"/>
          <w:sz w:val="17"/>
          <w:szCs w:val="17"/>
          <w:color w:val="191C1F"/>
        </w:rPr>
        <w:t xml:space="preserve"> December 31, 2024.</w:t>
      </w:r>
    </w:p>
    <w:p>
      <w:pPr>
        <w:spacing w:after="0" w:line="245" w:lineRule="exact"/>
        <w:rPr>
          <w:sz w:val="20"/>
          <w:szCs w:val="20"/>
          <w:color w:val="auto"/>
        </w:rPr>
      </w:pPr>
    </w:p>
    <w:p>
      <w:pPr>
        <w:jc w:val="center"/>
        <w:ind w:left="4400"/>
        <w:spacing w:after="0"/>
        <w:rPr>
          <w:sz w:val="20"/>
          <w:szCs w:val="20"/>
          <w:color w:val="auto"/>
        </w:rPr>
      </w:pPr>
      <w:r>
        <w:rPr>
          <w:rFonts w:ascii="Arial" w:cs="Arial" w:eastAsia="Arial" w:hAnsi="Arial"/>
          <w:sz w:val="13"/>
          <w:szCs w:val="13"/>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23495</wp:posOffset>
            </wp:positionV>
            <wp:extent cx="30492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83" w:lineRule="exact"/>
        <w:rPr>
          <w:sz w:val="20"/>
          <w:szCs w:val="20"/>
          <w:color w:val="auto"/>
        </w:rPr>
      </w:pPr>
    </w:p>
    <w:p>
      <w:pPr>
        <w:ind w:left="5780"/>
        <w:spacing w:after="0"/>
        <w:tabs>
          <w:tab w:leader="none" w:pos="7000" w:val="left"/>
          <w:tab w:leader="none" w:pos="8180" w:val="left"/>
          <w:tab w:leader="none" w:pos="9500" w:val="left"/>
        </w:tabs>
        <w:rPr>
          <w:sz w:val="20"/>
          <w:szCs w:val="20"/>
          <w:color w:val="auto"/>
        </w:rPr>
      </w:pP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23495</wp:posOffset>
            </wp:positionV>
            <wp:extent cx="5472430" cy="160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5472430" cy="160655"/>
                    </a:xfrm>
                    <a:prstGeom prst="rect">
                      <a:avLst/>
                    </a:prstGeom>
                    <a:noFill/>
                  </pic:spPr>
                </pic:pic>
              </a:graphicData>
            </a:graphic>
          </wp:anchor>
        </w:drawing>
      </w:r>
    </w:p>
    <w:p>
      <w:pPr>
        <w:spacing w:after="0" w:line="5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Balance at December 31, 2025</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15240</wp:posOffset>
            </wp:positionV>
            <wp:extent cx="5472430" cy="160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5472430" cy="160655"/>
                    </a:xfrm>
                    <a:prstGeom prst="rect">
                      <a:avLst/>
                    </a:prstGeom>
                    <a:noFill/>
                  </pic:spPr>
                </pic:pic>
              </a:graphicData>
            </a:graphic>
          </wp:anchor>
        </w:drawing>
      </w:r>
    </w:p>
    <w:p>
      <w:pPr>
        <w:spacing w:after="0" w:line="15" w:lineRule="exact"/>
        <w:rPr>
          <w:sz w:val="20"/>
          <w:szCs w:val="20"/>
          <w:color w:val="auto"/>
        </w:rPr>
      </w:pPr>
    </w:p>
    <w:p>
      <w:pPr>
        <w:ind w:left="1820"/>
        <w:spacing w:after="0"/>
        <w:tabs>
          <w:tab w:leader="none" w:pos="5440" w:val="left"/>
          <w:tab w:leader="none" w:pos="6720" w:val="left"/>
          <w:tab w:leader="none" w:pos="7480" w:val="left"/>
          <w:tab w:leader="none" w:pos="7900" w:val="left"/>
          <w:tab w:leader="none" w:pos="8680" w:val="left"/>
          <w:tab w:leader="none" w:pos="9100" w:val="left"/>
        </w:tabs>
        <w:rPr>
          <w:sz w:val="20"/>
          <w:szCs w:val="20"/>
          <w:color w:val="auto"/>
        </w:rPr>
      </w:pPr>
      <w:r>
        <w:rPr>
          <w:rFonts w:ascii="Arial" w:cs="Arial" w:eastAsia="Arial" w:hAnsi="Arial"/>
          <w:sz w:val="17"/>
          <w:szCs w:val="17"/>
          <w:color w:val="auto"/>
        </w:rPr>
        <w:t xml:space="preserve">Cash equivalents </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7"/>
          <w:szCs w:val="17"/>
          <w:color w:val="auto"/>
        </w:rPr>
        <w:t>$ 24,356,333</w:t>
        <w:tab/>
        <w:t>$</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7"/>
          <w:szCs w:val="17"/>
          <w:color w:val="auto"/>
        </w:rPr>
        <w:t>—</w:t>
        <w:tab/>
        <w:t>$ 24,356,333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7620</wp:posOffset>
            </wp:positionV>
            <wp:extent cx="3049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5080</wp:posOffset>
            </wp:positionV>
            <wp:extent cx="5472430" cy="160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5472430" cy="160655"/>
                    </a:xfrm>
                    <a:prstGeom prst="rect">
                      <a:avLst/>
                    </a:prstGeom>
                    <a:noFill/>
                  </pic:spPr>
                </pic:pic>
              </a:graphicData>
            </a:graphic>
          </wp:anchor>
        </w:drawing>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Current assets:</w:t>
      </w:r>
    </w:p>
    <w:p>
      <w:pPr>
        <w:spacing w:after="0" w:line="35" w:lineRule="exact"/>
        <w:rPr>
          <w:sz w:val="20"/>
          <w:szCs w:val="20"/>
          <w:color w:val="auto"/>
        </w:rPr>
      </w:pPr>
    </w:p>
    <w:p>
      <w:pPr>
        <w:ind w:left="1820"/>
        <w:spacing w:after="0"/>
        <w:tabs>
          <w:tab w:leader="none" w:pos="5440" w:val="left"/>
          <w:tab w:leader="none" w:pos="6720" w:val="left"/>
          <w:tab w:leader="none" w:pos="7480" w:val="left"/>
          <w:tab w:leader="none" w:pos="7900" w:val="left"/>
          <w:tab w:leader="none" w:pos="8680" w:val="left"/>
          <w:tab w:leader="none" w:pos="9100" w:val="left"/>
        </w:tabs>
        <w:rPr>
          <w:sz w:val="20"/>
          <w:szCs w:val="20"/>
          <w:color w:val="auto"/>
        </w:rPr>
      </w:pPr>
      <w:r>
        <w:rPr>
          <w:rFonts w:ascii="Arial" w:cs="Arial" w:eastAsia="Arial" w:hAnsi="Arial"/>
          <w:sz w:val="17"/>
          <w:szCs w:val="17"/>
          <w:color w:val="auto"/>
        </w:rPr>
        <w:t xml:space="preserve">Cash equivalents </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7"/>
          <w:szCs w:val="17"/>
          <w:color w:val="auto"/>
        </w:rPr>
        <w:t>$ 15,283,784</w:t>
        <w:tab/>
        <w:t>$</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7"/>
          <w:szCs w:val="17"/>
          <w:color w:val="auto"/>
        </w:rPr>
        <w:t>—</w:t>
        <w:tab/>
        <w:t>$ 15,283,784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-15240</wp:posOffset>
            </wp:positionV>
            <wp:extent cx="30492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3049270" cy="32385"/>
                    </a:xfrm>
                    <a:prstGeom prst="rect">
                      <a:avLst/>
                    </a:prstGeom>
                    <a:noFill/>
                  </pic:spPr>
                </pic:pic>
              </a:graphicData>
            </a:graphic>
          </wp:anchor>
        </w:drawing>
      </w:r>
    </w:p>
    <w:p>
      <w:pPr>
        <w:spacing w:after="0" w:line="128" w:lineRule="exact"/>
        <w:rPr>
          <w:sz w:val="20"/>
          <w:szCs w:val="20"/>
          <w:color w:val="auto"/>
        </w:rPr>
      </w:pPr>
    </w:p>
    <w:p>
      <w:pPr>
        <w:ind w:left="1780" w:hanging="145"/>
        <w:spacing w:after="0"/>
        <w:tabs>
          <w:tab w:leader="none" w:pos="178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Represents cash held in money market funds.</w:t>
      </w:r>
    </w:p>
    <w:p>
      <w:pPr>
        <w:spacing w:after="0" w:line="80" w:lineRule="exact"/>
        <w:rPr>
          <w:sz w:val="20"/>
          <w:szCs w:val="20"/>
          <w:color w:val="auto"/>
        </w:rPr>
      </w:pPr>
    </w:p>
    <w:p>
      <w:pPr>
        <w:jc w:val="both"/>
        <w:ind w:firstLine="607"/>
        <w:spacing w:after="0" w:line="244" w:lineRule="auto"/>
        <w:rPr>
          <w:sz w:val="20"/>
          <w:szCs w:val="20"/>
          <w:color w:val="auto"/>
        </w:rPr>
      </w:pPr>
      <w:r>
        <w:rPr>
          <w:rFonts w:ascii="Arial" w:cs="Arial" w:eastAsia="Arial" w:hAnsi="Arial"/>
          <w:sz w:val="17"/>
          <w:szCs w:val="17"/>
          <w:color w:val="auto"/>
        </w:rPr>
        <w:t>The carrying amounts of all prepaid expenses and other current assets, accounts payable and accrued liabilities are considered to be representative of their respective fair values because of the short-term nature of those instruments. In addition, the carrying value of the liability related to the sale of future royalties approximates its fair value as of December 31, 2025, and is based on the Company’s current estimate of future royalties expected to be earned over the estimated life of the royalty interest financing arrangement. See Note 12 for the description of the Level 3 inputs used to estimate the carrying value of the liability.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considers cash and all highly liquid investments with an original maturity of three months or less to be cash and cash equivalents. The Company has an aggregate of approximately $0.3 million in restricted cash as of December 31, 2025 and 2024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consolidated balance sheets.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0" w:name="page161"/>
    <w:bookmarkEnd w:id="160"/>
    <w:p>
      <w:pPr>
        <w:ind w:left="600"/>
        <w:spacing w:after="0"/>
        <w:rPr>
          <w:sz w:val="20"/>
          <w:szCs w:val="20"/>
          <w:color w:val="auto"/>
        </w:rPr>
      </w:pPr>
      <w:r>
        <w:rPr>
          <w:rFonts w:ascii="Arial" w:cs="Arial" w:eastAsia="Arial" w:hAnsi="Arial"/>
          <w:sz w:val="17"/>
          <w:szCs w:val="17"/>
          <w:b w:val="1"/>
          <w:bCs w:val="1"/>
          <w:i w:val="1"/>
          <w:iCs w:val="1"/>
          <w:color w:val="auto"/>
        </w:rPr>
        <w:t>Warrants</w:t>
      </w:r>
    </w:p>
    <w:p>
      <w:pPr>
        <w:spacing w:after="0" w:line="23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Company performs an assessment of warrants upon issuance to determine their proper classification in the financial statements based upon the warrant’s specific terms, in accordance with the authoritative guidance provided in ASC 480, Distinguishing Liabilities from Equity (“ASC 480”), and ASC 815-40, Derivatives and Hedging – Contracts in Entity’s Own Equity (“ASC 815-40”). The assessment considers whether the warrants are freestanding financial instruments pursuant to ASC 480 and whether the warrants meet all of the requirements for equity classification under ASC 815-40, including whether the warrants are indexed in the Company’s own Common Stock and whether the warrant holders could potentially require cash settlement of the warrants.</w:t>
      </w:r>
    </w:p>
    <w:p>
      <w:pPr>
        <w:spacing w:after="0" w:line="19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For issued or modified warrants that meet all the criteria for equity classification, the warrants are required to be recorded as a component of additional paid-in capital. For issued or modified warrants that do not meet all the criteria for equity classification, the warrants are required to be liability-classified and recorded at their initial fair value on the date of issuance and remeasured at fair value at each balance sheet date thereafter.</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Sale of Future Payments</w:t>
      </w:r>
    </w:p>
    <w:p>
      <w:pPr>
        <w:spacing w:after="0" w:line="14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 xml:space="preserve">On April 29, 2024, the Company entered into and closed a traditional royalty purchase agreement and a synthetic royalty purchase agreement with XOMA pursuant to which the Company sold its right, title and interest in the following to XOMA (i) all future net royalty and potential net milestone payments the Company would otherwise receive from Organon based on net sales of XACIATO, (ii) a portion of future net sales of Ovaprene and a portion of the $20.0 million payment that the Company could have potentially received under its since terminated license agreement with Bayer relating to Ovaprene, and (iii) a portion of future net sales of Sildenafil Cream. The Company received $22.0 million from XOMA in connection with entering into the royalty purchase agreements. Under the terms of the royalty purchase agreements, if XOMA receives total payments under the royalty purchase agreements equal to an amount that exceeds $88.0 million, XOMA will pay $11.0 million to the Company for each successive $22.0 million XOMA receives under the royalty purchase agreements. If the Company earns any such payments, they will be accounted for as variable consideration under 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will be recorded as income when such payments are received. See Note 13, Royalty Purchase Agreements, for additional information regarding the terms of the royalty purchase agreements.</w:t>
      </w:r>
    </w:p>
    <w:p>
      <w:pPr>
        <w:spacing w:after="0" w:line="10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evaluated the expected cash flows to XOMA from royalties and milestone payments expected to be earned on XACIATO, Ovaprene and Sildenafil Cream over the period that the Company expected it would take for XOMA to receive total payments of $88.0 million under the royalty purchase agreements, and determined to allocate the $22.0 million it received from XOMA in connection with entering into the royalty purchase agreements, net of transaction costs of approximately $1.6 million, to the traditional royalty purchase agreement for XACIATO, and none of it to the synthetic royalty purchase agreement for Ovaprene and Sildenafil Cream. The cash flows to XOMA from royalties and milestone payments expected to be earned on Ovaprene and Sildenafil Cream were expected to be de minimis over the period that the Company expected it would take for XOMA to receive total payments of $88.0 million under the royalty purchase agreements because, unlike XACIATO, Ovaprene and Sildenafil Cream were still in development stage and not commercial assets at the time the evaluation was made.</w:t>
      </w:r>
    </w:p>
    <w:p>
      <w:pPr>
        <w:spacing w:after="0" w:line="114"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6"/>
          <w:szCs w:val="16"/>
          <w:color w:val="auto"/>
        </w:rPr>
        <w:t>The Company determined that the traditional royalty purchase agreement represented a complete sale of a nonfinancial asset (the Company's right, title and interest in and to future payments related to commercial sales of XACIATO) for which XOMA would bear all benefit and for which the Company had no obligations or involvement going forward, and therefore should be accounted for within the scope of ASC 610-20, Other Income - Gains and Losses from the Derecognition of Nonfinancial Assets</w:t>
      </w:r>
      <w:r>
        <w:rPr>
          <w:rFonts w:ascii="Arial" w:cs="Arial" w:eastAsia="Arial" w:hAnsi="Arial"/>
          <w:sz w:val="16"/>
          <w:szCs w:val="16"/>
          <w:i w:val="1"/>
          <w:iCs w:val="1"/>
          <w:color w:val="auto"/>
        </w:rPr>
        <w:t>.</w:t>
      </w:r>
      <w:r>
        <w:rPr>
          <w:rFonts w:ascii="Arial" w:cs="Arial" w:eastAsia="Arial" w:hAnsi="Arial"/>
          <w:sz w:val="16"/>
          <w:szCs w:val="16"/>
          <w:color w:val="auto"/>
        </w:rPr>
        <w:t xml:space="preserve"> The $22.0 million net of transaction costs of approximately $1.6 million, was recorded as other income on the Company's consolidated statements of operations and comprehensive loss for the year ended December 31, 2024.</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Liability Related to the Sale of Future Royalties</w:t>
      </w:r>
    </w:p>
    <w:p>
      <w:pPr>
        <w:spacing w:after="0" w:line="146"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December 2023, the Company entered into a royalty interest financing agreement with United in Endeavor, LLC or UiE, pursuant to which the Company sold to UiE an interest in royalty and milestone payments the Company receives based on net sales of XACIATO. The Company received $5.0 million from UiE in connection with entering into the royalty interest financing agreement. The Company evaluated the terms of the royalty interest financing agreement and concluded that its features were similar to those of a debt instrument. The Company recognized the $5.0 million it received as a liability on its consolidated balance sheet because the Company agreed to make payments to UiE until such time that UiE has received aggregate payments equaling a 12% internal rate of return on the $ 5.0 million. Interest expense for the liability related to the sale of future royalties is recognized using the effective interest rate method over the expected term of the royalty interest financing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1" w:name="page162"/>
    <w:bookmarkEnd w:id="161"/>
    <w:p>
      <w:pPr>
        <w:jc w:val="both"/>
        <w:ind w:firstLine="607"/>
        <w:spacing w:after="0" w:line="259" w:lineRule="auto"/>
        <w:rPr>
          <w:sz w:val="20"/>
          <w:szCs w:val="20"/>
          <w:color w:val="auto"/>
        </w:rPr>
      </w:pPr>
      <w:r>
        <w:rPr>
          <w:rFonts w:ascii="Arial" w:cs="Arial" w:eastAsia="Arial" w:hAnsi="Arial"/>
          <w:sz w:val="17"/>
          <w:szCs w:val="17"/>
          <w:color w:val="auto"/>
        </w:rPr>
        <w:t>The liability related to the sale of future royalties and related interest expense are based on current estimates of future royalties, which estimates are based on forecasts of XACIATO net sales. The Company periodically assesses the forecasted net sales and to the extent the amount or timing of estimated royalty payments are materially different than previous estimates, the Company will account for any such change by adjusting the liability related to the sale of future royalties and prospectively recognizing the related non-cash interest expense.</w:t>
      </w:r>
    </w:p>
    <w:p>
      <w:pPr>
        <w:spacing w:after="0" w:line="142"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connection with the royalty investment financing agreement the Company entered into, the Company issued a warrant to purchase up to an aggregate of 5.0 million shares of the Company's common stock. The warrant was allocated a relative fair value of approximately $0.8 million using a Black-Scholes option pricing model. The $0.8 million relative fair value of the warrant was recorded as a debt discount with an offset to additional paid in capital on the Company's 2023 consolidated balance sheets as the warrants were deemed to be equity classified.</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4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The Company capitalizes certain legal, professional, and other-third party charges related to its efforts to raise capital and other ongoing equity financings as deferred offering costs until fully consummated. These costs are deferred until the completion of the offerings at which time they are reclassified to additional paid-in-capital as a reduction of the offering proceeds. If the Company terminates the planned offering, all of the deferred offering costs will be immediately written off to operating expenses. In October 2024, the Company entered into a purchase agreement with Lincoln Park Capital Fund, LLC, or Lincoln Park, under which the Company has the right, but not the obligation, to sell to Lincoln Park, and Lincoln Park is obligated to purchase, up to $15.0 million of shares of the Company's common stock. Deferred offering costs associated with the financing arrangement with Lincoln Park are reclassified to additional paid in capital on a pro-rata basis over the term of the purchase agreement. In March 2023, the Company entered into a sales agreement to sell shares of its common stock from time to time through an "at-the-market," or ATM, equity offering program. Deferred offering costs associated with the ATM equity offering program are reclassified to additional paid in capital on a pro-rata basis. In December 2025, the Company filed an offering statement on Form 1-A for the sale of preferred stock and warrants in a Regulation A offering. Deferred offering costs associated with this offering are reclassified to additional paid in capital on a pro-rata basis. As of December 31, 2025 and 2024, $0.9 million and $0.7 million of deferred offering costs were capitalized on the balance sheet, respectively.</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Leases</w:t>
      </w:r>
    </w:p>
    <w:p>
      <w:pPr>
        <w:spacing w:after="0" w:line="13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determines if an arrangement is a lease at inception. Right-of-use, or ROU, assets represent the Company's right to use an underlying asset for the lease term and lease liabilities represent the Company's obligations to make lease payments arising from the lease.</w:t>
      </w:r>
    </w:p>
    <w:p>
      <w:pPr>
        <w:spacing w:after="0" w:line="8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has both operating leases for office facilities and a finance lease for laboratory space. ROU assets and liabilities are recognized at the commencement date based on the present value of lease payments over the lease term.</w:t>
      </w:r>
    </w:p>
    <w:p>
      <w:pPr>
        <w:spacing w:after="0" w:line="8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If the lease does not provide an implicit rate, the Company uses its incremental borrowing rate based on the information available at the commencement date in determining the present value of lease payments. The ROU assets also include any lease prepayments made and exclude lease incentives. The Company's lease terms may include options to extend or terminate the lease and the related payments are only included in the lease liability when it is reasonably certain that the Company will exercise that option. The Company elected the practical expedient, which allows the Company to not allocate consideration between lease and non-lease components. In addition, the Company elected the practical expedient such that it does not recognize ROU assets or lease liabilities for leases with a term of 12 months or less. Variable lease payments are recognized in the period in which the obligations for those payments are incurred. Operating lease expense for lease payments is recognized on a straight-line basis over the lease term, while the finance lease results in recognition of amortization expense for the ROU asset and interest expense on the lease liability.</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4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Property and equipment are stated at cost less accumulated depreciation. Depreciation is calculated using the straight-line method over the estimated useful lives of the assets, generally five years. Repair and maintenance costs are charged to expense as incurred.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Patent Costs</w:t>
      </w:r>
    </w:p>
    <w:p>
      <w:pPr>
        <w:spacing w:after="0" w:line="13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expenses all costs as incurred in connection with patent applications (including direct application fees, and the legal and consulting expenses related to making such applications) and such costs are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included in selling, general and administrative expenses in the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6"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Long-lived assets consist primarily of property and equipment and right-of-use assets. The Company reviews its long-lived assets for impairment whenever events or changes in circumstances indicate that the carrying value of an asset may not be recoverable. Recoverability is measured by comparison of the carrying amount to the future undiscounted net cash flows which the asset or asset group are expected to generate, including its eventual residual value. If such assets are considered to be impaired, the impairment to be recognized is measured as the amount by which the carrying amount of the assets exceeds its fair value. The Company did not recognize any impairment losses for either of the years ended December 31, 2025 or 2024. The Company recorded a loss on the disposal of a fixed asset of $0.6 million for the year ended December 31, 2024. No such losses were recorded during the year ended December 31, 2025.</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4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will require approvals from the FDA, or foreign regulatory agencies prior to being able to sell any products, other than compounded drugs under Section 503B of the FDCA and consumer health products that do not require a physician's prescription. The Company received approval from the FDA for XACIATO in December 2021.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financial position.</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is subject to a number of risks similar to other life science companies, including, but not limited to, risks related to the ability to license product candidates, successfully develop product candidates, successfully commercialize approved products or enter into strategic relationships with third parties who are able to successfully commercialize approved products, raise additional capital, compete with other products, and protect proprietary technology and product liability. As a result of these and other factors and the related uncertainties, there can be no assurance of the Company’s future success.</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3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9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There were stock options exercisable into 1,409,042 and 883,334 shares of common stock outstanding at December 31, 2025 and 2024, respectively. There were warrants exercisable into 1,268,572 shares of common stock outstanding at each of the years ended December 31, 2025 and 2024. These securities were not included in the computation of diluted loss per share because they are antidilutive, but they could potentially dilute earnings (loss) per share in future years.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Indemnification Obligations</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2025,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2025 and 2024, no amounts have been accrued related to such indemnification provisions.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3" w:name="page164"/>
    <w:bookmarkEnd w:id="163"/>
    <w:p>
      <w:pPr>
        <w:ind w:left="6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3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is effective for annual periods beginning after December 15, 2024 with early adoption permitted. The Company adopted ASU 2023-09, on a prospective basis, on January 1, 2025, which adoption only impacted the Company's footnote disclosures with no impact on the Company's results of operations or financial condition. See Note 8, Income Taxes, for disclosures related to the adoption of ASU 2023-09.</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November 2024, the FASB issued ASU 2024-03, Disaggregation of Income Statement Expenses. ASU 2024-3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w:t>
      </w:r>
    </w:p>
    <w:p>
      <w:pPr>
        <w:spacing w:after="0" w:line="140"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December 2025, the FASB issued ASU 2025-10, Government Grants (Topic 832): Accounting for Government Grants Received by Business Entities,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spacing w:after="0" w:line="152"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spacing w:after="0" w:line="9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does not believe other recently issued but not yet effective accounting standards, if currently adopted, would have a material effect on the consolidated financial statements.</w:t>
      </w:r>
    </w:p>
    <w:p>
      <w:pPr>
        <w:spacing w:after="0" w:line="187" w:lineRule="exact"/>
        <w:rPr>
          <w:sz w:val="20"/>
          <w:szCs w:val="20"/>
          <w:color w:val="auto"/>
        </w:rPr>
      </w:pPr>
    </w:p>
    <w:p>
      <w:pPr>
        <w:ind w:left="320" w:hanging="319"/>
        <w:spacing w:after="0"/>
        <w:tabs>
          <w:tab w:leader="none" w:pos="32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STRATEGIC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Agreements for Product Commercialization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Organon Exclusive License Agreement</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2022, the Company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the Company. As of December 31, 2025, the Company has received a total of $12.8 million in non-refundable payments, all of which have been recorded as license fee revenue in historical periods.</w:t>
      </w:r>
    </w:p>
    <w:p>
      <w:pPr>
        <w:spacing w:after="0" w:line="142"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4" w:name="page165"/>
    <w:bookmarkEnd w:id="164"/>
    <w:p>
      <w:pPr>
        <w:jc w:val="both"/>
        <w:ind w:firstLine="607"/>
        <w:spacing w:after="0" w:line="254" w:lineRule="auto"/>
        <w:rPr>
          <w:sz w:val="20"/>
          <w:szCs w:val="20"/>
          <w:color w:val="auto"/>
        </w:rPr>
      </w:pPr>
      <w:r>
        <w:rPr>
          <w:rFonts w:ascii="Arial" w:cs="Arial" w:eastAsia="Arial" w:hAnsi="Arial"/>
          <w:sz w:val="17"/>
          <w:szCs w:val="17"/>
          <w:color w:val="auto"/>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December 31, 2025.</w:t>
      </w:r>
    </w:p>
    <w:p>
      <w:pPr>
        <w:spacing w:after="0" w:line="149"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p>
    <w:p>
      <w:pPr>
        <w:spacing w:after="0" w:line="12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Refer to Note 13, Royalty Purchase Agreements, regarding the Company's sale to XOMA of all the Company's right, title and interest in and to, from and after April 1, 2024, all net royalty and potential net milestone payments from Organon based on net sales of XACIATO.</w:t>
      </w:r>
    </w:p>
    <w:p>
      <w:pPr>
        <w:spacing w:after="0" w:line="1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Bayer HealthCare License Agreement</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January 2020, the Company entered into a license agreement with Bayer, regarding the further development and commercialization of Ovaprene in the U.S. In November 2025, the Company received notice from Bayer that it was terminating the license agreement. The Company and Bayer mutually agreed to terminate the agreement effective as of December 2, 2025.</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connection with entering into the license agreement, the Company received a $1.0 million upfront non-refundable license fee payment from Bayer, which was recorded as license revenue when the agreement was terminated. See Note 2. Significant Accounting Policies—Revenue Recognition—Bayer License, above.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Agreements for Pipeline Development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Theramex Co-Development and Licensing Agreement</w:t>
      </w:r>
    </w:p>
    <w:p>
      <w:pPr>
        <w:spacing w:after="0" w:line="209"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The license fee paid by the Company during the first quarter of 2025 was recorded as research and development expense. Given that the product is in an ongoing Phase 1 study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Douglas License Agreement / The University of Manchester Stand-by Direct License Arrangement</w:t>
      </w:r>
    </w:p>
    <w:p>
      <w:pPr>
        <w:spacing w:after="0" w:line="20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5" w:name="page166"/>
    <w:bookmarkEnd w:id="165"/>
    <w:p>
      <w:pPr>
        <w:jc w:val="both"/>
        <w:spacing w:after="0" w:line="256" w:lineRule="auto"/>
        <w:rPr>
          <w:sz w:val="20"/>
          <w:szCs w:val="20"/>
          <w:color w:val="auto"/>
        </w:rPr>
      </w:pPr>
      <w:r>
        <w:rPr>
          <w:rFonts w:ascii="Arial" w:cs="Arial" w:eastAsia="Arial" w:hAnsi="Arial"/>
          <w:sz w:val="17"/>
          <w:szCs w:val="17"/>
          <w:color w:val="auto"/>
        </w:rPr>
        <w:t>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w:t>
      </w:r>
    </w:p>
    <w:p>
      <w:pPr>
        <w:spacing w:after="0" w:line="171"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Under the terms of the Douglas agreement, the Company agreed to make potential future payments of up to $5.25 million in the aggregate upon achievement of certain development and regulatory milestones, and of up to $ 64.0 million in the aggregate upon achievement of certain commercial sales milestones for each product covered by the licenses granted under the agreement. The development and regulatory milestones may</w:t>
      </w:r>
    </w:p>
    <w:p>
      <w:pPr>
        <w:jc w:val="both"/>
        <w:spacing w:after="0" w:line="264" w:lineRule="auto"/>
        <w:rPr>
          <w:sz w:val="20"/>
          <w:szCs w:val="20"/>
          <w:color w:val="auto"/>
        </w:rPr>
      </w:pPr>
      <w:r>
        <w:rPr>
          <w:rFonts w:ascii="Arial" w:cs="Arial" w:eastAsia="Arial" w:hAnsi="Arial"/>
          <w:sz w:val="17"/>
          <w:szCs w:val="17"/>
          <w:color w:val="auto"/>
        </w:rPr>
        <w:t>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 As of December 31, 2025, no payments had been made under the Douglas agreement.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Hennepin License Agreement</w:t>
      </w:r>
    </w:p>
    <w:p>
      <w:pPr>
        <w:spacing w:after="0" w:line="18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spacing w:after="0" w:line="133"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w:t>
      </w:r>
    </w:p>
    <w:p>
      <w:pPr>
        <w:jc w:val="both"/>
        <w:spacing w:after="0" w:line="264" w:lineRule="auto"/>
        <w:rPr>
          <w:sz w:val="20"/>
          <w:szCs w:val="20"/>
          <w:color w:val="auto"/>
        </w:rPr>
      </w:pPr>
      <w:r>
        <w:rPr>
          <w:rFonts w:ascii="Arial" w:cs="Arial" w:eastAsia="Arial" w:hAnsi="Arial"/>
          <w:sz w:val="17"/>
          <w:szCs w:val="17"/>
          <w:color w:val="auto"/>
        </w:rPr>
        <w:t>shares of the Company’s common stock. Additionally, Hennepin is eligible to receive tiered royalties in low single-digit to low double-digit percentages based on worldwide net sales of products and processes covered by the licenses granted under the agreement. As of December 31, 2025, no payments have been made under this agreement.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MBI Acquisition</w:t>
      </w:r>
    </w:p>
    <w:p>
      <w:pPr>
        <w:spacing w:after="0" w:line="18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DARE-IDDS.</w:t>
      </w:r>
    </w:p>
    <w:p>
      <w:pPr>
        <w:spacing w:after="0" w:line="12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3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2021, a total of $1.25 million of the contingent consideration became payable, $75,000 of which was paid in cash and the balance of which was paid in shares of the Company's common stock, as permitted by the terms of the merger agreement. As of December 31, 2025, no additional payments have been made under this agreement.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TriLogic and MilanaPharm License Agreement / Hammock Assignment Agreement</w:t>
      </w:r>
    </w:p>
    <w:p>
      <w:pPr>
        <w:spacing w:after="0" w:line="18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66" w:name="page167"/>
    <w:bookmarkEnd w:id="166"/>
    <w:p>
      <w:pPr>
        <w:jc w:val="both"/>
        <w:spacing w:after="0" w:line="254" w:lineRule="auto"/>
        <w:rPr>
          <w:sz w:val="20"/>
          <w:szCs w:val="20"/>
          <w:color w:val="auto"/>
        </w:rPr>
      </w:pPr>
      <w:r>
        <w:rPr>
          <w:rFonts w:ascii="Arial" w:cs="Arial" w:eastAsia="Arial" w:hAnsi="Arial"/>
          <w:sz w:val="17"/>
          <w:szCs w:val="17"/>
          <w:color w:val="auto"/>
        </w:rPr>
        <w:t>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2022, the Company entered into a Consent, Waiver and Stand-By License Agreement with TriLogic, MilanaPharm and Organon, which further amended the License Agreement.</w:t>
      </w:r>
    </w:p>
    <w:p>
      <w:pPr>
        <w:spacing w:after="0" w:line="149"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12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December 31, 2025.</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Pear Tree Acquisition</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13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spacing w:after="0" w:line="13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December 31, 2025, no payments have been made under this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Catalent JNP License Agreement</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67" w:name="page168"/>
    <w:bookmarkEnd w:id="167"/>
    <w:p>
      <w:pPr>
        <w:jc w:val="both"/>
        <w:spacing w:after="0" w:line="281" w:lineRule="auto"/>
        <w:rPr>
          <w:sz w:val="20"/>
          <w:szCs w:val="20"/>
          <w:color w:val="auto"/>
        </w:rPr>
      </w:pPr>
      <w:r>
        <w:rPr>
          <w:rFonts w:ascii="Arial" w:cs="Arial" w:eastAsia="Arial" w:hAnsi="Arial"/>
          <w:sz w:val="17"/>
          <w:szCs w:val="17"/>
          <w:color w:val="auto"/>
        </w:rPr>
        <w:t>have imported products and processes. As a result of this license agreement, the Company commenced its DARE-HRT1, DARE-FRT1 and DARE-PTB1 programs. The Company is entitled to sublicense the rights granted to it under this agreement.</w:t>
      </w:r>
    </w:p>
    <w:p>
      <w:pPr>
        <w:spacing w:after="0" w:line="12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December 31, 2025;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December 31, 2025, no such payments have been made under this agreement.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Adare Development and Option Agreement</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SST License and Collaboration Agreement</w:t>
      </w:r>
    </w:p>
    <w:p>
      <w:pPr>
        <w:spacing w:after="0" w:line="171"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6"/>
          <w:szCs w:val="16"/>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32"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December 31, 2025, $1.0 million has been paid under this agreement, which was paid in February 2025.</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ADVA-Tec License Agreement</w:t>
      </w:r>
    </w:p>
    <w:p>
      <w:pPr>
        <w:spacing w:after="0" w:line="171"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12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Under the terms of the license agreement, the Company will pay ADVA-Tec (a) up to $14.6 million in the aggregate based on the achievement of specified development and regulatory milestones, and (b) up to $ 20.0 million in the aggregate based on the achievement of certain worldwide net sales milestones. As of December 31, 2025, $1.2 million in milestone payments have been paid.</w:t>
      </w:r>
    </w:p>
    <w:p>
      <w:pPr>
        <w:spacing w:after="0" w:line="126"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8" w:name="page169"/>
    <w:bookmarkEnd w:id="168"/>
    <w:p>
      <w:pPr>
        <w:jc w:val="both"/>
        <w:ind w:firstLine="607"/>
        <w:spacing w:after="0" w:line="259" w:lineRule="auto"/>
        <w:rPr>
          <w:sz w:val="20"/>
          <w:szCs w:val="20"/>
          <w:color w:val="auto"/>
        </w:rPr>
      </w:pPr>
      <w:r>
        <w:rPr>
          <w:rFonts w:ascii="Arial" w:cs="Arial" w:eastAsia="Arial" w:hAnsi="Arial"/>
          <w:sz w:val="17"/>
          <w:szCs w:val="17"/>
          <w:color w:val="auto"/>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pgSz w:w="11900" w:h="16838" w:orient="portrait"/>
          <w:cols w:equalWidth="0" w:num="1">
            <w:col w:w="11240"/>
          </w:cols>
          <w:pgMar w:left="320" w:top="894" w:right="339" w:bottom="1440" w:gutter="0" w:footer="0" w:header="0"/>
        </w:sectPr>
      </w:pPr>
    </w:p>
    <w:p>
      <w:pPr>
        <w:spacing w:after="0" w:line="218" w:lineRule="exact"/>
        <w:rPr>
          <w:sz w:val="20"/>
          <w:szCs w:val="20"/>
          <w:color w:val="auto"/>
        </w:rPr>
      </w:pPr>
    </w:p>
    <w:p>
      <w:pPr>
        <w:ind w:left="320" w:hanging="319"/>
        <w:spacing w:after="0"/>
        <w:tabs>
          <w:tab w:leader="none" w:pos="32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PREPAID EXPENSES AND OTHER CURRENT ASSETS</w:t>
      </w:r>
    </w:p>
    <w:p>
      <w:pPr>
        <w:spacing w:after="0" w:line="146" w:lineRule="exact"/>
        <w:rPr>
          <w:sz w:val="20"/>
          <w:szCs w:val="20"/>
          <w:color w:val="auto"/>
        </w:rPr>
      </w:pPr>
    </w:p>
    <w:p>
      <w:pPr>
        <w:jc w:val="right"/>
        <w:ind w:right="612"/>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00" w:lineRule="exact"/>
        <w:rPr>
          <w:sz w:val="20"/>
          <w:szCs w:val="20"/>
          <w:color w:val="auto"/>
        </w:rPr>
      </w:pPr>
    </w:p>
    <w:p>
      <w:pPr>
        <w:spacing w:after="0" w:line="3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Prepaid clinical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Prepaid development expense</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Prepaid legal and professional expenses</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Other current assets</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Total prepaid expenses and other current assets</w:t>
      </w:r>
    </w:p>
    <w:p>
      <w:pPr>
        <w:spacing w:after="0" w:line="398" w:lineRule="exact"/>
        <w:rPr>
          <w:sz w:val="20"/>
          <w:szCs w:val="20"/>
          <w:color w:val="auto"/>
        </w:rPr>
      </w:pPr>
    </w:p>
    <w:p>
      <w:pPr>
        <w:ind w:left="320" w:hanging="319"/>
        <w:spacing w:after="0"/>
        <w:tabs>
          <w:tab w:leader="none" w:pos="32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net,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512445</wp:posOffset>
            </wp:positionV>
            <wp:extent cx="5584190" cy="160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Assets under construction</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IT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5584190" cy="160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Leasehold improvements</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Lab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335915</wp:posOffset>
            </wp:positionV>
            <wp:extent cx="5584190" cy="160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5584190" cy="160655"/>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15240</wp:posOffset>
            </wp:positionV>
            <wp:extent cx="5584190" cy="160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Less– accumulated depreciation</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52"/>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23495</wp:posOffset>
            </wp:positionV>
            <wp:extent cx="16046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33" w:lineRule="exact"/>
        <w:rPr>
          <w:sz w:val="20"/>
          <w:szCs w:val="20"/>
          <w:color w:val="auto"/>
        </w:rPr>
      </w:pPr>
    </w:p>
    <w:p>
      <w:pPr>
        <w:ind w:left="808"/>
        <w:spacing w:after="0"/>
        <w:tabs>
          <w:tab w:leader="none" w:pos="2128"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71" w:lineRule="exact"/>
        <w:rPr>
          <w:sz w:val="20"/>
          <w:szCs w:val="20"/>
          <w:color w:val="auto"/>
        </w:rPr>
      </w:pPr>
    </w:p>
    <w:p>
      <w:pPr>
        <w:ind w:left="868" w:hanging="489"/>
        <w:spacing w:after="0"/>
        <w:tabs>
          <w:tab w:leader="none" w:pos="868" w:val="left"/>
        </w:tabs>
        <w:numPr>
          <w:ilvl w:val="0"/>
          <w:numId w:val="72"/>
        </w:numPr>
        <w:rPr>
          <w:rFonts w:ascii="Arial" w:cs="Arial" w:eastAsia="Arial" w:hAnsi="Arial"/>
          <w:sz w:val="17"/>
          <w:szCs w:val="17"/>
          <w:color w:val="auto"/>
        </w:rPr>
      </w:pPr>
      <w:r>
        <w:rPr>
          <w:rFonts w:ascii="Arial" w:cs="Arial" w:eastAsia="Arial" w:hAnsi="Arial"/>
          <w:sz w:val="17"/>
          <w:szCs w:val="17"/>
          <w:color w:val="auto"/>
        </w:rPr>
        <w:t>718,537   $   1,290,605</w:t>
      </w:r>
    </w:p>
    <w:p>
      <w:pPr>
        <w:spacing w:after="0" w:line="57" w:lineRule="exact"/>
        <w:rPr>
          <w:rFonts w:ascii="Arial" w:cs="Arial" w:eastAsia="Arial" w:hAnsi="Arial"/>
          <w:sz w:val="17"/>
          <w:szCs w:val="17"/>
          <w:color w:val="auto"/>
        </w:rPr>
      </w:pPr>
    </w:p>
    <w:p>
      <w:pPr>
        <w:ind w:left="968"/>
        <w:spacing w:after="0"/>
        <w:rPr>
          <w:rFonts w:ascii="Arial" w:cs="Arial" w:eastAsia="Arial" w:hAnsi="Arial"/>
          <w:sz w:val="17"/>
          <w:szCs w:val="17"/>
          <w:color w:val="auto"/>
        </w:rPr>
      </w:pPr>
      <w:r>
        <w:rPr>
          <w:rFonts w:ascii="Arial" w:cs="Arial" w:eastAsia="Arial" w:hAnsi="Arial"/>
          <w:sz w:val="17"/>
          <w:szCs w:val="17"/>
          <w:color w:val="auto"/>
        </w:rPr>
        <w:t>58,750663,723</w:t>
      </w:r>
    </w:p>
    <w:p>
      <w:pPr>
        <w:spacing w:after="0" w:line="57" w:lineRule="exact"/>
        <w:rPr>
          <w:sz w:val="20"/>
          <w:szCs w:val="20"/>
          <w:color w:val="auto"/>
        </w:rPr>
      </w:pPr>
    </w:p>
    <w:p>
      <w:pPr>
        <w:ind w:left="868"/>
        <w:spacing w:after="0"/>
        <w:tabs>
          <w:tab w:leader="none" w:pos="2168" w:val="left"/>
        </w:tabs>
        <w:rPr>
          <w:sz w:val="20"/>
          <w:szCs w:val="20"/>
          <w:color w:val="auto"/>
        </w:rPr>
      </w:pPr>
      <w:r>
        <w:rPr>
          <w:rFonts w:ascii="Arial" w:cs="Arial" w:eastAsia="Arial" w:hAnsi="Arial"/>
          <w:sz w:val="17"/>
          <w:szCs w:val="17"/>
          <w:color w:val="auto"/>
        </w:rPr>
        <w:t>408,103</w:t>
      </w:r>
      <w:r>
        <w:rPr>
          <w:sz w:val="20"/>
          <w:szCs w:val="20"/>
          <w:color w:val="auto"/>
        </w:rPr>
        <w:tab/>
      </w:r>
      <w:r>
        <w:rPr>
          <w:rFonts w:ascii="Arial" w:cs="Arial" w:eastAsia="Arial" w:hAnsi="Arial"/>
          <w:sz w:val="17"/>
          <w:szCs w:val="17"/>
          <w:color w:val="auto"/>
        </w:rPr>
        <w:t>398,950</w:t>
      </w:r>
    </w:p>
    <w:p>
      <w:pPr>
        <w:spacing w:after="0" w:line="57" w:lineRule="exact"/>
        <w:rPr>
          <w:sz w:val="20"/>
          <w:szCs w:val="20"/>
          <w:color w:val="auto"/>
        </w:rPr>
      </w:pPr>
    </w:p>
    <w:p>
      <w:pPr>
        <w:ind w:left="868"/>
        <w:spacing w:after="0"/>
        <w:tabs>
          <w:tab w:leader="none" w:pos="2168" w:val="left"/>
        </w:tabs>
        <w:rPr>
          <w:sz w:val="20"/>
          <w:szCs w:val="20"/>
          <w:color w:val="auto"/>
        </w:rPr>
      </w:pPr>
      <w:r>
        <w:rPr>
          <w:rFonts w:ascii="Arial" w:cs="Arial" w:eastAsia="Arial" w:hAnsi="Arial"/>
          <w:sz w:val="17"/>
          <w:szCs w:val="17"/>
          <w:color w:val="auto"/>
        </w:rPr>
        <w:t>206,981</w:t>
      </w:r>
      <w:r>
        <w:rPr>
          <w:sz w:val="20"/>
          <w:szCs w:val="20"/>
          <w:color w:val="auto"/>
        </w:rPr>
        <w:tab/>
      </w:r>
      <w:r>
        <w:rPr>
          <w:rFonts w:ascii="Arial" w:cs="Arial" w:eastAsia="Arial" w:hAnsi="Arial"/>
          <w:sz w:val="17"/>
          <w:szCs w:val="17"/>
          <w:color w:val="auto"/>
        </w:rPr>
        <w:t>166,429</w:t>
      </w:r>
    </w:p>
    <w:p>
      <w:pPr>
        <w:spacing w:after="0" w:line="57" w:lineRule="exact"/>
        <w:rPr>
          <w:sz w:val="20"/>
          <w:szCs w:val="20"/>
          <w:color w:val="auto"/>
        </w:rPr>
      </w:pPr>
    </w:p>
    <w:p>
      <w:pPr>
        <w:jc w:val="both"/>
        <w:ind w:left="868"/>
        <w:spacing w:after="0"/>
        <w:tabs>
          <w:tab w:leader="none" w:pos="2608" w:val="left"/>
        </w:tabs>
        <w:rPr>
          <w:sz w:val="20"/>
          <w:szCs w:val="20"/>
          <w:color w:val="auto"/>
        </w:rPr>
      </w:pPr>
      <w:r>
        <w:rPr>
          <w:rFonts w:ascii="Arial" w:cs="Arial" w:eastAsia="Arial" w:hAnsi="Arial"/>
          <w:sz w:val="17"/>
          <w:szCs w:val="17"/>
          <w:color w:val="auto"/>
        </w:rPr>
        <w:t>321,686</w:t>
      </w:r>
      <w:r>
        <w:rPr>
          <w:sz w:val="20"/>
          <w:szCs w:val="20"/>
          <w:color w:val="auto"/>
        </w:rPr>
        <w:tab/>
      </w:r>
      <w:r>
        <w:rPr>
          <w:rFonts w:ascii="Arial" w:cs="Arial" w:eastAsia="Arial" w:hAnsi="Arial"/>
          <w:sz w:val="17"/>
          <w:szCs w:val="17"/>
          <w:color w:val="auto"/>
        </w:rPr>
        <w:t>—</w:t>
      </w:r>
    </w:p>
    <w:p>
      <w:pPr>
        <w:spacing w:after="0" w:line="57" w:lineRule="exact"/>
        <w:rPr>
          <w:sz w:val="20"/>
          <w:szCs w:val="20"/>
          <w:color w:val="auto"/>
        </w:rPr>
      </w:pPr>
    </w:p>
    <w:p>
      <w:pPr>
        <w:jc w:val="both"/>
        <w:ind w:left="968"/>
        <w:spacing w:after="0"/>
        <w:tabs>
          <w:tab w:leader="none" w:pos="2608" w:val="left"/>
        </w:tabs>
        <w:rPr>
          <w:sz w:val="20"/>
          <w:szCs w:val="20"/>
          <w:color w:val="auto"/>
        </w:rPr>
      </w:pPr>
      <w:r>
        <w:rPr>
          <w:rFonts w:ascii="Arial" w:cs="Arial" w:eastAsia="Arial" w:hAnsi="Arial"/>
          <w:sz w:val="17"/>
          <w:szCs w:val="17"/>
          <w:color w:val="auto"/>
        </w:rPr>
        <w:t>65,405</w:t>
      </w:r>
      <w:r>
        <w:rPr>
          <w:sz w:val="20"/>
          <w:szCs w:val="20"/>
          <w:color w:val="auto"/>
        </w:rPr>
        <w:tab/>
      </w:r>
      <w:r>
        <w:rPr>
          <w:rFonts w:ascii="Arial" w:cs="Arial" w:eastAsia="Arial" w:hAnsi="Arial"/>
          <w:sz w:val="17"/>
          <w:szCs w:val="17"/>
          <w:color w:val="auto"/>
        </w:rPr>
        <w:t>—</w:t>
      </w:r>
    </w:p>
    <w:p>
      <w:pPr>
        <w:spacing w:after="0" w:line="57" w:lineRule="exact"/>
        <w:rPr>
          <w:sz w:val="20"/>
          <w:szCs w:val="20"/>
          <w:color w:val="auto"/>
        </w:rPr>
      </w:pPr>
    </w:p>
    <w:p>
      <w:pPr>
        <w:ind w:left="868"/>
        <w:spacing w:after="0"/>
        <w:tabs>
          <w:tab w:leader="none" w:pos="2168" w:val="left"/>
        </w:tabs>
        <w:rPr>
          <w:sz w:val="20"/>
          <w:szCs w:val="20"/>
          <w:color w:val="auto"/>
        </w:rPr>
      </w:pPr>
      <w:r>
        <w:rPr>
          <w:rFonts w:ascii="Arial" w:cs="Arial" w:eastAsia="Arial" w:hAnsi="Arial"/>
          <w:sz w:val="17"/>
          <w:szCs w:val="17"/>
          <w:color w:val="auto"/>
        </w:rPr>
        <w:t>573,061</w:t>
      </w:r>
      <w:r>
        <w:rPr>
          <w:sz w:val="20"/>
          <w:szCs w:val="20"/>
          <w:color w:val="auto"/>
        </w:rPr>
        <w:tab/>
      </w:r>
      <w:r>
        <w:rPr>
          <w:rFonts w:ascii="Arial" w:cs="Arial" w:eastAsia="Arial" w:hAnsi="Arial"/>
          <w:sz w:val="17"/>
          <w:szCs w:val="17"/>
          <w:color w:val="auto"/>
        </w:rPr>
        <w:t>229,982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15240</wp:posOffset>
            </wp:positionV>
            <wp:extent cx="1604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12" w:lineRule="exact"/>
        <w:rPr>
          <w:sz w:val="20"/>
          <w:szCs w:val="20"/>
          <w:color w:val="auto"/>
        </w:rPr>
      </w:pPr>
    </w:p>
    <w:p>
      <w:pPr>
        <w:ind w:left="728" w:hanging="349"/>
        <w:spacing w:after="0"/>
        <w:tabs>
          <w:tab w:leader="none" w:pos="7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2,352,523   $   2,749,689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15240</wp:posOffset>
            </wp:positionV>
            <wp:extent cx="160464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1604645"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12"/>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1604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83" w:lineRule="exact"/>
        <w:rPr>
          <w:sz w:val="20"/>
          <w:szCs w:val="20"/>
          <w:color w:val="auto"/>
        </w:rPr>
      </w:pPr>
    </w:p>
    <w:p>
      <w:pPr>
        <w:ind w:left="428"/>
        <w:spacing w:after="0"/>
        <w:tabs>
          <w:tab w:leader="none" w:pos="1748"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71" w:lineRule="exact"/>
        <w:rPr>
          <w:sz w:val="20"/>
          <w:szCs w:val="20"/>
          <w:color w:val="auto"/>
        </w:rPr>
      </w:pPr>
    </w:p>
    <w:p>
      <w:pPr>
        <w:ind w:left="928" w:hanging="928"/>
        <w:spacing w:after="0"/>
        <w:tabs>
          <w:tab w:leader="none" w:pos="9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   $   1,229,165</w:t>
      </w:r>
    </w:p>
    <w:p>
      <w:pPr>
        <w:spacing w:after="0" w:line="57" w:lineRule="exact"/>
        <w:rPr>
          <w:rFonts w:ascii="Arial" w:cs="Arial" w:eastAsia="Arial" w:hAnsi="Arial"/>
          <w:sz w:val="17"/>
          <w:szCs w:val="17"/>
          <w:color w:val="auto"/>
        </w:rPr>
      </w:pPr>
    </w:p>
    <w:p>
      <w:pPr>
        <w:ind w:left="588"/>
        <w:spacing w:after="0"/>
        <w:rPr>
          <w:rFonts w:ascii="Arial" w:cs="Arial" w:eastAsia="Arial" w:hAnsi="Arial"/>
          <w:sz w:val="17"/>
          <w:szCs w:val="17"/>
          <w:color w:val="auto"/>
        </w:rPr>
      </w:pPr>
      <w:r>
        <w:rPr>
          <w:rFonts w:ascii="Arial" w:cs="Arial" w:eastAsia="Arial" w:hAnsi="Arial"/>
          <w:sz w:val="17"/>
          <w:szCs w:val="17"/>
          <w:color w:val="auto"/>
        </w:rPr>
        <w:t>47,92737,239</w:t>
      </w:r>
    </w:p>
    <w:p>
      <w:pPr>
        <w:spacing w:after="0" w:line="57" w:lineRule="exact"/>
        <w:rPr>
          <w:rFonts w:ascii="Arial" w:cs="Arial" w:eastAsia="Arial" w:hAnsi="Arial"/>
          <w:sz w:val="17"/>
          <w:szCs w:val="17"/>
          <w:color w:val="auto"/>
        </w:rPr>
      </w:pPr>
    </w:p>
    <w:p>
      <w:pPr>
        <w:ind w:left="588"/>
        <w:spacing w:after="0"/>
        <w:rPr>
          <w:rFonts w:ascii="Arial" w:cs="Arial" w:eastAsia="Arial" w:hAnsi="Arial"/>
          <w:sz w:val="17"/>
          <w:szCs w:val="17"/>
          <w:color w:val="auto"/>
        </w:rPr>
      </w:pPr>
      <w:r>
        <w:rPr>
          <w:rFonts w:ascii="Arial" w:cs="Arial" w:eastAsia="Arial" w:hAnsi="Arial"/>
          <w:sz w:val="17"/>
          <w:szCs w:val="17"/>
          <w:color w:val="auto"/>
        </w:rPr>
        <w:t>40,28440,284</w:t>
      </w:r>
    </w:p>
    <w:p>
      <w:pPr>
        <w:spacing w:after="0" w:line="57" w:lineRule="exact"/>
        <w:rPr>
          <w:sz w:val="20"/>
          <w:szCs w:val="20"/>
          <w:color w:val="auto"/>
        </w:rPr>
      </w:pPr>
    </w:p>
    <w:p>
      <w:pPr>
        <w:ind w:left="348"/>
        <w:spacing w:after="0"/>
        <w:tabs>
          <w:tab w:leader="none" w:pos="1788" w:val="left"/>
        </w:tabs>
        <w:rPr>
          <w:sz w:val="20"/>
          <w:szCs w:val="20"/>
          <w:color w:val="auto"/>
        </w:rPr>
      </w:pPr>
      <w:r>
        <w:rPr>
          <w:rFonts w:ascii="Arial" w:cs="Arial" w:eastAsia="Arial" w:hAnsi="Arial"/>
          <w:sz w:val="17"/>
          <w:szCs w:val="17"/>
          <w:color w:val="auto"/>
        </w:rPr>
        <w:t>1,808,692</w:t>
      </w:r>
      <w:r>
        <w:rPr>
          <w:sz w:val="20"/>
          <w:szCs w:val="20"/>
          <w:color w:val="auto"/>
        </w:rPr>
        <w:tab/>
      </w:r>
      <w:r>
        <w:rPr>
          <w:rFonts w:ascii="Arial" w:cs="Arial" w:eastAsia="Arial" w:hAnsi="Arial"/>
          <w:sz w:val="17"/>
          <w:szCs w:val="17"/>
          <w:color w:val="auto"/>
        </w:rPr>
        <w:t>204,938</w:t>
      </w:r>
    </w:p>
    <w:p>
      <w:pPr>
        <w:spacing w:after="0" w:line="57" w:lineRule="exact"/>
        <w:rPr>
          <w:sz w:val="20"/>
          <w:szCs w:val="20"/>
          <w:color w:val="auto"/>
        </w:rPr>
      </w:pPr>
    </w:p>
    <w:p>
      <w:pPr>
        <w:ind w:left="348" w:hanging="348"/>
        <w:spacing w:after="0"/>
        <w:tabs>
          <w:tab w:leader="none" w:pos="348" w:val="left"/>
        </w:tabs>
        <w:numPr>
          <w:ilvl w:val="0"/>
          <w:numId w:val="75"/>
        </w:numPr>
        <w:rPr>
          <w:rFonts w:ascii="Arial" w:cs="Arial" w:eastAsia="Arial" w:hAnsi="Arial"/>
          <w:sz w:val="17"/>
          <w:szCs w:val="17"/>
          <w:color w:val="auto"/>
        </w:rPr>
      </w:pPr>
      <w:r>
        <w:rPr>
          <w:rFonts w:ascii="Arial" w:cs="Arial" w:eastAsia="Arial" w:hAnsi="Arial"/>
          <w:sz w:val="17"/>
          <w:szCs w:val="17"/>
          <w:color w:val="auto"/>
        </w:rPr>
        <w:t>1,896,903   $   1,511,626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604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290" w:lineRule="exact"/>
        <w:rPr>
          <w:sz w:val="20"/>
          <w:szCs w:val="20"/>
          <w:color w:val="auto"/>
        </w:rPr>
      </w:pPr>
    </w:p>
    <w:p>
      <w:pPr>
        <w:ind w:left="428"/>
        <w:spacing w:after="0"/>
        <w:tabs>
          <w:tab w:leader="none" w:pos="1728" w:val="left"/>
        </w:tabs>
        <w:rPr>
          <w:sz w:val="20"/>
          <w:szCs w:val="20"/>
          <w:color w:val="auto"/>
        </w:rPr>
      </w:pPr>
      <w:r>
        <w:rPr>
          <w:rFonts w:ascii="Arial" w:cs="Arial" w:eastAsia="Arial" w:hAnsi="Arial"/>
          <w:sz w:val="17"/>
          <w:szCs w:val="17"/>
          <w:color w:val="auto"/>
        </w:rPr>
        <w:t>(338,013)</w:t>
      </w:r>
      <w:r>
        <w:rPr>
          <w:sz w:val="20"/>
          <w:szCs w:val="20"/>
          <w:color w:val="auto"/>
        </w:rPr>
        <w:tab/>
      </w:r>
      <w:r>
        <w:rPr>
          <w:rFonts w:ascii="Arial" w:cs="Arial" w:eastAsia="Arial" w:hAnsi="Arial"/>
          <w:sz w:val="17"/>
          <w:szCs w:val="17"/>
          <w:color w:val="auto"/>
        </w:rPr>
        <w:t>(175,894)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604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12" w:lineRule="exact"/>
        <w:rPr>
          <w:sz w:val="20"/>
          <w:szCs w:val="20"/>
          <w:color w:val="auto"/>
        </w:rPr>
      </w:pPr>
    </w:p>
    <w:p>
      <w:pPr>
        <w:ind w:left="8"/>
        <w:spacing w:after="0"/>
        <w:tabs>
          <w:tab w:leader="none" w:pos="328" w:val="left"/>
          <w:tab w:leader="none" w:pos="1308" w:val="left"/>
          <w:tab w:leader="none" w:pos="1648" w:val="left"/>
        </w:tabs>
        <w:rPr>
          <w:sz w:val="20"/>
          <w:szCs w:val="20"/>
          <w:color w:val="auto"/>
        </w:rPr>
      </w:pPr>
      <w:r>
        <w:rPr>
          <w:rFonts w:ascii="Arial" w:cs="Arial" w:eastAsia="Arial" w:hAnsi="Arial"/>
          <w:sz w:val="17"/>
          <w:szCs w:val="17"/>
          <w:color w:val="auto"/>
        </w:rPr>
        <w:t>$</w:t>
        <w:tab/>
        <w:t>1,558,890</w:t>
        <w:tab/>
        <w:t>$</w:t>
        <w:tab/>
        <w:t>1,335,732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604645"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1604645" cy="3238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412" w:space="720"/>
            <w:col w:w="4108"/>
          </w:cols>
          <w:pgMar w:left="320" w:top="894" w:right="339" w:bottom="1440" w:gutter="0" w:footer="0" w:header="0"/>
          <w:type w:val="continuous"/>
        </w:sectPr>
      </w:pP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expense was approximately $162,000 and $42,000 for the years ended December 31, 2025 and 2024, respectively.</w:t>
      </w:r>
    </w:p>
    <w:p>
      <w:pPr>
        <w:sectPr>
          <w:pgSz w:w="11900" w:h="16838" w:orient="portrait"/>
          <w:cols w:equalWidth="0" w:num="1">
            <w:col w:w="11240"/>
          </w:cols>
          <w:pgMar w:left="320" w:top="894" w:right="339" w:bottom="1440" w:gutter="0" w:footer="0" w:header="0"/>
          <w:type w:val="continuous"/>
        </w:sectPr>
      </w:pPr>
    </w:p>
    <w:p>
      <w:pPr>
        <w:spacing w:after="0" w:line="271" w:lineRule="exact"/>
        <w:rPr>
          <w:sz w:val="20"/>
          <w:szCs w:val="20"/>
          <w:color w:val="auto"/>
        </w:rPr>
      </w:pPr>
    </w:p>
    <w:p>
      <w:pPr>
        <w:ind w:left="320" w:hanging="319"/>
        <w:spacing w:after="0"/>
        <w:tabs>
          <w:tab w:leader="none" w:pos="3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w:t>
      </w:r>
    </w:p>
    <w:p>
      <w:pPr>
        <w:spacing w:after="0" w:line="133" w:lineRule="exact"/>
        <w:rPr>
          <w:sz w:val="20"/>
          <w:szCs w:val="20"/>
          <w:color w:val="auto"/>
        </w:rPr>
      </w:pPr>
    </w:p>
    <w:p>
      <w:pPr>
        <w:jc w:val="right"/>
        <w:ind w:right="2800"/>
        <w:spacing w:after="0"/>
        <w:rPr>
          <w:sz w:val="20"/>
          <w:szCs w:val="20"/>
          <w:color w:val="auto"/>
        </w:rPr>
      </w:pPr>
      <w:r>
        <w:rPr>
          <w:rFonts w:ascii="Arial" w:cs="Arial" w:eastAsia="Arial" w:hAnsi="Arial"/>
          <w:sz w:val="17"/>
          <w:szCs w:val="17"/>
          <w:color w:val="auto"/>
        </w:rPr>
        <w:t>Accrued expenses consisted of the following:</w:t>
      </w:r>
    </w:p>
    <w:p>
      <w:pPr>
        <w:spacing w:after="0" w:line="200" w:lineRule="exact"/>
        <w:rPr>
          <w:sz w:val="20"/>
          <w:szCs w:val="20"/>
          <w:color w:val="auto"/>
        </w:rPr>
      </w:pPr>
    </w:p>
    <w:p>
      <w:pPr>
        <w:spacing w:after="0" w:line="3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Accrued development expense</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Insurance financing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Other accruals</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Accrued license fee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-120650</wp:posOffset>
            </wp:positionV>
            <wp:extent cx="5584190" cy="160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5584190" cy="16065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6287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71" w:lineRule="exact"/>
        <w:rPr>
          <w:sz w:val="20"/>
          <w:szCs w:val="20"/>
          <w:color w:val="auto"/>
        </w:rPr>
      </w:pPr>
    </w:p>
    <w:p>
      <w:pPr>
        <w:spacing w:after="0"/>
        <w:tabs>
          <w:tab w:leader="none" w:pos="560" w:val="left"/>
          <w:tab w:leader="none" w:pos="1320" w:val="left"/>
          <w:tab w:leader="none" w:pos="1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10,261</w:t>
        <w:tab/>
        <w:t>$</w:t>
      </w:r>
      <w:r>
        <w:rPr>
          <w:sz w:val="20"/>
          <w:szCs w:val="20"/>
          <w:color w:val="auto"/>
        </w:rPr>
        <w:tab/>
      </w:r>
      <w:r>
        <w:rPr>
          <w:rFonts w:ascii="Arial" w:cs="Arial" w:eastAsia="Arial" w:hAnsi="Arial"/>
          <w:sz w:val="17"/>
          <w:szCs w:val="17"/>
          <w:color w:val="auto"/>
        </w:rPr>
        <w:t>805,612</w:t>
      </w:r>
    </w:p>
    <w:p>
      <w:pPr>
        <w:spacing w:after="0" w:line="57"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7"/>
          <w:szCs w:val="17"/>
          <w:color w:val="auto"/>
        </w:rPr>
        <w:t>447,466</w:t>
      </w:r>
      <w:r>
        <w:rPr>
          <w:sz w:val="20"/>
          <w:szCs w:val="20"/>
          <w:color w:val="auto"/>
        </w:rPr>
        <w:tab/>
      </w:r>
      <w:r>
        <w:rPr>
          <w:rFonts w:ascii="Arial" w:cs="Arial" w:eastAsia="Arial" w:hAnsi="Arial"/>
          <w:sz w:val="17"/>
          <w:szCs w:val="17"/>
          <w:color w:val="auto"/>
        </w:rPr>
        <w:t>1,258,435</w:t>
      </w:r>
    </w:p>
    <w:p>
      <w:pPr>
        <w:spacing w:after="0" w:line="57"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7"/>
          <w:szCs w:val="17"/>
          <w:color w:val="auto"/>
        </w:rPr>
        <w:t>182,521</w:t>
      </w:r>
      <w:r>
        <w:rPr>
          <w:sz w:val="20"/>
          <w:szCs w:val="20"/>
          <w:color w:val="auto"/>
        </w:rPr>
        <w:tab/>
      </w:r>
      <w:r>
        <w:rPr>
          <w:rFonts w:ascii="Arial" w:cs="Arial" w:eastAsia="Arial" w:hAnsi="Arial"/>
          <w:sz w:val="17"/>
          <w:szCs w:val="17"/>
          <w:color w:val="auto"/>
        </w:rPr>
        <w:t>249,628</w:t>
      </w:r>
    </w:p>
    <w:p>
      <w:pPr>
        <w:spacing w:after="0" w:line="5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7"/>
          <w:szCs w:val="17"/>
          <w:color w:val="auto"/>
        </w:rPr>
        <w:t>18,270</w:t>
      </w:r>
      <w:r>
        <w:rPr>
          <w:sz w:val="20"/>
          <w:szCs w:val="20"/>
          <w:color w:val="auto"/>
        </w:rPr>
        <w:tab/>
      </w:r>
      <w:r>
        <w:rPr>
          <w:rFonts w:ascii="Arial" w:cs="Arial" w:eastAsia="Arial" w:hAnsi="Arial"/>
          <w:sz w:val="17"/>
          <w:szCs w:val="17"/>
          <w:color w:val="auto"/>
        </w:rPr>
        <w:t>662,576</w:t>
      </w:r>
    </w:p>
    <w:p>
      <w:pPr>
        <w:spacing w:after="0" w:line="57" w:lineRule="exact"/>
        <w:rPr>
          <w:sz w:val="20"/>
          <w:szCs w:val="20"/>
          <w:color w:val="auto"/>
        </w:rPr>
      </w:pPr>
    </w:p>
    <w:p>
      <w:pPr>
        <w:jc w:val="both"/>
        <w:ind w:left="580"/>
        <w:spacing w:after="0"/>
        <w:tabs>
          <w:tab w:leader="none" w:pos="1920" w:val="left"/>
        </w:tabs>
        <w:rPr>
          <w:sz w:val="20"/>
          <w:szCs w:val="20"/>
          <w:color w:val="auto"/>
        </w:rPr>
      </w:pPr>
      <w:r>
        <w:rPr>
          <w:rFonts w:ascii="Arial" w:cs="Arial" w:eastAsia="Arial" w:hAnsi="Arial"/>
          <w:sz w:val="17"/>
          <w:szCs w:val="17"/>
          <w:color w:val="auto"/>
        </w:rPr>
        <w:t>66,666</w:t>
      </w:r>
      <w:r>
        <w:rPr>
          <w:sz w:val="20"/>
          <w:szCs w:val="20"/>
          <w:color w:val="auto"/>
        </w:rPr>
        <w:tab/>
      </w:r>
      <w:r>
        <w:rPr>
          <w:rFonts w:ascii="Arial" w:cs="Arial" w:eastAsia="Arial" w:hAnsi="Arial"/>
          <w:sz w:val="17"/>
          <w:szCs w:val="17"/>
          <w:color w:val="auto"/>
        </w:rPr>
        <w:t>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16287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 w:lineRule="exact"/>
        <w:rPr>
          <w:sz w:val="20"/>
          <w:szCs w:val="20"/>
          <w:color w:val="auto"/>
        </w:rPr>
      </w:pPr>
    </w:p>
    <w:p>
      <w:pPr>
        <w:spacing w:after="0"/>
        <w:tabs>
          <w:tab w:leader="none" w:pos="480" w:val="left"/>
          <w:tab w:leader="none" w:pos="1320" w:val="left"/>
          <w:tab w:leader="none" w:pos="16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725,184</w:t>
        <w:tab/>
        <w:t>$</w:t>
      </w:r>
      <w:r>
        <w:rPr>
          <w:sz w:val="20"/>
          <w:szCs w:val="20"/>
          <w:color w:val="auto"/>
        </w:rPr>
        <w:tab/>
      </w:r>
      <w:r>
        <w:rPr>
          <w:rFonts w:ascii="Arial" w:cs="Arial" w:eastAsia="Arial" w:hAnsi="Arial"/>
          <w:sz w:val="17"/>
          <w:szCs w:val="17"/>
          <w:color w:val="auto"/>
        </w:rPr>
        <w:t>3,042,918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1628775"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1628775" cy="32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60"/>
          </w:cols>
          <w:pgMar w:left="320" w:top="894" w:right="33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661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169" w:name="page170"/>
    <w:bookmarkEnd w:id="169"/>
    <w:p>
      <w:pPr>
        <w:ind w:left="320" w:hanging="319"/>
        <w:spacing w:after="0"/>
        <w:tabs>
          <w:tab w:leader="none" w:pos="32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VENDOR CONCENTRATION</w:t>
      </w:r>
    </w:p>
    <w:p>
      <w:pPr>
        <w:spacing w:after="0" w:line="14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had five major vendors that accounted for approximately 27%, 20%, 17%, 16% and 10% of the Company's research and development expenses for the year ended December 31, 2025, and 3%, 2%, 0%, 2% and 6% of the Company's research and development expenditures for the year ended December 31, 2024. The same vendors accounted for 7% and 3% of the Company's total accounts payable and accrued expenses as of each of December 31, 2025 and 2024, respectively. The Company continues to maintain its relationship with these vendors and anticipates incurring significant expenses with these vendors over the next 12 months.</w:t>
      </w:r>
    </w:p>
    <w:p>
      <w:pPr>
        <w:spacing w:after="0" w:line="221" w:lineRule="exact"/>
        <w:rPr>
          <w:sz w:val="20"/>
          <w:szCs w:val="20"/>
          <w:color w:val="auto"/>
        </w:rPr>
      </w:pPr>
    </w:p>
    <w:p>
      <w:pPr>
        <w:ind w:left="320" w:hanging="319"/>
        <w:spacing w:after="0"/>
        <w:tabs>
          <w:tab w:leader="none" w:pos="32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components of the loss from continuing operations before provision for income taxes consists of the following (in thousands):</w:t>
      </w:r>
    </w:p>
    <w:p>
      <w:pPr>
        <w:spacing w:after="0" w:line="140"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Years Ended December 31,</w:t>
            </w:r>
          </w:p>
        </w:tc>
      </w:tr>
      <w:tr>
        <w:trPr>
          <w:trHeight w:val="182"/>
        </w:trPr>
        <w:tc>
          <w:tcPr>
            <w:tcW w:w="6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2024</w:t>
            </w:r>
          </w:p>
        </w:tc>
      </w:tr>
      <w:tr>
        <w:trPr>
          <w:trHeight w:val="233"/>
        </w:trPr>
        <w:tc>
          <w:tcPr>
            <w:tcW w:w="62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Domestic</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(13,321)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(3,822)</w:t>
            </w:r>
          </w:p>
        </w:tc>
      </w:tr>
      <w:tr>
        <w:trPr>
          <w:trHeight w:val="253"/>
        </w:trPr>
        <w:tc>
          <w:tcPr>
            <w:tcW w:w="624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32"/>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Loss before taxes</w:t>
            </w:r>
          </w:p>
        </w:tc>
        <w:tc>
          <w:tcPr>
            <w:tcW w:w="2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(13,541)</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(4,052)</w:t>
            </w: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The difference between the provision (benefit) for income taxes and the amount computed by applying the U.S. federal income tax rate for the year ended December 31, 2025 is as follows (in thousands):</w:t>
      </w:r>
    </w:p>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3"/>
                <w:szCs w:val="13"/>
                <w:b w:val="1"/>
                <w:bCs w:val="1"/>
                <w:color w:val="auto"/>
              </w:rPr>
              <w:t>Years Ended December 31,</w:t>
            </w:r>
          </w:p>
        </w:tc>
      </w:tr>
      <w:tr>
        <w:trPr>
          <w:trHeight w:val="182"/>
        </w:trPr>
        <w:tc>
          <w:tcPr>
            <w:tcW w:w="6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2025</w:t>
            </w:r>
          </w:p>
        </w:tc>
        <w:tc>
          <w:tcPr>
            <w:tcW w:w="880" w:type="dxa"/>
            <w:vAlign w:val="bottom"/>
            <w:tcBorders>
              <w:bottom w:val="single" w:sz="8" w:color="auto"/>
            </w:tcBorders>
          </w:tcPr>
          <w:p>
            <w:pPr>
              <w:spacing w:after="0"/>
              <w:rPr>
                <w:sz w:val="15"/>
                <w:szCs w:val="15"/>
                <w:color w:val="auto"/>
              </w:rPr>
            </w:pPr>
          </w:p>
        </w:tc>
      </w:tr>
      <w:tr>
        <w:trPr>
          <w:trHeight w:val="23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(benefit) at statutory rates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53"/>
        </w:trPr>
        <w:tc>
          <w:tcPr>
            <w:tcW w:w="6220" w:type="dxa"/>
            <w:vAlign w:val="bottom"/>
          </w:tcPr>
          <w:p>
            <w:pPr>
              <w:ind w:left="20"/>
              <w:spacing w:after="0"/>
              <w:rPr>
                <w:sz w:val="20"/>
                <w:szCs w:val="20"/>
                <w:color w:val="auto"/>
              </w:rPr>
            </w:pPr>
            <w:r>
              <w:rPr>
                <w:rFonts w:ascii="Arial" w:cs="Arial" w:eastAsia="Arial" w:hAnsi="Arial"/>
                <w:sz w:val="17"/>
                <w:szCs w:val="17"/>
                <w:color w:val="auto"/>
              </w:rPr>
              <w:t xml:space="preserve">State income tax (benefit), net of federal benefit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3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tax effects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2"/>
        </w:trPr>
        <w:tc>
          <w:tcPr>
            <w:tcW w:w="6220" w:type="dxa"/>
            <w:vAlign w:val="bottom"/>
          </w:tcPr>
          <w:p>
            <w:pPr>
              <w:ind w:left="220"/>
              <w:spacing w:after="0"/>
              <w:rPr>
                <w:sz w:val="20"/>
                <w:szCs w:val="20"/>
                <w:color w:val="auto"/>
              </w:rPr>
            </w:pPr>
            <w:r>
              <w:rPr>
                <w:rFonts w:ascii="Arial" w:cs="Arial" w:eastAsia="Arial" w:hAnsi="Arial"/>
                <w:sz w:val="17"/>
                <w:szCs w:val="17"/>
                <w:color w:val="auto"/>
              </w:rPr>
              <w:t>Australia</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0"/>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3"/>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credit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984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53"/>
        </w:trPr>
        <w:tc>
          <w:tcPr>
            <w:tcW w:w="6220" w:type="dxa"/>
            <w:vAlign w:val="bottom"/>
          </w:tcPr>
          <w:p>
            <w:pPr>
              <w:ind w:left="320"/>
              <w:spacing w:after="0"/>
              <w:rPr>
                <w:sz w:val="20"/>
                <w:szCs w:val="20"/>
                <w:color w:val="auto"/>
              </w:rPr>
            </w:pPr>
            <w:r>
              <w:rPr>
                <w:rFonts w:ascii="Arial" w:cs="Arial" w:eastAsia="Arial" w:hAnsi="Arial"/>
                <w:sz w:val="17"/>
                <w:szCs w:val="17"/>
                <w:color w:val="auto"/>
              </w:rPr>
              <w:t>Change in Valuation Allowance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7.0 %</w:t>
            </w:r>
          </w:p>
        </w:tc>
      </w:tr>
      <w:tr>
        <w:trPr>
          <w:trHeight w:val="253"/>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53"/>
        </w:trPr>
        <w:tc>
          <w:tcPr>
            <w:tcW w:w="6220" w:type="dxa"/>
            <w:vAlign w:val="bottom"/>
          </w:tcPr>
          <w:p>
            <w:pPr>
              <w:ind w:left="20"/>
              <w:spacing w:after="0"/>
              <w:rPr>
                <w:sz w:val="20"/>
                <w:szCs w:val="20"/>
                <w:color w:val="auto"/>
              </w:rPr>
            </w:pPr>
            <w:r>
              <w:rPr>
                <w:rFonts w:ascii="Arial" w:cs="Arial" w:eastAsia="Arial" w:hAnsi="Arial"/>
                <w:sz w:val="17"/>
                <w:szCs w:val="17"/>
                <w:color w:val="auto"/>
              </w:rPr>
              <w:t>Effect of changes in tax laws or rates enacted in the current period</w:t>
            </w:r>
          </w:p>
        </w:tc>
        <w:tc>
          <w:tcPr>
            <w:tcW w:w="260" w:type="dxa"/>
            <w:vAlign w:val="bottom"/>
          </w:tcPr>
          <w:p>
            <w:pPr>
              <w:spacing w:after="0"/>
              <w:rPr>
                <w:sz w:val="21"/>
                <w:szCs w:val="21"/>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3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credits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53"/>
        </w:trPr>
        <w:tc>
          <w:tcPr>
            <w:tcW w:w="6220" w:type="dxa"/>
            <w:vAlign w:val="bottom"/>
          </w:tcPr>
          <w:p>
            <w:pPr>
              <w:ind w:left="220"/>
              <w:spacing w:after="0"/>
              <w:rPr>
                <w:sz w:val="20"/>
                <w:szCs w:val="20"/>
                <w:color w:val="auto"/>
              </w:rPr>
            </w:pPr>
            <w:r>
              <w:rPr>
                <w:rFonts w:ascii="Arial" w:cs="Arial" w:eastAsia="Arial" w:hAnsi="Arial"/>
                <w:sz w:val="17"/>
                <w:szCs w:val="17"/>
                <w:color w:val="auto"/>
              </w:rPr>
              <w:t>Research and development credit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5.4 %</w:t>
            </w:r>
          </w:p>
        </w:tc>
      </w:tr>
      <w:tr>
        <w:trPr>
          <w:trHeight w:val="25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valuation allowance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r>
      <w:tr>
        <w:trPr>
          <w:trHeight w:val="222"/>
        </w:trPr>
        <w:tc>
          <w:tcPr>
            <w:tcW w:w="6220" w:type="dxa"/>
            <w:vAlign w:val="bottom"/>
          </w:tcPr>
          <w:p>
            <w:pPr>
              <w:ind w:left="20"/>
              <w:spacing w:after="0"/>
              <w:rPr>
                <w:sz w:val="20"/>
                <w:szCs w:val="20"/>
                <w:color w:val="auto"/>
              </w:rPr>
            </w:pPr>
            <w:r>
              <w:rPr>
                <w:rFonts w:ascii="Arial" w:cs="Arial" w:eastAsia="Arial" w:hAnsi="Arial"/>
                <w:sz w:val="17"/>
                <w:szCs w:val="17"/>
                <w:color w:val="auto"/>
              </w:rPr>
              <w:t>Nontaxable or nondeductible items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0"/>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3"/>
        </w:trPr>
        <w:tc>
          <w:tcPr>
            <w:tcW w:w="6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Permanent items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865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53"/>
        </w:trPr>
        <w:tc>
          <w:tcPr>
            <w:tcW w:w="6220" w:type="dxa"/>
            <w:vAlign w:val="bottom"/>
          </w:tcPr>
          <w:p>
            <w:pPr>
              <w:ind w:left="220"/>
              <w:spacing w:after="0"/>
              <w:rPr>
                <w:sz w:val="20"/>
                <w:szCs w:val="20"/>
                <w:color w:val="auto"/>
              </w:rPr>
            </w:pPr>
            <w:r>
              <w:rPr>
                <w:rFonts w:ascii="Arial" w:cs="Arial" w:eastAsia="Arial" w:hAnsi="Arial"/>
                <w:sz w:val="17"/>
                <w:szCs w:val="17"/>
                <w:color w:val="auto"/>
              </w:rPr>
              <w:t>Officers' compensation</w:t>
            </w:r>
          </w:p>
        </w:tc>
        <w:tc>
          <w:tcPr>
            <w:tcW w:w="26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3"/>
        </w:trPr>
        <w:tc>
          <w:tcPr>
            <w:tcW w:w="6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compensation</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1,761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53"/>
        </w:trPr>
        <w:tc>
          <w:tcPr>
            <w:tcW w:w="6220" w:type="dxa"/>
            <w:vAlign w:val="bottom"/>
          </w:tcPr>
          <w:p>
            <w:pPr>
              <w:ind w:left="20"/>
              <w:spacing w:after="0"/>
              <w:rPr>
                <w:sz w:val="20"/>
                <w:szCs w:val="20"/>
                <w:color w:val="auto"/>
              </w:rPr>
            </w:pPr>
            <w:r>
              <w:rPr>
                <w:rFonts w:ascii="Arial" w:cs="Arial" w:eastAsia="Arial" w:hAnsi="Arial"/>
                <w:sz w:val="17"/>
                <w:szCs w:val="17"/>
                <w:color w:val="auto"/>
              </w:rPr>
              <w:t>Changes in unrecognized tax benefits</w:t>
            </w:r>
          </w:p>
        </w:tc>
        <w:tc>
          <w:tcPr>
            <w:tcW w:w="26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3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53"/>
        </w:trPr>
        <w:tc>
          <w:tcPr>
            <w:tcW w:w="6220" w:type="dxa"/>
            <w:vAlign w:val="bottom"/>
          </w:tcPr>
          <w:p>
            <w:pPr>
              <w:ind w:left="220"/>
              <w:spacing w:after="0"/>
              <w:rPr>
                <w:sz w:val="20"/>
                <w:szCs w:val="20"/>
                <w:color w:val="auto"/>
              </w:rPr>
            </w:pPr>
            <w:r>
              <w:rPr>
                <w:rFonts w:ascii="Arial" w:cs="Arial" w:eastAsia="Arial" w:hAnsi="Arial"/>
                <w:sz w:val="17"/>
                <w:szCs w:val="17"/>
                <w:color w:val="auto"/>
              </w:rPr>
              <w:t>Expiration of attributes</w:t>
            </w:r>
          </w:p>
        </w:tc>
        <w:tc>
          <w:tcPr>
            <w:tcW w:w="26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3"/>
        </w:trPr>
        <w:tc>
          <w:tcPr>
            <w:tcW w:w="6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07"/>
        </w:trPr>
        <w:tc>
          <w:tcPr>
            <w:tcW w:w="622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0.00 %</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5460" w:right="1240" w:hanging="5459"/>
        <w:spacing w:after="0" w:line="704" w:lineRule="auto"/>
        <w:tabs>
          <w:tab w:leader="none" w:pos="191" w:val="left"/>
        </w:tabs>
        <w:numPr>
          <w:ilvl w:val="0"/>
          <w:numId w:val="79"/>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 xml:space="preserve">The states that contributed to the majority (greater than 50%) of the tax effect in this category include California and Massachusetts. </w:t>
      </w: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-260350</wp:posOffset>
            </wp:positionV>
            <wp:extent cx="716661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70" w:name="page171"/>
    <w:bookmarkEnd w:id="170"/>
    <w:p>
      <w:pPr>
        <w:jc w:val="both"/>
        <w:ind w:firstLine="607"/>
        <w:spacing w:after="0" w:line="281" w:lineRule="auto"/>
        <w:rPr>
          <w:sz w:val="20"/>
          <w:szCs w:val="20"/>
          <w:color w:val="auto"/>
        </w:rPr>
      </w:pPr>
      <w:r>
        <w:rPr>
          <w:rFonts w:ascii="Arial" w:cs="Arial" w:eastAsia="Arial" w:hAnsi="Arial"/>
          <w:sz w:val="17"/>
          <w:szCs w:val="17"/>
          <w:color w:val="auto"/>
        </w:rPr>
        <w:t>As previously disclosed, prior to the adoption of ASU 2023-09, the difference between the provision (benefit) for income taxes and the amount computed by applying the U.S. federal income tax rate for the year ended December 31, 2024 is as follows:</w:t>
      </w:r>
    </w:p>
    <w:p>
      <w:pPr>
        <w:spacing w:after="0" w:line="207"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7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2024</w:t>
            </w:r>
          </w:p>
        </w:tc>
      </w:tr>
      <w:tr>
        <w:trPr>
          <w:trHeight w:val="23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 expense at statutory rate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21.00 %</w:t>
            </w:r>
          </w:p>
        </w:tc>
      </w:tr>
      <w:tr>
        <w:trPr>
          <w:trHeight w:val="253"/>
        </w:trPr>
        <w:tc>
          <w:tcPr>
            <w:tcW w:w="7520" w:type="dxa"/>
            <w:vAlign w:val="bottom"/>
          </w:tcPr>
          <w:p>
            <w:pPr>
              <w:ind w:left="20"/>
              <w:spacing w:after="0"/>
              <w:rPr>
                <w:sz w:val="20"/>
                <w:szCs w:val="20"/>
                <w:color w:val="auto"/>
              </w:rPr>
            </w:pPr>
            <w:r>
              <w:rPr>
                <w:rFonts w:ascii="Arial" w:cs="Arial" w:eastAsia="Arial" w:hAnsi="Arial"/>
                <w:sz w:val="17"/>
                <w:szCs w:val="17"/>
                <w:color w:val="auto"/>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 rate change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29.65 %</w:t>
            </w:r>
          </w:p>
        </w:tc>
      </w:tr>
      <w:tr>
        <w:trPr>
          <w:trHeight w:val="253"/>
        </w:trPr>
        <w:tc>
          <w:tcPr>
            <w:tcW w:w="7520" w:type="dxa"/>
            <w:vAlign w:val="bottom"/>
          </w:tcPr>
          <w:p>
            <w:pPr>
              <w:ind w:left="20"/>
              <w:spacing w:after="0"/>
              <w:rPr>
                <w:sz w:val="20"/>
                <w:szCs w:val="20"/>
                <w:color w:val="auto"/>
              </w:rPr>
            </w:pPr>
            <w:r>
              <w:rPr>
                <w:rFonts w:ascii="Arial" w:cs="Arial" w:eastAsia="Arial" w:hAnsi="Arial"/>
                <w:sz w:val="17"/>
                <w:szCs w:val="17"/>
                <w:color w:val="auto"/>
              </w:rPr>
              <w:t>Permanent differences</w:t>
            </w:r>
          </w:p>
        </w:tc>
        <w:tc>
          <w:tcPr>
            <w:tcW w:w="128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43.95 %</w:t>
            </w:r>
          </w:p>
        </w:tc>
      </w:tr>
      <w:tr>
        <w:trPr>
          <w:trHeight w:val="253"/>
        </w:trPr>
        <w:tc>
          <w:tcPr>
            <w:tcW w:w="7520" w:type="dxa"/>
            <w:vAlign w:val="bottom"/>
          </w:tcPr>
          <w:p>
            <w:pPr>
              <w:ind w:left="20"/>
              <w:spacing w:after="0"/>
              <w:rPr>
                <w:sz w:val="20"/>
                <w:szCs w:val="20"/>
                <w:color w:val="auto"/>
              </w:rPr>
            </w:pPr>
            <w:r>
              <w:rPr>
                <w:rFonts w:ascii="Arial" w:cs="Arial" w:eastAsia="Arial" w:hAnsi="Arial"/>
                <w:sz w:val="17"/>
                <w:szCs w:val="17"/>
                <w:color w:val="auto"/>
              </w:rPr>
              <w:t>Stock compensation</w:t>
            </w:r>
          </w:p>
        </w:tc>
        <w:tc>
          <w:tcPr>
            <w:tcW w:w="1280" w:type="dxa"/>
            <w:vAlign w:val="bottom"/>
          </w:tcPr>
          <w:p>
            <w:pPr>
              <w:jc w:val="right"/>
              <w:spacing w:after="0"/>
              <w:rPr>
                <w:sz w:val="20"/>
                <w:szCs w:val="20"/>
                <w:color w:val="auto"/>
              </w:rPr>
            </w:pPr>
            <w:r>
              <w:rPr>
                <w:rFonts w:ascii="Arial" w:cs="Arial" w:eastAsia="Arial" w:hAnsi="Arial"/>
                <w:sz w:val="17"/>
                <w:szCs w:val="17"/>
                <w:color w:val="auto"/>
              </w:rPr>
              <w:t>(5.49)%</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r>
      <w:tr>
        <w:trPr>
          <w:trHeight w:val="25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allowance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(70.27)%</w:t>
            </w:r>
          </w:p>
        </w:tc>
      </w:tr>
      <w:tr>
        <w:trPr>
          <w:trHeight w:val="23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During 2025, the Company identified an immaterial error in the Company’s deferred tax assets and corresponding valuation allowance as of December 31, 2024, relating to capitalized research and development costs which resulted in understated deferred tax assets and corresponding valuation allowance of approximately $0.9 million. For comparative purposes, the Company’s 2024 tax disclosures herein have been revised to reflect the adjustment to the deferred tax assets and valuation allowance. The Company evaluated the error and concluded the impact was not material to its consolidated financial statements. The effect of the revision to the net deferred tax asset balance was zero, and the revision had no impact on the Company’s consolidated balance sheet, consolidated statement of operations and comprehensive loss or consolidated statement of cash flows.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major components of the Company’s deferred tax assets as of December 31, 2025 and 2024 are shown below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2024</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53"/>
        </w:trPr>
        <w:tc>
          <w:tcPr>
            <w:tcW w:w="624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98,463</w:t>
            </w:r>
          </w:p>
        </w:tc>
        <w:tc>
          <w:tcPr>
            <w:tcW w:w="12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85,686</w:t>
            </w:r>
          </w:p>
        </w:tc>
      </w:tr>
      <w:tr>
        <w:trPr>
          <w:trHeight w:val="253"/>
        </w:trPr>
        <w:tc>
          <w:tcPr>
            <w:tcW w:w="6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 credit carryforwards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12,767</w:t>
            </w:r>
          </w:p>
        </w:tc>
      </w:tr>
      <w:tr>
        <w:trPr>
          <w:trHeight w:val="253"/>
        </w:trPr>
        <w:tc>
          <w:tcPr>
            <w:tcW w:w="6240" w:type="dxa"/>
            <w:vAlign w:val="bottom"/>
          </w:tcPr>
          <w:p>
            <w:pPr>
              <w:ind w:left="320"/>
              <w:spacing w:after="0"/>
              <w:rPr>
                <w:sz w:val="20"/>
                <w:szCs w:val="20"/>
                <w:color w:val="auto"/>
              </w:rPr>
            </w:pPr>
            <w:r>
              <w:rPr>
                <w:rFonts w:ascii="Arial" w:cs="Arial" w:eastAsia="Arial" w:hAnsi="Arial"/>
                <w:sz w:val="17"/>
                <w:szCs w:val="17"/>
                <w:color w:val="auto"/>
              </w:rPr>
              <w:t>Capitalized research and development costs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13,449</w:t>
            </w:r>
          </w:p>
        </w:tc>
      </w:tr>
      <w:tr>
        <w:trPr>
          <w:trHeight w:val="253"/>
        </w:trPr>
        <w:tc>
          <w:tcPr>
            <w:tcW w:w="6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w:t>
            </w:r>
          </w:p>
        </w:tc>
      </w:tr>
      <w:tr>
        <w:trPr>
          <w:trHeight w:val="253"/>
        </w:trPr>
        <w:tc>
          <w:tcPr>
            <w:tcW w:w="62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r>
      <w:tr>
        <w:trPr>
          <w:trHeight w:val="23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115,778</w:t>
            </w:r>
          </w:p>
        </w:tc>
      </w:tr>
      <w:tr>
        <w:trPr>
          <w:trHeight w:val="25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(115,532)</w:t>
            </w:r>
          </w:p>
        </w:tc>
      </w:tr>
      <w:tr>
        <w:trPr>
          <w:trHeight w:val="23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33"/>
        </w:trPr>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3"/>
        </w:trPr>
        <w:tc>
          <w:tcPr>
            <w:tcW w:w="6240" w:type="dxa"/>
            <w:vAlign w:val="bottom"/>
          </w:tcPr>
          <w:p>
            <w:pPr>
              <w:ind w:left="320"/>
              <w:spacing w:after="0"/>
              <w:rPr>
                <w:sz w:val="20"/>
                <w:szCs w:val="20"/>
                <w:color w:val="auto"/>
              </w:rPr>
            </w:pPr>
            <w:r>
              <w:rPr>
                <w:rFonts w:ascii="Arial" w:cs="Arial" w:eastAsia="Arial" w:hAnsi="Arial"/>
                <w:sz w:val="17"/>
                <w:szCs w:val="17"/>
                <w:color w:val="auto"/>
              </w:rPr>
              <w:t>Right-of-use assets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53"/>
        </w:trPr>
        <w:tc>
          <w:tcPr>
            <w:tcW w:w="6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liabilities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r>
      <w:tr>
        <w:trPr>
          <w:trHeight w:val="232"/>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 (liabilities)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$113.7 million and $115.5 million was established at December 31, 2025 and 2024, respectively, to offset the net deferred tax assets. When and if management determines that it is more likely than not that the Company will be able to utilize the deferred tax assets prior to their expiration, the valuation allowance may be reduced or eliminated. The valuation allowance decreased by approximately $1.8 million for the year ended December 31, 2025.</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171" w:name="page172"/>
    <w:bookmarkEnd w:id="171"/>
    <w:p>
      <w:pPr>
        <w:jc w:val="both"/>
        <w:ind w:firstLine="607"/>
        <w:spacing w:after="0" w:line="264" w:lineRule="auto"/>
        <w:rPr>
          <w:sz w:val="20"/>
          <w:szCs w:val="20"/>
          <w:color w:val="auto"/>
        </w:rPr>
      </w:pPr>
      <w:r>
        <w:rPr>
          <w:rFonts w:ascii="Arial" w:cs="Arial" w:eastAsia="Arial" w:hAnsi="Arial"/>
          <w:sz w:val="17"/>
          <w:szCs w:val="17"/>
          <w:color w:val="auto"/>
        </w:rPr>
        <w:t>At December 31, 2025, the Company had federal, state and Australian net operating loss carryforwards of $369.4 million, $305.9 million, and $2.4 million, respectively, some of which will begin expiring in 2026 unless previously utilized. Included in the federal net operating loss carryforward is $195.8 of federal carryforward with no expiration date. The Australian losses may be carried forward indefinitely as well.</w:t>
      </w:r>
    </w:p>
    <w:p>
      <w:pPr>
        <w:spacing w:after="0" w:line="6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Company also had federal and state research and development credit carryforwards of $13.3 million and $2.7 million, respectively. The federal research and development credit carryforwards will begin expiring in 2027, unless previously utilized. The state research credits begin to expire in 2027, unless previously utilized. Included in the state research credit carryforward is $0.6 million of carryforward with no expiration date. The Australian credits may be carried forward indefinitely as well.</w:t>
      </w:r>
    </w:p>
    <w:p>
      <w:pPr>
        <w:spacing w:after="0" w:line="66"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Future utilization of the Company's net operating loss and research and development credit carryforwards to offset future taxable income may be subject to an annual limitation, pursuant to Internal Revenue Code (IRC) Section 382 and 383, as a result of ownership changes that may have occurred or that could occur in the future. An ownership change occurs when a cumulative change in ownership of more than 50% occurs within a three-year period. The Company has not completed an IRC Section 382/383 analysis regarding the limitation of net operating loss and research and development credit carryforwards. If a change in ownership were to have occurred or occurs in the future, the use of NOL and tax credits carryforwards may be limited or reduced. The Company does not expect this analysis to be completed within the next 12 months. If eliminated, the related asset would be removed from the deferred tax asset schedule with a corresponding reduction in the valuation allowance. Due to the existence of the valuation allowance, limitations created by future ownership changes, if any, will not impact the Company's effective tax rate.</w:t>
      </w:r>
    </w:p>
    <w:p>
      <w:pPr>
        <w:spacing w:after="0" w:line="7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An uncertain tax position will not be recognized if it has less than a 50% likelihood of being sustained.</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and ending amount of uncertain tax benefits is as follows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3"/>
                <w:szCs w:val="13"/>
                <w:b w:val="1"/>
                <w:bCs w:val="1"/>
                <w:color w:val="auto"/>
              </w:rPr>
              <w:t>Years Ended December 31,</w:t>
            </w:r>
          </w:p>
        </w:tc>
      </w:tr>
      <w:tr>
        <w:trPr>
          <w:trHeight w:val="182"/>
        </w:trPr>
        <w:tc>
          <w:tcPr>
            <w:tcW w:w="6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2024</w:t>
            </w:r>
          </w:p>
        </w:tc>
      </w:tr>
      <w:tr>
        <w:trPr>
          <w:trHeight w:val="23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uncertain tax benefits</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2,761</w:t>
            </w:r>
          </w:p>
        </w:tc>
      </w:tr>
      <w:tr>
        <w:trPr>
          <w:trHeight w:val="253"/>
        </w:trPr>
        <w:tc>
          <w:tcPr>
            <w:tcW w:w="6240" w:type="dxa"/>
            <w:vAlign w:val="bottom"/>
          </w:tcPr>
          <w:p>
            <w:pPr>
              <w:ind w:left="20"/>
              <w:spacing w:after="0"/>
              <w:rPr>
                <w:sz w:val="20"/>
                <w:szCs w:val="20"/>
                <w:color w:val="auto"/>
              </w:rPr>
            </w:pPr>
            <w:r>
              <w:rPr>
                <w:rFonts w:ascii="Arial" w:cs="Arial" w:eastAsia="Arial" w:hAnsi="Arial"/>
                <w:sz w:val="17"/>
                <w:szCs w:val="17"/>
                <w:color w:val="auto"/>
              </w:rPr>
              <w:t>Decreases related to prior year positions</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5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related to prior year positions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3"/>
        </w:trPr>
        <w:tc>
          <w:tcPr>
            <w:tcW w:w="6240" w:type="dxa"/>
            <w:vAlign w:val="bottom"/>
          </w:tcPr>
          <w:p>
            <w:pPr>
              <w:ind w:left="20"/>
              <w:spacing w:after="0"/>
              <w:rPr>
                <w:sz w:val="20"/>
                <w:szCs w:val="20"/>
                <w:color w:val="auto"/>
              </w:rPr>
            </w:pPr>
            <w:r>
              <w:rPr>
                <w:rFonts w:ascii="Arial" w:cs="Arial" w:eastAsia="Arial" w:hAnsi="Arial"/>
                <w:sz w:val="17"/>
                <w:szCs w:val="17"/>
                <w:color w:val="auto"/>
              </w:rPr>
              <w:t>Additions related to current year positions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337</w:t>
            </w:r>
          </w:p>
        </w:tc>
      </w:tr>
      <w:tr>
        <w:trPr>
          <w:trHeight w:val="25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 related to settlements with taxing authorities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3"/>
        </w:trPr>
        <w:tc>
          <w:tcPr>
            <w:tcW w:w="6240" w:type="dxa"/>
            <w:vAlign w:val="bottom"/>
          </w:tcPr>
          <w:p>
            <w:pPr>
              <w:ind w:left="20"/>
              <w:spacing w:after="0"/>
              <w:rPr>
                <w:sz w:val="20"/>
                <w:szCs w:val="20"/>
                <w:color w:val="auto"/>
              </w:rPr>
            </w:pPr>
            <w:r>
              <w:rPr>
                <w:rFonts w:ascii="Arial" w:cs="Arial" w:eastAsia="Arial" w:hAnsi="Arial"/>
                <w:sz w:val="17"/>
                <w:szCs w:val="17"/>
                <w:color w:val="auto"/>
              </w:rPr>
              <w:t>Decreases as a result of a lapse of the applicable statute of limitations</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of unrecognized tax benefits</w:t>
            </w: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Included in the balance of uncertain tax benefits at December 31, 2025 and 2024 are $3.1 million and $2.9 million of tax benefits that, if recognized, would result in a reduction of the gross deferred tax asset, offset fully by valuation allowance and have no net impact on the financial statements.</w:t>
      </w:r>
    </w:p>
    <w:p>
      <w:pPr>
        <w:spacing w:after="0" w:line="6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Company's policy is to record estimated interest and penalties related to uncertain tax benefits as income tax expense. As of December 31, 2025 and 2024, the Company had no accrued interest or penalties recorded related to uncertain tax positions.</w:t>
      </w:r>
    </w:p>
    <w:p>
      <w:pPr>
        <w:spacing w:after="0" w:line="9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tax years 2021 through 2024 remain open to examination by major taxing jurisdictions to which the Company is subject, which are primarily in the U.S. The statute of limitations for U.S. net operating losses utilized in future years will remain open beginning in the year of utilization. There are currently no pending income tax examinations.</w:t>
      </w:r>
    </w:p>
    <w:p>
      <w:pPr>
        <w:spacing w:after="0" w:line="6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On July 4, 2025, the One Big Beautiful Bill Act (the "Act") was signed into law. The Act reinstates and makes permanent 100% first-year bonus depreciation under Section 168(k) for qualified property acquired and placed in service after January 19, 2025. Additionally, the Act allows current expensing of domestic research and experimental costs starting in 2025 and provides special retroactive relief for "smaller business taxpayers." The Company deducted the unamortized R&amp;E expenditures as of December 31, 2024 on its 2024 tax return, resulting in no change in the Company's effective tax rate or cash tax liability due to the full valuation allowance. The Company has reflected the effects of the Act in its income tax provision in accordance with ASC 740 and there was no material impact.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72" w:name="page173"/>
    <w:bookmarkEnd w:id="172"/>
    <w:p>
      <w:pPr>
        <w:ind w:left="320" w:hanging="319"/>
        <w:spacing w:after="0"/>
        <w:tabs>
          <w:tab w:leader="none" w:pos="32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Line</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spacing w:after="0" w:line="133"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From time to time after the Commencement Date, at the Company’s sole discretion, on any business day selected by the Company on which the closing sale price of the Company’s common stock is not below $ 0.50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spacing w:after="0" w:line="152"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w:t>
      </w:r>
    </w:p>
    <w:p>
      <w:pPr>
        <w:spacing w:after="0" w:line="7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In connection with entering into the purchase agreement, the Company issued 137,614 shares of its common stock to Lincoln Park in consideration for its commitment to purchase shares thereunder.</w:t>
      </w:r>
    </w:p>
    <w:p>
      <w:pPr>
        <w:spacing w:after="0" w:line="4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During the year ended December 31, 2025, the Company sold 1,470,000 shares of common stock under this agreement for gross proceeds of approximately $3.3 million, net of offering expenses of approximately $0.1 million.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March 2023 ATM Sales Agreement</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During the years ended December 31, 2025 and 2024, the Company sold 4,329,116 and 109,655 shares of common stock, respectively, under the sales agreement for aggregate gross proceeds of approximately $18.0 million and $0.5 million, respectively, net of offering expenses of approximately $0.4 million and $11,000,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warrants outstanding as of December 31, 2025, are exercisable into 1,268,572 shares of common stock which had a fair value of $1.93 per share, based on the closing market price of the Company's common stock on December 31, 2025. The aggregate intrinsic value of warrants outstanding as of December 31, 2025, is calculated as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3" w:name="page174"/>
    <w:bookmarkEnd w:id="173"/>
    <w:p>
      <w:pPr>
        <w:jc w:val="both"/>
        <w:spacing w:after="0" w:line="264" w:lineRule="auto"/>
        <w:rPr>
          <w:sz w:val="20"/>
          <w:szCs w:val="20"/>
          <w:color w:val="auto"/>
        </w:rPr>
      </w:pPr>
      <w:r>
        <w:rPr>
          <w:rFonts w:ascii="Arial" w:cs="Arial" w:eastAsia="Arial" w:hAnsi="Arial"/>
          <w:sz w:val="17"/>
          <w:szCs w:val="17"/>
          <w:color w:val="auto"/>
        </w:rPr>
        <w:t>the difference between the exercise price of the warrants and the closing market price of the Company's common stock on that date. The intrinsic value of warrants outstanding as of December 31, 2025, was zero. The Company has performed an assessment of all warrants issued and determined that the Company's warrants are equity-classified.</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Summary of Warrants Outstanding</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summary of warrants outstanding during the years ended December 31, 2025 and 2024 is presented below:</w:t>
      </w:r>
    </w:p>
    <w:p>
      <w:pPr>
        <w:spacing w:after="0" w:line="200" w:lineRule="exact"/>
        <w:rPr>
          <w:sz w:val="20"/>
          <w:szCs w:val="20"/>
          <w:color w:val="auto"/>
        </w:rPr>
      </w:pPr>
    </w:p>
    <w:p>
      <w:pPr>
        <w:spacing w:after="0" w:line="256"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840" w:type="dxa"/>
            <w:vAlign w:val="bottom"/>
            <w:gridSpan w:val="3"/>
          </w:tcPr>
          <w:p>
            <w:pPr>
              <w:jc w:val="right"/>
              <w:ind w:right="79"/>
              <w:spacing w:after="0"/>
              <w:rPr>
                <w:sz w:val="20"/>
                <w:szCs w:val="20"/>
                <w:color w:val="auto"/>
              </w:rPr>
            </w:pPr>
            <w:r>
              <w:rPr>
                <w:rFonts w:ascii="Arial" w:cs="Arial" w:eastAsia="Arial" w:hAnsi="Arial"/>
                <w:sz w:val="13"/>
                <w:szCs w:val="13"/>
                <w:b w:val="1"/>
                <w:bCs w:val="1"/>
                <w:color w:val="auto"/>
              </w:rPr>
              <w:t>Quantity of Warrants Outstanding as of</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4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2024</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Exercise Price</w:t>
            </w:r>
          </w:p>
        </w:tc>
        <w:tc>
          <w:tcPr>
            <w:tcW w:w="2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Expiration Date</w:t>
            </w:r>
          </w:p>
        </w:tc>
      </w:tr>
      <w:tr>
        <w:trPr>
          <w:trHeight w:val="233"/>
        </w:trPr>
        <w:tc>
          <w:tcPr>
            <w:tcW w:w="3540" w:type="dxa"/>
            <w:vAlign w:val="bottom"/>
            <w:shd w:val="clear" w:color="auto" w:fill="CCEEFF"/>
          </w:tcPr>
          <w:p>
            <w:pPr>
              <w:ind w:left="20"/>
              <w:spacing w:after="0" w:line="233" w:lineRule="exact"/>
              <w:rPr>
                <w:sz w:val="20"/>
                <w:szCs w:val="20"/>
                <w:color w:val="auto"/>
              </w:rPr>
            </w:pPr>
            <w:r>
              <w:rPr>
                <w:rFonts w:ascii="Arial" w:cs="Arial" w:eastAsia="Arial" w:hAnsi="Arial"/>
                <w:sz w:val="17"/>
                <w:szCs w:val="17"/>
                <w:color w:val="auto"/>
              </w:rPr>
              <w:t xml:space="preserve">Initial Royalty Warrant </w:t>
            </w:r>
            <w:r>
              <w:rPr>
                <w:rFonts w:ascii="Arial" w:cs="Arial" w:eastAsia="Arial" w:hAnsi="Arial"/>
                <w:sz w:val="21"/>
                <w:szCs w:val="21"/>
                <w:color w:val="auto"/>
                <w:vertAlign w:val="superscript"/>
              </w:rPr>
              <w:t>(1)*</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422,804</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422,804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12/22/2028</w:t>
            </w:r>
          </w:p>
        </w:tc>
      </w:tr>
      <w:tr>
        <w:trPr>
          <w:trHeight w:val="253"/>
        </w:trPr>
        <w:tc>
          <w:tcPr>
            <w:tcW w:w="3540" w:type="dxa"/>
            <w:vAlign w:val="bottom"/>
          </w:tcPr>
          <w:p>
            <w:pPr>
              <w:ind w:left="20"/>
              <w:spacing w:after="0"/>
              <w:rPr>
                <w:sz w:val="20"/>
                <w:szCs w:val="20"/>
                <w:color w:val="auto"/>
              </w:rPr>
            </w:pPr>
            <w:r>
              <w:rPr>
                <w:rFonts w:ascii="Arial" w:cs="Arial" w:eastAsia="Arial" w:hAnsi="Arial"/>
                <w:sz w:val="17"/>
                <w:szCs w:val="17"/>
                <w:color w:val="auto"/>
              </w:rPr>
              <w:t xml:space="preserve">September 2023 Warrants </w:t>
            </w:r>
            <w:r>
              <w:rPr>
                <w:rFonts w:ascii="Arial" w:cs="Arial" w:eastAsia="Arial" w:hAnsi="Arial"/>
                <w:sz w:val="21"/>
                <w:szCs w:val="21"/>
                <w:color w:val="auto"/>
                <w:vertAlign w:val="superscript"/>
              </w:rPr>
              <w:t>(2)*</w:t>
            </w:r>
          </w:p>
        </w:tc>
        <w:tc>
          <w:tcPr>
            <w:tcW w:w="1340" w:type="dxa"/>
            <w:vAlign w:val="bottom"/>
          </w:tcPr>
          <w:p>
            <w:pPr>
              <w:jc w:val="right"/>
              <w:ind w:right="1"/>
              <w:spacing w:after="0"/>
              <w:rPr>
                <w:sz w:val="20"/>
                <w:szCs w:val="20"/>
                <w:color w:val="auto"/>
              </w:rPr>
            </w:pPr>
            <w:r>
              <w:rPr>
                <w:rFonts w:ascii="Arial" w:cs="Arial" w:eastAsia="Arial" w:hAnsi="Arial"/>
                <w:sz w:val="17"/>
                <w:szCs w:val="17"/>
                <w:color w:val="auto"/>
              </w:rPr>
              <w:t>845,225</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845,225</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9.11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3/1/2029</w:t>
            </w:r>
          </w:p>
        </w:tc>
      </w:tr>
      <w:tr>
        <w:trPr>
          <w:trHeight w:val="253"/>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October 2016 Warrants </w:t>
            </w:r>
            <w:r>
              <w:rPr>
                <w:rFonts w:ascii="Arial" w:cs="Arial" w:eastAsia="Arial" w:hAnsi="Arial"/>
                <w:sz w:val="21"/>
                <w:szCs w:val="21"/>
                <w:color w:val="auto"/>
                <w:vertAlign w:val="superscript"/>
              </w:rPr>
              <w:t>(3)</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542</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10/4/2026</w:t>
            </w:r>
          </w:p>
        </w:tc>
      </w:tr>
      <w:tr>
        <w:trPr>
          <w:trHeight w:val="207"/>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Warrants Outstanding</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1,268,571</w:t>
            </w:r>
          </w:p>
        </w:tc>
        <w:tc>
          <w:tcPr>
            <w:tcW w:w="1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1,268,571</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400" w:hanging="156"/>
        <w:spacing w:after="0"/>
        <w:tabs>
          <w:tab w:leader="none" w:pos="14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Refers to a warrant issued in connection with entering into the royalty interest financing agreement with UiE.</w:t>
      </w:r>
    </w:p>
    <w:p>
      <w:pPr>
        <w:spacing w:after="0" w:line="40" w:lineRule="exact"/>
        <w:rPr>
          <w:rFonts w:ascii="Arial" w:cs="Arial" w:eastAsia="Arial" w:hAnsi="Arial"/>
          <w:sz w:val="13"/>
          <w:szCs w:val="13"/>
          <w:color w:val="auto"/>
        </w:rPr>
      </w:pPr>
    </w:p>
    <w:p>
      <w:pPr>
        <w:ind w:left="1400" w:hanging="156"/>
        <w:spacing w:after="0"/>
        <w:tabs>
          <w:tab w:leader="none" w:pos="14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Refers to the warrants issued in connection with a registered direct offering the Company completed in September 2023.</w:t>
      </w:r>
    </w:p>
    <w:p>
      <w:pPr>
        <w:spacing w:after="0" w:line="40" w:lineRule="exact"/>
        <w:rPr>
          <w:rFonts w:ascii="Arial" w:cs="Arial" w:eastAsia="Arial" w:hAnsi="Arial"/>
          <w:sz w:val="13"/>
          <w:szCs w:val="13"/>
          <w:color w:val="auto"/>
        </w:rPr>
      </w:pPr>
    </w:p>
    <w:p>
      <w:pPr>
        <w:ind w:left="1400" w:hanging="156"/>
        <w:spacing w:after="0"/>
        <w:tabs>
          <w:tab w:leader="none" w:pos="14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Refers to a warrant issued in October 2016 to a former financial advisor.</w:t>
      </w:r>
    </w:p>
    <w:p>
      <w:pPr>
        <w:spacing w:after="0" w:line="27" w:lineRule="exact"/>
        <w:rPr>
          <w:sz w:val="20"/>
          <w:szCs w:val="20"/>
          <w:color w:val="auto"/>
        </w:rPr>
      </w:pPr>
    </w:p>
    <w:p>
      <w:pPr>
        <w:jc w:val="both"/>
        <w:ind w:left="1240" w:right="1380" w:firstLine="4"/>
        <w:spacing w:after="0" w:line="244" w:lineRule="auto"/>
        <w:tabs>
          <w:tab w:leader="none" w:pos="133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authorized capital of the Company consists of 240,000,000 shares of common stock with a par value of $0.0001 per share and 5,000,000 shares of preferred stock with a par value of $0.01 per share. The issued and outstanding common stock of the Company consisted of 14,499,502 and 8,700,386 shares of common stock as of December 31, 2025 and 2024, respectively. There were no shares of preferred stock issued or outstanding as of December 31, 2025 or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60" w:type="dxa"/>
            <w:vAlign w:val="bottom"/>
            <w:gridSpan w:val="2"/>
          </w:tcPr>
          <w:p>
            <w:pPr>
              <w:spacing w:after="0"/>
              <w:rPr>
                <w:sz w:val="20"/>
                <w:szCs w:val="20"/>
                <w:color w:val="auto"/>
              </w:rPr>
            </w:pPr>
            <w:r>
              <w:rPr>
                <w:rFonts w:ascii="Arial" w:cs="Arial" w:eastAsia="Arial" w:hAnsi="Arial"/>
                <w:sz w:val="17"/>
                <w:szCs w:val="17"/>
                <w:i w:val="1"/>
                <w:iCs w:val="1"/>
                <w:color w:val="auto"/>
              </w:rPr>
              <w:t>Common Stock Reserved for Future Issuance</w:t>
            </w:r>
          </w:p>
        </w:tc>
        <w:tc>
          <w:tcPr>
            <w:tcW w:w="1180" w:type="dxa"/>
            <w:vAlign w:val="bottom"/>
          </w:tcPr>
          <w:p>
            <w:pPr>
              <w:spacing w:after="0"/>
              <w:rPr>
                <w:sz w:val="19"/>
                <w:szCs w:val="19"/>
                <w:color w:val="auto"/>
              </w:rPr>
            </w:pPr>
          </w:p>
        </w:tc>
      </w:tr>
      <w:tr>
        <w:trPr>
          <w:trHeight w:val="366"/>
        </w:trPr>
        <w:tc>
          <w:tcPr>
            <w:tcW w:w="8560" w:type="dxa"/>
            <w:vAlign w:val="bottom"/>
            <w:gridSpan w:val="2"/>
          </w:tcPr>
          <w:p>
            <w:pPr>
              <w:ind w:left="600"/>
              <w:spacing w:after="0"/>
              <w:rPr>
                <w:sz w:val="20"/>
                <w:szCs w:val="20"/>
                <w:color w:val="auto"/>
              </w:rPr>
            </w:pPr>
            <w:r>
              <w:rPr>
                <w:rFonts w:ascii="Arial" w:cs="Arial" w:eastAsia="Arial" w:hAnsi="Arial"/>
                <w:sz w:val="17"/>
                <w:szCs w:val="17"/>
                <w:color w:val="auto"/>
              </w:rPr>
              <w:t>The following table summarizes common stock reserved for future issuance at December 31, 2025:</w:t>
            </w:r>
          </w:p>
        </w:tc>
        <w:tc>
          <w:tcPr>
            <w:tcW w:w="1180" w:type="dxa"/>
            <w:vAlign w:val="bottom"/>
          </w:tcPr>
          <w:p>
            <w:pPr>
              <w:spacing w:after="0"/>
              <w:rPr>
                <w:sz w:val="24"/>
                <w:szCs w:val="24"/>
                <w:color w:val="auto"/>
              </w:rPr>
            </w:pPr>
          </w:p>
        </w:tc>
      </w:tr>
      <w:tr>
        <w:trPr>
          <w:trHeight w:val="110"/>
        </w:trPr>
        <w:tc>
          <w:tcPr>
            <w:tcW w:w="15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3"/>
        </w:trPr>
        <w:tc>
          <w:tcPr>
            <w:tcW w:w="1520" w:type="dxa"/>
            <w:vAlign w:val="bottom"/>
          </w:tcPr>
          <w:p>
            <w:pPr>
              <w:spacing w:after="0"/>
              <w:rPr>
                <w:sz w:val="21"/>
                <w:szCs w:val="21"/>
                <w:color w:val="auto"/>
              </w:rPr>
            </w:pPr>
          </w:p>
        </w:tc>
        <w:tc>
          <w:tcPr>
            <w:tcW w:w="7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Common stock reserved for issuance upon exercise of warrants outstanding</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1,268,572</w:t>
            </w:r>
          </w:p>
        </w:tc>
      </w:tr>
      <w:tr>
        <w:trPr>
          <w:trHeight w:val="253"/>
        </w:trPr>
        <w:tc>
          <w:tcPr>
            <w:tcW w:w="15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Common stock reserved for issuance upon exercise of options outstanding</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1,409,042</w:t>
            </w:r>
          </w:p>
        </w:tc>
      </w:tr>
      <w:tr>
        <w:trPr>
          <w:trHeight w:val="253"/>
        </w:trPr>
        <w:tc>
          <w:tcPr>
            <w:tcW w:w="1520" w:type="dxa"/>
            <w:vAlign w:val="bottom"/>
          </w:tcPr>
          <w:p>
            <w:pPr>
              <w:spacing w:after="0"/>
              <w:rPr>
                <w:sz w:val="21"/>
                <w:szCs w:val="21"/>
                <w:color w:val="auto"/>
              </w:rPr>
            </w:pPr>
          </w:p>
        </w:tc>
        <w:tc>
          <w:tcPr>
            <w:tcW w:w="7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Common stock reserved for future equity awards</w:t>
            </w:r>
          </w:p>
        </w:tc>
        <w:tc>
          <w:tcPr>
            <w:tcW w:w="11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540,043</w:t>
            </w:r>
          </w:p>
        </w:tc>
      </w:tr>
      <w:tr>
        <w:trPr>
          <w:trHeight w:val="207"/>
        </w:trPr>
        <w:tc>
          <w:tcPr>
            <w:tcW w:w="152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3,217,657</w:t>
            </w:r>
          </w:p>
        </w:tc>
      </w:tr>
      <w:tr>
        <w:trPr>
          <w:trHeight w:val="20"/>
        </w:trPr>
        <w:tc>
          <w:tcPr>
            <w:tcW w:w="15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5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On July 1, 2024, the Company effected a 1-for-12 reverse split of its issued common stock.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reduced the number of issued and outstanding shares of the Company’s common stock from approximately 101.1 million to approximately 8.5 million. The reverse stock split did not change the number of authorized shares or the par value per share of the Company’s common stock.</w:t>
      </w:r>
    </w:p>
    <w:p>
      <w:pPr>
        <w:spacing w:after="0" w:line="224" w:lineRule="exact"/>
        <w:rPr>
          <w:sz w:val="20"/>
          <w:szCs w:val="20"/>
          <w:color w:val="auto"/>
        </w:rPr>
      </w:pPr>
    </w:p>
    <w:p>
      <w:pPr>
        <w:ind w:left="420" w:hanging="419"/>
        <w:spacing w:after="0"/>
        <w:tabs>
          <w:tab w:leader="none" w:pos="42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Employee Stock Purchase Plan</w:t>
      </w:r>
    </w:p>
    <w:p>
      <w:pPr>
        <w:spacing w:after="0" w:line="171"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The Company’s 2014 Employee Stock Purchase Plan, or the ESPP, was suspended in June 2024. There was no stock-based compensation related to the ESPP for the years ended December 31, 2025 or December 31, 2024.</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i w:val="1"/>
          <w:iCs w:val="1"/>
          <w:color w:val="auto"/>
        </w:rPr>
        <w:t>Amended and Restated 2014 Stock Incentive Plan</w:t>
      </w:r>
    </w:p>
    <w:p>
      <w:pPr>
        <w:spacing w:after="0" w:line="10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Stock Incentive Plan</w:t>
      </w:r>
    </w:p>
    <w:p>
      <w:pPr>
        <w:spacing w:after="0" w:line="10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April 2022, the Company's board of directors approved the Daré Bioscience, Inc. 2022 Stock Incentive Plan, or the 2022 Plan, which was subsequently approved by the Company's stockholders in June 2022, and became effective as of such approval. In April 2025, the Company's board of directors approved an amendment to the 2022 Plan to increase the number of shares of common stock available for issuance thereunder by 600,000, which was subsequently approved by the Company's stockholders on July 9, 2025. The 2022 Plan provides for the grant of stock-based incentive awards to employees, directors, consultants, and advisors.</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2025, the number of shares of common stock authorized for issuance under the 2022 Plan was 1,949,085, which is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sum of:</w:t>
      </w:r>
    </w:p>
    <w:p>
      <w:pPr>
        <w:spacing w:after="0" w:line="92" w:lineRule="exact"/>
        <w:rPr>
          <w:sz w:val="20"/>
          <w:szCs w:val="20"/>
          <w:color w:val="auto"/>
        </w:rPr>
      </w:pPr>
    </w:p>
    <w:p>
      <w:pPr>
        <w:ind w:left="860" w:hanging="252"/>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540,043 shares available for awards that may be granted under the 2022 Plan; plus</w:t>
      </w:r>
    </w:p>
    <w:p>
      <w:pPr>
        <w:spacing w:after="0" w:line="107" w:lineRule="exact"/>
        <w:rPr>
          <w:rFonts w:ascii="Arial" w:cs="Arial" w:eastAsia="Arial" w:hAnsi="Arial"/>
          <w:sz w:val="17"/>
          <w:szCs w:val="17"/>
          <w:color w:val="auto"/>
        </w:rPr>
      </w:pPr>
    </w:p>
    <w:p>
      <w:pPr>
        <w:ind w:left="860" w:hanging="252"/>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1,015,783 shares underlying awards granted under the 2022 Plan, plus</w:t>
      </w:r>
    </w:p>
    <w:p>
      <w:pPr>
        <w:spacing w:after="0" w:line="107" w:lineRule="exact"/>
        <w:rPr>
          <w:rFonts w:ascii="Arial" w:cs="Arial" w:eastAsia="Arial" w:hAnsi="Arial"/>
          <w:sz w:val="17"/>
          <w:szCs w:val="17"/>
          <w:color w:val="auto"/>
        </w:rPr>
      </w:pPr>
    </w:p>
    <w:p>
      <w:pPr>
        <w:ind w:firstLine="608"/>
        <w:spacing w:after="0" w:line="281" w:lineRule="auto"/>
        <w:tabs>
          <w:tab w:leader="none" w:pos="867" w:val="left"/>
        </w:tabs>
        <w:numPr>
          <w:ilvl w:val="0"/>
          <w:numId w:val="84"/>
        </w:numPr>
        <w:rPr>
          <w:rFonts w:ascii="Arial" w:cs="Arial" w:eastAsia="Arial" w:hAnsi="Arial"/>
          <w:sz w:val="17"/>
          <w:szCs w:val="17"/>
          <w:color w:val="auto"/>
        </w:rPr>
      </w:pPr>
      <w:r>
        <w:rPr>
          <w:rFonts w:ascii="Arial" w:cs="Arial" w:eastAsia="Arial" w:hAnsi="Arial"/>
          <w:sz w:val="17"/>
          <w:szCs w:val="17"/>
          <w:color w:val="auto"/>
        </w:rPr>
        <w:t>393,259 shares underlying awards granted under the Amended 2014 Plan, which if they expire, terminate or are otherwise forfeited will become available for issuance under the 2022 Plan.</w:t>
      </w:r>
    </w:p>
    <w:p>
      <w:pPr>
        <w:spacing w:after="0" w:line="4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Stock Option Activity</w:t>
      </w:r>
    </w:p>
    <w:p>
      <w:pPr>
        <w:spacing w:after="0" w:line="17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table below summarizes stock option activity under the Company's stock incentive plans and related information for the years ended December 31, 2025 and 2024. The exercise price of all options granted during the years ended December 31, 2025 and 2024 was equal to the market value of the Company’s common stock on the date of grant. As of December 31, 2025, unamortized stock-based compensation expense of approximately $ 1.8 million will be amortized over the weighted average period of 1.2 years. The number of shares of common stock available for future awards granted under the 2022 Plan as of December 31, 2025 was 540,043.</w:t>
      </w:r>
    </w:p>
    <w:p>
      <w:pPr>
        <w:spacing w:after="0" w:line="114"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rPr>
              <w:t>Weighted-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940" w:type="dxa"/>
            <w:vAlign w:val="bottom"/>
            <w:vMerge w:val="restart"/>
          </w:tcPr>
          <w:p>
            <w:pPr>
              <w:jc w:val="center"/>
              <w:ind w:right="84"/>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2"/>
                <w:szCs w:val="12"/>
                <w:color w:val="auto"/>
              </w:rPr>
            </w:pPr>
          </w:p>
        </w:tc>
        <w:tc>
          <w:tcPr>
            <w:tcW w:w="920" w:type="dxa"/>
            <w:vAlign w:val="bottom"/>
          </w:tcPr>
          <w:p>
            <w:pPr>
              <w:jc w:val="center"/>
              <w:ind w:right="81"/>
              <w:spacing w:after="0" w:line="139" w:lineRule="exact"/>
              <w:rPr>
                <w:sz w:val="20"/>
                <w:szCs w:val="20"/>
                <w:color w:val="auto"/>
              </w:rPr>
            </w:pPr>
            <w:r>
              <w:rPr>
                <w:rFonts w:ascii="Arial" w:cs="Arial" w:eastAsia="Arial" w:hAnsi="Arial"/>
                <w:sz w:val="13"/>
                <w:szCs w:val="13"/>
                <w:b w:val="1"/>
                <w:bCs w:val="1"/>
                <w:color w:val="auto"/>
              </w:rPr>
              <w:t>Average</w:t>
            </w:r>
          </w:p>
        </w:tc>
        <w:tc>
          <w:tcPr>
            <w:tcW w:w="12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Remaining</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1"/>
              <w:spacing w:after="0" w:line="139" w:lineRule="exact"/>
              <w:rPr>
                <w:sz w:val="20"/>
                <w:szCs w:val="20"/>
                <w:color w:val="auto"/>
              </w:rPr>
            </w:pPr>
            <w:r>
              <w:rPr>
                <w:rFonts w:ascii="Arial" w:cs="Arial" w:eastAsia="Arial" w:hAnsi="Arial"/>
                <w:sz w:val="13"/>
                <w:szCs w:val="13"/>
                <w:b w:val="1"/>
                <w:bCs w:val="1"/>
                <w:color w:val="auto"/>
              </w:rPr>
              <w:t>Exercise</w:t>
            </w:r>
          </w:p>
        </w:tc>
        <w:tc>
          <w:tcPr>
            <w:tcW w:w="12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Contractual</w:t>
            </w:r>
          </w:p>
        </w:tc>
        <w:tc>
          <w:tcPr>
            <w:tcW w:w="220" w:type="dxa"/>
            <w:vAlign w:val="bottom"/>
          </w:tcPr>
          <w:p>
            <w:pPr>
              <w:spacing w:after="0"/>
              <w:rPr>
                <w:sz w:val="12"/>
                <w:szCs w:val="12"/>
                <w:color w:val="auto"/>
              </w:rPr>
            </w:pPr>
          </w:p>
        </w:tc>
        <w:tc>
          <w:tcPr>
            <w:tcW w:w="940" w:type="dxa"/>
            <w:vAlign w:val="bottom"/>
          </w:tcPr>
          <w:p>
            <w:pPr>
              <w:jc w:val="center"/>
              <w:ind w:right="84"/>
              <w:spacing w:after="0" w:line="139"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Arial" w:cs="Arial" w:eastAsia="Arial" w:hAnsi="Arial"/>
                <w:sz w:val="13"/>
                <w:szCs w:val="13"/>
                <w:b w:val="1"/>
                <w:bCs w:val="1"/>
                <w:color w:val="auto"/>
              </w:rPr>
              <w:t>Price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Life (Years)</w:t>
            </w:r>
          </w:p>
        </w:tc>
        <w:tc>
          <w:tcPr>
            <w:tcW w:w="220" w:type="dxa"/>
            <w:vAlign w:val="bottom"/>
          </w:tcPr>
          <w:p>
            <w:pPr>
              <w:spacing w:after="0"/>
              <w:rPr>
                <w:sz w:val="15"/>
                <w:szCs w:val="15"/>
                <w:color w:val="auto"/>
              </w:rPr>
            </w:pPr>
          </w:p>
        </w:tc>
        <w:tc>
          <w:tcPr>
            <w:tcW w:w="940" w:type="dxa"/>
            <w:vAlign w:val="bottom"/>
          </w:tcPr>
          <w:p>
            <w:pPr>
              <w:jc w:val="center"/>
              <w:ind w:right="64"/>
              <w:spacing w:after="0"/>
              <w:rPr>
                <w:sz w:val="20"/>
                <w:szCs w:val="20"/>
                <w:color w:val="auto"/>
              </w:rPr>
            </w:pPr>
            <w:r>
              <w:rPr>
                <w:rFonts w:ascii="Arial" w:cs="Arial" w:eastAsia="Arial" w:hAnsi="Arial"/>
                <w:sz w:val="13"/>
                <w:szCs w:val="13"/>
                <w:b w:val="1"/>
                <w:bCs w:val="1"/>
                <w:color w:val="auto"/>
              </w:rPr>
              <w:t>Value *</w:t>
            </w: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2024</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883,334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14.58</w:t>
            </w: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060" w:type="dxa"/>
            <w:vAlign w:val="bottom"/>
          </w:tcPr>
          <w:p>
            <w:pPr>
              <w:jc w:val="right"/>
              <w:ind w:right="19"/>
              <w:spacing w:after="0"/>
              <w:rPr>
                <w:sz w:val="20"/>
                <w:szCs w:val="20"/>
                <w:color w:val="auto"/>
              </w:rPr>
            </w:pPr>
            <w:r>
              <w:rPr>
                <w:rFonts w:ascii="Arial" w:cs="Arial" w:eastAsia="Arial" w:hAnsi="Arial"/>
                <w:sz w:val="17"/>
                <w:szCs w:val="17"/>
                <w:color w:val="auto"/>
              </w:rPr>
              <w:t>583,890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7"/>
                <w:szCs w:val="17"/>
                <w:color w:val="auto"/>
              </w:rPr>
              <w:t>2.72</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Exercised</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40" w:type="dxa"/>
            <w:vAlign w:val="bottom"/>
          </w:tcPr>
          <w:p>
            <w:pPr>
              <w:ind w:left="220"/>
              <w:spacing w:after="0"/>
              <w:rPr>
                <w:sz w:val="20"/>
                <w:szCs w:val="20"/>
                <w:color w:val="auto"/>
              </w:rPr>
            </w:pPr>
            <w:r>
              <w:rPr>
                <w:rFonts w:ascii="Arial" w:cs="Arial" w:eastAsia="Arial" w:hAnsi="Arial"/>
                <w:sz w:val="17"/>
                <w:szCs w:val="17"/>
                <w:color w:val="auto"/>
              </w:rPr>
              <w:t>Canceled/forfeited</w:t>
            </w:r>
          </w:p>
        </w:tc>
        <w:tc>
          <w:tcPr>
            <w:tcW w:w="1060" w:type="dxa"/>
            <w:vAlign w:val="bottom"/>
          </w:tcPr>
          <w:p>
            <w:pPr>
              <w:jc w:val="right"/>
              <w:spacing w:after="0"/>
              <w:rPr>
                <w:sz w:val="20"/>
                <w:szCs w:val="20"/>
                <w:color w:val="auto"/>
              </w:rPr>
            </w:pPr>
            <w:r>
              <w:rPr>
                <w:rFonts w:ascii="Arial" w:cs="Arial" w:eastAsia="Arial" w:hAnsi="Arial"/>
                <w:sz w:val="17"/>
                <w:szCs w:val="17"/>
                <w:color w:val="auto"/>
              </w:rPr>
              <w:t>(765)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7"/>
                <w:szCs w:val="17"/>
                <w:color w:val="auto"/>
              </w:rPr>
              <w:t>3.18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(57,417)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20.90</w:t>
            </w: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7"/>
                <w:szCs w:val="17"/>
                <w:color w:val="auto"/>
              </w:rPr>
              <w:t>Outstanding at December 31, 2025</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1,409,042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9.41</w:t>
            </w:r>
          </w:p>
        </w:tc>
        <w:tc>
          <w:tcPr>
            <w:tcW w:w="1220" w:type="dxa"/>
            <w:vAlign w:val="bottom"/>
          </w:tcPr>
          <w:p>
            <w:pPr>
              <w:jc w:val="right"/>
              <w:ind w:right="6"/>
              <w:spacing w:after="0"/>
              <w:rPr>
                <w:sz w:val="20"/>
                <w:szCs w:val="20"/>
                <w:color w:val="auto"/>
              </w:rPr>
            </w:pPr>
            <w:r>
              <w:rPr>
                <w:rFonts w:ascii="Arial" w:cs="Arial" w:eastAsia="Arial" w:hAnsi="Arial"/>
                <w:sz w:val="17"/>
                <w:szCs w:val="17"/>
                <w:color w:val="auto"/>
              </w:rPr>
              <w:t>7.51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Options exercisable at December 31, 2025</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870,141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12.57</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7"/>
                <w:szCs w:val="17"/>
                <w:color w:val="auto"/>
              </w:rPr>
              <w:t>6.64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line="150" w:lineRule="exact"/>
              <w:rPr>
                <w:sz w:val="20"/>
                <w:szCs w:val="20"/>
                <w:color w:val="auto"/>
              </w:rPr>
            </w:pPr>
            <w:r>
              <w:rPr>
                <w:rFonts w:ascii="Arial" w:cs="Arial" w:eastAsia="Arial" w:hAnsi="Arial"/>
                <w:sz w:val="17"/>
                <w:szCs w:val="17"/>
                <w:color w:val="auto"/>
              </w:rPr>
              <w:t>Options vested and expected to vest at December 31,</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140" w:type="dxa"/>
            <w:vAlign w:val="bottom"/>
            <w:vMerge w:val="continue"/>
          </w:tcPr>
          <w:p>
            <w:pPr>
              <w:spacing w:after="0"/>
              <w:rPr>
                <w:sz w:val="9"/>
                <w:szCs w:val="9"/>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7"/>
                <w:szCs w:val="17"/>
                <w:color w:val="auto"/>
              </w:rPr>
              <w:t>870,141</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ind w:right="1"/>
              <w:spacing w:after="0"/>
              <w:rPr>
                <w:sz w:val="20"/>
                <w:szCs w:val="20"/>
                <w:color w:val="auto"/>
              </w:rPr>
            </w:pPr>
            <w:r>
              <w:rPr>
                <w:rFonts w:ascii="Arial" w:cs="Arial" w:eastAsia="Arial" w:hAnsi="Arial"/>
                <w:sz w:val="17"/>
                <w:szCs w:val="17"/>
                <w:color w:val="auto"/>
              </w:rPr>
              <w:t>12.57</w:t>
            </w:r>
          </w:p>
        </w:tc>
        <w:tc>
          <w:tcPr>
            <w:tcW w:w="1220" w:type="dxa"/>
            <w:vAlign w:val="bottom"/>
            <w:vMerge w:val="restart"/>
          </w:tcPr>
          <w:p>
            <w:pPr>
              <w:jc w:val="right"/>
              <w:ind w:right="6"/>
              <w:spacing w:after="0"/>
              <w:rPr>
                <w:sz w:val="20"/>
                <w:szCs w:val="20"/>
                <w:color w:val="auto"/>
              </w:rPr>
            </w:pPr>
            <w:r>
              <w:rPr>
                <w:rFonts w:ascii="Arial" w:cs="Arial" w:eastAsia="Arial" w:hAnsi="Arial"/>
                <w:sz w:val="17"/>
                <w:szCs w:val="17"/>
                <w:color w:val="auto"/>
              </w:rPr>
              <w:t>6.64</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ind w:left="6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7"/>
                <w:szCs w:val="17"/>
                <w:color w:val="auto"/>
              </w:rPr>
              <w:t>2025</w:t>
            </w: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i w:val="1"/>
          <w:iCs w:val="1"/>
          <w:color w:val="auto"/>
        </w:rPr>
        <w:t>*The aggregate intrinsic value is the sum of the amounts by which the quoted market price of the Company's common stock exceeded the exercise price of the stock options at December 31, 2025 for those stock options for which the quoted market price was in excess of the exercise price.</w:t>
      </w:r>
    </w:p>
    <w:p>
      <w:pPr>
        <w:spacing w:after="0" w:line="115"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weighted average grant-date fair value of stock options granted during the years ended December 31, 2025 and 2024 was $2.02 and $4.10, respectively. The total fair value of stock options vested during the years ended December 31, 2025 and 2024, was approximately $1.5 million and $2.2 million,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84"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Total stock-based compensation expense related to stock options granted to employees and directors recognized in the consolidated statements of operations and comprehensive loss is as follows:</w:t>
      </w:r>
    </w:p>
    <w:p>
      <w:pPr>
        <w:spacing w:after="0" w:line="80"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Years Ended December 31,</w:t>
            </w:r>
          </w:p>
        </w:tc>
      </w:tr>
      <w:tr>
        <w:trPr>
          <w:trHeight w:val="182"/>
        </w:trPr>
        <w:tc>
          <w:tcPr>
            <w:tcW w:w="6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2024</w:t>
            </w:r>
          </w:p>
        </w:tc>
      </w:tr>
      <w:tr>
        <w:trPr>
          <w:trHeight w:val="23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636,303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833,689</w:t>
            </w:r>
          </w:p>
        </w:tc>
      </w:tr>
      <w:tr>
        <w:trPr>
          <w:trHeight w:val="25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860,259</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1,369,567</w:t>
            </w:r>
          </w:p>
        </w:tc>
      </w:tr>
      <w:tr>
        <w:trPr>
          <w:trHeight w:val="23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1,496,562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2,203,256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firstLine="607"/>
        <w:spacing w:after="0" w:line="281" w:lineRule="auto"/>
        <w:rPr>
          <w:sz w:val="20"/>
          <w:szCs w:val="20"/>
          <w:color w:val="auto"/>
        </w:rPr>
      </w:pPr>
      <w:r>
        <w:rPr>
          <w:rFonts w:ascii="Arial" w:cs="Arial" w:eastAsia="Arial" w:hAnsi="Arial"/>
          <w:sz w:val="17"/>
          <w:szCs w:val="17"/>
          <w:color w:val="auto"/>
        </w:rPr>
        <w:t>The weighted-average assumptions used in the Black-Scholes option-pricing model for stock options granted to employees and to directors in respect of their service on the Company's board of directors during the years ended December 31, 2025 and 2024 is as follows:</w:t>
      </w:r>
    </w:p>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4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2024</w:t>
            </w: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53"/>
        </w:trPr>
        <w:tc>
          <w:tcPr>
            <w:tcW w:w="41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3280" w:type="dxa"/>
            <w:vAlign w:val="bottom"/>
          </w:tcPr>
          <w:p>
            <w:pPr>
              <w:jc w:val="right"/>
              <w:spacing w:after="0"/>
              <w:rPr>
                <w:sz w:val="20"/>
                <w:szCs w:val="20"/>
                <w:color w:val="auto"/>
              </w:rPr>
            </w:pPr>
            <w:r>
              <w:rPr>
                <w:rFonts w:ascii="Arial" w:cs="Arial" w:eastAsia="Arial" w:hAnsi="Arial"/>
                <w:sz w:val="17"/>
                <w:szCs w:val="17"/>
                <w:color w:val="auto"/>
              </w:rPr>
              <w:t>4.07 %</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4.13 %</w:t>
            </w:r>
          </w:p>
        </w:tc>
      </w:tr>
      <w:tr>
        <w:trPr>
          <w:trHeight w:val="25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3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90 %</w:t>
            </w:r>
          </w:p>
        </w:tc>
      </w:tr>
      <w:tr>
        <w:trPr>
          <w:trHeight w:val="256"/>
        </w:trPr>
        <w:tc>
          <w:tcPr>
            <w:tcW w:w="41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3280" w:type="dxa"/>
            <w:vAlign w:val="bottom"/>
          </w:tcPr>
          <w:p>
            <w:pPr>
              <w:jc w:val="right"/>
              <w:spacing w:after="0"/>
              <w:rPr>
                <w:sz w:val="20"/>
                <w:szCs w:val="20"/>
                <w:color w:val="auto"/>
              </w:rPr>
            </w:pPr>
            <w:r>
              <w:rPr>
                <w:rFonts w:ascii="Arial" w:cs="Arial" w:eastAsia="Arial" w:hAnsi="Arial"/>
                <w:sz w:val="17"/>
                <w:szCs w:val="17"/>
                <w:color w:val="auto"/>
              </w:rPr>
              <w:t>0.0 %</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0.0 %</w:t>
            </w:r>
          </w:p>
        </w:tc>
      </w:tr>
    </w:tbl>
    <w:p>
      <w:pPr>
        <w:spacing w:after="0" w:line="371" w:lineRule="exact"/>
        <w:rPr>
          <w:sz w:val="20"/>
          <w:szCs w:val="20"/>
          <w:color w:val="auto"/>
        </w:rPr>
      </w:pPr>
    </w:p>
    <w:p>
      <w:pPr>
        <w:ind w:left="460" w:hanging="459"/>
        <w:spacing w:after="0"/>
        <w:tabs>
          <w:tab w:leader="none" w:pos="46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LEASED PROPERTIES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Finance Lease - Clean Room Space</w:t>
      </w:r>
    </w:p>
    <w:p>
      <w:pPr>
        <w:spacing w:after="0" w:line="184"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On July 24, 2024, the Company entered into a scope of work (the "SOW") with an unrelated third party for a controlled clean room space in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w:t>
      </w:r>
    </w:p>
    <w:p>
      <w:pPr>
        <w:spacing w:after="0" w:line="76"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The Company determined that the Clean Room Agreement is a finance lease. On the commencement date, the Company recorded an initial finance lease ROU asset and related lease liability of approximately $3.3 million and $2.8 million, respectively. Included in the $3.3 million finance ROU asset is the $459,000 prepayment which was reclassified to the finance lease ROU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During 2025, the parties executed two change orders primarily to amend the total contract consideration under the lease arrangement. The Company evaluated these amendments and concluded they represented a lease modification. As such, the finance lease ROU asset and finance lease liability were remeasured using an incremental borrowing rate at the date of the modification resulting in a decrease of approximately $83,000 to both the ROU asset and corresponding finance lease liability.</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Operating Leases - General Office Space</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Company's lease for its corporate headquarters (3,169 square feet of office space) commenced in July 2018 and, as a result of an extension entered into in March 2024, expires on October 31, 2027. The extension entered into in March 2024 resulted in additional operating lease liabilities and ROU assets of approximately $0.4 million in March 2024.</w:t>
      </w:r>
    </w:p>
    <w:p>
      <w:pPr>
        <w:spacing w:after="0" w:line="214"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MBI, a wholly-owned subsidiary the Company, leases general office and laboratory space in Massachusetts. The lease commenced on November 1, 2023 for a term of three years, expiring on December 31, 2026. 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76" w:name="page177"/>
    <w:bookmarkEnd w:id="176"/>
    <w:p>
      <w:pPr>
        <w:jc w:val="both"/>
        <w:spacing w:after="0" w:line="281" w:lineRule="auto"/>
        <w:rPr>
          <w:sz w:val="20"/>
          <w:szCs w:val="20"/>
          <w:color w:val="auto"/>
        </w:rPr>
      </w:pPr>
      <w:r>
        <w:rPr>
          <w:rFonts w:ascii="Arial" w:cs="Arial" w:eastAsia="Arial" w:hAnsi="Arial"/>
          <w:sz w:val="17"/>
          <w:szCs w:val="17"/>
          <w:color w:val="auto"/>
        </w:rPr>
        <w:t>December 18, 2025, the term of the lease was extended to December 31, 2027, which resulted in additional operating lease liabilities and ROU assets of approximately $0.4 million.</w:t>
      </w:r>
    </w:p>
    <w:p>
      <w:pPr>
        <w:spacing w:after="0" w:line="4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color w:val="191C1F"/>
        </w:rPr>
        <w:t>the terms of each lease, the lessee pays base annual rent (subject to an annual fixed percentage increase), plus property taxes, and</w:t>
      </w:r>
      <w:r>
        <w:rPr>
          <w:rFonts w:ascii="Arial" w:cs="Arial" w:eastAsia="Arial" w:hAnsi="Arial"/>
          <w:sz w:val="17"/>
          <w:szCs w:val="17"/>
          <w:color w:val="auto"/>
        </w:rPr>
        <w:t xml:space="preserve"> </w:t>
      </w:r>
      <w:r>
        <w:rPr>
          <w:rFonts w:ascii="Arial" w:cs="Arial" w:eastAsia="Arial" w:hAnsi="Arial"/>
          <w:sz w:val="17"/>
          <w:szCs w:val="17"/>
          <w:color w:val="191C1F"/>
        </w:rPr>
        <w:t xml:space="preserve">other normal and necessary expenses, such as utilities, repairs, and maintenance. </w:t>
      </w:r>
      <w:r>
        <w:rPr>
          <w:rFonts w:ascii="Arial" w:cs="Arial" w:eastAsia="Arial" w:hAnsi="Arial"/>
          <w:sz w:val="17"/>
          <w:szCs w:val="17"/>
          <w:color w:val="000000"/>
        </w:rPr>
        <w:t>The Company evaluates renewal options at lease inception and on</w:t>
      </w:r>
      <w:r>
        <w:rPr>
          <w:rFonts w:ascii="Arial" w:cs="Arial" w:eastAsia="Arial" w:hAnsi="Arial"/>
          <w:sz w:val="17"/>
          <w:szCs w:val="17"/>
          <w:color w:val="191C1F"/>
        </w:rPr>
        <w:t xml:space="preserve"> </w:t>
      </w:r>
      <w:r>
        <w:rPr>
          <w:rFonts w:ascii="Arial" w:cs="Arial" w:eastAsia="Arial" w:hAnsi="Arial"/>
          <w:sz w:val="17"/>
          <w:szCs w:val="17"/>
          <w:color w:val="000000"/>
        </w:rPr>
        <w:t>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Aggregate Lease Information</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components of lease cost recorded in the Company's consolidated statements of operations and comprehensive loss were as follows: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233"/>
        </w:trPr>
        <w:tc>
          <w:tcPr>
            <w:tcW w:w="5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w w:val="95"/>
              </w:rPr>
              <w:t>2024</w:t>
            </w:r>
          </w:p>
        </w:tc>
      </w:tr>
      <w:tr>
        <w:trPr>
          <w:trHeight w:val="220"/>
        </w:trPr>
        <w:tc>
          <w:tcPr>
            <w:tcW w:w="5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 cost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828,036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766,257</w:t>
            </w:r>
          </w:p>
        </w:tc>
      </w:tr>
      <w:tr>
        <w:trPr>
          <w:trHeight w:val="240"/>
        </w:trPr>
        <w:tc>
          <w:tcPr>
            <w:tcW w:w="5600" w:type="dxa"/>
            <w:vAlign w:val="bottom"/>
          </w:tcPr>
          <w:p>
            <w:pPr>
              <w:ind w:left="200"/>
              <w:spacing w:after="0"/>
              <w:rPr>
                <w:sz w:val="20"/>
                <w:szCs w:val="20"/>
                <w:color w:val="auto"/>
              </w:rPr>
            </w:pPr>
            <w:r>
              <w:rPr>
                <w:rFonts w:ascii="Arial" w:cs="Arial" w:eastAsia="Arial" w:hAnsi="Arial"/>
                <w:sz w:val="17"/>
                <w:szCs w:val="17"/>
                <w:color w:val="auto"/>
              </w:rPr>
              <w:t>Finance lease cost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0"/>
        </w:trPr>
        <w:tc>
          <w:tcPr>
            <w:tcW w:w="5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 of finance lease</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1,472,366</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600" w:type="dxa"/>
            <w:vAlign w:val="bottom"/>
          </w:tcPr>
          <w:p>
            <w:pPr>
              <w:ind w:left="500"/>
              <w:spacing w:after="0"/>
              <w:rPr>
                <w:sz w:val="20"/>
                <w:szCs w:val="20"/>
                <w:color w:val="auto"/>
              </w:rPr>
            </w:pPr>
            <w:r>
              <w:rPr>
                <w:rFonts w:ascii="Arial" w:cs="Arial" w:eastAsia="Arial" w:hAnsi="Arial"/>
                <w:sz w:val="17"/>
                <w:szCs w:val="17"/>
                <w:color w:val="auto"/>
              </w:rPr>
              <w:t>Interest on finance lease liability</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152,475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Variable lease cost</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124,205</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172,337</w:t>
            </w:r>
          </w:p>
        </w:tc>
      </w:tr>
      <w:tr>
        <w:trPr>
          <w:trHeight w:val="207"/>
        </w:trPr>
        <w:tc>
          <w:tcPr>
            <w:tcW w:w="5600" w:type="dxa"/>
            <w:vAlign w:val="bottom"/>
          </w:tcPr>
          <w:p>
            <w:pPr>
              <w:ind w:left="200"/>
              <w:spacing w:after="0"/>
              <w:rPr>
                <w:sz w:val="20"/>
                <w:szCs w:val="20"/>
                <w:color w:val="auto"/>
              </w:rPr>
            </w:pPr>
            <w:r>
              <w:rPr>
                <w:rFonts w:ascii="Arial" w:cs="Arial" w:eastAsia="Arial" w:hAnsi="Arial"/>
                <w:sz w:val="17"/>
                <w:szCs w:val="17"/>
                <w:color w:val="auto"/>
              </w:rPr>
              <w:t>Total lease cost</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2,577,082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938,594</w:t>
            </w: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Maturities of the Company's finance and operating lease liabilities as of December 31, 2025 were as follows:</w:t>
      </w:r>
    </w:p>
    <w:p>
      <w:pPr>
        <w:spacing w:after="0" w:line="259" w:lineRule="exact"/>
        <w:rPr>
          <w:sz w:val="20"/>
          <w:szCs w:val="20"/>
          <w:color w:val="auto"/>
        </w:rPr>
      </w:pPr>
    </w:p>
    <w:tbl>
      <w:tblPr>
        <w:tblLayout w:type="fixed"/>
        <w:tblInd w:w="1460" w:type="dxa"/>
        <w:tblCellMar>
          <w:top w:w="0" w:type="dxa"/>
          <w:left w:w="0" w:type="dxa"/>
          <w:bottom w:w="0" w:type="dxa"/>
          <w:right w:w="0" w:type="dxa"/>
        </w:tblCellMar>
      </w:tblPr>
      <w:tr>
        <w:trPr>
          <w:trHeight w:val="219"/>
        </w:trPr>
        <w:tc>
          <w:tcPr>
            <w:tcW w:w="2820" w:type="dxa"/>
            <w:vAlign w:val="bottom"/>
            <w:gridSpan w:val="2"/>
          </w:tcPr>
          <w:p>
            <w:pPr>
              <w:ind w:left="1160"/>
              <w:spacing w:after="0"/>
              <w:rPr>
                <w:sz w:val="20"/>
                <w:szCs w:val="20"/>
                <w:color w:val="auto"/>
              </w:rPr>
            </w:pPr>
            <w:r>
              <w:rPr>
                <w:rFonts w:ascii="Arial" w:cs="Arial" w:eastAsia="Arial" w:hAnsi="Arial"/>
                <w:sz w:val="17"/>
                <w:szCs w:val="17"/>
                <w:b w:val="1"/>
                <w:bCs w:val="1"/>
                <w:color w:val="auto"/>
              </w:rPr>
              <w:t>Year</w:t>
            </w:r>
          </w:p>
        </w:tc>
        <w:tc>
          <w:tcPr>
            <w:tcW w:w="14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rPr>
              <w:t>Finance Lease</w:t>
            </w:r>
          </w:p>
        </w:tc>
        <w:tc>
          <w:tcPr>
            <w:tcW w:w="380" w:type="dxa"/>
            <w:vAlign w:val="bottom"/>
          </w:tcPr>
          <w:p>
            <w:pPr>
              <w:spacing w:after="0"/>
              <w:rPr>
                <w:sz w:val="19"/>
                <w:szCs w:val="19"/>
                <w:color w:val="auto"/>
              </w:rPr>
            </w:pPr>
          </w:p>
        </w:tc>
        <w:tc>
          <w:tcPr>
            <w:tcW w:w="1360" w:type="dxa"/>
            <w:vAlign w:val="bottom"/>
          </w:tcPr>
          <w:p>
            <w:pPr>
              <w:jc w:val="right"/>
              <w:ind w:right="596"/>
              <w:spacing w:after="0"/>
              <w:rPr>
                <w:sz w:val="20"/>
                <w:szCs w:val="20"/>
                <w:color w:val="auto"/>
              </w:rPr>
            </w:pPr>
            <w:r>
              <w:rPr>
                <w:rFonts w:ascii="Arial" w:cs="Arial" w:eastAsia="Arial" w:hAnsi="Arial"/>
                <w:sz w:val="17"/>
                <w:szCs w:val="17"/>
                <w:b w:val="1"/>
                <w:bCs w:val="1"/>
                <w:color w:val="auto"/>
              </w:rPr>
              <w:t>Total</w:t>
            </w:r>
          </w:p>
        </w:tc>
      </w:tr>
      <w:tr>
        <w:trPr>
          <w:trHeight w:val="233"/>
        </w:trPr>
        <w:tc>
          <w:tcPr>
            <w:tcW w:w="2680" w:type="dxa"/>
            <w:vAlign w:val="bottom"/>
            <w:tcBorders>
              <w:top w:val="single" w:sz="8" w:color="auto"/>
            </w:tcBorders>
            <w:shd w:val="clear" w:color="auto" w:fill="CCEEFF"/>
          </w:tcPr>
          <w:p>
            <w:pPr>
              <w:jc w:val="right"/>
              <w:ind w:right="2016"/>
              <w:spacing w:after="0"/>
              <w:rPr>
                <w:sz w:val="20"/>
                <w:szCs w:val="20"/>
                <w:color w:val="auto"/>
              </w:rPr>
            </w:pPr>
            <w:r>
              <w:rPr>
                <w:rFonts w:ascii="Arial" w:cs="Arial" w:eastAsia="Arial" w:hAnsi="Arial"/>
                <w:sz w:val="17"/>
                <w:szCs w:val="17"/>
                <w:color w:val="auto"/>
              </w:rPr>
              <w:t>2026</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680,081</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1,529,500</w:t>
            </w:r>
          </w:p>
        </w:tc>
        <w:tc>
          <w:tcPr>
            <w:tcW w:w="1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2,209,581</w:t>
            </w:r>
          </w:p>
        </w:tc>
      </w:tr>
      <w:tr>
        <w:trPr>
          <w:trHeight w:val="253"/>
        </w:trPr>
        <w:tc>
          <w:tcPr>
            <w:tcW w:w="2680" w:type="dxa"/>
            <w:vAlign w:val="bottom"/>
          </w:tcPr>
          <w:p>
            <w:pPr>
              <w:jc w:val="right"/>
              <w:ind w:right="2016"/>
              <w:spacing w:after="0"/>
              <w:rPr>
                <w:sz w:val="20"/>
                <w:szCs w:val="20"/>
                <w:color w:val="auto"/>
              </w:rPr>
            </w:pPr>
            <w:r>
              <w:rPr>
                <w:rFonts w:ascii="Arial" w:cs="Arial" w:eastAsia="Arial" w:hAnsi="Arial"/>
                <w:sz w:val="17"/>
                <w:szCs w:val="17"/>
                <w:color w:val="auto"/>
              </w:rPr>
              <w:t>2027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583,046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583,046</w:t>
            </w:r>
          </w:p>
        </w:tc>
      </w:tr>
      <w:tr>
        <w:trPr>
          <w:trHeight w:val="233"/>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4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1,263,127</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1,529,500</w:t>
            </w:r>
          </w:p>
        </w:tc>
        <w:tc>
          <w:tcPr>
            <w:tcW w:w="1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2,792,627</w:t>
            </w:r>
          </w:p>
        </w:tc>
      </w:tr>
      <w:tr>
        <w:trPr>
          <w:trHeight w:val="253"/>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(101,210)</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(35,398)</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(136,608)</w:t>
            </w:r>
          </w:p>
        </w:tc>
      </w:tr>
      <w:tr>
        <w:trPr>
          <w:trHeight w:val="232"/>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1,161,917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1,494,102</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2,656,019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weighted-average remaining lease terms and discount rates related to the Company's leases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5"/>
                <w:szCs w:val="15"/>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195"/>
        </w:trPr>
        <w:tc>
          <w:tcPr>
            <w:tcW w:w="1840" w:type="dxa"/>
            <w:vAlign w:val="bottom"/>
          </w:tcPr>
          <w:p>
            <w:pPr>
              <w:spacing w:after="0"/>
              <w:rPr>
                <w:sz w:val="16"/>
                <w:szCs w:val="16"/>
                <w:color w:val="auto"/>
              </w:rPr>
            </w:pPr>
          </w:p>
        </w:tc>
        <w:tc>
          <w:tcPr>
            <w:tcW w:w="55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2024</w:t>
            </w:r>
          </w:p>
        </w:tc>
        <w:tc>
          <w:tcPr>
            <w:tcW w:w="1220" w:type="dxa"/>
            <w:vAlign w:val="bottom"/>
          </w:tcPr>
          <w:p>
            <w:pPr>
              <w:spacing w:after="0"/>
              <w:rPr>
                <w:sz w:val="16"/>
                <w:szCs w:val="16"/>
                <w:color w:val="auto"/>
              </w:rPr>
            </w:pPr>
          </w:p>
        </w:tc>
      </w:tr>
      <w:tr>
        <w:trPr>
          <w:trHeight w:val="233"/>
        </w:trPr>
        <w:tc>
          <w:tcPr>
            <w:tcW w:w="1840" w:type="dxa"/>
            <w:vAlign w:val="bottom"/>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1840" w:type="dxa"/>
            <w:vAlign w:val="bottom"/>
          </w:tcPr>
          <w:p>
            <w:pPr>
              <w:spacing w:after="0"/>
              <w:rPr>
                <w:sz w:val="21"/>
                <w:szCs w:val="21"/>
                <w:color w:val="auto"/>
              </w:rPr>
            </w:pPr>
          </w:p>
        </w:tc>
        <w:tc>
          <w:tcPr>
            <w:tcW w:w="552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1240" w:type="dxa"/>
            <w:vAlign w:val="bottom"/>
          </w:tcPr>
          <w:p>
            <w:pPr>
              <w:jc w:val="right"/>
              <w:spacing w:after="0"/>
              <w:rPr>
                <w:sz w:val="20"/>
                <w:szCs w:val="20"/>
                <w:color w:val="auto"/>
              </w:rPr>
            </w:pPr>
            <w:r>
              <w:rPr>
                <w:rFonts w:ascii="Arial" w:cs="Arial" w:eastAsia="Arial" w:hAnsi="Arial"/>
                <w:sz w:val="17"/>
                <w:szCs w:val="17"/>
                <w:color w:val="auto"/>
              </w:rPr>
              <w:t>1.92</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2.42</w:t>
            </w:r>
          </w:p>
        </w:tc>
        <w:tc>
          <w:tcPr>
            <w:tcW w:w="1220" w:type="dxa"/>
            <w:vAlign w:val="bottom"/>
          </w:tcPr>
          <w:p>
            <w:pPr>
              <w:spacing w:after="0"/>
              <w:rPr>
                <w:sz w:val="21"/>
                <w:szCs w:val="21"/>
                <w:color w:val="auto"/>
              </w:rPr>
            </w:pPr>
          </w:p>
        </w:tc>
      </w:tr>
      <w:tr>
        <w:trPr>
          <w:trHeight w:val="253"/>
        </w:trPr>
        <w:tc>
          <w:tcPr>
            <w:tcW w:w="1840" w:type="dxa"/>
            <w:vAlign w:val="bottom"/>
          </w:tcPr>
          <w:p>
            <w:pPr>
              <w:spacing w:after="0"/>
              <w:rPr>
                <w:sz w:val="21"/>
                <w:szCs w:val="21"/>
                <w:color w:val="auto"/>
              </w:rPr>
            </w:pPr>
          </w:p>
        </w:tc>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20" w:type="dxa"/>
            <w:vAlign w:val="bottom"/>
          </w:tcPr>
          <w:p>
            <w:pPr>
              <w:spacing w:after="0"/>
              <w:rPr>
                <w:sz w:val="21"/>
                <w:szCs w:val="21"/>
                <w:color w:val="auto"/>
              </w:rPr>
            </w:pPr>
          </w:p>
        </w:tc>
      </w:tr>
      <w:tr>
        <w:trPr>
          <w:trHeight w:val="253"/>
        </w:trPr>
        <w:tc>
          <w:tcPr>
            <w:tcW w:w="1840" w:type="dxa"/>
            <w:vAlign w:val="bottom"/>
          </w:tcPr>
          <w:p>
            <w:pPr>
              <w:spacing w:after="0"/>
              <w:rPr>
                <w:sz w:val="21"/>
                <w:szCs w:val="21"/>
                <w:color w:val="auto"/>
              </w:rPr>
            </w:pPr>
          </w:p>
        </w:tc>
        <w:tc>
          <w:tcPr>
            <w:tcW w:w="55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3"/>
        </w:trPr>
        <w:tc>
          <w:tcPr>
            <w:tcW w:w="1840" w:type="dxa"/>
            <w:vAlign w:val="bottom"/>
          </w:tcPr>
          <w:p>
            <w:pPr>
              <w:spacing w:after="0"/>
              <w:rPr>
                <w:sz w:val="21"/>
                <w:szCs w:val="21"/>
                <w:color w:val="auto"/>
              </w:rPr>
            </w:pPr>
          </w:p>
        </w:tc>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9.1 %</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1220" w:type="dxa"/>
            <w:vAlign w:val="bottom"/>
          </w:tcPr>
          <w:p>
            <w:pPr>
              <w:spacing w:after="0"/>
              <w:rPr>
                <w:sz w:val="21"/>
                <w:szCs w:val="21"/>
                <w:color w:val="auto"/>
              </w:rPr>
            </w:pPr>
          </w:p>
        </w:tc>
      </w:tr>
      <w:tr>
        <w:trPr>
          <w:trHeight w:val="256"/>
        </w:trPr>
        <w:tc>
          <w:tcPr>
            <w:tcW w:w="1840" w:type="dxa"/>
            <w:vAlign w:val="bottom"/>
          </w:tcPr>
          <w:p>
            <w:pPr>
              <w:spacing w:after="0"/>
              <w:rPr>
                <w:sz w:val="22"/>
                <w:szCs w:val="22"/>
                <w:color w:val="auto"/>
              </w:rPr>
            </w:pPr>
          </w:p>
        </w:tc>
        <w:tc>
          <w:tcPr>
            <w:tcW w:w="5520" w:type="dxa"/>
            <w:vAlign w:val="bottom"/>
          </w:tcPr>
          <w:p>
            <w:pPr>
              <w:ind w:left="220"/>
              <w:spacing w:after="0"/>
              <w:rPr>
                <w:sz w:val="20"/>
                <w:szCs w:val="20"/>
                <w:color w:val="auto"/>
              </w:rPr>
            </w:pPr>
            <w:r>
              <w:rPr>
                <w:rFonts w:ascii="Arial" w:cs="Arial" w:eastAsia="Arial" w:hAnsi="Arial"/>
                <w:sz w:val="17"/>
                <w:szCs w:val="17"/>
                <w:color w:val="auto"/>
              </w:rPr>
              <w:t>Finance lease</w:t>
            </w:r>
          </w:p>
        </w:tc>
        <w:tc>
          <w:tcPr>
            <w:tcW w:w="1240" w:type="dxa"/>
            <w:vAlign w:val="bottom"/>
          </w:tcPr>
          <w:p>
            <w:pPr>
              <w:jc w:val="right"/>
              <w:spacing w:after="0"/>
              <w:rPr>
                <w:sz w:val="20"/>
                <w:szCs w:val="20"/>
                <w:color w:val="auto"/>
              </w:rPr>
            </w:pPr>
            <w:r>
              <w:rPr>
                <w:rFonts w:ascii="Arial" w:cs="Arial" w:eastAsia="Arial" w:hAnsi="Arial"/>
                <w:sz w:val="17"/>
                <w:szCs w:val="17"/>
                <w:color w:val="auto"/>
              </w:rPr>
              <w:t>9.5 %</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gridSpan w:val="2"/>
          </w:tcPr>
          <w:p>
            <w:pPr>
              <w:jc w:val="right"/>
              <w:ind w:right="1440"/>
              <w:spacing w:after="0"/>
              <w:rPr>
                <w:sz w:val="20"/>
                <w:szCs w:val="20"/>
                <w:color w:val="auto"/>
              </w:rPr>
            </w:pPr>
            <w:r>
              <w:rPr>
                <w:rFonts w:ascii="Arial" w:cs="Arial" w:eastAsia="Arial" w:hAnsi="Arial"/>
                <w:sz w:val="17"/>
                <w:szCs w:val="17"/>
                <w:color w:val="auto"/>
              </w:rPr>
              <w:t>—</w:t>
            </w:r>
          </w:p>
        </w:tc>
      </w:tr>
      <w:tr>
        <w:trPr>
          <w:trHeight w:val="796"/>
        </w:trPr>
        <w:tc>
          <w:tcPr>
            <w:tcW w:w="1840" w:type="dxa"/>
            <w:vAlign w:val="bottom"/>
          </w:tcPr>
          <w:p>
            <w:pPr>
              <w:spacing w:after="0"/>
              <w:rPr>
                <w:sz w:val="24"/>
                <w:szCs w:val="24"/>
                <w:color w:val="auto"/>
              </w:rPr>
            </w:pPr>
          </w:p>
        </w:tc>
        <w:tc>
          <w:tcPr>
            <w:tcW w:w="5520" w:type="dxa"/>
            <w:vAlign w:val="bottom"/>
          </w:tcPr>
          <w:p>
            <w:pPr>
              <w:ind w:left="3620"/>
              <w:spacing w:after="0"/>
              <w:rPr>
                <w:sz w:val="20"/>
                <w:szCs w:val="20"/>
                <w:color w:val="auto"/>
              </w:rPr>
            </w:pPr>
            <w:r>
              <w:rPr>
                <w:rFonts w:ascii="Arial" w:cs="Arial" w:eastAsia="Arial" w:hAnsi="Arial"/>
                <w:sz w:val="17"/>
                <w:szCs w:val="17"/>
                <w:color w:val="auto"/>
              </w:rPr>
              <w:t>F-31</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3"/>
        </w:trPr>
        <w:tc>
          <w:tcPr>
            <w:tcW w:w="1840" w:type="dxa"/>
            <w:vAlign w:val="bottom"/>
            <w:tcBorders>
              <w:bottom w:val="single" w:sz="8" w:color="9A9A9A"/>
            </w:tcBorders>
          </w:tcPr>
          <w:p>
            <w:pPr>
              <w:spacing w:after="0"/>
              <w:rPr>
                <w:sz w:val="8"/>
                <w:szCs w:val="8"/>
                <w:color w:val="auto"/>
              </w:rPr>
            </w:pPr>
          </w:p>
        </w:tc>
        <w:tc>
          <w:tcPr>
            <w:tcW w:w="55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7" w:name="page178"/>
    <w:bookmarkEnd w:id="177"/>
    <w:p>
      <w:pPr>
        <w:ind w:left="600"/>
        <w:spacing w:after="0"/>
        <w:rPr>
          <w:sz w:val="20"/>
          <w:szCs w:val="20"/>
          <w:color w:val="auto"/>
        </w:rPr>
      </w:pPr>
      <w:r>
        <w:rPr>
          <w:rFonts w:ascii="Arial" w:cs="Arial" w:eastAsia="Arial" w:hAnsi="Arial"/>
          <w:sz w:val="17"/>
          <w:szCs w:val="17"/>
          <w:color w:val="auto"/>
        </w:rPr>
        <w:t>Supplemental cash flow information related to the Company's leases was as follows:</w:t>
      </w:r>
    </w:p>
    <w:p>
      <w:pPr>
        <w:spacing w:after="0" w:line="277" w:lineRule="exact"/>
        <w:rPr>
          <w:sz w:val="20"/>
          <w:szCs w:val="20"/>
          <w:color w:val="auto"/>
        </w:rPr>
      </w:pPr>
    </w:p>
    <w:tbl>
      <w:tblPr>
        <w:tblLayout w:type="fixed"/>
        <w:tblInd w:w="184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233"/>
        </w:trPr>
        <w:tc>
          <w:tcPr>
            <w:tcW w:w="5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w w:val="95"/>
              </w:rPr>
              <w:t>2024</w:t>
            </w:r>
          </w:p>
        </w:tc>
      </w:tr>
      <w:tr>
        <w:trPr>
          <w:trHeight w:val="23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53"/>
        </w:trPr>
        <w:tc>
          <w:tcPr>
            <w:tcW w:w="5600" w:type="dxa"/>
            <w:vAlign w:val="bottom"/>
          </w:tcPr>
          <w:p>
            <w:pPr>
              <w:ind w:left="320"/>
              <w:spacing w:after="0"/>
              <w:rPr>
                <w:sz w:val="20"/>
                <w:szCs w:val="20"/>
                <w:color w:val="auto"/>
              </w:rPr>
            </w:pPr>
            <w:r>
              <w:rPr>
                <w:rFonts w:ascii="Arial" w:cs="Arial" w:eastAsia="Arial" w:hAnsi="Arial"/>
                <w:sz w:val="17"/>
                <w:szCs w:val="17"/>
                <w:color w:val="auto"/>
              </w:rPr>
              <w:t>Financing cash flows from finance lease</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1,264,188</w:t>
            </w:r>
          </w:p>
        </w:tc>
        <w:tc>
          <w:tcPr>
            <w:tcW w:w="14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3"/>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cash flows from finance lease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152,475</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5600" w:type="dxa"/>
            <w:vAlign w:val="bottom"/>
          </w:tcPr>
          <w:p>
            <w:pPr>
              <w:ind w:left="320"/>
              <w:spacing w:after="0"/>
              <w:rPr>
                <w:sz w:val="20"/>
                <w:szCs w:val="20"/>
                <w:color w:val="auto"/>
              </w:rPr>
            </w:pPr>
            <w:r>
              <w:rPr>
                <w:rFonts w:ascii="Arial" w:cs="Arial" w:eastAsia="Arial" w:hAnsi="Arial"/>
                <w:sz w:val="17"/>
                <w:szCs w:val="17"/>
                <w:color w:val="auto"/>
              </w:rPr>
              <w:t>Operating cash flows from operating leases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659,626</w:t>
            </w:r>
          </w:p>
        </w:tc>
        <w:tc>
          <w:tcPr>
            <w:tcW w:w="140" w:type="dxa"/>
            <w:vAlign w:val="bottom"/>
          </w:tcPr>
          <w:p>
            <w:pPr>
              <w:spacing w:after="0"/>
              <w:rPr>
                <w:sz w:val="22"/>
                <w:szCs w:val="22"/>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615,325</w:t>
            </w:r>
          </w:p>
        </w:tc>
      </w:tr>
    </w:tbl>
    <w:p>
      <w:pPr>
        <w:spacing w:after="0" w:line="321" w:lineRule="exact"/>
        <w:rPr>
          <w:sz w:val="20"/>
          <w:szCs w:val="20"/>
          <w:color w:val="auto"/>
        </w:rPr>
      </w:pPr>
    </w:p>
    <w:p>
      <w:pPr>
        <w:ind w:left="460" w:hanging="459"/>
        <w:spacing w:after="0"/>
        <w:tabs>
          <w:tab w:leader="none" w:pos="46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ROYALTY INTEREST FINANCING</w:t>
      </w:r>
    </w:p>
    <w:p>
      <w:pPr>
        <w:spacing w:after="0" w:line="14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December 2023, the Company entered into a royalty interest financing agreement, or the Royalty Interest Agreement, with United in Endeavour, LLC, or UiE, under which UiE acquired a portion of the Company's royalty interest in XACIATO. The Company received $ 5.0 million from UiE when the parties entered into the Royalty Interest Agreement (the "Initial Investment"), and until December 31, 2026, the Company may, in its sole discretion, but subject to XOMA's prior written consent (see Note 13, Royalty Purchase Agreements), elect to receive three additional payments (each a "Supplemental Investment") from UiE of up to an aggregate of $7.0 million, for a total of up to $12.0 million.</w:t>
      </w:r>
    </w:p>
    <w:p>
      <w:pPr>
        <w:spacing w:after="0" w:line="69"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17"/>
          <w:szCs w:val="17"/>
          <w:color w:val="auto"/>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the payment.</w:t>
      </w:r>
    </w:p>
    <w:p>
      <w:pPr>
        <w:spacing w:after="0" w:line="77"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spacing w:after="0" w:line="7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78" w:name="page179"/>
    <w:bookmarkEnd w:id="178"/>
    <w:p>
      <w:pPr>
        <w:jc w:val="both"/>
        <w:spacing w:after="0" w:line="250" w:lineRule="auto"/>
        <w:rPr>
          <w:sz w:val="20"/>
          <w:szCs w:val="20"/>
          <w:color w:val="auto"/>
        </w:rPr>
      </w:pPr>
      <w:r>
        <w:rPr>
          <w:rFonts w:ascii="Arial" w:cs="Arial" w:eastAsia="Arial" w:hAnsi="Arial"/>
          <w:sz w:val="17"/>
          <w:szCs w:val="17"/>
          <w:color w:val="auto"/>
        </w:rPr>
        <w:t>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 During the year ended December 31, 2025, based on Net Royalty Payments to date and other factors, the Company updated its forecast of Net Royalty Payments, resulting in an estimated Financing Term that is approximately 9.5 years longer than previously estimated, extending through 2037, and as of December 31, 2025,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Warrants</w:t>
      </w:r>
    </w:p>
    <w:p>
      <w:pPr>
        <w:spacing w:after="0" w:line="10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connection with entering into the Royalty Interest Agreement, the Company issued to UiE a warrant (the “Initial Royalty Warrant”) to purchase up to 422,804 shares of the Company’s common stock (see Note 9, Stockholders' Equity). In addition, for every $1.0 million of Supplemental Investment, the Company will issue to UiE a warrant to purchase 84,561 shares of common stock. If the Company elects to receive the maximum amount of Supplement Investments, the Company would issue to UiE warrants to purchase an aggregate of up to 591,927 shares of common stock (collectively the “Additional Royalty Warrants,” and together with the Initial Royalty Warrant, the “Royalty Interest Agreement Warrants”). As of December 31, 2025, the Company has only issued the Initial Royalty Warrant.</w:t>
      </w:r>
    </w:p>
    <w:p>
      <w:pPr>
        <w:spacing w:after="0" w:line="7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Initial Royalty Warrant was deemed to be an equity classified warrant and recorded under additional paid in capital. The fair value of the Initial Royalty Warrant was determined to be $0.8 million (Note 9) and was recorded as a debt discount against the Initial Investment.</w:t>
      </w:r>
    </w:p>
    <w:p>
      <w:pPr>
        <w:spacing w:after="0" w:line="4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following table shows the activity of the liability related to the sale of future royalties since the date of the Initial Investment through the period indicated:</w:t>
      </w:r>
    </w:p>
    <w:p>
      <w:pPr>
        <w:sectPr>
          <w:pgSz w:w="11900" w:h="16838" w:orient="portrait"/>
          <w:cols w:equalWidth="0" w:num="1">
            <w:col w:w="11240"/>
          </w:cols>
          <w:pgMar w:left="320" w:top="83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Upfront payment from the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-120650</wp:posOffset>
            </wp:positionV>
            <wp:extent cx="5199380" cy="160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5199380" cy="160655"/>
                    </a:xfrm>
                    <a:prstGeom prst="rect">
                      <a:avLst/>
                    </a:prstGeom>
                    <a:noFill/>
                  </pic:spPr>
                </pic:pic>
              </a:graphicData>
            </a:graphic>
          </wp:anchor>
        </w:drawing>
      </w:r>
    </w:p>
    <w:p>
      <w:pPr>
        <w:spacing w:after="0" w:line="3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Debt issuance cost</w:t>
      </w:r>
    </w:p>
    <w:p>
      <w:pPr>
        <w:spacing w:after="0" w:line="4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Relative fair value of Initial Royalty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-120650</wp:posOffset>
            </wp:positionV>
            <wp:extent cx="5199380" cy="152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5199380" cy="152400"/>
                    </a:xfrm>
                    <a:prstGeom prst="rect">
                      <a:avLst/>
                    </a:prstGeom>
                    <a:noFill/>
                  </pic:spPr>
                </pic:pic>
              </a:graphicData>
            </a:graphic>
          </wp:anchor>
        </w:drawing>
      </w:r>
    </w:p>
    <w:p>
      <w:pPr>
        <w:spacing w:after="0" w:line="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Royalty payments</w:t>
      </w:r>
    </w:p>
    <w:p>
      <w:pPr>
        <w:spacing w:after="0" w:line="45" w:lineRule="exact"/>
        <w:rPr>
          <w:sz w:val="20"/>
          <w:szCs w:val="20"/>
          <w:color w:val="auto"/>
        </w:rPr>
      </w:pPr>
    </w:p>
    <w:p>
      <w:pPr>
        <w:ind w:left="1860" w:firstLine="84"/>
        <w:spacing w:after="0" w:line="263" w:lineRule="auto"/>
        <w:rPr>
          <w:sz w:val="20"/>
          <w:szCs w:val="20"/>
          <w:color w:val="auto"/>
        </w:rPr>
      </w:pPr>
      <w:r>
        <w:rPr>
          <w:rFonts w:ascii="Arial" w:cs="Arial" w:eastAsia="Arial" w:hAnsi="Arial"/>
          <w:sz w:val="17"/>
          <w:szCs w:val="17"/>
          <w:color w:val="auto"/>
        </w:rPr>
        <w:t>Non-cash interest expense and interest payable associated with the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-268605</wp:posOffset>
            </wp:positionV>
            <wp:extent cx="5199380" cy="273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5199380" cy="27305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7"/>
          <w:szCs w:val="17"/>
          <w:color w:val="auto"/>
        </w:rPr>
        <w:t>Liability related to the sale of future royalties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ind w:right="1237"/>
        <w:spacing w:after="0"/>
        <w:rPr>
          <w:sz w:val="20"/>
          <w:szCs w:val="20"/>
          <w:color w:val="auto"/>
        </w:rPr>
      </w:pPr>
      <w:r>
        <w:rPr>
          <w:rFonts w:ascii="Arial" w:cs="Arial" w:eastAsia="Arial" w:hAnsi="Arial"/>
          <w:sz w:val="15"/>
          <w:szCs w:val="15"/>
          <w:b w:val="1"/>
          <w:bCs w:val="1"/>
          <w:color w:val="auto"/>
        </w:rPr>
        <w:t>December 31,</w:t>
      </w:r>
    </w:p>
    <w:p>
      <w:pPr>
        <w:spacing w:after="0" w:line="68" w:lineRule="exact"/>
        <w:rPr>
          <w:sz w:val="20"/>
          <w:szCs w:val="20"/>
          <w:color w:val="auto"/>
        </w:rPr>
      </w:pPr>
    </w:p>
    <w:p>
      <w:pPr>
        <w:ind w:left="383"/>
        <w:spacing w:after="0"/>
        <w:tabs>
          <w:tab w:leader="none" w:pos="1642"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76" w:lineRule="exact"/>
        <w:rPr>
          <w:sz w:val="20"/>
          <w:szCs w:val="20"/>
          <w:color w:val="auto"/>
        </w:rPr>
      </w:pPr>
    </w:p>
    <w:p>
      <w:pPr>
        <w:ind w:left="283" w:hanging="283"/>
        <w:spacing w:after="0"/>
        <w:tabs>
          <w:tab w:leader="none" w:pos="283" w:val="left"/>
        </w:tabs>
        <w:numPr>
          <w:ilvl w:val="0"/>
          <w:numId w:val="87"/>
        </w:numPr>
        <w:rPr>
          <w:rFonts w:ascii="Arial" w:cs="Arial" w:eastAsia="Arial" w:hAnsi="Arial"/>
          <w:sz w:val="17"/>
          <w:szCs w:val="17"/>
          <w:color w:val="auto"/>
        </w:rPr>
      </w:pPr>
      <w:r>
        <w:rPr>
          <w:rFonts w:ascii="Arial" w:cs="Arial" w:eastAsia="Arial" w:hAnsi="Arial"/>
          <w:sz w:val="17"/>
          <w:szCs w:val="17"/>
          <w:color w:val="auto"/>
        </w:rPr>
        <w:t>5,000,000   $  5,000,000</w:t>
      </w:r>
    </w:p>
    <w:p>
      <w:pPr>
        <w:spacing w:after="0" w:line="44" w:lineRule="exact"/>
        <w:rPr>
          <w:rFonts w:ascii="Arial" w:cs="Arial" w:eastAsia="Arial" w:hAnsi="Arial"/>
          <w:sz w:val="17"/>
          <w:szCs w:val="17"/>
          <w:color w:val="auto"/>
        </w:rPr>
      </w:pPr>
    </w:p>
    <w:p>
      <w:pPr>
        <w:ind w:left="343"/>
        <w:spacing w:after="0"/>
        <w:rPr>
          <w:rFonts w:ascii="Arial" w:cs="Arial" w:eastAsia="Arial" w:hAnsi="Arial"/>
          <w:sz w:val="17"/>
          <w:szCs w:val="17"/>
          <w:color w:val="auto"/>
        </w:rPr>
      </w:pPr>
      <w:r>
        <w:rPr>
          <w:rFonts w:ascii="Arial" w:cs="Arial" w:eastAsia="Arial" w:hAnsi="Arial"/>
          <w:sz w:val="17"/>
          <w:szCs w:val="17"/>
          <w:color w:val="auto"/>
        </w:rPr>
        <w:t>(276,101)</w:t>
      </w:r>
      <w:r>
        <w:rPr>
          <w:rFonts w:ascii="Arial" w:cs="Arial" w:eastAsia="Arial" w:hAnsi="Arial"/>
          <w:sz w:val="16"/>
          <w:szCs w:val="16"/>
          <w:color w:val="auto"/>
        </w:rPr>
        <w:t>(276,101)</w:t>
      </w:r>
    </w:p>
    <w:p>
      <w:pPr>
        <w:spacing w:after="0" w:line="44" w:lineRule="exact"/>
        <w:rPr>
          <w:rFonts w:ascii="Arial" w:cs="Arial" w:eastAsia="Arial" w:hAnsi="Arial"/>
          <w:sz w:val="17"/>
          <w:szCs w:val="17"/>
          <w:color w:val="auto"/>
        </w:rPr>
      </w:pPr>
    </w:p>
    <w:p>
      <w:pPr>
        <w:ind w:left="343"/>
        <w:spacing w:after="0"/>
        <w:rPr>
          <w:rFonts w:ascii="Arial" w:cs="Arial" w:eastAsia="Arial" w:hAnsi="Arial"/>
          <w:sz w:val="17"/>
          <w:szCs w:val="17"/>
          <w:color w:val="auto"/>
        </w:rPr>
      </w:pPr>
      <w:r>
        <w:rPr>
          <w:rFonts w:ascii="Arial" w:cs="Arial" w:eastAsia="Arial" w:hAnsi="Arial"/>
          <w:sz w:val="17"/>
          <w:szCs w:val="17"/>
          <w:color w:val="auto"/>
        </w:rPr>
        <w:t>(834,512)</w:t>
      </w:r>
      <w:r>
        <w:rPr>
          <w:rFonts w:ascii="Arial" w:cs="Arial" w:eastAsia="Arial" w:hAnsi="Arial"/>
          <w:sz w:val="16"/>
          <w:szCs w:val="16"/>
          <w:color w:val="auto"/>
        </w:rPr>
        <w:t>(834,512)</w:t>
      </w:r>
    </w:p>
    <w:p>
      <w:pPr>
        <w:spacing w:after="0" w:line="44" w:lineRule="exact"/>
        <w:rPr>
          <w:rFonts w:ascii="Arial" w:cs="Arial" w:eastAsia="Arial" w:hAnsi="Arial"/>
          <w:sz w:val="17"/>
          <w:szCs w:val="17"/>
          <w:color w:val="auto"/>
        </w:rPr>
      </w:pPr>
    </w:p>
    <w:p>
      <w:pPr>
        <w:ind w:left="543"/>
        <w:spacing w:after="0"/>
        <w:rPr>
          <w:rFonts w:ascii="Arial" w:cs="Arial" w:eastAsia="Arial" w:hAnsi="Arial"/>
          <w:sz w:val="17"/>
          <w:szCs w:val="17"/>
          <w:color w:val="auto"/>
        </w:rPr>
      </w:pPr>
      <w:r>
        <w:rPr>
          <w:rFonts w:ascii="Arial" w:cs="Arial" w:eastAsia="Arial" w:hAnsi="Arial"/>
          <w:sz w:val="17"/>
          <w:szCs w:val="17"/>
          <w:color w:val="auto"/>
        </w:rPr>
        <w:t>(8,284)(2,189)</w:t>
      </w:r>
    </w:p>
    <w:p>
      <w:pPr>
        <w:spacing w:after="0" w:line="259" w:lineRule="exact"/>
        <w:rPr>
          <w:sz w:val="20"/>
          <w:szCs w:val="20"/>
          <w:color w:val="auto"/>
        </w:rPr>
      </w:pPr>
    </w:p>
    <w:p>
      <w:pPr>
        <w:ind w:left="283"/>
        <w:spacing w:after="0"/>
        <w:tabs>
          <w:tab w:leader="none" w:pos="1662" w:val="left"/>
        </w:tabs>
        <w:rPr>
          <w:sz w:val="20"/>
          <w:szCs w:val="20"/>
          <w:color w:val="auto"/>
        </w:rPr>
      </w:pPr>
      <w:r>
        <w:rPr>
          <w:rFonts w:ascii="Arial" w:cs="Arial" w:eastAsia="Arial" w:hAnsi="Arial"/>
          <w:sz w:val="17"/>
          <w:szCs w:val="17"/>
          <w:color w:val="auto"/>
        </w:rPr>
        <w:t>1,517,485</w:t>
      </w:r>
      <w:r>
        <w:rPr>
          <w:sz w:val="20"/>
          <w:szCs w:val="20"/>
          <w:color w:val="auto"/>
        </w:rPr>
        <w:tab/>
      </w:r>
      <w:r>
        <w:rPr>
          <w:rFonts w:ascii="Arial" w:cs="Arial" w:eastAsia="Arial" w:hAnsi="Arial"/>
          <w:sz w:val="17"/>
          <w:szCs w:val="17"/>
          <w:color w:val="auto"/>
        </w:rPr>
        <w:t>862,626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5246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12" w:lineRule="exact"/>
        <w:rPr>
          <w:sz w:val="20"/>
          <w:szCs w:val="20"/>
          <w:color w:val="auto"/>
        </w:rPr>
      </w:pPr>
    </w:p>
    <w:p>
      <w:pPr>
        <w:ind w:left="3"/>
        <w:spacing w:after="0"/>
        <w:tabs>
          <w:tab w:leader="none" w:pos="262" w:val="left"/>
          <w:tab w:leader="none" w:pos="1262" w:val="left"/>
          <w:tab w:leader="none" w:pos="1522" w:val="left"/>
        </w:tabs>
        <w:rPr>
          <w:sz w:val="20"/>
          <w:szCs w:val="20"/>
          <w:color w:val="auto"/>
        </w:rPr>
      </w:pPr>
      <w:r>
        <w:rPr>
          <w:rFonts w:ascii="Arial" w:cs="Arial" w:eastAsia="Arial" w:hAnsi="Arial"/>
          <w:sz w:val="17"/>
          <w:szCs w:val="17"/>
          <w:color w:val="auto"/>
        </w:rPr>
        <w:t>$</w:t>
        <w:tab/>
        <w:t>5,398,588</w:t>
        <w:tab/>
        <w:t>$</w:t>
        <w:tab/>
        <w:t>4,749,824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31115</wp:posOffset>
            </wp:positionV>
            <wp:extent cx="1524635"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1524635" cy="32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117"/>
            <w:col w:w="3603"/>
          </w:cols>
          <w:pgMar w:left="320" w:top="830" w:right="339" w:bottom="1440" w:gutter="0" w:footer="0" w:header="0"/>
          <w:type w:val="continuous"/>
        </w:sectPr>
      </w:pPr>
    </w:p>
    <w:p>
      <w:pPr>
        <w:spacing w:after="0" w:line="224" w:lineRule="exact"/>
        <w:rPr>
          <w:sz w:val="20"/>
          <w:szCs w:val="20"/>
          <w:color w:val="auto"/>
        </w:rPr>
      </w:pPr>
    </w:p>
    <w:p>
      <w:pPr>
        <w:ind w:left="420" w:hanging="419"/>
        <w:spacing w:after="0"/>
        <w:tabs>
          <w:tab w:leader="none" w:pos="42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ROYALTY PURCHASE AGREEMENTS</w:t>
      </w:r>
    </w:p>
    <w:p>
      <w:pPr>
        <w:spacing w:after="0" w:line="1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spacing w:after="0" w:line="145"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Under the Royalty Purchase Agreements, the Company sold, assigned, transferred and conveyed its right, title and interest in and to the following to XOMA: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type w:val="continuous"/>
        </w:sectPr>
      </w:pPr>
    </w:p>
    <w:bookmarkStart w:id="179" w:name="page180"/>
    <w:bookmarkEnd w:id="179"/>
    <w:p>
      <w:pPr>
        <w:jc w:val="both"/>
        <w:ind w:firstLine="608"/>
        <w:spacing w:after="0" w:line="256" w:lineRule="auto"/>
        <w:tabs>
          <w:tab w:leader="none" w:pos="8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spacing w:after="0" w:line="132" w:lineRule="exact"/>
        <w:rPr>
          <w:rFonts w:ascii="Arial" w:cs="Arial" w:eastAsia="Arial" w:hAnsi="Arial"/>
          <w:sz w:val="17"/>
          <w:szCs w:val="17"/>
          <w:color w:val="auto"/>
        </w:rPr>
      </w:pPr>
    </w:p>
    <w:p>
      <w:pPr>
        <w:ind w:firstLine="608"/>
        <w:spacing w:after="0" w:line="281" w:lineRule="auto"/>
        <w:tabs>
          <w:tab w:leader="none" w:pos="894" w:val="left"/>
        </w:tabs>
        <w:numPr>
          <w:ilvl w:val="0"/>
          <w:numId w:val="89"/>
        </w:numPr>
        <w:rPr>
          <w:rFonts w:ascii="Arial" w:cs="Arial" w:eastAsia="Arial" w:hAnsi="Arial"/>
          <w:sz w:val="17"/>
          <w:szCs w:val="17"/>
          <w:color w:val="auto"/>
        </w:rPr>
      </w:pPr>
      <w:r>
        <w:rPr>
          <w:rFonts w:ascii="Arial" w:cs="Arial" w:eastAsia="Arial" w:hAnsi="Arial"/>
          <w:sz w:val="17"/>
          <w:szCs w:val="17"/>
          <w:color w:val="auto"/>
        </w:rPr>
        <w:t>25% of the $20.0 million payment that the Company could have potentially received under the Company's since terminated license agreement with Bayer relating to Ovaprene; and</w:t>
      </w:r>
    </w:p>
    <w:p>
      <w:pPr>
        <w:spacing w:after="0" w:line="123" w:lineRule="exact"/>
        <w:rPr>
          <w:rFonts w:ascii="Arial" w:cs="Arial" w:eastAsia="Arial" w:hAnsi="Arial"/>
          <w:sz w:val="17"/>
          <w:szCs w:val="17"/>
          <w:color w:val="auto"/>
        </w:rPr>
      </w:pPr>
    </w:p>
    <w:p>
      <w:pPr>
        <w:jc w:val="both"/>
        <w:ind w:firstLine="608"/>
        <w:spacing w:after="0" w:line="256" w:lineRule="auto"/>
        <w:tabs>
          <w:tab w:leader="none" w:pos="856"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 synthetic royalty of 4.0% of the Company's, its affiliates’ and its sublicensees’ future net sales of Ovaprene, and 2.0% of the Company's, its affiliates’ and its sublicensees’ future net sales of Sildenafil Cream and DARE to PLAY™ Sildenafil Cream;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XOMA receives total payments under the Royalty Purchase Agreements, net of any Contingent Purchase Price Payments made to the Company, equal to an amount that exceeds $110.0 million, the foregoing percentages will be reduced to 2.5% and 1.25%, respectively (we refer to the amounts described in this clause (c) as the “Revenue Participation Right”).</w:t>
      </w:r>
    </w:p>
    <w:p>
      <w:pPr>
        <w:spacing w:after="0" w:line="133"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w:t>
      </w:r>
    </w:p>
    <w:p>
      <w:pPr>
        <w:spacing w:after="0" w:line="13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for additional information.</w:t>
      </w:r>
    </w:p>
    <w:p>
      <w:pPr>
        <w:spacing w:after="0" w:line="214" w:lineRule="exact"/>
        <w:rPr>
          <w:sz w:val="20"/>
          <w:szCs w:val="20"/>
          <w:color w:val="auto"/>
        </w:rPr>
      </w:pPr>
    </w:p>
    <w:p>
      <w:pPr>
        <w:ind w:left="420" w:hanging="419"/>
        <w:spacing w:after="0"/>
        <w:tabs>
          <w:tab w:leader="none" w:pos="42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Financing</w:t>
      </w:r>
    </w:p>
    <w:p>
      <w:pPr>
        <w:spacing w:after="0" w:line="158" w:lineRule="exact"/>
        <w:rPr>
          <w:sz w:val="20"/>
          <w:szCs w:val="20"/>
          <w:color w:val="auto"/>
        </w:rPr>
      </w:pPr>
    </w:p>
    <w:p>
      <w:pPr>
        <w:jc w:val="both"/>
        <w:ind w:firstLine="607"/>
        <w:spacing w:after="0"/>
        <w:rPr>
          <w:sz w:val="20"/>
          <w:szCs w:val="20"/>
          <w:color w:val="auto"/>
        </w:rPr>
      </w:pPr>
      <w:r>
        <w:rPr>
          <w:rFonts w:ascii="Arial" w:cs="Arial" w:eastAsia="Arial" w:hAnsi="Arial"/>
          <w:sz w:val="17"/>
          <w:szCs w:val="17"/>
          <w:color w:val="auto"/>
        </w:rPr>
        <w:t>In each of July 2025 and 2024, the Company obtained financing for certain director and officer and other insurance premiums. The total premiums, taxes and fees financed each year was approximately $0.5 million and $0.6 million, respectively,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agreements and the Company assigned to the lender a first priority lien on and a security interest in the financed insurance policies. With respect to the financing obtained in July 2025, the Company will make monthly installment payments through March 20, 2026. With respect to the financing obtained in July 2024, the Company made monthly installment payments through April 20, 2025. The financed amount is recognized as an insurance financing cost included in other current assets and accrued expenses in the Company's consolidated balance sheets. As of December 31, 2025, the Company's remaining obligation for the financing obtained in July 2025 was approximately $0.2 million, and the Company had no remaining obligation for the financing obtained in July 2024. As of December 31, 2024, the Company's remaining obligation for the financing obtained in July 2024 was approximately $0.2 million.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CRADA with NICHD for the Pivotal Phase 3 Study of Ovaprene</w:t>
      </w:r>
    </w:p>
    <w:p>
      <w:pPr>
        <w:spacing w:after="0" w:line="1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is being conducted within NICHD’s Contraceptive Clinical Trials Network with NICHD's contract research organization providing clinical coordination and data collection and management services for the Ovaprene Phase 3. The Company and NICHD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$ 5.5 million in payments to NICHD to be applied toward the costs of conducting the Ovaprene Phase 3. NICHD is responsible for the other costs related to the conduct of the Ovaprene Phase 3. The Company has paid $5.5 million to NICHD, $0.5 million of which was paid in July 2024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0" w:name="page181"/>
    <w:bookmarkEnd w:id="180"/>
    <w:p>
      <w:pPr>
        <w:ind w:right="880"/>
        <w:spacing w:after="0" w:line="457" w:lineRule="auto"/>
        <w:rPr>
          <w:sz w:val="20"/>
          <w:szCs w:val="20"/>
          <w:color w:val="auto"/>
        </w:rPr>
      </w:pPr>
      <w:r>
        <w:rPr>
          <w:rFonts w:ascii="Arial" w:cs="Arial" w:eastAsia="Arial" w:hAnsi="Arial"/>
          <w:sz w:val="17"/>
          <w:szCs w:val="17"/>
          <w:color w:val="auto"/>
        </w:rPr>
        <w:t xml:space="preserve">$5.0 million of which was paid in prior years. The Company had no remaining payment obligation under the CRADA at December 31, 2025.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84"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Certain employees of the Company are entitled to payments if their employment is terminated by the Company without cause, if they resign for good reason, if their employment agreements are not renewed, or if their employment is terminated by the Company without cause or if they resign for good reason, in each case, within three months prior to or 12 months following a change in control of the Company. Upon termination by the Company without cause, if they resign for good reason, if their employment agreements are not renewed, such executives are entitled to receive a payment of an amount equal to either six or twelve months of base salary and to receive continuing health benefits coverage for periods equal to either six or twelve months following the termination of employment or until such officer is covered under a separate plan from another employer. If their employment is terminated by the Company without cause or if they resign for good reason, in each case, within three months prior to or 12 months following a change in control of the Company, such executives will be entitled to receive a payment of an amount equal to either nine or eighteen months of base salary and target bonus and to receive continuing health benefits coverage for periods ranging between nine and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Related-Party Agreement</w:t>
      </w:r>
    </w:p>
    <w:p>
      <w:pPr>
        <w:spacing w:after="0" w:line="171"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January 2024, the Company entered into a consulting agreement with its former Chief Financial Officer to assist in transition matters subsequent to her retirement. Pursuant to the agreement, for a nine month period commencing on January 26, 2024, the Company paid its former Chief Financial Officer $31,667 per month and reimbursed her up to $500 per month for her health insurance premiums.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 – 401(k) Plan</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each participant's cash compensation. The Company made matching contributions of approximately $0.2 million during each of the years ended December 31, 2025 and 2024.</w:t>
      </w:r>
    </w:p>
    <w:p>
      <w:pPr>
        <w:spacing w:after="0" w:line="218" w:lineRule="exact"/>
        <w:rPr>
          <w:sz w:val="20"/>
          <w:szCs w:val="20"/>
          <w:color w:val="auto"/>
        </w:rPr>
      </w:pPr>
    </w:p>
    <w:p>
      <w:pPr>
        <w:ind w:left="420" w:hanging="419"/>
        <w:spacing w:after="0"/>
        <w:tabs>
          <w:tab w:leader="none" w:pos="42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GRANT AWARDS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October 2024 Grant Award</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October 2024, the Company entered into a subaward agreement with National Collegiate Inventors and Innovators Alliance, Inc. d/b/a VentureWell (the "CMF") under which the Company is entitled to receive funding of up to $10.0 million 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 The subaward agreement was the result of the Company's selection by Advanced Research Projects Agency for Health (ARPA-H), part of the U.S. Department of Health and Human Services. The CMF is a consortium management firm that received funding from the federal agency for the subaward agreement.</w:t>
      </w:r>
    </w:p>
    <w:p>
      <w:pPr>
        <w:spacing w:after="0" w:line="7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81" w:name="page182"/>
    <w:bookmarkEnd w:id="181"/>
    <w:p>
      <w:pPr>
        <w:jc w:val="both"/>
        <w:spacing w:after="0" w:line="281" w:lineRule="auto"/>
        <w:rPr>
          <w:sz w:val="20"/>
          <w:szCs w:val="20"/>
          <w:color w:val="auto"/>
        </w:rPr>
      </w:pPr>
      <w:r>
        <w:rPr>
          <w:rFonts w:ascii="Arial" w:cs="Arial" w:eastAsia="Arial" w:hAnsi="Arial"/>
          <w:sz w:val="17"/>
          <w:szCs w:val="17"/>
          <w:color w:val="auto"/>
        </w:rPr>
        <w:t>liability in the Company’s consolidated balance sheets. Funds that have been spent but not yet expensed in accordance with GAAP or not spent on direct costs for the funded project in excess of the indirect cost allowance are also recorded in deferred grant funding liability.</w:t>
      </w:r>
    </w:p>
    <w:p>
      <w:pPr>
        <w:spacing w:after="0" w:line="1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Through December 31, 2025, the Company had received payments totaling $ 5.5 million under this award. The Company recorded credits to research and development expense of approximately $3.1 million and $0.4 million for costs related to this award for the years ended December 31, 2025 and 2024, respectively. As of December 31, 2025 and 2024, the Company recorded approximately $2.0 million and $0.6 million in deferred grant funding liability related to this award in the Company's consolidated balance sheets, respectively.</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Note 17, Subsequent Events, for information regarding a payment received in February 2026 under this award.</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NICHD and NIH Non-Dilutive Grant Funding</w:t>
      </w:r>
    </w:p>
    <w:p>
      <w:pPr>
        <w:spacing w:after="0" w:line="108"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The Company has received notices of awards and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The federal agency that administers funding to the NIH is the Small Business Innovation Research (SBIR). In October 2025, legislative authority for the SBIR program expired and, to date, it has not been reauthorized by Congress. In November 2025, NIH announced that it will not issue continuation awards for existing projects until the SBIR program is reauthorized. As a result of this funding freeze, the Company currently does not anticipate receiving additional funding under this award until and unless the SBIR program is reauthorized by Congress.</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DARE-HPV</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$0.7 million and $0 credits to research and development expense for costs related to the NIH award for the years ended December 31, 2025 and 2024, respectively. The Company recorded a receivable of approximately $11,000 at December 31, 2025 for expenses incurred through such date that it believes are eligible for reimbursement under this award.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DARE-PTB1</w:t>
      </w:r>
    </w:p>
    <w:p>
      <w:pPr>
        <w:spacing w:after="0" w:line="17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7"/>
          <w:szCs w:val="17"/>
          <w:color w:val="auto"/>
        </w:rPr>
        <w:t>In December 2023, the Company received a notice of award from NICHD of approximately $2.0 million to support the development of DARE-PTB1. The award is to be used to support what is referred to as the "Phase II" segment of the project outlined in the Company's grant application through November 2026. The Company recorded credits to research and development expense for costs related to this award of approximately $0.7 million and $0.7 million for the years ended December 31, 2025 and 2024, respectively. The Company recorded a receivable of $0 and approximately $84,000 at December 31, 2025 and 2024, respectively, for expenses incurred through such date that it believes are eligible for reimbursement under this award.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DARE-PTB2</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July 2023, the Company received a notice of award from NICHD of approximately $0.4 million to support preclinical development of a potential new therapeutic for the prevention of idiopathic preterm birth. The grant funds supported activities related to the conduct and completion of proof-of-concept target validation studies in collaboration with the University of South Florida.</w:t>
      </w:r>
    </w:p>
    <w:p>
      <w:pPr>
        <w:spacing w:after="0" w:line="6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color w:val="auto"/>
        </w:rPr>
        <w:t>The Company received aggregate reimbursements under this award of approximately $0.4 million during the grant period, which ended in July 2024. No further funds are available under this award.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i w:val="1"/>
          <w:iCs w:val="1"/>
          <w:color w:val="auto"/>
        </w:rPr>
        <w:t>Other Non-Dilutive Grant Funding</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As described below, the Company has received substantial funding under grant agreements it entered into with the Gates Foundation, or the Foundation. The Company receives funding in advance and tracks and reports eligible expenses incurred to the Foundation. The Company is required to apply the funds it receives solely toward direct costs for the funded projects, other than an approximately 5%-15% indirect cost allowance (see "October 2024 Grant Awards" for more information regarding the indirect cost allowance). Funds received that have not been spent are recorded both 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w:t>
      </w:r>
    </w:p>
    <w:p>
      <w:pPr>
        <w:spacing w:after="0" w:line="150"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2024 Contraceptive Product Candidate Grant Agreement</w:t>
      </w:r>
    </w:p>
    <w:p>
      <w:pPr>
        <w:spacing w:after="0" w:line="171" w:lineRule="exact"/>
        <w:rPr>
          <w:sz w:val="20"/>
          <w:szCs w:val="20"/>
          <w:color w:val="auto"/>
        </w:rPr>
      </w:pPr>
    </w:p>
    <w:p>
      <w:pPr>
        <w:jc w:val="both"/>
        <w:ind w:firstLine="607"/>
        <w:spacing w:after="0" w:line="252" w:lineRule="auto"/>
        <w:rPr>
          <w:sz w:val="20"/>
          <w:szCs w:val="20"/>
          <w:color w:val="auto"/>
        </w:rPr>
      </w:pPr>
      <w:r>
        <w:rPr>
          <w:rFonts w:ascii="Arial" w:cs="Arial" w:eastAsia="Arial" w:hAnsi="Arial"/>
          <w:sz w:val="17"/>
          <w:szCs w:val="17"/>
          <w:color w:val="auto"/>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The term of the agreement, as amended, extends through March 2027. An initial payment of approximately $5.4 million was made to the Company in November 2024 and a second payment of approximately $3.6 million was made to the Company in November 2025. Additional payments are contingent upon the Company's achievement of specified development and reporting milestones during the term of the grant agreement. The Company will track and report eligible expenses incurred to the Foundation.</w:t>
      </w:r>
    </w:p>
    <w:p>
      <w:pPr>
        <w:spacing w:after="0" w:line="7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Company recorded credits to research and development expense of approximately $3.7 million and $0.2 million for costs related to this award for the years ended December 31, 2025 and 2024, respectively. As of December 31, 2025 and 2024, the Company recorded approximately $5.1 million and $5.2 million of deferred grant funding liability related to this award in the Company's consolidated balance sheets, respectively.</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2024 Biotherapeutic Product Grant Agreement</w:t>
      </w:r>
    </w:p>
    <w:p>
      <w:pPr>
        <w:spacing w:after="0" w:line="17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January 2024, the Company entered into an agreement with the Foundation under which the Company was awarded $750,000 to fund activities related to bacteria-based live biotherapeutic product development. The Company received the full amount of the award in January 2024. The Company recorded credits to research and development expense of approximately $0.7 million for costs related to this award for the year ended December 31, 2024. The grant period ended in November 2024. No further funds are available under this award.</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2021 DARE-LARC1 Grant Agreement</w:t>
      </w:r>
    </w:p>
    <w:p>
      <w:pPr>
        <w:spacing w:after="0" w:line="184"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In June 2021, the Company entered into an agreement with the Foundation under which the Company was awarded up to approximately $49.0 million to support the development of DARE-LARC1. The term of the agreement, as amended, extends through December 2027. The agreement supports technology development and preclinical activities to advance DARE-LARC1 through nonclinical proof-of-principle studies and other IND-enabling work to allow for the submission of an IND application with the FDA, approval of which will be required to commence testing in humans.</w:t>
      </w:r>
    </w:p>
    <w:p>
      <w:pPr>
        <w:spacing w:after="0" w:line="51"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color w:val="auto"/>
        </w:rPr>
        <w:t>As of December 31, 2025, the Company had received a cumulative total of approximately $41.8 million in funding under the agreement. Additional payments are contingent upon the DARE-LARC1 program’s achievement of specified development and reporting milestones. The Company recorded credits to research and development expense of approximately $8.2 million and $6.2 million for costs related to this award for the years ended December 31, 2025 and 2024, respectively. As of December 31, 2025 and 2024, the Company recorded approximately $12.6 million and $10.8 million of deferred grant funding liability related to this award in the Company's consolidated balance sheets, respectively.</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2022 DARE-LBT Grant Agreement</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In November 2022, the Company entered into an agreement with the Foundation under which the Company was awarded $585,000 to support the development of DARE-LBT over the period of November 11, 2022 to February 29, 2024. The Company received the full amount of the award in November 2022. The Company recorded credits 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3" w:name="page184"/>
    <w:bookmarkEnd w:id="183"/>
    <w:p>
      <w:pPr>
        <w:spacing w:after="0" w:line="281" w:lineRule="auto"/>
        <w:rPr>
          <w:sz w:val="20"/>
          <w:szCs w:val="20"/>
          <w:color w:val="auto"/>
        </w:rPr>
      </w:pPr>
      <w:r>
        <w:rPr>
          <w:rFonts w:ascii="Arial" w:cs="Arial" w:eastAsia="Arial" w:hAnsi="Arial"/>
          <w:sz w:val="17"/>
          <w:szCs w:val="17"/>
          <w:color w:val="auto"/>
        </w:rPr>
        <w:t>research and development expense of approximately $0.2 million for costs related to this award for the year ended December 31, 2024. The Company had no remaining deferred grant funding liability related to this award as of December 31, 2024.</w:t>
      </w:r>
    </w:p>
    <w:p>
      <w:pPr>
        <w:spacing w:after="0" w:line="111" w:lineRule="exact"/>
        <w:rPr>
          <w:sz w:val="20"/>
          <w:szCs w:val="20"/>
          <w:color w:val="auto"/>
        </w:rPr>
      </w:pPr>
    </w:p>
    <w:p>
      <w:pPr>
        <w:ind w:left="420" w:hanging="419"/>
        <w:spacing w:after="0"/>
        <w:tabs>
          <w:tab w:leader="none" w:pos="42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46"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segment's financial information including the Company’s significant segment expenses: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84" w:name="page185"/>
    <w:bookmarkEnd w:id="184"/>
    <w:tbl>
      <w:tblPr>
        <w:tblLayout w:type="fixed"/>
        <w:tblInd w:w="150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3"/>
                <w:szCs w:val="13"/>
                <w:b w:val="1"/>
                <w:bCs w:val="1"/>
                <w:color w:val="auto"/>
              </w:rPr>
              <w:t>Year Ended December 31,</w:t>
            </w:r>
          </w:p>
        </w:tc>
      </w:tr>
      <w:tr>
        <w:trPr>
          <w:trHeight w:val="233"/>
        </w:trPr>
        <w:tc>
          <w:tcPr>
            <w:tcW w:w="5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2024</w:t>
            </w:r>
          </w:p>
        </w:tc>
      </w:tr>
      <w:tr>
        <w:trPr>
          <w:trHeight w:val="22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0"/>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License fee and other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1,030,193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w:t>
            </w:r>
          </w:p>
        </w:tc>
      </w:tr>
      <w:tr>
        <w:trPr>
          <w:trHeight w:val="22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1,030,193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r>
      <w:tr>
        <w:trPr>
          <w:trHeight w:val="240"/>
        </w:trPr>
        <w:tc>
          <w:tcPr>
            <w:tcW w:w="562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295,799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expenses: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0"/>
        </w:trPr>
        <w:tc>
          <w:tcPr>
            <w:tcW w:w="562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5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Direct program costs: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0"/>
        </w:trPr>
        <w:tc>
          <w:tcPr>
            <w:tcW w:w="5620" w:type="dxa"/>
            <w:vAlign w:val="bottom"/>
          </w:tcPr>
          <w:p>
            <w:pPr>
              <w:ind w:left="320"/>
              <w:spacing w:after="0" w:line="240" w:lineRule="exact"/>
              <w:rPr>
                <w:sz w:val="20"/>
                <w:szCs w:val="20"/>
                <w:color w:val="auto"/>
              </w:rPr>
            </w:pPr>
            <w:r>
              <w:rPr>
                <w:rFonts w:ascii="Arial" w:cs="Arial" w:eastAsia="Arial" w:hAnsi="Arial"/>
                <w:sz w:val="17"/>
                <w:szCs w:val="17"/>
                <w:color w:val="auto"/>
              </w:rPr>
              <w:t xml:space="preserve">Ovaprene </w:t>
            </w:r>
            <w:r>
              <w:rPr>
                <w:rFonts w:ascii="Arial" w:cs="Arial" w:eastAsia="Arial" w:hAnsi="Arial"/>
                <w:sz w:val="21"/>
                <w:szCs w:val="21"/>
                <w:color w:val="auto"/>
                <w:vertAlign w:val="superscript"/>
              </w:rPr>
              <w:t>(1)</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5,016,187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8,518,495</w:t>
            </w:r>
          </w:p>
        </w:tc>
      </w:tr>
      <w:tr>
        <w:trPr>
          <w:trHeight w:val="240"/>
        </w:trPr>
        <w:tc>
          <w:tcPr>
            <w:tcW w:w="5620" w:type="dxa"/>
            <w:vAlign w:val="bottom"/>
            <w:shd w:val="clear" w:color="auto" w:fill="CCEEFF"/>
          </w:tcPr>
          <w:p>
            <w:pPr>
              <w:ind w:left="320"/>
              <w:spacing w:after="0" w:line="240" w:lineRule="exact"/>
              <w:rPr>
                <w:sz w:val="20"/>
                <w:szCs w:val="20"/>
                <w:color w:val="auto"/>
              </w:rPr>
            </w:pPr>
            <w:r>
              <w:rPr>
                <w:rFonts w:ascii="Arial" w:cs="Arial" w:eastAsia="Arial" w:hAnsi="Arial"/>
                <w:sz w:val="17"/>
                <w:szCs w:val="17"/>
                <w:color w:val="auto"/>
              </w:rPr>
              <w:t xml:space="preserve">Sildenafil Cream, 3.6%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1,143,221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2,361,052</w:t>
            </w:r>
          </w:p>
        </w:tc>
      </w:tr>
      <w:tr>
        <w:trPr>
          <w:trHeight w:val="240"/>
        </w:trPr>
        <w:tc>
          <w:tcPr>
            <w:tcW w:w="5620" w:type="dxa"/>
            <w:vAlign w:val="bottom"/>
          </w:tcPr>
          <w:p>
            <w:pPr>
              <w:ind w:left="320"/>
              <w:spacing w:after="0"/>
              <w:rPr>
                <w:sz w:val="20"/>
                <w:szCs w:val="20"/>
                <w:color w:val="auto"/>
              </w:rPr>
            </w:pPr>
            <w:r>
              <w:rPr>
                <w:rFonts w:ascii="Arial" w:cs="Arial" w:eastAsia="Arial" w:hAnsi="Arial"/>
                <w:sz w:val="17"/>
                <w:szCs w:val="17"/>
                <w:color w:val="auto"/>
              </w:rPr>
              <w:t>Other advanced clinical stage programs</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2,805,127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1,421,888</w:t>
            </w:r>
          </w:p>
        </w:tc>
      </w:tr>
      <w:tr>
        <w:trPr>
          <w:trHeight w:val="240"/>
        </w:trPr>
        <w:tc>
          <w:tcPr>
            <w:tcW w:w="5620" w:type="dxa"/>
            <w:vAlign w:val="bottom"/>
            <w:shd w:val="clear" w:color="auto" w:fill="CCEEFF"/>
          </w:tcPr>
          <w:p>
            <w:pPr>
              <w:ind w:left="320"/>
              <w:spacing w:after="0" w:line="240" w:lineRule="exact"/>
              <w:rPr>
                <w:sz w:val="20"/>
                <w:szCs w:val="20"/>
                <w:color w:val="auto"/>
              </w:rPr>
            </w:pPr>
            <w:r>
              <w:rPr>
                <w:rFonts w:ascii="Arial" w:cs="Arial" w:eastAsia="Arial" w:hAnsi="Arial"/>
                <w:sz w:val="17"/>
                <w:szCs w:val="17"/>
                <w:color w:val="auto"/>
              </w:rPr>
              <w:t xml:space="preserve">Phase 1 and Phase 1-ready clinical stage programs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1,548,800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761,721</w:t>
            </w:r>
          </w:p>
        </w:tc>
      </w:tr>
      <w:tr>
        <w:trPr>
          <w:trHeight w:val="240"/>
        </w:trPr>
        <w:tc>
          <w:tcPr>
            <w:tcW w:w="5620" w:type="dxa"/>
            <w:vAlign w:val="bottom"/>
          </w:tcPr>
          <w:p>
            <w:pPr>
              <w:ind w:left="320"/>
              <w:spacing w:after="0" w:line="240" w:lineRule="exact"/>
              <w:rPr>
                <w:sz w:val="20"/>
                <w:szCs w:val="20"/>
                <w:color w:val="auto"/>
              </w:rPr>
            </w:pPr>
            <w:r>
              <w:rPr>
                <w:rFonts w:ascii="Arial" w:cs="Arial" w:eastAsia="Arial" w:hAnsi="Arial"/>
                <w:sz w:val="17"/>
                <w:szCs w:val="17"/>
                <w:color w:val="auto"/>
              </w:rPr>
              <w:t xml:space="preserve">Preclinical stage programs </w:t>
            </w:r>
            <w:r>
              <w:rPr>
                <w:rFonts w:ascii="Arial" w:cs="Arial" w:eastAsia="Arial" w:hAnsi="Arial"/>
                <w:sz w:val="21"/>
                <w:szCs w:val="21"/>
                <w:color w:val="auto"/>
                <w:vertAlign w:val="superscript"/>
              </w:rPr>
              <w:t>(1)</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6,365,438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4,233,762</w:t>
            </w:r>
          </w:p>
        </w:tc>
      </w:tr>
      <w:tr>
        <w:trPr>
          <w:trHeight w:val="240"/>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development programs</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27,542</w:t>
            </w:r>
          </w:p>
        </w:tc>
      </w:tr>
      <w:tr>
        <w:trPr>
          <w:trHeight w:val="240"/>
        </w:trPr>
        <w:tc>
          <w:tcPr>
            <w:tcW w:w="5620" w:type="dxa"/>
            <w:vAlign w:val="bottom"/>
            <w:tcBorders>
              <w:bottom w:val="single" w:sz="8" w:color="CCEEFF"/>
            </w:tcBorders>
          </w:tcPr>
          <w:p>
            <w:pPr>
              <w:ind w:left="320"/>
              <w:spacing w:after="0" w:line="240" w:lineRule="exact"/>
              <w:rPr>
                <w:sz w:val="20"/>
                <w:szCs w:val="20"/>
                <w:color w:val="auto"/>
              </w:rPr>
            </w:pPr>
            <w:r>
              <w:rPr>
                <w:rFonts w:ascii="Arial" w:cs="Arial" w:eastAsia="Arial" w:hAnsi="Arial"/>
                <w:sz w:val="17"/>
                <w:szCs w:val="17"/>
                <w:color w:val="auto"/>
              </w:rPr>
              <w:t xml:space="preserve">Contra-R&amp;D expenses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(13,919,881)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(7,685,533)</w:t>
            </w:r>
          </w:p>
        </w:tc>
      </w:tr>
      <w:tr>
        <w:trPr>
          <w:trHeight w:val="220"/>
        </w:trPr>
        <w:tc>
          <w:tcPr>
            <w:tcW w:w="5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research and development direct program costs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2,958,892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9,638,927</w:t>
            </w:r>
          </w:p>
        </w:tc>
      </w:tr>
      <w:tr>
        <w:trPr>
          <w:trHeight w:val="240"/>
        </w:trPr>
        <w:tc>
          <w:tcPr>
            <w:tcW w:w="5620" w:type="dxa"/>
            <w:vAlign w:val="bottom"/>
          </w:tcPr>
          <w:p>
            <w:pPr>
              <w:ind w:left="220"/>
              <w:spacing w:after="0"/>
              <w:rPr>
                <w:sz w:val="20"/>
                <w:szCs w:val="20"/>
                <w:color w:val="auto"/>
              </w:rPr>
            </w:pPr>
            <w:r>
              <w:rPr>
                <w:rFonts w:ascii="Arial" w:cs="Arial" w:eastAsia="Arial" w:hAnsi="Arial"/>
                <w:sz w:val="17"/>
                <w:szCs w:val="17"/>
                <w:color w:val="auto"/>
              </w:rPr>
              <w:t>Indirect costs: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Personnel-related (including stock compensation)</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4,691,957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5,611,057</w:t>
            </w:r>
          </w:p>
        </w:tc>
      </w:tr>
      <w:tr>
        <w:trPr>
          <w:trHeight w:val="240"/>
        </w:trPr>
        <w:tc>
          <w:tcPr>
            <w:tcW w:w="5620" w:type="dxa"/>
            <w:vAlign w:val="bottom"/>
          </w:tcPr>
          <w:p>
            <w:pPr>
              <w:ind w:left="320"/>
              <w:spacing w:after="0"/>
              <w:rPr>
                <w:sz w:val="20"/>
                <w:szCs w:val="20"/>
                <w:color w:val="auto"/>
              </w:rPr>
            </w:pPr>
            <w:r>
              <w:rPr>
                <w:rFonts w:ascii="Arial" w:cs="Arial" w:eastAsia="Arial" w:hAnsi="Arial"/>
                <w:sz w:val="17"/>
                <w:szCs w:val="17"/>
                <w:color w:val="auto"/>
              </w:rPr>
              <w:t>Other indirect costs</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281,787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254,772</w:t>
            </w:r>
          </w:p>
        </w:tc>
      </w:tr>
      <w:tr>
        <w:trPr>
          <w:trHeight w:val="240"/>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Contra R&amp;D expenses</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(2,409,284)</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(1,199,548)</w:t>
            </w:r>
          </w:p>
        </w:tc>
      </w:tr>
      <w:tr>
        <w:trPr>
          <w:trHeight w:val="220"/>
        </w:trPr>
        <w:tc>
          <w:tcPr>
            <w:tcW w:w="5620" w:type="dxa"/>
            <w:vAlign w:val="bottom"/>
          </w:tcPr>
          <w:p>
            <w:pPr>
              <w:ind w:left="220"/>
              <w:spacing w:after="0"/>
              <w:rPr>
                <w:sz w:val="20"/>
                <w:szCs w:val="20"/>
                <w:color w:val="auto"/>
              </w:rPr>
            </w:pPr>
            <w:r>
              <w:rPr>
                <w:rFonts w:ascii="Arial" w:cs="Arial" w:eastAsia="Arial" w:hAnsi="Arial"/>
                <w:sz w:val="17"/>
                <w:szCs w:val="17"/>
                <w:color w:val="auto"/>
              </w:rPr>
              <w:t>Total research and development indirect costs</w:t>
            </w:r>
          </w:p>
        </w:tc>
        <w:tc>
          <w:tcPr>
            <w:tcW w:w="18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2,564,460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4,666,281</w:t>
            </w:r>
          </w:p>
        </w:tc>
      </w:tr>
      <w:tr>
        <w:trPr>
          <w:trHeight w:val="240"/>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8,763,376</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9,156,061</w:t>
            </w:r>
          </w:p>
        </w:tc>
      </w:tr>
      <w:tr>
        <w:trPr>
          <w:trHeight w:val="220"/>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segment operating expenses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14,286,728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23,461,269</w:t>
            </w:r>
          </w:p>
        </w:tc>
      </w:tr>
      <w:tr>
        <w:trPr>
          <w:trHeight w:val="22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(13,552,334)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(23,451,485)</w:t>
            </w:r>
          </w:p>
        </w:tc>
      </w:tr>
      <w:tr>
        <w:trPr>
          <w:trHeight w:val="240"/>
        </w:trPr>
        <w:tc>
          <w:tcPr>
            <w:tcW w:w="5620" w:type="dxa"/>
            <w:vAlign w:val="bottom"/>
          </w:tcPr>
          <w:p>
            <w:pPr>
              <w:ind w:left="120"/>
              <w:spacing w:after="0"/>
              <w:rPr>
                <w:sz w:val="20"/>
                <w:szCs w:val="20"/>
                <w:color w:val="auto"/>
              </w:rPr>
            </w:pPr>
            <w:r>
              <w:rPr>
                <w:rFonts w:ascii="Arial" w:cs="Arial" w:eastAsia="Arial" w:hAnsi="Arial"/>
                <w:sz w:val="17"/>
                <w:szCs w:val="17"/>
                <w:color w:val="auto"/>
              </w:rPr>
              <w:t>Sale of royalty and milestone rights, net</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20,379,376</w:t>
            </w:r>
          </w:p>
        </w:tc>
      </w:tr>
      <w:tr>
        <w:trPr>
          <w:trHeight w:val="240"/>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822,709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857,364</w:t>
            </w:r>
          </w:p>
        </w:tc>
      </w:tr>
      <w:tr>
        <w:trPr>
          <w:trHeight w:val="240"/>
        </w:trPr>
        <w:tc>
          <w:tcPr>
            <w:tcW w:w="562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(679,740)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(539,743)</w:t>
            </w:r>
          </w:p>
        </w:tc>
      </w:tr>
      <w:tr>
        <w:trPr>
          <w:trHeight w:val="240"/>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(296,029)</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663,869</w:t>
            </w: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(13,399,274)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(4,053,599)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2120" w:right="1940" w:hanging="308"/>
        <w:spacing w:after="0" w:line="229" w:lineRule="auto"/>
        <w:tabs>
          <w:tab w:leader="none" w:pos="2111" w:val="left"/>
        </w:tabs>
        <w:numPr>
          <w:ilvl w:val="1"/>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The applicable program(s) receive grant funding and/or the Tax Incentive. The amount of R&amp;D expense for the period indicated is shown on a gross basis (i.e., without deducting the amount of contra R&amp;D expense for the applicable program(s). See footnote (3) below.</w:t>
      </w:r>
    </w:p>
    <w:p>
      <w:pPr>
        <w:spacing w:after="0" w:line="46" w:lineRule="exact"/>
        <w:rPr>
          <w:rFonts w:ascii="Arial" w:cs="Arial" w:eastAsia="Arial" w:hAnsi="Arial"/>
          <w:sz w:val="17"/>
          <w:szCs w:val="17"/>
          <w:i w:val="1"/>
          <w:iCs w:val="1"/>
          <w:color w:val="auto"/>
        </w:rPr>
      </w:pPr>
    </w:p>
    <w:p>
      <w:pPr>
        <w:ind w:left="2100" w:hanging="288"/>
        <w:spacing w:after="0"/>
        <w:tabs>
          <w:tab w:leader="none" w:pos="2100" w:val="left"/>
        </w:tabs>
        <w:numPr>
          <w:ilvl w:val="1"/>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For 2025, the dollar amount also includes expenses for DARE to PLAY.</w:t>
      </w:r>
    </w:p>
    <w:p>
      <w:pPr>
        <w:spacing w:after="0" w:line="69" w:lineRule="exact"/>
        <w:rPr>
          <w:rFonts w:ascii="Arial" w:cs="Arial" w:eastAsia="Arial" w:hAnsi="Arial"/>
          <w:sz w:val="17"/>
          <w:szCs w:val="17"/>
          <w:i w:val="1"/>
          <w:iCs w:val="1"/>
          <w:color w:val="auto"/>
        </w:rPr>
      </w:pPr>
    </w:p>
    <w:p>
      <w:pPr>
        <w:ind w:left="2120" w:right="1560" w:hanging="308"/>
        <w:spacing w:after="0" w:line="221" w:lineRule="auto"/>
        <w:tabs>
          <w:tab w:leader="none" w:pos="2111" w:val="left"/>
        </w:tabs>
        <w:numPr>
          <w:ilvl w:val="1"/>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These contra R&amp;D expenses were recognized as follows for the years ended December 31, 2025 and 2024: (a) Ovaprene, $2.5 million, and $0.2 million, respectively; (b) Other advanced clinical stage programs, $2.9 million and $0, respectively, (c) Phase 1 and Phase 1-ready clinical stage programs, $0.4 million and $1.3 million, respectively; and (d) Preclinical stage programs, $8.1 million and $6.2 million, respectively.</w:t>
      </w:r>
    </w:p>
    <w:p>
      <w:pPr>
        <w:spacing w:after="0" w:line="336" w:lineRule="exact"/>
        <w:rPr>
          <w:rFonts w:ascii="Arial" w:cs="Arial" w:eastAsia="Arial" w:hAnsi="Arial"/>
          <w:sz w:val="17"/>
          <w:szCs w:val="17"/>
          <w:i w:val="1"/>
          <w:iCs w:val="1"/>
          <w:color w:val="auto"/>
        </w:rPr>
      </w:pPr>
    </w:p>
    <w:p>
      <w:pPr>
        <w:ind w:left="420" w:hanging="419"/>
        <w:spacing w:after="0"/>
        <w:tabs>
          <w:tab w:leader="none" w:pos="4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Receipt of Payment Under October 2024 Grant Award</w:t>
      </w:r>
    </w:p>
    <w:p>
      <w:pPr>
        <w:spacing w:after="0" w:line="209"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On February 19, 2026, the Company received a $2.0 million payment from CMF under the agreement the Company entered into with CMF in October 2024 to support the development of DARE-HPV. For a discussion of this agreement, see Note 15, Grant Awards. Taking into account this payment, the Company has received a cumulative total of approximately $7.5 million of the up to $10.0 million in potential funding under this award.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Designation of Series A Preferred Stock</w:t>
      </w:r>
    </w:p>
    <w:p>
      <w:pPr>
        <w:spacing w:after="0" w:line="15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On January 23, 2026, in anticipation of the initial closing of its Regulation A offering (see “—Regulation A Offering,” below), the Company filed a Certificate of Designation of Series A Convertible Preferred Stock (the “Certificate of Designation”) with the Secretary of State of the State of Delaware, which became effective upon filing.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85" w:name="page186"/>
    <w:bookmarkEnd w:id="185"/>
    <w:p>
      <w:pPr>
        <w:jc w:val="both"/>
        <w:spacing w:after="0" w:line="264" w:lineRule="auto"/>
        <w:rPr>
          <w:sz w:val="20"/>
          <w:szCs w:val="20"/>
          <w:color w:val="auto"/>
        </w:rPr>
      </w:pPr>
      <w:r>
        <w:rPr>
          <w:rFonts w:ascii="Arial" w:cs="Arial" w:eastAsia="Arial" w:hAnsi="Arial"/>
          <w:sz w:val="17"/>
          <w:szCs w:val="17"/>
          <w:color w:val="auto"/>
        </w:rPr>
        <w:t>The Certificate of Designation designates 4,999,620 shares of the Company’s authorized preferred stock, $0.01 par value per share, as Series A Convertible Preferred Stock (the “Series A Preferred Stock”) and establishes the following powers, preferences and rights, and qualifications, limitations and restrictions of such series of preferred stock:</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Except as required by law, the Series A Preferred Stock has no voting rights.</w:t>
      </w:r>
    </w:p>
    <w:p>
      <w:pPr>
        <w:spacing w:after="0" w:line="108"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u w:val="single" w:color="auto"/>
          <w:color w:val="auto"/>
        </w:rPr>
        <w:t>Ranking</w:t>
      </w:r>
      <w:r>
        <w:rPr>
          <w:rFonts w:ascii="Arial" w:cs="Arial" w:eastAsia="Arial" w:hAnsi="Arial"/>
          <w:sz w:val="17"/>
          <w:szCs w:val="17"/>
          <w:color w:val="auto"/>
        </w:rPr>
        <w:t>. The Series A Preferred Stock ranks, as to rights upon liquidation, dissolution, or winding up, senior to the Company’s common stock. The terms of the Series A Preferred Stock do not limit the Company’s ability to (i) incur indebtedness or (ii) issue additional equity securities that are senior in rank to the Series A Preferred Stock as to dividend or distribution rights and rights upon liquidation, dissolution or winding up.</w:t>
      </w:r>
    </w:p>
    <w:p>
      <w:pPr>
        <w:spacing w:after="0" w:line="63"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u w:val="single" w:color="auto"/>
          <w:color w:val="auto"/>
        </w:rPr>
        <w:t>Stated Value</w:t>
      </w:r>
      <w:r>
        <w:rPr>
          <w:rFonts w:ascii="Arial" w:cs="Arial" w:eastAsia="Arial" w:hAnsi="Arial"/>
          <w:sz w:val="17"/>
          <w:szCs w:val="17"/>
          <w:color w:val="auto"/>
        </w:rPr>
        <w:t>. Each share of the Series A Preferred Stock has an initial stated value of $5.00, subject to customary adjustments in the event of stock dividends, stock splits, reorganizations or similar events affecting the Series A Preferred Stock.</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Holders of the Series A Preferred Stock are not entitled to receive any dividends.</w:t>
      </w:r>
    </w:p>
    <w:p>
      <w:pPr>
        <w:spacing w:after="0" w:line="10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The liquidation preference for each share of the Series A Preferred Stock is $5.00 per share, subject to customary adjustments in the event of stock dividends, stock splits, reorganizations or similar events affecting the Series A Preferred Stock. Upon the Company’s liquidation, dissolution or winding up, to the extent the Company has the cash available, holders of shares of the Series A Preferred Stock will be entitled to receive the liquidation preference with respect to their shares of Series A Preferred Stock.</w:t>
      </w:r>
    </w:p>
    <w:p>
      <w:pPr>
        <w:spacing w:after="0" w:line="66"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7"/>
          <w:szCs w:val="17"/>
          <w:u w:val="single" w:color="auto"/>
          <w:color w:val="auto"/>
        </w:rPr>
        <w:t>Company Call Option</w:t>
      </w:r>
      <w:r>
        <w:rPr>
          <w:rFonts w:ascii="Arial" w:cs="Arial" w:eastAsia="Arial" w:hAnsi="Arial"/>
          <w:sz w:val="17"/>
          <w:szCs w:val="17"/>
          <w:color w:val="auto"/>
        </w:rPr>
        <w:t>. Commencing on the third anniversary of the initial closing of the Regulation A offering and continuing indefinitely thereafter, the Company will have a right to call for redemption the outstanding shares of the Series A Preferred Stock at a per share call price equal to the lesser of (i) the stated value per share plus a non-compounded rate of return calculated at 8% per annum, and (ii) 200% of the stated value per share, subject to customary adjustments in the event of stock dividends, stock splits, reorganizations or similar events affecting the Series A Preferred Stock.</w:t>
      </w:r>
    </w:p>
    <w:p>
      <w:pPr>
        <w:spacing w:after="0" w:line="6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u w:val="single" w:color="auto"/>
          <w:color w:val="auto"/>
        </w:rPr>
        <w:t>Conversion at Option of Holder</w:t>
      </w:r>
      <w:r>
        <w:rPr>
          <w:rFonts w:ascii="Arial" w:cs="Arial" w:eastAsia="Arial" w:hAnsi="Arial"/>
          <w:sz w:val="17"/>
          <w:szCs w:val="17"/>
          <w:color w:val="auto"/>
        </w:rPr>
        <w:t>. At any time after issuance, each share of the Series A Preferred Stock is convertible at the option of the holder thereof into shares of the Company’s common stock at a conversion price of $2.50 per share (the “Initial Conversion Price”), subject to customary adjustments in the event of stock dividends, stock splits, reorganizations or similar events. Accordingly, each share of the Series A Preferred Stock is initially convertible into two shares of the Company’s common stock.</w:t>
      </w:r>
    </w:p>
    <w:p>
      <w:pPr>
        <w:spacing w:after="0" w:line="66"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6"/>
          <w:szCs w:val="16"/>
          <w:u w:val="single" w:color="auto"/>
          <w:color w:val="auto"/>
        </w:rPr>
        <w:t>Forced Conversion</w:t>
      </w:r>
      <w:r>
        <w:rPr>
          <w:rFonts w:ascii="Arial" w:cs="Arial" w:eastAsia="Arial" w:hAnsi="Arial"/>
          <w:sz w:val="16"/>
          <w:szCs w:val="16"/>
          <w:color w:val="auto"/>
        </w:rPr>
        <w:t>. If at any time after issuance, any of the following events occurs, the Company will have the right to require the holders of shares of Series A Preferred Stock to convert all, or any portion of, their shares of Series A Preferred Stock into shares of the Company’s common stock: (a) a change in control, (b) if the closing price of the Company’s common stock is at or above $4.50 per share, subject to customary adjustments in the event of stock dividends, stock splits, reorganizations or similar events, for any 10 trading days out of any 30 consecutive trading day period, or</w:t>
      </w:r>
    </w:p>
    <w:p>
      <w:pPr>
        <w:spacing w:after="0" w:line="3" w:lineRule="exact"/>
        <w:rPr>
          <w:sz w:val="20"/>
          <w:szCs w:val="20"/>
          <w:color w:val="auto"/>
        </w:rPr>
      </w:pPr>
    </w:p>
    <w:p>
      <w:pPr>
        <w:jc w:val="both"/>
        <w:ind w:firstLine="1"/>
        <w:spacing w:after="0" w:line="254" w:lineRule="auto"/>
        <w:tabs>
          <w:tab w:leader="none" w:pos="251"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Company consummates a firm commitment public offering of shares of the Company’s common stock resulting in gross proceeds of at least $15.0 million at an offering price per share equal to or greater than $4.50, subject to customary adjustments in the event of stock dividends, stock splits, reorganizations or similar events.</w:t>
      </w:r>
    </w:p>
    <w:p>
      <w:pPr>
        <w:spacing w:after="0" w:line="71" w:lineRule="exact"/>
        <w:rPr>
          <w:sz w:val="20"/>
          <w:szCs w:val="20"/>
          <w:color w:val="auto"/>
        </w:rPr>
      </w:pPr>
    </w:p>
    <w:p>
      <w:pPr>
        <w:jc w:val="both"/>
        <w:ind w:firstLine="607"/>
        <w:spacing w:after="0" w:line="251" w:lineRule="auto"/>
        <w:rPr>
          <w:sz w:val="20"/>
          <w:szCs w:val="20"/>
          <w:color w:val="auto"/>
        </w:rPr>
      </w:pPr>
      <w:r>
        <w:rPr>
          <w:rFonts w:ascii="Arial" w:cs="Arial" w:eastAsia="Arial" w:hAnsi="Arial"/>
          <w:sz w:val="17"/>
          <w:szCs w:val="17"/>
          <w:u w:val="single" w:color="auto"/>
          <w:color w:val="auto"/>
        </w:rPr>
        <w:t>Limitations on Conversion</w:t>
      </w:r>
      <w:r>
        <w:rPr>
          <w:rFonts w:ascii="Arial" w:cs="Arial" w:eastAsia="Arial" w:hAnsi="Arial"/>
          <w:sz w:val="17"/>
          <w:szCs w:val="17"/>
          <w:color w:val="auto"/>
        </w:rPr>
        <w:t>. Notwithstanding the conversion rights described above, to the extent prohibited by applicable rules of The Nasdaq Stock Market LLC or any other national securities exchange or trading market on which the Company’s capital stock is listed, the Company will not issue shares of Common Stock upon conversion of shares of Series A Preferred Stock if such issuance will result in a change of control of the Company under Nasdaq Listing Rule 5635(b) or would violate Nasdaq Listing Rule 5635(d), in each case, unless the Company obtains stockholder approval of such issuance in accordance with such applicable rules. As it applies to the Regulation A offering, Nasdaq Listing Rule 5635(d) generally provides that if the initial conversion price of the Series A Preferred Stock is less than the “Minimum Price” (as such term is defined in Nasdaq Listing Rule 5635(d)) plus $0.125 (with such amount added to account for the valuation, under the Nasdaq Listing Rules, of the warrants issued as part of the units in the Offering), stockholder approval is required prior to the issuance of shares of the Company’s common stock in the offering that equals or exceeds 20% or more of the total number of shares of the Company’s common stock outstanding as of immediately prior the initial closing the offering. For additional information regarding the applicability of Nasdaq Listing Rule 5635(d), see “Regulation A Offering—Initial Closing,” below.</w:t>
      </w:r>
    </w:p>
    <w:p>
      <w:pPr>
        <w:spacing w:after="0" w:line="78" w:lineRule="exact"/>
        <w:rPr>
          <w:sz w:val="20"/>
          <w:szCs w:val="20"/>
          <w:color w:val="auto"/>
        </w:rPr>
      </w:pPr>
    </w:p>
    <w:p>
      <w:pPr>
        <w:jc w:val="both"/>
        <w:ind w:firstLine="607"/>
        <w:spacing w:after="0" w:line="281" w:lineRule="auto"/>
        <w:rPr>
          <w:sz w:val="20"/>
          <w:szCs w:val="20"/>
          <w:color w:val="auto"/>
        </w:rPr>
      </w:pPr>
      <w:r>
        <w:rPr>
          <w:rFonts w:ascii="Arial" w:cs="Arial" w:eastAsia="Arial" w:hAnsi="Arial"/>
          <w:sz w:val="17"/>
          <w:szCs w:val="17"/>
          <w:u w:val="single" w:color="auto"/>
          <w:color w:val="auto"/>
        </w:rPr>
        <w:t>No Redemption Right</w:t>
      </w:r>
      <w:r>
        <w:rPr>
          <w:rFonts w:ascii="Arial" w:cs="Arial" w:eastAsia="Arial" w:hAnsi="Arial"/>
          <w:sz w:val="17"/>
          <w:szCs w:val="17"/>
          <w:color w:val="auto"/>
        </w:rPr>
        <w:t>. The Series A Preferred Stock has no maturity date, and the Company is not required to redeem any of the Series A Preferred Stock at any time.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661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i w:val="1"/>
          <w:iCs w:val="1"/>
          <w:color w:val="auto"/>
        </w:rPr>
        <w:t>Regulation A Offering</w:t>
      </w:r>
    </w:p>
    <w:p>
      <w:pPr>
        <w:spacing w:after="0" w:line="171"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On January 27, 2026, the Company completed the initial closing of its Regulation A offering of up to 4,854,000 units (each, an “Investor Unit” and collectively the “Investor Units”), each consisting of one share of Series A Preferred Stock and two warrants, each to purchase one share of the Company’s common stock (“Investor Warrants”), with each Investor Unit being offered at an offering price of $5.00 (the “Regulation A offering”). The closing price of the Company’s common stock on January 26, 2026, was $ 1.90, and because the Initial Conversion Price exceeded the sum of that closing price plus $0.125, the limitations under Nasdaq Listing Rule 5635(d) that could have applied to the conversion of the Series A Preferred Stock and to the exercise of the Investor Warrants issued in the Regulation A offering will not apply to any of the shares of Series A Preferred Stock or the Investor Warrants that are part of the up to 4,854,000 Investors Units that may be issued in the Regulation A offering.</w:t>
      </w:r>
    </w:p>
    <w:p>
      <w:pPr>
        <w:spacing w:after="0" w:line="74"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6"/>
          <w:szCs w:val="16"/>
          <w:color w:val="auto"/>
        </w:rPr>
        <w:t>The Regulation A offering is being conducted pursuant to the Company’s offering statement on Form 1-A (File No. 024-12688), as amended (the “Offering Statement”), which was qualified by the SEC on January 5, 2026, and the offering circular, dated January 6, 2026, which forms a part thereof (the “Offering Circular”). The Regulation A offering is being conducted on a “best efforts” basis pursuant to a selling agency agreement, dated January 5, 2026 (the “Selling Agency Agreement”), between the Company and Digital Offering, LLC (“Digital Offering”), acting as the lead selling agent for the Regulation A offering. Digital Offering is not required to sell any specific number or dollar amount of Investor Units. The Company will pay to Digital Offering a placement fee equal to 7.25% of the offering price per Investor Unit sold in the Regulation A offering. The Company will also issue Agent Unit Warrants (as defined below) to purchase that number of Agent Units (as defined below) equal to 3% of the total number of Investor Units sold in the Regulation A offering. In addition, the Company paid Digital Offering a $25,000 consulting fee and reimbursed or will reimburse Digital Offering for up to $85,000 of its reasonable, out-of-pocket, and documented fees and expenses incurred in connection with the Regulation A offering.</w:t>
      </w:r>
    </w:p>
    <w:p>
      <w:pPr>
        <w:spacing w:after="0" w:line="65" w:lineRule="exact"/>
        <w:rPr>
          <w:sz w:val="20"/>
          <w:szCs w:val="20"/>
          <w:color w:val="auto"/>
        </w:rPr>
      </w:pPr>
    </w:p>
    <w:p>
      <w:pPr>
        <w:jc w:val="both"/>
        <w:ind w:firstLine="607"/>
        <w:spacing w:after="0" w:line="280" w:lineRule="auto"/>
        <w:rPr>
          <w:sz w:val="20"/>
          <w:szCs w:val="20"/>
          <w:color w:val="auto"/>
        </w:rPr>
      </w:pPr>
      <w:r>
        <w:rPr>
          <w:rFonts w:ascii="Arial" w:cs="Arial" w:eastAsia="Arial" w:hAnsi="Arial"/>
          <w:sz w:val="16"/>
          <w:szCs w:val="16"/>
          <w:color w:val="auto"/>
        </w:rPr>
        <w:t>The Investor Warrants are exercisable at any time after issuance through the 36-month anniversary of their date of issuance at an exercise price of $4.00 per share of the Company’s common stock, subject to customary adjustments in the event of stock dividends, stock splits, reorganizations or similar events. Notwithstanding the foregoing, there are certain limitations on the exercise of the Investor Warrants to the extent a holder (together with its affiliates) would own more than 4.99% (or 9.99%) of the outstanding the Company’s common stock immediately after exercise.</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Regulation A offering will terminate at the earliest of (i) the date on which the maximum offering amount of Investor Units has been sold,</w:t>
      </w:r>
    </w:p>
    <w:p>
      <w:pPr>
        <w:spacing w:after="0" w:line="23" w:lineRule="exact"/>
        <w:rPr>
          <w:sz w:val="20"/>
          <w:szCs w:val="20"/>
          <w:color w:val="auto"/>
        </w:rPr>
      </w:pPr>
    </w:p>
    <w:p>
      <w:pPr>
        <w:ind w:firstLine="1"/>
        <w:spacing w:after="0" w:line="261"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January 5, 2027 (one year after the date on which the Offering Statement was qualified by the SEC) and (iii) the date on which the Company determines to terminate the Regulation A offering, which the Company may do in its sole discretion at any time and for any reason or no reason.</w:t>
      </w:r>
    </w:p>
    <w:p>
      <w:pPr>
        <w:spacing w:after="0" w:line="64"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7"/>
          <w:szCs w:val="17"/>
          <w:color w:val="auto"/>
        </w:rPr>
        <w:t>The Offering Circular also relates to (i) 145,620 warrants (the “Agent Unit Warrants”) to purchase up to 145,620 units (the “Agent Units”) issuable to the selling agent(s) for the Regulation A offering, each Agent Unit consisting of one share of Series A Preferred Stock and two warrants, each to purchase one share of the Company’s common stock, (ii) up to 145,620 shares of Series A Preferred Stock issuable upon exercise of the Agent Unit Warrants and up to 291,240 shares of the Company’s common stock issuable upon conversion of such shares of Series A Preferred Stock, and (iii) up to 291,240 warrants (the “Agent Common Warrants”) issuable upon exercise of the Agent Unit Warrants and up to 291,240 shares of the Company’s common stock issuable upon exercise of the Agent Common Warrants. The Company will issue Agent Unit Warrants to purchase that number of Agent Units equal to 3% of the total number of Investor Units sold in the Regulation A offering.</w:t>
      </w:r>
    </w:p>
    <w:p>
      <w:pPr>
        <w:spacing w:after="0" w:line="74"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exercise price per Agent Unit Warrant is $6.25, subject to customary adjustments in the event of stock dividends, stock splits, reorganizations or similar events. The Agent Unit Warrants will expire on January 7, 2031, which is the five-year anniversary of the date of commencement of sales in the Regulation A offering.</w:t>
      </w:r>
    </w:p>
    <w:p>
      <w:pPr>
        <w:spacing w:after="0" w:line="63"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The exercise price per Agent Common Warrant is $4.00 per share, subject to customary adjustments in the event of stock dividends, stock splits, reorganizations or similar events. The terms of the Agent Common Warrant are substantially similar to the terms of the Investor Warrant, except that they expire on January 7, 2031.</w:t>
      </w:r>
    </w:p>
    <w:p>
      <w:pPr>
        <w:spacing w:after="0" w:line="126" w:lineRule="exact"/>
        <w:rPr>
          <w:sz w:val="20"/>
          <w:szCs w:val="20"/>
          <w:color w:val="auto"/>
        </w:rPr>
      </w:pPr>
    </w:p>
    <w:p>
      <w:pPr>
        <w:jc w:val="both"/>
        <w:ind w:firstLine="607"/>
        <w:spacing w:after="0" w:line="264" w:lineRule="auto"/>
        <w:rPr>
          <w:sz w:val="20"/>
          <w:szCs w:val="20"/>
          <w:color w:val="auto"/>
        </w:rPr>
      </w:pPr>
      <w:r>
        <w:rPr>
          <w:rFonts w:ascii="Arial" w:cs="Arial" w:eastAsia="Arial" w:hAnsi="Arial"/>
          <w:sz w:val="17"/>
          <w:szCs w:val="17"/>
          <w:color w:val="auto"/>
        </w:rPr>
        <w:t>As of the filing date of this report, the Company has issued an aggregate of 65,640 Investor Units consisting of 65,640 shares of Series A Preferred Stock and Investor Warrants to purchase up to 131,280 shares of the Company’s common stock, for gross proceeds of approximately $328,200, and 1,968 Agent Units.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93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9"/>
          <w:szCs w:val="19"/>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3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42" w:lineRule="exact"/>
        <w:rPr>
          <w:sz w:val="20"/>
          <w:szCs w:val="20"/>
          <w:color w:val="auto"/>
        </w:rPr>
      </w:pPr>
    </w:p>
    <w:p>
      <w:pPr>
        <w:ind w:right="520"/>
        <w:spacing w:after="0" w:line="281" w:lineRule="auto"/>
        <w:rPr>
          <w:sz w:val="20"/>
          <w:szCs w:val="20"/>
          <w:color w:val="auto"/>
        </w:rPr>
      </w:pPr>
      <w:r>
        <w:rPr>
          <w:rFonts w:ascii="Arial" w:cs="Arial" w:eastAsia="Arial" w:hAnsi="Arial"/>
          <w:sz w:val="17"/>
          <w:szCs w:val="17"/>
          <w:color w:val="auto"/>
        </w:rPr>
        <w:t>As of March 26, 2026, Daré Bioscience, Inc. (the "Company," "we," "our" and "us") had one class of securities registered under Section 12 of the Securities Exchange Act of 1934 (the “Exchange Act”): common stock, $0.0001 par value per share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following is a brief description of the rights of our common stock. The description is qualified in its entirety by reference to, and should be read in conjunction with, our Restated Certificate of Incorporation (as amended, "Certificate"), our Third Amended and Restated By-laws (as amended, "Bylaws"), and the applicable provisions of the Delaware General Corporation Law (the "DGCL"). Our Certificate and Bylaws are filed as exhibits to our Annual Report on Form 10-K, which is filed with the U.S. Securities and Exchange Commission and is publicly available. We encourage you to read our Certificate, our Bylaws and the applicable provisions of the DGCL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w:t>
      </w:r>
    </w:p>
    <w:p>
      <w:pPr>
        <w:spacing w:after="0" w:line="3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are authorized to issue up to 240,000,000 shares of common stock and up to 5,000,000 shares of preferred stock, $0.01 par value per share (the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On January 23, 2026, we filed a Certificate of Designation of Series A Convertible Preferred Stock (the “Certificate of Designation”) with the Secretary of State of the State of Delaware, which became effective upon filing. The Certificate of Designation designates 4,999,620 shares of our authorized preferred stock as Series A Convertible Preferred Stock (“Series A Preferred Stock”), which our board of directors has the right to issue without further action by our stockholders. As of March 26, 2026, 65,640 shares of our Series A Preferred Stock were outstanding. Our Series A Preferred Stock ranks, as to rights upon our liquidation, dissolution, or winding up, senior to our common stock. The liquidation preference for each share of our Series A Preferred Stock is $ 5.00 per share, subject to customary adjustments in the event of stock dividends, stock splits, reorganizations or similar events affecting our Series A Preferred Stock. Except as required by law, the Series A Preferred Stock has no voting rights. For additional information regarding the powers, preferences and rights, and qualifications, limitations and restrictions of our Series A Preferred Stock, see Note 17, “Subsequent Events," to our consolidated financial statements included in our Annual Report on Form 10-K for the fiscal year ended December 31, 2025.</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Assuming no change in the authorized number of shares of Series A Preferred Stock, our board of directors has the authority, without further action by our stockholders, to issue up to 380 additional shares of preferred stock in one or more series and to fix the rights, preferences, privileges and restrictions thereof, including dividend rights, conversion rights, voting rights, terms of redemption and liquidation preferences, any or all of which may be greater than the rights of the holders of our common stock. In addition, to the extent that any shares of Series A Preferred Stock previously designated under the Certificate of Designation are not issued, our board of directors may, subject to applicable law, redesignate such shares as a new or different series of preferred stock and establish the rights, preferences, privileges and restrictions of such series, any or all of which may be greater than the rights of the holders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Holders of our Common Stock</w:t>
      </w:r>
    </w:p>
    <w:p>
      <w:pPr>
        <w:spacing w:after="0" w:line="23"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apply to any then outstanding preferred stock, holders of our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if any, as may be declared from time to time by our board of directors out of legally available funds.</w:t>
      </w:r>
    </w:p>
    <w:p>
      <w:pPr>
        <w:sectPr>
          <w:pgSz w:w="11900" w:h="16838" w:orient="portrait"/>
          <w:cols w:equalWidth="0" w:num="1">
            <w:col w:w="11240"/>
          </w:cols>
          <w:pgMar w:left="320" w:top="118" w:right="339" w:bottom="1440" w:gutter="0" w:footer="0" w:header="0"/>
        </w:sectPr>
      </w:pPr>
    </w:p>
    <w:bookmarkStart w:id="188" w:name="page189"/>
    <w:bookmarkEnd w:id="188"/>
    <w:p>
      <w:pPr>
        <w:ind w:right="140"/>
        <w:spacing w:after="0" w:line="29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our common stock is entitled to one vote for each share on all matters submitted to a vote of the stockholders,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election of directors. Our stockholders do not have cumulative voting rights.</w:t>
      </w:r>
    </w:p>
    <w:p>
      <w:pPr>
        <w:spacing w:after="0" w:line="74"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our liquidation, dissolution or winding up, holders of our common stock will be entitled to share ratably in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06" w:lineRule="exact"/>
        <w:rPr>
          <w:sz w:val="20"/>
          <w:szCs w:val="20"/>
          <w:color w:val="auto"/>
        </w:rPr>
      </w:pPr>
    </w:p>
    <w:p>
      <w:pPr>
        <w:ind w:right="520"/>
        <w:spacing w:after="0" w:line="281" w:lineRule="auto"/>
        <w:rPr>
          <w:sz w:val="20"/>
          <w:szCs w:val="20"/>
          <w:color w:val="auto"/>
        </w:rPr>
      </w:pPr>
      <w:r>
        <w:rPr>
          <w:rFonts w:ascii="Arial" w:cs="Arial" w:eastAsia="Arial" w:hAnsi="Arial"/>
          <w:sz w:val="17"/>
          <w:szCs w:val="17"/>
          <w:i w:val="1"/>
          <w:iCs w:val="1"/>
          <w:color w:val="auto"/>
        </w:rPr>
        <w:t>No Preemptive Rights</w:t>
      </w:r>
      <w:r>
        <w:rPr>
          <w:rFonts w:ascii="Arial" w:cs="Arial" w:eastAsia="Arial" w:hAnsi="Arial"/>
          <w:sz w:val="17"/>
          <w:szCs w:val="17"/>
          <w:color w:val="auto"/>
        </w:rPr>
        <w:t>. Holders of our common stock have no preemptive, conversion, subscription or other rights, and there is no redemption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sinking fund provision applicable to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 Provisions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provisions in our Certificate and in our Bylaws may have an anti-takeover effect, including:</w:t>
      </w:r>
    </w:p>
    <w:p>
      <w:pPr>
        <w:spacing w:after="0" w:line="193" w:lineRule="exact"/>
        <w:rPr>
          <w:sz w:val="20"/>
          <w:szCs w:val="20"/>
          <w:color w:val="auto"/>
        </w:rPr>
      </w:pPr>
    </w:p>
    <w:p>
      <w:pPr>
        <w:ind w:right="520" w:firstLine="607"/>
        <w:spacing w:after="0" w:line="281" w:lineRule="auto"/>
        <w:rPr>
          <w:sz w:val="20"/>
          <w:szCs w:val="20"/>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We have a classified board of directors with three-year staggered terms, which may delay the ability of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change the composition of a majority of our board of directors.</w:t>
      </w:r>
    </w:p>
    <w:p>
      <w:pPr>
        <w:spacing w:after="0" w:line="149" w:lineRule="exact"/>
        <w:rPr>
          <w:sz w:val="20"/>
          <w:szCs w:val="20"/>
          <w:color w:val="auto"/>
        </w:rPr>
      </w:pPr>
    </w:p>
    <w:p>
      <w:pPr>
        <w:ind w:right="140" w:firstLine="607"/>
        <w:spacing w:after="0" w:line="281" w:lineRule="auto"/>
        <w:rPr>
          <w:sz w:val="20"/>
          <w:szCs w:val="20"/>
          <w:color w:val="auto"/>
        </w:rPr>
      </w:pPr>
      <w:r>
        <w:rPr>
          <w:rFonts w:ascii="Arial" w:cs="Arial" w:eastAsia="Arial" w:hAnsi="Arial"/>
          <w:sz w:val="17"/>
          <w:szCs w:val="17"/>
          <w:i w:val="1"/>
          <w:iCs w:val="1"/>
          <w:color w:val="auto"/>
        </w:rPr>
        <w:t xml:space="preserve">Number of Directors. </w:t>
      </w:r>
      <w:r>
        <w:rPr>
          <w:rFonts w:ascii="Arial" w:cs="Arial" w:eastAsia="Arial" w:hAnsi="Arial"/>
          <w:sz w:val="17"/>
          <w:szCs w:val="17"/>
          <w:color w:val="auto"/>
        </w:rPr>
        <w:t>The number of directors on our board of directors is established by our board of directors, which may delay the 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to change the composition of a majority of our board of directors.</w:t>
      </w:r>
    </w:p>
    <w:p>
      <w:pPr>
        <w:spacing w:after="0" w:line="149" w:lineRule="exact"/>
        <w:rPr>
          <w:sz w:val="20"/>
          <w:szCs w:val="20"/>
          <w:color w:val="auto"/>
        </w:rPr>
      </w:pPr>
    </w:p>
    <w:p>
      <w:pPr>
        <w:ind w:right="40" w:firstLine="607"/>
        <w:spacing w:after="0" w:line="281" w:lineRule="auto"/>
        <w:rPr>
          <w:sz w:val="20"/>
          <w:szCs w:val="20"/>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Our stockholders cannot cumulate their votes in the election of directors, which limits the ability of minority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to elect director candidates.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Filling of Vacancies</w:t>
      </w:r>
      <w:r>
        <w:rPr>
          <w:rFonts w:ascii="Arial" w:cs="Arial" w:eastAsia="Arial" w:hAnsi="Arial"/>
          <w:sz w:val="17"/>
          <w:szCs w:val="17"/>
          <w:color w:val="auto"/>
        </w:rPr>
        <w:t>. Our board of directors have the exclusive right to elect a director to fill any vacancy or newly created directorship.</w:t>
      </w:r>
    </w:p>
    <w:p>
      <w:pPr>
        <w:spacing w:after="0" w:line="209" w:lineRule="exact"/>
        <w:rPr>
          <w:sz w:val="20"/>
          <w:szCs w:val="20"/>
          <w:color w:val="auto"/>
        </w:rPr>
      </w:pPr>
    </w:p>
    <w:p>
      <w:pPr>
        <w:ind w:right="520" w:firstLine="607"/>
        <w:spacing w:after="0" w:line="281" w:lineRule="auto"/>
        <w:rPr>
          <w:sz w:val="20"/>
          <w:szCs w:val="20"/>
          <w:color w:val="auto"/>
        </w:rPr>
      </w:pPr>
      <w:r>
        <w:rPr>
          <w:rFonts w:ascii="Arial" w:cs="Arial" w:eastAsia="Arial" w:hAnsi="Arial"/>
          <w:sz w:val="17"/>
          <w:szCs w:val="17"/>
          <w:i w:val="1"/>
          <w:iCs w:val="1"/>
          <w:color w:val="auto"/>
        </w:rPr>
        <w:t>Removing Directors</w:t>
      </w:r>
      <w:r>
        <w:rPr>
          <w:rFonts w:ascii="Arial" w:cs="Arial" w:eastAsia="Arial" w:hAnsi="Arial"/>
          <w:sz w:val="17"/>
          <w:szCs w:val="17"/>
          <w:color w:val="auto"/>
        </w:rPr>
        <w:t>. A director may be removed only for cause and only by the affirmative vote of at least 75% of the votes which all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would be entitled to cast in any annual election of directors or class of directors.</w:t>
      </w:r>
    </w:p>
    <w:p>
      <w:pPr>
        <w:spacing w:after="0" w:line="149" w:lineRule="exact"/>
        <w:rPr>
          <w:sz w:val="20"/>
          <w:szCs w:val="20"/>
          <w:color w:val="auto"/>
        </w:rPr>
      </w:pPr>
    </w:p>
    <w:p>
      <w:pPr>
        <w:ind w:right="120" w:firstLine="607"/>
        <w:spacing w:after="0" w:line="281" w:lineRule="auto"/>
        <w:rPr>
          <w:sz w:val="20"/>
          <w:szCs w:val="20"/>
          <w:color w:val="auto"/>
        </w:rPr>
      </w:pPr>
      <w:r>
        <w:rPr>
          <w:rFonts w:ascii="Arial" w:cs="Arial" w:eastAsia="Arial" w:hAnsi="Arial"/>
          <w:sz w:val="17"/>
          <w:szCs w:val="17"/>
          <w:i w:val="1"/>
          <w:iCs w:val="1"/>
          <w:color w:val="auto"/>
        </w:rPr>
        <w:t>Prohibition on Written Consent</w:t>
      </w:r>
      <w:r>
        <w:rPr>
          <w:rFonts w:ascii="Arial" w:cs="Arial" w:eastAsia="Arial" w:hAnsi="Arial"/>
          <w:sz w:val="17"/>
          <w:szCs w:val="17"/>
          <w:color w:val="auto"/>
        </w:rPr>
        <w:t>. Our stockholders are prohibited from acting by written consent, which forces stockholder action to be taken at</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or special meeting of our stockholders.</w:t>
      </w:r>
    </w:p>
    <w:p>
      <w:pPr>
        <w:spacing w:after="0" w:line="149" w:lineRule="exact"/>
        <w:rPr>
          <w:sz w:val="20"/>
          <w:szCs w:val="20"/>
          <w:color w:val="auto"/>
        </w:rPr>
      </w:pPr>
    </w:p>
    <w:p>
      <w:pPr>
        <w:ind w:right="200" w:firstLine="607"/>
        <w:spacing w:after="0" w:line="264" w:lineRule="auto"/>
        <w:rPr>
          <w:sz w:val="20"/>
          <w:szCs w:val="20"/>
          <w:color w:val="auto"/>
        </w:rPr>
      </w:pPr>
      <w:r>
        <w:rPr>
          <w:rFonts w:ascii="Arial" w:cs="Arial" w:eastAsia="Arial" w:hAnsi="Arial"/>
          <w:sz w:val="17"/>
          <w:szCs w:val="17"/>
          <w:i w:val="1"/>
          <w:iCs w:val="1"/>
          <w:color w:val="auto"/>
        </w:rPr>
        <w:t>Calling Special Meetings</w:t>
      </w:r>
      <w:r>
        <w:rPr>
          <w:rFonts w:ascii="Arial" w:cs="Arial" w:eastAsia="Arial" w:hAnsi="Arial"/>
          <w:sz w:val="17"/>
          <w:szCs w:val="17"/>
          <w:color w:val="auto"/>
        </w:rPr>
        <w:t>. Special meetings of our stockholders may be called only by our board of directors, the chairman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or our chief executive officer, which may delay the ability of our stockholders to force consideration of a proposal or to take action, including the removal of directors.</w:t>
      </w:r>
    </w:p>
    <w:p>
      <w:pPr>
        <w:spacing w:after="0" w:line="164" w:lineRule="exact"/>
        <w:rPr>
          <w:sz w:val="20"/>
          <w:szCs w:val="20"/>
          <w:color w:val="auto"/>
        </w:rPr>
      </w:pPr>
    </w:p>
    <w:p>
      <w:pPr>
        <w:ind w:firstLine="607"/>
        <w:spacing w:after="0" w:line="264" w:lineRule="auto"/>
        <w:rPr>
          <w:sz w:val="20"/>
          <w:szCs w:val="20"/>
          <w:color w:val="auto"/>
        </w:rPr>
      </w:pPr>
      <w:r>
        <w:rPr>
          <w:rFonts w:ascii="Arial" w:cs="Arial" w:eastAsia="Arial" w:hAnsi="Arial"/>
          <w:sz w:val="17"/>
          <w:szCs w:val="17"/>
          <w:i w:val="1"/>
          <w:iCs w:val="1"/>
          <w:color w:val="auto"/>
        </w:rPr>
        <w:t>Advance Notice Procedures</w:t>
      </w:r>
      <w:r>
        <w:rPr>
          <w:rFonts w:ascii="Arial" w:cs="Arial" w:eastAsia="Arial" w:hAnsi="Arial"/>
          <w:sz w:val="17"/>
          <w:szCs w:val="17"/>
          <w:color w:val="auto"/>
        </w:rPr>
        <w:t>. Stockholders must comply with the advance notice procedures in our Bylaws to nominate candidates to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and to propose matters to be acted upon at a stockholders’ meeting, which may discourage or deter a potential acquirer from soliciting proxies to elect the acquirer’s own slate of directors or otherwise attempting to obtain control of us;</w:t>
      </w:r>
    </w:p>
    <w:p>
      <w:pPr>
        <w:spacing w:after="0" w:line="164" w:lineRule="exact"/>
        <w:rPr>
          <w:sz w:val="20"/>
          <w:szCs w:val="20"/>
          <w:color w:val="auto"/>
        </w:rPr>
      </w:pPr>
    </w:p>
    <w:p>
      <w:pPr>
        <w:ind w:right="60" w:firstLine="607"/>
        <w:spacing w:after="0" w:line="256" w:lineRule="auto"/>
        <w:rPr>
          <w:sz w:val="20"/>
          <w:szCs w:val="20"/>
          <w:color w:val="auto"/>
        </w:rPr>
      </w:pPr>
      <w:r>
        <w:rPr>
          <w:rFonts w:ascii="Arial" w:cs="Arial" w:eastAsia="Arial" w:hAnsi="Arial"/>
          <w:sz w:val="17"/>
          <w:szCs w:val="17"/>
          <w:i w:val="1"/>
          <w:iCs w:val="1"/>
          <w:color w:val="auto"/>
        </w:rPr>
        <w:t>Supermajority Provisions</w:t>
      </w:r>
      <w:r>
        <w:rPr>
          <w:rFonts w:ascii="Arial" w:cs="Arial" w:eastAsia="Arial" w:hAnsi="Arial"/>
          <w:sz w:val="17"/>
          <w:szCs w:val="17"/>
          <w:color w:val="auto"/>
        </w:rPr>
        <w:t>. The affirmative vote of the holders of at least 75% of the votes which all the stockholders would be entitled to cast in</w:t>
      </w:r>
      <w:r>
        <w:rPr>
          <w:rFonts w:ascii="Arial" w:cs="Arial" w:eastAsia="Arial" w:hAnsi="Arial"/>
          <w:sz w:val="17"/>
          <w:szCs w:val="17"/>
          <w:i w:val="1"/>
          <w:iCs w:val="1"/>
          <w:color w:val="auto"/>
        </w:rPr>
        <w:t xml:space="preserve"> </w:t>
      </w:r>
      <w:r>
        <w:rPr>
          <w:rFonts w:ascii="Arial" w:cs="Arial" w:eastAsia="Arial" w:hAnsi="Arial"/>
          <w:sz w:val="17"/>
          <w:szCs w:val="17"/>
          <w:color w:val="auto"/>
        </w:rPr>
        <w:t>any annual election of directors or class of directors is required to amend or repeal, or to adopt any provision inconsistent with, the provisions in our Certificate that relate to, among other matters, the classification of our board of directors, the number of our directors, the removal of our directors, the filling of vacancies on our board of directors, the prohibition on our stockholders to act by written consent, and the calling of special meetings of our stockholders.</w:t>
      </w:r>
    </w:p>
    <w:p>
      <w:pPr>
        <w:spacing w:after="0" w:line="171" w:lineRule="exact"/>
        <w:rPr>
          <w:sz w:val="20"/>
          <w:szCs w:val="20"/>
          <w:color w:val="auto"/>
        </w:rPr>
      </w:pPr>
    </w:p>
    <w:p>
      <w:pPr>
        <w:ind w:right="700" w:firstLine="607"/>
        <w:spacing w:after="0" w:line="281" w:lineRule="auto"/>
        <w:rPr>
          <w:sz w:val="20"/>
          <w:szCs w:val="20"/>
          <w:color w:val="auto"/>
        </w:rPr>
      </w:pPr>
      <w:r>
        <w:rPr>
          <w:rFonts w:ascii="Arial" w:cs="Arial" w:eastAsia="Arial" w:hAnsi="Arial"/>
          <w:sz w:val="17"/>
          <w:szCs w:val="17"/>
          <w:i w:val="1"/>
          <w:iCs w:val="1"/>
          <w:color w:val="auto"/>
        </w:rPr>
        <w:t>Bylaw Amendments</w:t>
      </w:r>
      <w:r>
        <w:rPr>
          <w:rFonts w:ascii="Arial" w:cs="Arial" w:eastAsia="Arial" w:hAnsi="Arial"/>
          <w:sz w:val="17"/>
          <w:szCs w:val="17"/>
          <w:color w:val="auto"/>
        </w:rPr>
        <w:t>. Our board of directors, by majority vote, may amend, alter or repeal our Bylaws and may adopt new Bylaws.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may not adopt, amend, alter or repeal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4836-6943-7622, v. 1</w:t>
      </w:r>
    </w:p>
    <w:p>
      <w:pPr>
        <w:sectPr>
          <w:pgSz w:w="11900" w:h="16838" w:orient="portrait"/>
          <w:cols w:equalWidth="0" w:num="1">
            <w:col w:w="11240"/>
          </w:cols>
          <w:pgMar w:left="320" w:top="1336" w:right="339" w:bottom="1440" w:gutter="0" w:footer="0" w:header="0"/>
        </w:sectPr>
      </w:pPr>
    </w:p>
    <w:bookmarkStart w:id="189" w:name="page190"/>
    <w:bookmarkEnd w:id="189"/>
    <w:p>
      <w:pPr>
        <w:ind w:right="40"/>
        <w:spacing w:after="0" w:line="257" w:lineRule="auto"/>
        <w:rPr>
          <w:sz w:val="20"/>
          <w:szCs w:val="20"/>
          <w:color w:val="auto"/>
        </w:rPr>
      </w:pPr>
      <w:r>
        <w:rPr>
          <w:rFonts w:ascii="Arial" w:cs="Arial" w:eastAsia="Arial" w:hAnsi="Arial"/>
          <w:sz w:val="17"/>
          <w:szCs w:val="17"/>
          <w:color w:val="auto"/>
        </w:rPr>
        <w:t>or adopt any provision inconsistent therewith, unless such action is approved, in addition to any vote required by our Certificate, by the affirmative vote of holders of at least 75% of the votes that all the stockholders would be entitled to cast in any annual election of directors or class of directors, and the affirmative vote of holders of at least 75% of the votes that all the stockholders would be entitled to cast in any annual election of directors or class of directors is required to amend or repeal, or to adopt any provision inconsistent with, the foregoing. These provisions may inhibit the ability of an acquirer from amending our Certificate or our Bylaws to facilitate a hostile acquisition and may allow our board of directors to take additional actions to prevent a hostile acquisition.</w:t>
      </w:r>
    </w:p>
    <w:p>
      <w:pPr>
        <w:spacing w:after="0" w:line="172" w:lineRule="exact"/>
        <w:rPr>
          <w:sz w:val="20"/>
          <w:szCs w:val="20"/>
          <w:color w:val="auto"/>
        </w:rPr>
      </w:pPr>
    </w:p>
    <w:p>
      <w:pPr>
        <w:ind w:right="200" w:firstLine="607"/>
        <w:spacing w:after="0" w:line="313" w:lineRule="auto"/>
        <w:rPr>
          <w:sz w:val="20"/>
          <w:szCs w:val="20"/>
          <w:color w:val="auto"/>
        </w:rPr>
      </w:pPr>
      <w:r>
        <w:rPr>
          <w:rFonts w:ascii="Arial" w:cs="Arial" w:eastAsia="Arial" w:hAnsi="Arial"/>
          <w:sz w:val="16"/>
          <w:szCs w:val="16"/>
          <w:i w:val="1"/>
          <w:iCs w:val="1"/>
          <w:color w:val="auto"/>
        </w:rPr>
        <w:t>Preferred Stock</w:t>
      </w:r>
      <w:r>
        <w:rPr>
          <w:rFonts w:ascii="Arial" w:cs="Arial" w:eastAsia="Arial" w:hAnsi="Arial"/>
          <w:sz w:val="16"/>
          <w:szCs w:val="16"/>
          <w:color w:val="auto"/>
        </w:rPr>
        <w:t>. Our board of directors can determine to issue shares of preferred stock and to determine the price and other terms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including preferences and voting rights, without stockholder approval, which could significantly dilute the ownership of a hostile acquirer.</w:t>
      </w:r>
    </w:p>
    <w:p>
      <w:pPr>
        <w:spacing w:after="0" w:line="127" w:lineRule="exact"/>
        <w:rPr>
          <w:sz w:val="20"/>
          <w:szCs w:val="20"/>
          <w:color w:val="auto"/>
        </w:rPr>
      </w:pPr>
    </w:p>
    <w:p>
      <w:pPr>
        <w:ind w:right="220" w:firstLine="607"/>
        <w:spacing w:after="0" w:line="281" w:lineRule="auto"/>
        <w:rPr>
          <w:sz w:val="20"/>
          <w:szCs w:val="20"/>
          <w:color w:val="auto"/>
        </w:rPr>
      </w:pPr>
      <w:r>
        <w:rPr>
          <w:rFonts w:ascii="Arial" w:cs="Arial" w:eastAsia="Arial" w:hAnsi="Arial"/>
          <w:sz w:val="17"/>
          <w:szCs w:val="17"/>
          <w:i w:val="1"/>
          <w:iCs w:val="1"/>
          <w:color w:val="auto"/>
        </w:rPr>
        <w:t>Additional Authorized Shares of Capital Stock</w:t>
      </w:r>
      <w:r>
        <w:rPr>
          <w:rFonts w:ascii="Arial" w:cs="Arial" w:eastAsia="Arial" w:hAnsi="Arial"/>
          <w:sz w:val="17"/>
          <w:szCs w:val="17"/>
          <w:color w:val="auto"/>
        </w:rPr>
        <w:t>. The shares of authorized common stock and preferred stock available for issuance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could be issued at such times, under such circumstances, and with such terms as to impede a change in control.</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we are subject to Section 203 of the DGCL, which, subject to certain exceptions, prohibits a Delaware corporation from engaging in any “business combination” with any “interested stockholder” for three years following the date that such stockholder became an interested stockholder, unless: (i) before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(a) by persons who are directors and also officers and (b) by employee stock plans in which employee participants do not have the right to determine confidentially whether shares held subject to the plan will be tendered in a tender or exchange offer; or (iii) on or after such date, the business combination is approved by the board of directors and authorized at an annual or special meeting of stockholders, and not by written consent, by the affirmative vote of at least 66 2⁄3% of the outstanding voting stock not owned by the interested stockholder.</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"business combination" generally includes mergers or consolidations resulting in a financial benefit to the interested stockholder. The term "interested stockholder" generally means any person, other than the corporation and any direct or indirect majority-owned subsidiary of the corporation, who, together with affiliates and associates, owns (or owned within three years prior to the determination of interested stockholder status) 15% or more of the outstanding voting stock of the corporation.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3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Bylaws provides that, unless we consent in writing to the selection of an alternative forum: (1)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(i) any derivative action or proceeding brought on behalf of the Company; (ii) any action or proceeding asserting a claim of breach of a fiduciary duty owed by any current or former director, officer or other employee of the Company, to the Company or its stockholders; (iii) any action or proceeding asserting a claim against the Company or any current or former director, officer or other employee of the Company, arising out of or pursuant to any provision of the DGCL, the Certificate of Incorporation or our Bylaws (as each may be amended from time to time); (iv) any action or proceeding to interpret, apply, enforce or determine the validity of our Certificate of Incorporation or our Bylaws (including any right, obligation, or remedy thereunder); (v) any action or proceeding as to which the DGCL confers jurisdiction to the Court of Chancery of the State of Delaware; and (vi) any action asserting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4836-6943-7622, v. 1</w:t>
      </w:r>
    </w:p>
    <w:p>
      <w:pPr>
        <w:sectPr>
          <w:pgSz w:w="11900" w:h="16838" w:orient="portrait"/>
          <w:cols w:equalWidth="0" w:num="1">
            <w:col w:w="11240"/>
          </w:cols>
          <w:pgMar w:left="320" w:top="1349" w:right="339" w:bottom="1440" w:gutter="0" w:footer="0" w:header="0"/>
        </w:sectPr>
      </w:pPr>
    </w:p>
    <w:bookmarkStart w:id="190" w:name="page191"/>
    <w:bookmarkEnd w:id="190"/>
    <w:p>
      <w:pPr>
        <w:ind w:right="100"/>
        <w:spacing w:after="0" w:line="259" w:lineRule="auto"/>
        <w:rPr>
          <w:sz w:val="20"/>
          <w:szCs w:val="20"/>
          <w:color w:val="auto"/>
        </w:rPr>
      </w:pPr>
      <w:r>
        <w:rPr>
          <w:rFonts w:ascii="Arial" w:cs="Arial" w:eastAsia="Arial" w:hAnsi="Arial"/>
          <w:sz w:val="17"/>
          <w:szCs w:val="17"/>
          <w:color w:val="auto"/>
        </w:rPr>
        <w:t>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 and (2) to the fullest extent permitted by law, the federal district courts of the United States of America shall be the sole and exclusive forum for the resolution of any complaint asserting a cause of action arising under the Securities Act of 1933, as amended.</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Our Bylaws also provide that if any action the subject matter of which is within the scope of clause (1) of the paragraph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clause (1) of the paragraph above (an “Enforcement Action”) and (ii) having service of process made upon such stockholder in any such Enforcement Action by service upon such stockholder’s counsel in the Foreign Action as agent for such stockholder.</w:t>
      </w:r>
    </w:p>
    <w:p>
      <w:pPr>
        <w:spacing w:after="0" w:line="171"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color w:val="auto"/>
        </w:rPr>
        <w:t>Our Bylaws also provide that any person or entity purchasing or otherwise acquiring or holding any interest in any security of the Company shall be deemed to have notice of and consented to the provisions of the foregoing.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DGCL, with certain exceptions, our stockholders have appraisal rights in connection with a merger or consolidation of the Company. Under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4836-6943-7622, v. 1</w:t>
      </w:r>
    </w:p>
    <w:p>
      <w:pPr>
        <w:sectPr>
          <w:pgSz w:w="11900" w:h="16838" w:orient="portrait"/>
          <w:cols w:equalWidth="0" w:num="1">
            <w:col w:w="11200"/>
          </w:cols>
          <w:pgMar w:left="320" w:top="1336" w:right="379" w:bottom="1440" w:gutter="0" w:footer="0" w:header="0"/>
        </w:sectPr>
      </w:pPr>
    </w:p>
    <w:bookmarkStart w:id="191" w:name="page192"/>
    <w:bookmarkEnd w:id="191"/>
    <w:p>
      <w:pPr>
        <w:ind w:left="9300"/>
        <w:spacing w:after="0"/>
        <w:rPr>
          <w:sz w:val="20"/>
          <w:szCs w:val="20"/>
          <w:color w:val="auto"/>
        </w:rPr>
      </w:pPr>
      <w:r>
        <w:rPr>
          <w:rFonts w:ascii="Arial" w:cs="Arial" w:eastAsia="Arial" w:hAnsi="Arial"/>
          <w:sz w:val="17"/>
          <w:szCs w:val="17"/>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772275" cy="537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6772275" cy="537845"/>
                    </a:xfrm>
                    <a:prstGeom prst="rect">
                      <a:avLst/>
                    </a:prstGeom>
                    <a:noFill/>
                  </pic:spPr>
                </pic:pic>
              </a:graphicData>
            </a:graphic>
          </wp:anchor>
        </w:drawing>
      </w:r>
    </w:p>
    <w:p>
      <w:pPr>
        <w:spacing w:after="0" w:line="189" w:lineRule="exact"/>
        <w:rPr>
          <w:sz w:val="20"/>
          <w:szCs w:val="20"/>
          <w:color w:val="auto"/>
        </w:rPr>
      </w:pPr>
    </w:p>
    <w:p>
      <w:pPr>
        <w:jc w:val="both"/>
        <w:ind w:left="40" w:right="240"/>
        <w:spacing w:after="0" w:line="285" w:lineRule="auto"/>
        <w:rPr>
          <w:sz w:val="20"/>
          <w:szCs w:val="20"/>
          <w:color w:val="auto"/>
        </w:rPr>
      </w:pPr>
      <w:r>
        <w:rPr>
          <w:rFonts w:ascii="Arial" w:cs="Arial" w:eastAsia="Arial" w:hAnsi="Arial"/>
          <w:sz w:val="17"/>
          <w:szCs w:val="17"/>
          <w:b w:val="1"/>
          <w:bCs w:val="1"/>
          <w:color w:val="auto"/>
        </w:rPr>
        <w:t>CERTAIN INFORMATION HAS BEEN EXCLUDED FROM THIS EXHIBIT BECAUSE IT IS BOTH NOT MATERIAL AND IS THE TYPE THAT THE REGISTRANT TREATS AS PRIVATE OR CONFIDENTIAL. IN THIS EXHIBIT, “[***]” INDICATES WHERE SUCH INFORMATION HAS BEEN OMITTED.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0" w:type="dxa"/>
            <w:vAlign w:val="bottom"/>
            <w:gridSpan w:val="2"/>
          </w:tcPr>
          <w:p>
            <w:pPr>
              <w:jc w:val="center"/>
              <w:ind w:right="3160"/>
              <w:spacing w:after="0"/>
              <w:rPr>
                <w:sz w:val="20"/>
                <w:szCs w:val="20"/>
                <w:color w:val="auto"/>
              </w:rPr>
            </w:pPr>
            <w:r>
              <w:rPr>
                <w:rFonts w:ascii="Arial" w:cs="Arial" w:eastAsia="Arial" w:hAnsi="Arial"/>
                <w:sz w:val="17"/>
                <w:szCs w:val="17"/>
                <w:b w:val="1"/>
                <w:bCs w:val="1"/>
                <w:color w:val="auto"/>
                <w:w w:val="98"/>
              </w:rPr>
              <w:t>GRANT AGREEMENT</w:t>
            </w:r>
          </w:p>
        </w:tc>
      </w:tr>
      <w:tr>
        <w:trPr>
          <w:trHeight w:val="222"/>
        </w:trPr>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7"/>
                <w:szCs w:val="17"/>
                <w:color w:val="auto"/>
                <w:w w:val="98"/>
              </w:rPr>
              <w:t>Investment ID INV-026060</w:t>
            </w:r>
          </w:p>
        </w:tc>
      </w:tr>
      <w:tr>
        <w:trPr>
          <w:trHeight w:val="300"/>
        </w:trPr>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7"/>
                <w:szCs w:val="17"/>
                <w:b w:val="1"/>
                <w:bCs w:val="1"/>
                <w:color w:val="auto"/>
                <w:w w:val="98"/>
              </w:rPr>
              <w:t>AGREEMENT SUMMARY &amp; SIGNATURE PAGE</w:t>
            </w:r>
          </w:p>
        </w:tc>
      </w:tr>
      <w:tr>
        <w:trPr>
          <w:trHeight w:val="195"/>
        </w:trPr>
        <w:tc>
          <w:tcPr>
            <w:tcW w:w="2180" w:type="dxa"/>
            <w:vAlign w:val="bottom"/>
            <w:tcBorders>
              <w:bottom w:val="single" w:sz="8" w:color="auto"/>
            </w:tcBorders>
            <w:gridSpan w:val="2"/>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700" w:type="dxa"/>
            <w:vAlign w:val="bottom"/>
            <w:tcBorders>
              <w:top w:val="single" w:sz="8" w:color="auto"/>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r>
      <w:tr>
        <w:trPr>
          <w:trHeight w:val="232"/>
        </w:trPr>
        <w:tc>
          <w:tcPr>
            <w:tcW w:w="2180" w:type="dxa"/>
            <w:vAlign w:val="bottom"/>
            <w:tcBorders>
              <w:left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w w:val="98"/>
              </w:rPr>
              <w:t>GRANTEE INFORMATION</w:t>
            </w:r>
          </w:p>
        </w:tc>
        <w:tc>
          <w:tcPr>
            <w:tcW w:w="1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r>
      <w:tr>
        <w:trPr>
          <w:trHeight w:val="153"/>
        </w:trPr>
        <w:tc>
          <w:tcPr>
            <w:tcW w:w="2180" w:type="dxa"/>
            <w:vAlign w:val="bottom"/>
            <w:tcBorders>
              <w:left w:val="single" w:sz="8" w:color="auto"/>
              <w:bottom w:val="single" w:sz="8" w:color="auto"/>
            </w:tcBorders>
            <w:gridSpan w:val="2"/>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Dare Bioscience, Inc.</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03"/>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Tax Status:</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Not exempt from federal income tax under U.S. IRC § 501(c)(3)</w:t>
            </w:r>
          </w:p>
        </w:tc>
      </w:tr>
      <w:tr>
        <w:trPr>
          <w:trHeight w:val="202"/>
        </w:trPr>
        <w:tc>
          <w:tcPr>
            <w:tcW w:w="214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You confirm that the above information is correct and agree to notify the Foundation immediately of any</w:t>
            </w: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change.</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right w:val="single" w:sz="8" w:color="auto"/>
            </w:tcBorders>
            <w:gridSpan w:val="3"/>
          </w:tcPr>
          <w:p>
            <w:pPr>
              <w:spacing w:after="0" w:line="20" w:lineRule="exact"/>
              <w:rPr>
                <w:sz w:val="1"/>
                <w:szCs w:val="1"/>
                <w:color w:val="auto"/>
              </w:rPr>
            </w:pPr>
          </w:p>
        </w:tc>
      </w:tr>
      <w:tr>
        <w:trPr>
          <w:trHeight w:val="203"/>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Expenditure</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This Agreement is subject to "expenditure responsibility" requirements under the U.S. Internal Revenue Code.</w:t>
            </w:r>
          </w:p>
        </w:tc>
      </w:tr>
      <w:tr>
        <w:trPr>
          <w:trHeight w:val="222"/>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Responsibility:</w:t>
            </w: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r>
      <w:tr>
        <w:trPr>
          <w:trHeight w:val="173"/>
        </w:trPr>
        <w:tc>
          <w:tcPr>
            <w:tcW w:w="2140" w:type="dxa"/>
            <w:vAlign w:val="bottom"/>
            <w:tcBorders>
              <w:left w:val="single" w:sz="8" w:color="auto"/>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0" w:type="dxa"/>
            <w:vAlign w:val="bottom"/>
            <w:tcBorders>
              <w:bottom w:val="single" w:sz="8" w:color="auto"/>
              <w:right w:val="single" w:sz="8" w:color="auto"/>
            </w:tcBorders>
            <w:gridSpan w:val="3"/>
          </w:tcPr>
          <w:p>
            <w:pPr>
              <w:spacing w:after="0"/>
              <w:rPr>
                <w:sz w:val="15"/>
                <w:szCs w:val="15"/>
                <w:color w:val="auto"/>
              </w:rPr>
            </w:pPr>
          </w:p>
        </w:tc>
      </w:tr>
      <w:tr>
        <w:trPr>
          <w:trHeight w:val="203"/>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Mailing Address:</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3655 Nobel Drive</w:t>
            </w: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Suite 260, San Diego, California 92122, USA</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right w:val="single" w:sz="8" w:color="auto"/>
            </w:tcBorders>
            <w:gridSpan w:val="3"/>
          </w:tcPr>
          <w:p>
            <w:pPr>
              <w:spacing w:after="0" w:line="20" w:lineRule="exact"/>
              <w:rPr>
                <w:sz w:val="1"/>
                <w:szCs w:val="1"/>
                <w:color w:val="auto"/>
              </w:rPr>
            </w:pPr>
          </w:p>
        </w:tc>
      </w:tr>
      <w:tr>
        <w:trPr>
          <w:trHeight w:val="203"/>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Primary Contact:</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Nicolas Pacelli, Vice President, Business Development,</w:t>
            </w: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auto"/>
              </w:rPr>
              <w:t>[***]</w:t>
            </w:r>
          </w:p>
        </w:tc>
        <w:tc>
          <w:tcPr>
            <w:tcW w:w="3700" w:type="dxa"/>
            <w:vAlign w:val="bottom"/>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gridSpan w:val="4"/>
          </w:tcPr>
          <w:p>
            <w:pPr>
              <w:spacing w:after="0" w:line="20" w:lineRule="exact"/>
              <w:rPr>
                <w:sz w:val="1"/>
                <w:szCs w:val="1"/>
                <w:color w:val="auto"/>
              </w:rPr>
            </w:pPr>
          </w:p>
        </w:tc>
      </w:tr>
      <w:tr>
        <w:trPr>
          <w:trHeight w:val="460"/>
        </w:trPr>
        <w:tc>
          <w:tcPr>
            <w:tcW w:w="10580" w:type="dxa"/>
            <w:vAlign w:val="bottom"/>
            <w:tcBorders>
              <w:bottom w:val="single" w:sz="8" w:color="auto"/>
            </w:tcBorders>
            <w:gridSpan w:val="5"/>
          </w:tcPr>
          <w:p>
            <w:pPr>
              <w:spacing w:after="0"/>
              <w:rPr>
                <w:sz w:val="24"/>
                <w:szCs w:val="24"/>
                <w:color w:val="auto"/>
              </w:rPr>
            </w:pPr>
          </w:p>
        </w:tc>
      </w:tr>
      <w:tr>
        <w:trPr>
          <w:trHeight w:val="232"/>
        </w:trPr>
        <w:tc>
          <w:tcPr>
            <w:tcW w:w="1058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FOUNDATION INFORMATION</w:t>
            </w:r>
          </w:p>
        </w:tc>
      </w:tr>
      <w:tr>
        <w:trPr>
          <w:trHeight w:val="153"/>
        </w:trPr>
        <w:tc>
          <w:tcPr>
            <w:tcW w:w="2180" w:type="dxa"/>
            <w:vAlign w:val="bottom"/>
            <w:tcBorders>
              <w:left w:val="single" w:sz="8" w:color="auto"/>
              <w:bottom w:val="single" w:sz="8" w:color="auto"/>
            </w:tcBorders>
            <w:gridSpan w:val="2"/>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Mailing Address:</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 O. Box 23350, Seattle, Washington 98102, USA</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Primary Contact:</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Kirsten Vogelsong, Senior Program Officer, Contraceptive Development, Integrated Development, [***]</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8440" w:type="dxa"/>
            <w:vAlign w:val="bottom"/>
            <w:tcBorders>
              <w:bottom w:val="single" w:sz="8" w:color="auto"/>
              <w:right w:val="single" w:sz="8" w:color="auto"/>
            </w:tcBorders>
            <w:gridSpan w:val="4"/>
          </w:tcPr>
          <w:p>
            <w:pPr>
              <w:spacing w:after="0"/>
              <w:rPr>
                <w:sz w:val="13"/>
                <w:szCs w:val="13"/>
                <w:color w:val="auto"/>
              </w:rPr>
            </w:pPr>
          </w:p>
        </w:tc>
      </w:tr>
      <w:tr>
        <w:trPr>
          <w:trHeight w:val="460"/>
        </w:trPr>
        <w:tc>
          <w:tcPr>
            <w:tcW w:w="10580" w:type="dxa"/>
            <w:vAlign w:val="bottom"/>
            <w:tcBorders>
              <w:bottom w:val="single" w:sz="8" w:color="auto"/>
            </w:tcBorders>
            <w:gridSpan w:val="5"/>
          </w:tcPr>
          <w:p>
            <w:pPr>
              <w:spacing w:after="0"/>
              <w:rPr>
                <w:sz w:val="24"/>
                <w:szCs w:val="24"/>
                <w:color w:val="auto"/>
              </w:rPr>
            </w:pPr>
          </w:p>
        </w:tc>
      </w:tr>
      <w:tr>
        <w:trPr>
          <w:trHeight w:val="232"/>
        </w:trPr>
        <w:tc>
          <w:tcPr>
            <w:tcW w:w="1058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AGREEMENT INFORMATION</w:t>
            </w:r>
          </w:p>
        </w:tc>
      </w:tr>
      <w:tr>
        <w:trPr>
          <w:trHeight w:val="153"/>
        </w:trPr>
        <w:tc>
          <w:tcPr>
            <w:tcW w:w="2180" w:type="dxa"/>
            <w:vAlign w:val="bottom"/>
            <w:tcBorders>
              <w:left w:val="single" w:sz="8" w:color="auto"/>
              <w:bottom w:val="single" w:sz="8" w:color="auto"/>
            </w:tcBorders>
            <w:gridSpan w:val="2"/>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Personal Contraceptive System (DARE LARC1)</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16"/>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"Charitable Purpose":</w:t>
            </w:r>
          </w:p>
        </w:tc>
        <w:tc>
          <w:tcPr>
            <w:tcW w:w="40" w:type="dxa"/>
            <w:vAlign w:val="bottom"/>
          </w:tcPr>
          <w:p>
            <w:pPr>
              <w:spacing w:after="0"/>
              <w:rPr>
                <w:sz w:val="18"/>
                <w:szCs w:val="18"/>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9"/>
              </w:rPr>
              <w:t>To advance the development of a novel long-acting, user-controlled hormonal contraceptive implant suitable for</w:t>
            </w: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use by women in low-resource settings</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"Start Date":</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Date of last signature</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2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"End Date":</w:t>
            </w: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November 1, 2026</w:t>
            </w:r>
          </w:p>
        </w:tc>
      </w:tr>
      <w:tr>
        <w:trPr>
          <w:trHeight w:val="161"/>
        </w:trPr>
        <w:tc>
          <w:tcPr>
            <w:tcW w:w="21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gridSpan w:val="3"/>
          </w:tcPr>
          <w:p>
            <w:pPr>
              <w:spacing w:after="0"/>
              <w:rPr>
                <w:sz w:val="13"/>
                <w:szCs w:val="13"/>
                <w:color w:val="auto"/>
              </w:rPr>
            </w:pPr>
          </w:p>
        </w:tc>
      </w:tr>
      <w:tr>
        <w:trPr>
          <w:trHeight w:val="203"/>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This Agreement includes</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This Agreement Summary &amp; Signature Page and:</w:t>
            </w:r>
          </w:p>
        </w:tc>
      </w:tr>
      <w:tr>
        <w:trPr>
          <w:trHeight w:val="202"/>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and incorporates by this</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320"/>
              <w:spacing w:after="0"/>
              <w:rPr>
                <w:sz w:val="20"/>
                <w:szCs w:val="20"/>
                <w:color w:val="auto"/>
              </w:rPr>
            </w:pPr>
            <w:r>
              <w:rPr>
                <w:rFonts w:ascii="Arial" w:cs="Arial" w:eastAsia="Arial" w:hAnsi="Arial"/>
                <w:sz w:val="17"/>
                <w:szCs w:val="17"/>
                <w:color w:val="auto"/>
              </w:rPr>
              <w:t>•   Grant Amount and Reporting &amp; Payment Schedule (Attachment A)</w:t>
            </w:r>
          </w:p>
        </w:tc>
      </w:tr>
      <w:tr>
        <w:trPr>
          <w:trHeight w:val="202"/>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reference:</w:t>
            </w: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320"/>
              <w:spacing w:after="0"/>
              <w:rPr>
                <w:sz w:val="20"/>
                <w:szCs w:val="20"/>
                <w:color w:val="auto"/>
              </w:rPr>
            </w:pPr>
            <w:r>
              <w:rPr>
                <w:rFonts w:ascii="Arial" w:cs="Arial" w:eastAsia="Arial" w:hAnsi="Arial"/>
                <w:sz w:val="17"/>
                <w:szCs w:val="17"/>
                <w:color w:val="auto"/>
              </w:rPr>
              <w:t>•   Terms and Conditions (Attachment B)</w:t>
            </w:r>
          </w:p>
        </w:tc>
      </w:tr>
      <w:tr>
        <w:trPr>
          <w:trHeight w:val="202"/>
        </w:trPr>
        <w:tc>
          <w:tcPr>
            <w:tcW w:w="214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320"/>
              <w:spacing w:after="0"/>
              <w:rPr>
                <w:sz w:val="20"/>
                <w:szCs w:val="20"/>
                <w:color w:val="auto"/>
              </w:rPr>
            </w:pPr>
            <w:r>
              <w:rPr>
                <w:rFonts w:ascii="Arial" w:cs="Arial" w:eastAsia="Arial" w:hAnsi="Arial"/>
                <w:sz w:val="17"/>
                <w:szCs w:val="17"/>
                <w:color w:val="auto"/>
              </w:rPr>
              <w:t>•   Investment Document (date submitted [***])</w:t>
            </w:r>
          </w:p>
        </w:tc>
      </w:tr>
      <w:tr>
        <w:trPr>
          <w:trHeight w:val="202"/>
        </w:trPr>
        <w:tc>
          <w:tcPr>
            <w:tcW w:w="214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0" w:type="dxa"/>
            <w:vAlign w:val="bottom"/>
            <w:tcBorders>
              <w:right w:val="single" w:sz="8" w:color="auto"/>
            </w:tcBorders>
            <w:gridSpan w:val="3"/>
          </w:tcPr>
          <w:p>
            <w:pPr>
              <w:ind w:left="320"/>
              <w:spacing w:after="0"/>
              <w:rPr>
                <w:sz w:val="20"/>
                <w:szCs w:val="20"/>
                <w:color w:val="auto"/>
              </w:rPr>
            </w:pPr>
            <w:r>
              <w:rPr>
                <w:rFonts w:ascii="Arial" w:cs="Arial" w:eastAsia="Arial" w:hAnsi="Arial"/>
                <w:sz w:val="17"/>
                <w:szCs w:val="17"/>
                <w:color w:val="auto"/>
              </w:rPr>
              <w:t>•   Results Framework and Tracker (date submitted [***])</w:t>
            </w: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0" w:type="dxa"/>
            <w:vAlign w:val="bottom"/>
            <w:tcBorders>
              <w:right w:val="single" w:sz="8" w:color="auto"/>
            </w:tcBorders>
            <w:gridSpan w:val="3"/>
          </w:tcPr>
          <w:p>
            <w:pPr>
              <w:ind w:left="320"/>
              <w:spacing w:after="0"/>
              <w:rPr>
                <w:sz w:val="20"/>
                <w:szCs w:val="20"/>
                <w:color w:val="auto"/>
              </w:rPr>
            </w:pPr>
            <w:r>
              <w:rPr>
                <w:rFonts w:ascii="Arial" w:cs="Arial" w:eastAsia="Arial" w:hAnsi="Arial"/>
                <w:sz w:val="17"/>
                <w:szCs w:val="17"/>
                <w:color w:val="auto"/>
              </w:rPr>
              <w:t>•   Budget (date submitted [***])</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AGREEMENT is between Dare Bioscience, Inc. ("Dare Bioscience",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w:t>
      </w:r>
    </w:p>
    <w:p>
      <w:pPr>
        <w:sectPr>
          <w:pgSz w:w="11900" w:h="16838" w:orient="portrait"/>
          <w:cols w:equalWidth="0" w:num="1">
            <w:col w:w="10780"/>
          </w:cols>
          <w:pgMar w:left="320" w:top="1336"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 of 9</w:t>
      </w:r>
    </w:p>
    <w:p>
      <w:pPr>
        <w:sectPr>
          <w:pgSz w:w="11900" w:h="16838" w:orient="portrait"/>
          <w:cols w:equalWidth="0" w:num="1">
            <w:col w:w="10780"/>
          </w:cols>
          <w:pgMar w:left="320" w:top="1336" w:right="79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5340" w:type="dxa"/>
            <w:vAlign w:val="bottom"/>
            <w:gridSpan w:val="3"/>
          </w:tcPr>
          <w:p>
            <w:pPr>
              <w:ind w:left="60"/>
              <w:spacing w:after="0"/>
              <w:rPr>
                <w:sz w:val="20"/>
                <w:szCs w:val="20"/>
                <w:color w:val="auto"/>
              </w:rPr>
            </w:pPr>
            <w:r>
              <w:rPr>
                <w:rFonts w:ascii="Arial" w:cs="Arial" w:eastAsia="Arial" w:hAnsi="Arial"/>
                <w:sz w:val="17"/>
                <w:szCs w:val="17"/>
                <w:b w:val="1"/>
                <w:bCs w:val="1"/>
                <w:color w:val="auto"/>
              </w:rPr>
              <w:t>BILL &amp; MELINDA GATES FOUNDATION</w:t>
            </w:r>
          </w:p>
        </w:tc>
        <w:tc>
          <w:tcPr>
            <w:tcW w:w="5240" w:type="dxa"/>
            <w:vAlign w:val="bottom"/>
            <w:gridSpan w:val="2"/>
          </w:tcPr>
          <w:p>
            <w:pPr>
              <w:ind w:left="60"/>
              <w:spacing w:after="0"/>
              <w:rPr>
                <w:sz w:val="20"/>
                <w:szCs w:val="20"/>
                <w:color w:val="auto"/>
              </w:rPr>
            </w:pPr>
            <w:r>
              <w:rPr>
                <w:rFonts w:ascii="Arial" w:cs="Arial" w:eastAsia="Arial" w:hAnsi="Arial"/>
                <w:sz w:val="17"/>
                <w:szCs w:val="17"/>
                <w:b w:val="1"/>
                <w:bCs w:val="1"/>
                <w:color w:val="auto"/>
              </w:rPr>
              <w:t>DARE BIOSCIENCE, INC.</w:t>
            </w:r>
          </w:p>
        </w:tc>
      </w:tr>
      <w:tr>
        <w:trPr>
          <w:trHeight w:val="422"/>
        </w:trPr>
        <w:tc>
          <w:tcPr>
            <w:tcW w:w="5340" w:type="dxa"/>
            <w:vAlign w:val="bottom"/>
            <w:gridSpan w:val="3"/>
          </w:tcPr>
          <w:p>
            <w:pPr>
              <w:ind w:left="60"/>
              <w:spacing w:after="0"/>
              <w:rPr>
                <w:sz w:val="20"/>
                <w:szCs w:val="20"/>
                <w:color w:val="auto"/>
              </w:rPr>
            </w:pPr>
            <w:r>
              <w:rPr>
                <w:rFonts w:ascii="Arial" w:cs="Arial" w:eastAsia="Arial" w:hAnsi="Arial"/>
                <w:sz w:val="17"/>
                <w:szCs w:val="17"/>
                <w:color w:val="auto"/>
              </w:rPr>
              <w:t>/s/ Kirsten Vogelsong</w:t>
            </w:r>
          </w:p>
        </w:tc>
        <w:tc>
          <w:tcPr>
            <w:tcW w:w="5240" w:type="dxa"/>
            <w:vAlign w:val="bottom"/>
            <w:gridSpan w:val="2"/>
          </w:tcPr>
          <w:p>
            <w:pPr>
              <w:ind w:left="60"/>
              <w:spacing w:after="0"/>
              <w:rPr>
                <w:sz w:val="20"/>
                <w:szCs w:val="20"/>
                <w:color w:val="auto"/>
              </w:rPr>
            </w:pPr>
            <w:r>
              <w:rPr>
                <w:rFonts w:ascii="Arial" w:cs="Arial" w:eastAsia="Arial" w:hAnsi="Arial"/>
                <w:sz w:val="17"/>
                <w:szCs w:val="17"/>
                <w:color w:val="auto"/>
              </w:rPr>
              <w:t>/s/ Sabrina Johnson</w:t>
            </w:r>
          </w:p>
        </w:tc>
      </w:tr>
      <w:tr>
        <w:trPr>
          <w:trHeight w:val="22"/>
        </w:trPr>
        <w:tc>
          <w:tcPr>
            <w:tcW w:w="6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224"/>
        </w:trPr>
        <w:tc>
          <w:tcPr>
            <w:tcW w:w="640" w:type="dxa"/>
            <w:vAlign w:val="bottom"/>
          </w:tcPr>
          <w:p>
            <w:pPr>
              <w:ind w:left="120"/>
              <w:spacing w:after="0"/>
              <w:rPr>
                <w:sz w:val="20"/>
                <w:szCs w:val="20"/>
                <w:color w:val="auto"/>
              </w:rPr>
            </w:pPr>
            <w:r>
              <w:rPr>
                <w:rFonts w:ascii="Arial" w:cs="Arial" w:eastAsia="Arial" w:hAnsi="Arial"/>
                <w:sz w:val="17"/>
                <w:szCs w:val="17"/>
                <w:color w:val="auto"/>
              </w:rPr>
              <w:t>By:</w:t>
            </w:r>
          </w:p>
        </w:tc>
        <w:tc>
          <w:tcPr>
            <w:tcW w:w="4700" w:type="dxa"/>
            <w:vAlign w:val="bottom"/>
            <w:gridSpan w:val="2"/>
          </w:tcPr>
          <w:p>
            <w:pPr>
              <w:ind w:left="160"/>
              <w:spacing w:after="0"/>
              <w:rPr>
                <w:sz w:val="20"/>
                <w:szCs w:val="20"/>
                <w:color w:val="auto"/>
              </w:rPr>
            </w:pPr>
            <w:r>
              <w:rPr>
                <w:rFonts w:ascii="Arial" w:cs="Arial" w:eastAsia="Arial" w:hAnsi="Arial"/>
                <w:sz w:val="17"/>
                <w:szCs w:val="17"/>
                <w:color w:val="auto"/>
              </w:rPr>
              <w:t>Kirsten Vogelsong</w:t>
            </w:r>
          </w:p>
        </w:tc>
        <w:tc>
          <w:tcPr>
            <w:tcW w:w="660" w:type="dxa"/>
            <w:vAlign w:val="bottom"/>
          </w:tcPr>
          <w:p>
            <w:pPr>
              <w:ind w:left="100"/>
              <w:spacing w:after="0"/>
              <w:rPr>
                <w:sz w:val="20"/>
                <w:szCs w:val="20"/>
                <w:color w:val="auto"/>
              </w:rPr>
            </w:pPr>
            <w:r>
              <w:rPr>
                <w:rFonts w:ascii="Arial" w:cs="Arial" w:eastAsia="Arial" w:hAnsi="Arial"/>
                <w:sz w:val="17"/>
                <w:szCs w:val="17"/>
                <w:color w:val="auto"/>
              </w:rPr>
              <w:t>By:</w:t>
            </w:r>
          </w:p>
        </w:tc>
        <w:tc>
          <w:tcPr>
            <w:tcW w:w="4580" w:type="dxa"/>
            <w:vAlign w:val="bottom"/>
          </w:tcPr>
          <w:p>
            <w:pPr>
              <w:ind w:left="180"/>
              <w:spacing w:after="0"/>
              <w:rPr>
                <w:sz w:val="20"/>
                <w:szCs w:val="20"/>
                <w:color w:val="auto"/>
              </w:rPr>
            </w:pPr>
            <w:r>
              <w:rPr>
                <w:rFonts w:ascii="Arial" w:cs="Arial" w:eastAsia="Arial" w:hAnsi="Arial"/>
                <w:sz w:val="17"/>
                <w:szCs w:val="17"/>
                <w:color w:val="auto"/>
              </w:rPr>
              <w:t>Sabrina Johnson</w:t>
            </w:r>
          </w:p>
        </w:tc>
      </w:tr>
      <w:tr>
        <w:trPr>
          <w:trHeight w:val="392"/>
        </w:trPr>
        <w:tc>
          <w:tcPr>
            <w:tcW w:w="640" w:type="dxa"/>
            <w:vAlign w:val="bottom"/>
          </w:tcPr>
          <w:p>
            <w:pPr>
              <w:ind w:left="120"/>
              <w:spacing w:after="0"/>
              <w:rPr>
                <w:sz w:val="20"/>
                <w:szCs w:val="20"/>
                <w:color w:val="auto"/>
              </w:rPr>
            </w:pPr>
            <w:r>
              <w:rPr>
                <w:rFonts w:ascii="Arial" w:cs="Arial" w:eastAsia="Arial" w:hAnsi="Arial"/>
                <w:sz w:val="17"/>
                <w:szCs w:val="17"/>
                <w:color w:val="auto"/>
              </w:rPr>
              <w:t>Title:</w:t>
            </w:r>
          </w:p>
        </w:tc>
        <w:tc>
          <w:tcPr>
            <w:tcW w:w="4700" w:type="dxa"/>
            <w:vAlign w:val="bottom"/>
            <w:gridSpan w:val="2"/>
          </w:tcPr>
          <w:p>
            <w:pPr>
              <w:ind w:left="160"/>
              <w:spacing w:after="0"/>
              <w:rPr>
                <w:sz w:val="20"/>
                <w:szCs w:val="20"/>
                <w:color w:val="auto"/>
              </w:rPr>
            </w:pPr>
            <w:r>
              <w:rPr>
                <w:rFonts w:ascii="Arial" w:cs="Arial" w:eastAsia="Arial" w:hAnsi="Arial"/>
                <w:sz w:val="17"/>
                <w:szCs w:val="17"/>
                <w:color w:val="auto"/>
              </w:rPr>
              <w:t>Senior Program Officer</w:t>
            </w:r>
          </w:p>
        </w:tc>
        <w:tc>
          <w:tcPr>
            <w:tcW w:w="660" w:type="dxa"/>
            <w:vAlign w:val="bottom"/>
          </w:tcPr>
          <w:p>
            <w:pPr>
              <w:ind w:left="100"/>
              <w:spacing w:after="0"/>
              <w:rPr>
                <w:sz w:val="20"/>
                <w:szCs w:val="20"/>
                <w:color w:val="auto"/>
              </w:rPr>
            </w:pPr>
            <w:r>
              <w:rPr>
                <w:rFonts w:ascii="Arial" w:cs="Arial" w:eastAsia="Arial" w:hAnsi="Arial"/>
                <w:sz w:val="17"/>
                <w:szCs w:val="17"/>
                <w:color w:val="auto"/>
              </w:rPr>
              <w:t>Title:</w:t>
            </w:r>
          </w:p>
        </w:tc>
        <w:tc>
          <w:tcPr>
            <w:tcW w:w="4580" w:type="dxa"/>
            <w:vAlign w:val="bottom"/>
          </w:tcPr>
          <w:p>
            <w:pPr>
              <w:ind w:left="180"/>
              <w:spacing w:after="0"/>
              <w:rPr>
                <w:sz w:val="20"/>
                <w:szCs w:val="20"/>
                <w:color w:val="auto"/>
              </w:rPr>
            </w:pPr>
            <w:r>
              <w:rPr>
                <w:rFonts w:ascii="Arial" w:cs="Arial" w:eastAsia="Arial" w:hAnsi="Arial"/>
                <w:sz w:val="17"/>
                <w:szCs w:val="17"/>
                <w:color w:val="auto"/>
              </w:rPr>
              <w:t>CEO</w:t>
            </w:r>
          </w:p>
        </w:tc>
      </w:tr>
      <w:tr>
        <w:trPr>
          <w:trHeight w:val="392"/>
        </w:trPr>
        <w:tc>
          <w:tcPr>
            <w:tcW w:w="5340" w:type="dxa"/>
            <w:vAlign w:val="bottom"/>
            <w:gridSpan w:val="3"/>
          </w:tcPr>
          <w:p>
            <w:pPr>
              <w:ind w:left="120"/>
              <w:spacing w:after="0"/>
              <w:rPr>
                <w:sz w:val="20"/>
                <w:szCs w:val="20"/>
                <w:color w:val="auto"/>
              </w:rPr>
            </w:pPr>
            <w:r>
              <w:rPr>
                <w:rFonts w:ascii="Arial" w:cs="Arial" w:eastAsia="Arial" w:hAnsi="Arial"/>
                <w:sz w:val="17"/>
                <w:szCs w:val="17"/>
                <w:color w:val="auto"/>
              </w:rPr>
              <w:t>June 24, 2021</w:t>
            </w:r>
          </w:p>
        </w:tc>
        <w:tc>
          <w:tcPr>
            <w:tcW w:w="5240" w:type="dxa"/>
            <w:vAlign w:val="bottom"/>
            <w:gridSpan w:val="2"/>
          </w:tcPr>
          <w:p>
            <w:pPr>
              <w:ind w:left="100"/>
              <w:spacing w:after="0"/>
              <w:rPr>
                <w:sz w:val="20"/>
                <w:szCs w:val="20"/>
                <w:color w:val="auto"/>
              </w:rPr>
            </w:pPr>
            <w:r>
              <w:rPr>
                <w:rFonts w:ascii="Arial" w:cs="Arial" w:eastAsia="Arial" w:hAnsi="Arial"/>
                <w:sz w:val="17"/>
                <w:szCs w:val="17"/>
                <w:color w:val="auto"/>
              </w:rPr>
              <w:t>June 30, 2021</w:t>
            </w:r>
          </w:p>
        </w:tc>
      </w:tr>
      <w:tr>
        <w:trPr>
          <w:trHeight w:val="161"/>
        </w:trPr>
        <w:tc>
          <w:tcPr>
            <w:tcW w:w="64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r>
      <w:tr>
        <w:trPr>
          <w:trHeight w:val="224"/>
        </w:trPr>
        <w:tc>
          <w:tcPr>
            <w:tcW w:w="640" w:type="dxa"/>
            <w:vAlign w:val="bottom"/>
          </w:tcPr>
          <w:p>
            <w:pPr>
              <w:ind w:left="120"/>
              <w:spacing w:after="0"/>
              <w:rPr>
                <w:sz w:val="20"/>
                <w:szCs w:val="20"/>
                <w:color w:val="auto"/>
              </w:rPr>
            </w:pPr>
            <w:r>
              <w:rPr>
                <w:rFonts w:ascii="Arial" w:cs="Arial" w:eastAsia="Arial" w:hAnsi="Arial"/>
                <w:sz w:val="17"/>
                <w:szCs w:val="17"/>
                <w:color w:val="auto"/>
              </w:rPr>
              <w:t>Date</w:t>
            </w:r>
          </w:p>
        </w:tc>
        <w:tc>
          <w:tcPr>
            <w:tcW w:w="4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Date</w:t>
            </w:r>
          </w:p>
        </w:tc>
        <w:tc>
          <w:tcPr>
            <w:tcW w:w="4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2 of 9</w:t>
      </w:r>
    </w:p>
    <w:p>
      <w:pPr>
        <w:sectPr>
          <w:pgSz w:w="11900" w:h="16838" w:orient="portrait"/>
          <w:cols w:equalWidth="0" w:num="1">
            <w:col w:w="10580"/>
          </w:cols>
          <w:pgMar w:left="320" w:top="1387" w:right="999" w:bottom="1440" w:gutter="0" w:footer="0" w:header="0"/>
        </w:sectPr>
      </w:pPr>
    </w:p>
    <w:bookmarkStart w:id="193" w:name="page194"/>
    <w:bookmarkEnd w:id="193"/>
    <w:p>
      <w:pPr>
        <w:spacing w:after="0" w:line="263"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GRANT AGREEMENT</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Investment ID INV-026060</w:t>
      </w:r>
    </w:p>
    <w:p>
      <w:pPr>
        <w:spacing w:after="0" w:line="142"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u w:val="single" w:color="auto"/>
          <w:color w:val="auto"/>
        </w:rPr>
        <w:t>ATTACHMENT A</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GRANT AMOUNT AND REPORTING &amp; PAYMENT SCHEDULE</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GRANT AMOUNT</w:t>
      </w:r>
    </w:p>
    <w:p>
      <w:pPr>
        <w:spacing w:after="0" w:line="23" w:lineRule="exact"/>
        <w:rPr>
          <w:sz w:val="20"/>
          <w:szCs w:val="20"/>
          <w:color w:val="auto"/>
        </w:rPr>
      </w:pPr>
    </w:p>
    <w:p>
      <w:pPr>
        <w:ind w:left="20" w:right="420"/>
        <w:spacing w:after="0" w:line="261" w:lineRule="auto"/>
        <w:rPr>
          <w:sz w:val="20"/>
          <w:szCs w:val="20"/>
          <w:color w:val="auto"/>
        </w:rPr>
      </w:pPr>
      <w:r>
        <w:rPr>
          <w:rFonts w:ascii="Arial" w:cs="Arial" w:eastAsia="Arial" w:hAnsi="Arial"/>
          <w:sz w:val="17"/>
          <w:szCs w:val="17"/>
          <w:color w:val="auto"/>
        </w:rPr>
        <w:t>The Foundation will pay You up to the total grant amount specified in the Reporting &amp; Payment Schedule below. The Foundation's Primary Contact must approve in writing any Budget cost category change of more than 10%.</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ind w:left="20" w:right="400"/>
        <w:spacing w:after="0" w:line="254" w:lineRule="auto"/>
        <w:rPr>
          <w:sz w:val="20"/>
          <w:szCs w:val="20"/>
          <w:color w:val="auto"/>
        </w:rPr>
      </w:pPr>
      <w:r>
        <w:rPr>
          <w:rFonts w:ascii="Arial" w:cs="Arial" w:eastAsia="Arial" w:hAnsi="Arial"/>
          <w:sz w:val="17"/>
          <w:szCs w:val="17"/>
          <w:color w:val="auto"/>
        </w:rPr>
        <w:t>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REPORTING</w:t>
      </w:r>
    </w:p>
    <w:p>
      <w:pPr>
        <w:spacing w:after="0" w:line="23" w:lineRule="exact"/>
        <w:rPr>
          <w:sz w:val="20"/>
          <w:szCs w:val="20"/>
          <w:color w:val="auto"/>
        </w:rPr>
      </w:pPr>
    </w:p>
    <w:p>
      <w:pPr>
        <w:ind w:left="20"/>
        <w:spacing w:after="0" w:line="250" w:lineRule="auto"/>
        <w:rPr>
          <w:sz w:val="20"/>
          <w:szCs w:val="20"/>
          <w:color w:val="auto"/>
        </w:rPr>
      </w:pPr>
      <w:r>
        <w:rPr>
          <w:rFonts w:ascii="Arial" w:cs="Arial" w:eastAsia="Arial" w:hAnsi="Arial"/>
          <w:sz w:val="17"/>
          <w:szCs w:val="17"/>
          <w:color w:val="auto"/>
        </w:rPr>
        <w:t>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PERSONNEL TIME</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3 of 9</w:t>
      </w:r>
    </w:p>
    <w:p>
      <w:pPr>
        <w:sectPr>
          <w:pgSz w:w="11900" w:h="16838" w:orient="portrait"/>
          <w:cols w:equalWidth="0" w:num="1">
            <w:col w:w="10080"/>
          </w:cols>
          <w:pgMar w:left="600" w:top="1440" w:right="1219" w:bottom="1440" w:gutter="0" w:footer="0" w:header="0"/>
        </w:sectPr>
      </w:pPr>
    </w:p>
    <w:bookmarkStart w:id="194" w:name="page195"/>
    <w:bookmarkEnd w:id="194"/>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1108075</wp:posOffset>
            </wp:positionV>
            <wp:extent cx="7052945" cy="61461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052945" cy="61461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b w:val="1"/>
          <w:bCs w:val="1"/>
          <w:color w:val="auto"/>
        </w:rPr>
        <w:t>REPORTING &amp; PAYMENT SCHEDULE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20" w:type="dxa"/>
            <w:vAlign w:val="bottom"/>
            <w:tcBorders>
              <w:top w:val="single" w:sz="8" w:color="auto"/>
              <w:right w:val="single" w:sz="8" w:color="auto"/>
            </w:tcBorders>
          </w:tcPr>
          <w:p>
            <w:pPr>
              <w:jc w:val="right"/>
              <w:ind w:right="316"/>
              <w:spacing w:after="0"/>
              <w:rPr>
                <w:sz w:val="20"/>
                <w:szCs w:val="20"/>
                <w:color w:val="auto"/>
              </w:rPr>
            </w:pPr>
            <w:r>
              <w:rPr>
                <w:rFonts w:ascii="Arial" w:cs="Arial" w:eastAsia="Arial" w:hAnsi="Arial"/>
                <w:sz w:val="15"/>
                <w:szCs w:val="15"/>
                <w:i w:val="1"/>
                <w:iCs w:val="1"/>
                <w:color w:val="auto"/>
              </w:rPr>
              <w:t>Investment Period</w:t>
            </w:r>
          </w:p>
        </w:tc>
        <w:tc>
          <w:tcPr>
            <w:tcW w:w="35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i w:val="1"/>
                <w:iCs w:val="1"/>
                <w:color w:val="auto"/>
              </w:rPr>
              <w:t>Target, Milestone, or Reporting Deliverable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i w:val="1"/>
                <w:iCs w:val="1"/>
                <w:color w:val="auto"/>
              </w:rPr>
              <w:t>Due By</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i w:val="1"/>
                <w:iCs w:val="1"/>
                <w:color w:val="auto"/>
              </w:rPr>
              <w:t>Payment Date</w:t>
            </w:r>
          </w:p>
        </w:tc>
        <w:tc>
          <w:tcPr>
            <w:tcW w:w="18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5"/>
                <w:szCs w:val="15"/>
                <w:i w:val="1"/>
                <w:iCs w:val="1"/>
                <w:color w:val="auto"/>
              </w:rPr>
              <w:t>Payment Amount (U.S.$)</w:t>
            </w:r>
          </w:p>
        </w:tc>
        <w:tc>
          <w:tcPr>
            <w:tcW w:w="0" w:type="dxa"/>
            <w:vAlign w:val="bottom"/>
          </w:tcPr>
          <w:p>
            <w:pPr>
              <w:spacing w:after="0"/>
              <w:rPr>
                <w:sz w:val="1"/>
                <w:szCs w:val="1"/>
                <w:color w:val="auto"/>
              </w:rPr>
            </w:pPr>
          </w:p>
        </w:tc>
      </w:tr>
      <w:tr>
        <w:trPr>
          <w:trHeight w:val="167"/>
        </w:trPr>
        <w:tc>
          <w:tcPr>
            <w:tcW w:w="2020" w:type="dxa"/>
            <w:vAlign w:val="bottom"/>
            <w:tcBorders>
              <w:bottom w:val="single" w:sz="8" w:color="auto"/>
              <w:right w:val="single" w:sz="8" w:color="auto"/>
            </w:tcBorders>
          </w:tcPr>
          <w:p>
            <w:pPr>
              <w:spacing w:after="0"/>
              <w:rPr>
                <w:sz w:val="14"/>
                <w:szCs w:val="14"/>
                <w:color w:val="auto"/>
              </w:rPr>
            </w:pPr>
          </w:p>
        </w:tc>
        <w:tc>
          <w:tcPr>
            <w:tcW w:w="3500" w:type="dxa"/>
            <w:vAlign w:val="bottom"/>
            <w:tcBorders>
              <w:bottom w:val="single" w:sz="8" w:color="auto"/>
              <w:right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Countersigned Agreement</w:t>
            </w:r>
          </w:p>
        </w:tc>
        <w:tc>
          <w:tcPr>
            <w:tcW w:w="2220" w:type="dxa"/>
            <w:vAlign w:val="bottom"/>
            <w:tcBorders>
              <w:right w:val="single" w:sz="8" w:color="auto"/>
            </w:tcBorders>
            <w:shd w:val="clear" w:color="auto" w:fill="D0CECE"/>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80" w:type="dxa"/>
            <w:vAlign w:val="bottom"/>
            <w:gridSpan w:val="2"/>
          </w:tcPr>
          <w:p>
            <w:pPr>
              <w:jc w:val="right"/>
              <w:ind w:right="80"/>
              <w:spacing w:after="0"/>
              <w:rPr>
                <w:sz w:val="20"/>
                <w:szCs w:val="20"/>
                <w:color w:val="auto"/>
              </w:rPr>
            </w:pPr>
            <w:r>
              <w:rPr>
                <w:rFonts w:ascii="Arial" w:cs="Arial" w:eastAsia="Arial" w:hAnsi="Arial"/>
                <w:sz w:val="15"/>
                <w:szCs w:val="15"/>
                <w:color w:val="auto"/>
              </w:rPr>
              <w:t>11,453,099</w:t>
            </w: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shd w:val="clear" w:color="auto" w:fill="D0CECE"/>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shd w:val="clear" w:color="auto" w:fill="D0CECE"/>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shd w:val="clear" w:color="auto" w:fill="D0CECE"/>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shd w:val="clear" w:color="auto" w:fill="D0CECE"/>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shd w:val="clear" w:color="auto" w:fill="D0CECE"/>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shd w:val="clear" w:color="auto" w:fill="D0CECE"/>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shd w:val="clear" w:color="auto" w:fill="D0CECE"/>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Up to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tcPr>
          <w:p>
            <w:pPr>
              <w:jc w:val="right"/>
              <w:ind w:right="151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shd w:val="clear" w:color="auto" w:fill="D0CECE"/>
          </w:tcPr>
          <w:p>
            <w:pPr>
              <w:spacing w:after="0"/>
              <w:rPr>
                <w:sz w:val="19"/>
                <w:szCs w:val="19"/>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20" w:type="dxa"/>
            <w:vAlign w:val="bottom"/>
            <w:tcBorders>
              <w:bottom w:val="single" w:sz="8" w:color="auto"/>
              <w:right w:val="single" w:sz="8" w:color="auto"/>
            </w:tcBorders>
            <w:shd w:val="clear" w:color="auto" w:fill="D0CECE"/>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shd w:val="clear" w:color="auto" w:fill="D0CECE"/>
          </w:tcPr>
          <w:p>
            <w:pPr>
              <w:spacing w:after="0"/>
              <w:rPr>
                <w:sz w:val="13"/>
                <w:szCs w:val="13"/>
                <w:color w:val="auto"/>
              </w:rPr>
            </w:pPr>
          </w:p>
        </w:tc>
        <w:tc>
          <w:tcPr>
            <w:tcW w:w="220" w:type="dxa"/>
            <w:vAlign w:val="bottom"/>
            <w:tcBorders>
              <w:bottom w:val="single" w:sz="8" w:color="auto"/>
            </w:tcBorders>
            <w:shd w:val="clear" w:color="auto" w:fill="D0CECE"/>
          </w:tcPr>
          <w:p>
            <w:pPr>
              <w:spacing w:after="0"/>
              <w:rPr>
                <w:sz w:val="13"/>
                <w:szCs w:val="13"/>
                <w:color w:val="auto"/>
              </w:rPr>
            </w:pPr>
          </w:p>
        </w:tc>
        <w:tc>
          <w:tcPr>
            <w:tcW w:w="1500" w:type="dxa"/>
            <w:vAlign w:val="bottom"/>
            <w:tcBorders>
              <w:bottom w:val="single" w:sz="8" w:color="auto"/>
              <w:right w:val="single" w:sz="8" w:color="D0CECE"/>
            </w:tcBorders>
            <w:shd w:val="clear" w:color="auto" w:fill="D0CECE"/>
          </w:tcPr>
          <w:p>
            <w:pPr>
              <w:spacing w:after="0"/>
              <w:rPr>
                <w:sz w:val="13"/>
                <w:szCs w:val="13"/>
                <w:color w:val="auto"/>
              </w:rPr>
            </w:pPr>
          </w:p>
        </w:tc>
        <w:tc>
          <w:tcPr>
            <w:tcW w:w="80" w:type="dxa"/>
            <w:vAlign w:val="bottom"/>
            <w:tcBorders>
              <w:bottom w:val="single" w:sz="8" w:color="auto"/>
            </w:tcBorders>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20" w:type="dxa"/>
            <w:vAlign w:val="bottom"/>
            <w:tcBorders>
              <w:right w:val="single" w:sz="8" w:color="auto"/>
            </w:tcBorders>
            <w:vMerge w:val="restart"/>
          </w:tcPr>
          <w:p>
            <w:pPr>
              <w:jc w:val="right"/>
              <w:ind w:right="1576"/>
              <w:spacing w:after="0"/>
              <w:rPr>
                <w:sz w:val="20"/>
                <w:szCs w:val="20"/>
                <w:color w:val="auto"/>
              </w:rPr>
            </w:pPr>
            <w:r>
              <w:rPr>
                <w:rFonts w:ascii="Arial" w:cs="Arial" w:eastAsia="Arial" w:hAnsi="Arial"/>
                <w:sz w:val="17"/>
                <w:szCs w:val="17"/>
                <w:color w:val="auto"/>
              </w:rPr>
              <w:t>[***]</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1560" w:type="dxa"/>
            <w:vAlign w:val="bottom"/>
            <w:tcBorders>
              <w:right w:val="single" w:sz="8" w:color="auto"/>
            </w:tcBorders>
            <w:shd w:val="clear" w:color="auto" w:fill="D0CECE"/>
          </w:tcPr>
          <w:p>
            <w:pPr>
              <w:spacing w:after="0"/>
              <w:rPr>
                <w:sz w:val="19"/>
                <w:szCs w:val="19"/>
                <w:color w:val="auto"/>
              </w:rPr>
            </w:pPr>
          </w:p>
        </w:tc>
        <w:tc>
          <w:tcPr>
            <w:tcW w:w="220" w:type="dxa"/>
            <w:vAlign w:val="bottom"/>
            <w:shd w:val="clear" w:color="auto" w:fill="D0CECE"/>
          </w:tcPr>
          <w:p>
            <w:pPr>
              <w:spacing w:after="0"/>
              <w:rPr>
                <w:sz w:val="19"/>
                <w:szCs w:val="19"/>
                <w:color w:val="auto"/>
              </w:rPr>
            </w:pPr>
          </w:p>
        </w:tc>
        <w:tc>
          <w:tcPr>
            <w:tcW w:w="1500" w:type="dxa"/>
            <w:vAlign w:val="bottom"/>
            <w:tcBorders>
              <w:right w:val="single" w:sz="8" w:color="D0CECE"/>
            </w:tcBorders>
            <w:shd w:val="clear" w:color="auto" w:fill="D0CECE"/>
          </w:tcPr>
          <w:p>
            <w:pPr>
              <w:spacing w:after="0"/>
              <w:rPr>
                <w:sz w:val="19"/>
                <w:szCs w:val="19"/>
                <w:color w:val="auto"/>
              </w:rPr>
            </w:pPr>
          </w:p>
        </w:tc>
        <w:tc>
          <w:tcPr>
            <w:tcW w:w="8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20" w:type="dxa"/>
            <w:vAlign w:val="bottom"/>
            <w:tcBorders>
              <w:right w:val="single" w:sz="8" w:color="auto"/>
            </w:tcBorders>
            <w:vMerge w:val="continue"/>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shd w:val="clear" w:color="auto" w:fill="D0CECE"/>
          </w:tcPr>
          <w:p>
            <w:pPr>
              <w:spacing w:after="0"/>
              <w:rPr>
                <w:sz w:val="5"/>
                <w:szCs w:val="5"/>
                <w:color w:val="auto"/>
              </w:rPr>
            </w:pPr>
          </w:p>
        </w:tc>
        <w:tc>
          <w:tcPr>
            <w:tcW w:w="220" w:type="dxa"/>
            <w:vAlign w:val="bottom"/>
            <w:shd w:val="clear" w:color="auto" w:fill="D0CECE"/>
          </w:tcPr>
          <w:p>
            <w:pPr>
              <w:spacing w:after="0"/>
              <w:rPr>
                <w:sz w:val="5"/>
                <w:szCs w:val="5"/>
                <w:color w:val="auto"/>
              </w:rPr>
            </w:pPr>
          </w:p>
        </w:tc>
        <w:tc>
          <w:tcPr>
            <w:tcW w:w="1500" w:type="dxa"/>
            <w:vAlign w:val="bottom"/>
            <w:tcBorders>
              <w:right w:val="single" w:sz="8" w:color="D0CECE"/>
            </w:tcBorders>
            <w:shd w:val="clear" w:color="auto" w:fill="D0CECE"/>
          </w:tcPr>
          <w:p>
            <w:pPr>
              <w:spacing w:after="0"/>
              <w:rPr>
                <w:sz w:val="5"/>
                <w:szCs w:val="5"/>
                <w:color w:val="auto"/>
              </w:rPr>
            </w:pPr>
          </w:p>
        </w:tc>
        <w:tc>
          <w:tcPr>
            <w:tcW w:w="80" w:type="dxa"/>
            <w:vAlign w:val="bottom"/>
            <w:shd w:val="clear" w:color="auto" w:fill="D0CEC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shd w:val="clear" w:color="auto" w:fill="D0CECE"/>
          </w:tcPr>
          <w:p>
            <w:pPr>
              <w:spacing w:after="0"/>
              <w:rPr>
                <w:sz w:val="8"/>
                <w:szCs w:val="8"/>
                <w:color w:val="auto"/>
              </w:rPr>
            </w:pPr>
          </w:p>
        </w:tc>
        <w:tc>
          <w:tcPr>
            <w:tcW w:w="220" w:type="dxa"/>
            <w:vAlign w:val="bottom"/>
            <w:tcBorders>
              <w:bottom w:val="single" w:sz="8" w:color="auto"/>
            </w:tcBorders>
            <w:shd w:val="clear" w:color="auto" w:fill="D0CECE"/>
          </w:tcPr>
          <w:p>
            <w:pPr>
              <w:spacing w:after="0"/>
              <w:rPr>
                <w:sz w:val="8"/>
                <w:szCs w:val="8"/>
                <w:color w:val="auto"/>
              </w:rPr>
            </w:pPr>
          </w:p>
        </w:tc>
        <w:tc>
          <w:tcPr>
            <w:tcW w:w="1500" w:type="dxa"/>
            <w:vAlign w:val="bottom"/>
            <w:tcBorders>
              <w:bottom w:val="single" w:sz="8" w:color="auto"/>
              <w:right w:val="single" w:sz="8" w:color="D0CECE"/>
            </w:tcBorders>
            <w:shd w:val="clear" w:color="auto" w:fill="D0CECE"/>
          </w:tcPr>
          <w:p>
            <w:pPr>
              <w:spacing w:after="0"/>
              <w:rPr>
                <w:sz w:val="8"/>
                <w:szCs w:val="8"/>
                <w:color w:val="auto"/>
              </w:rPr>
            </w:pPr>
          </w:p>
        </w:tc>
        <w:tc>
          <w:tcPr>
            <w:tcW w:w="80" w:type="dxa"/>
            <w:vAlign w:val="bottom"/>
            <w:tcBorders>
              <w:bottom w:val="single" w:sz="8" w:color="auto"/>
            </w:tcBorders>
            <w:shd w:val="clear" w:color="auto" w:fill="D0CEC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Total Grant Amount</w:t>
            </w:r>
          </w:p>
        </w:tc>
        <w:tc>
          <w:tcPr>
            <w:tcW w:w="220" w:type="dxa"/>
            <w:vAlign w:val="bottom"/>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Up to $48,945,928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 of 9</w:t>
      </w:r>
    </w:p>
    <w:p>
      <w:pPr>
        <w:sectPr>
          <w:pgSz w:w="11900" w:h="16838" w:orient="portrait"/>
          <w:cols w:equalWidth="0" w:num="1">
            <w:col w:w="11100"/>
          </w:cols>
          <w:pgMar w:left="320" w:top="1440" w:right="479" w:bottom="1440" w:gutter="0" w:footer="0" w:header="0"/>
        </w:sectPr>
      </w:pPr>
    </w:p>
    <w:bookmarkStart w:id="195" w:name="page196"/>
    <w:bookmarkEnd w:id="195"/>
    <w:p>
      <w:pPr>
        <w:jc w:val="center"/>
        <w:ind w:right="-939"/>
        <w:spacing w:after="0"/>
        <w:rPr>
          <w:sz w:val="20"/>
          <w:szCs w:val="20"/>
          <w:color w:val="auto"/>
        </w:rPr>
      </w:pPr>
      <w:r>
        <w:rPr>
          <w:rFonts w:ascii="Arial" w:cs="Arial" w:eastAsia="Arial" w:hAnsi="Arial"/>
          <w:sz w:val="17"/>
          <w:szCs w:val="17"/>
          <w:b w:val="1"/>
          <w:bCs w:val="1"/>
          <w:color w:val="auto"/>
        </w:rPr>
        <w:t>GRANT AGREEMENT</w:t>
      </w:r>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Investment ID INV-026060</w:t>
      </w:r>
    </w:p>
    <w:p>
      <w:pPr>
        <w:spacing w:after="0" w:line="7" w:lineRule="exact"/>
        <w:rPr>
          <w:sz w:val="20"/>
          <w:szCs w:val="20"/>
          <w:color w:val="auto"/>
        </w:rPr>
      </w:pPr>
    </w:p>
    <w:p>
      <w:pPr>
        <w:jc w:val="center"/>
        <w:ind w:right="-939"/>
        <w:spacing w:after="0"/>
        <w:rPr>
          <w:sz w:val="20"/>
          <w:szCs w:val="20"/>
          <w:color w:val="auto"/>
        </w:rPr>
      </w:pPr>
      <w:r>
        <w:rPr>
          <w:rFonts w:ascii="Arial" w:cs="Arial" w:eastAsia="Arial" w:hAnsi="Arial"/>
          <w:sz w:val="17"/>
          <w:szCs w:val="17"/>
          <w:b w:val="1"/>
          <w:bCs w:val="1"/>
          <w:u w:val="single" w:color="auto"/>
          <w:color w:val="auto"/>
        </w:rPr>
        <w:t>ATTACHMENT B</w:t>
      </w:r>
    </w:p>
    <w:p>
      <w:pPr>
        <w:spacing w:after="0" w:line="7"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TERMS &amp; CONDITIONS</w:t>
      </w:r>
    </w:p>
    <w:p>
      <w:pPr>
        <w:spacing w:after="0" w:line="24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This Agreement is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271780</wp:posOffset>
            </wp:positionV>
            <wp:extent cx="6539230" cy="160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6539230" cy="1606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PROJECT SUPPORT</w:t>
      </w: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PROJECT DESCRIPTION AND CHARITABLE PURPOSE</w:t>
      </w:r>
    </w:p>
    <w:p>
      <w:pPr>
        <w:spacing w:after="0" w:line="23" w:lineRule="exact"/>
        <w:rPr>
          <w:sz w:val="20"/>
          <w:szCs w:val="20"/>
          <w:color w:val="auto"/>
        </w:rPr>
      </w:pPr>
    </w:p>
    <w:p>
      <w:pPr>
        <w:ind w:left="80"/>
        <w:spacing w:after="0" w:line="254" w:lineRule="auto"/>
        <w:rPr>
          <w:sz w:val="20"/>
          <w:szCs w:val="20"/>
          <w:color w:val="auto"/>
        </w:rPr>
      </w:pPr>
      <w:r>
        <w:rPr>
          <w:rFonts w:ascii="Arial" w:cs="Arial" w:eastAsia="Arial" w:hAnsi="Arial"/>
          <w:sz w:val="17"/>
          <w:szCs w:val="17"/>
          <w:color w:val="auto"/>
        </w:rPr>
        <w:t>The Foundation is awarding You this grant to carry out the project described in the Investment Document ("</w:t>
      </w:r>
      <w:r>
        <w:rPr>
          <w:rFonts w:ascii="Arial" w:cs="Arial" w:eastAsia="Arial" w:hAnsi="Arial"/>
          <w:sz w:val="17"/>
          <w:szCs w:val="17"/>
          <w:i w:val="1"/>
          <w:iCs w:val="1"/>
          <w:color w:val="auto"/>
        </w:rPr>
        <w:t>Project</w:t>
      </w:r>
      <w:r>
        <w:rPr>
          <w:rFonts w:ascii="Arial" w:cs="Arial" w:eastAsia="Arial" w:hAnsi="Arial"/>
          <w:sz w:val="17"/>
          <w:szCs w:val="17"/>
          <w:color w:val="auto"/>
        </w:rPr>
        <w:t>") in order to further the Charitable Purpose. The Foundation, in its discretion, may approve in writing any request by You to make non-material changes to the Investment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6563360" cy="160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6563360" cy="1606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OF FUNDS</w:t>
      </w: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USE OF FUNDS</w:t>
      </w:r>
    </w:p>
    <w:p>
      <w:pPr>
        <w:spacing w:after="0" w:line="23" w:lineRule="exact"/>
        <w:rPr>
          <w:sz w:val="20"/>
          <w:szCs w:val="20"/>
          <w:color w:val="auto"/>
        </w:rPr>
      </w:pPr>
    </w:p>
    <w:p>
      <w:pPr>
        <w:jc w:val="both"/>
        <w:ind w:left="80" w:right="260"/>
        <w:spacing w:after="0" w:line="278" w:lineRule="auto"/>
        <w:rPr>
          <w:sz w:val="20"/>
          <w:szCs w:val="20"/>
          <w:color w:val="auto"/>
        </w:rPr>
      </w:pPr>
      <w:r>
        <w:rPr>
          <w:rFonts w:ascii="Arial" w:cs="Arial" w:eastAsia="Arial" w:hAnsi="Arial"/>
          <w:sz w:val="16"/>
          <w:szCs w:val="16"/>
          <w:color w:val="auto"/>
        </w:rPr>
        <w:t xml:space="preserve">You may not use funds provided under this Agreement </w:t>
      </w:r>
      <w:r>
        <w:rPr>
          <w:rFonts w:ascii="Arial" w:cs="Arial" w:eastAsia="Arial" w:hAnsi="Arial"/>
          <w:sz w:val="16"/>
          <w:szCs w:val="16"/>
          <w:i w:val="1"/>
          <w:iCs w:val="1"/>
          <w:color w:val="auto"/>
        </w:rPr>
        <w:t>("Grant Funds")</w:t>
      </w:r>
      <w:r>
        <w:rPr>
          <w:rFonts w:ascii="Arial" w:cs="Arial" w:eastAsia="Arial" w:hAnsi="Arial"/>
          <w:sz w:val="16"/>
          <w:szCs w:val="16"/>
          <w:color w:val="auto"/>
        </w:rPr>
        <w:t xml:space="preserve"> 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INVESTMENT OF FUNDS</w:t>
      </w:r>
    </w:p>
    <w:p>
      <w:pPr>
        <w:spacing w:after="0" w:line="23" w:lineRule="exact"/>
        <w:rPr>
          <w:sz w:val="20"/>
          <w:szCs w:val="20"/>
          <w:color w:val="auto"/>
        </w:rPr>
      </w:pPr>
    </w:p>
    <w:p>
      <w:pPr>
        <w:ind w:left="80" w:right="20"/>
        <w:spacing w:after="0" w:line="273" w:lineRule="auto"/>
        <w:rPr>
          <w:sz w:val="20"/>
          <w:szCs w:val="20"/>
          <w:color w:val="auto"/>
        </w:rPr>
      </w:pPr>
      <w:r>
        <w:rPr>
          <w:rFonts w:ascii="Arial" w:cs="Arial" w:eastAsia="Arial" w:hAnsi="Arial"/>
          <w:sz w:val="16"/>
          <w:szCs w:val="16"/>
          <w:color w:val="auto"/>
        </w:rPr>
        <w:t>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w:t>
      </w:r>
      <w:r>
        <w:rPr>
          <w:rFonts w:ascii="Arial" w:cs="Arial" w:eastAsia="Arial" w:hAnsi="Arial"/>
          <w:sz w:val="16"/>
          <w:szCs w:val="16"/>
          <w:i w:val="1"/>
          <w:iCs w:val="1"/>
          <w:color w:val="auto"/>
        </w:rPr>
        <w:t>Income</w:t>
      </w:r>
      <w:r>
        <w:rPr>
          <w:rFonts w:ascii="Arial" w:cs="Arial" w:eastAsia="Arial" w:hAnsi="Arial"/>
          <w:sz w:val="16"/>
          <w:szCs w:val="16"/>
          <w:color w:val="auto"/>
        </w:rPr>
        <w:t>"). Any Income must be used for the Project.</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SEGREGATION OF FUNDS</w:t>
      </w:r>
    </w:p>
    <w:p>
      <w:pPr>
        <w:spacing w:after="0" w:line="23" w:lineRule="exact"/>
        <w:rPr>
          <w:sz w:val="20"/>
          <w:szCs w:val="20"/>
          <w:color w:val="auto"/>
        </w:rPr>
      </w:pPr>
    </w:p>
    <w:p>
      <w:pPr>
        <w:ind w:left="80" w:right="360"/>
        <w:spacing w:after="0" w:line="261" w:lineRule="auto"/>
        <w:rPr>
          <w:sz w:val="20"/>
          <w:szCs w:val="20"/>
          <w:color w:val="auto"/>
        </w:rPr>
      </w:pPr>
      <w:r>
        <w:rPr>
          <w:rFonts w:ascii="Arial" w:cs="Arial" w:eastAsia="Arial" w:hAnsi="Arial"/>
          <w:sz w:val="17"/>
          <w:szCs w:val="17"/>
          <w:color w:val="auto"/>
        </w:rPr>
        <w:t>You must maintain Grant Funds in a physically separate bank account or a separate bookkeeping account maintained as part of Your financial records and dedicated to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155575</wp:posOffset>
            </wp:positionV>
            <wp:extent cx="6539230" cy="160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6539230" cy="160655"/>
                    </a:xfrm>
                    <a:prstGeom prst="rect">
                      <a:avLst/>
                    </a:prstGeom>
                    <a:noFill/>
                  </pic:spPr>
                </pic:pic>
              </a:graphicData>
            </a:graphic>
          </wp:anchor>
        </w:drawing>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GLOBAL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5 of 9</w:t>
      </w:r>
    </w:p>
    <w:p>
      <w:pPr>
        <w:sectPr>
          <w:pgSz w:w="11900" w:h="16838" w:orient="portrait"/>
          <w:cols w:equalWidth="0" w:num="1">
            <w:col w:w="10340"/>
          </w:cols>
          <w:pgMar w:left="300" w:top="1336" w:right="1259" w:bottom="1440" w:gutter="0" w:footer="0" w:header="0"/>
        </w:sectPr>
      </w:pPr>
    </w:p>
    <w:bookmarkStart w:id="196" w:name="page197"/>
    <w:bookmarkEnd w:id="196"/>
    <w:p>
      <w:pPr>
        <w:ind w:left="80"/>
        <w:spacing w:after="0"/>
        <w:rPr>
          <w:sz w:val="20"/>
          <w:szCs w:val="20"/>
          <w:color w:val="auto"/>
        </w:rPr>
      </w:pPr>
      <w:r>
        <w:rPr>
          <w:rFonts w:ascii="Arial" w:cs="Arial" w:eastAsia="Arial" w:hAnsi="Arial"/>
          <w:sz w:val="17"/>
          <w:szCs w:val="17"/>
          <w:b w:val="1"/>
          <w:bCs w:val="1"/>
          <w:color w:val="auto"/>
        </w:rPr>
        <w:t>GLOBAL ACCESS COMMITMENT</w:t>
      </w:r>
    </w:p>
    <w:p>
      <w:pPr>
        <w:spacing w:after="0" w:line="23" w:lineRule="exact"/>
        <w:rPr>
          <w:sz w:val="20"/>
          <w:szCs w:val="20"/>
          <w:color w:val="auto"/>
        </w:rPr>
      </w:pPr>
    </w:p>
    <w:p>
      <w:pPr>
        <w:ind w:left="80"/>
        <w:spacing w:after="0" w:line="267" w:lineRule="auto"/>
        <w:rPr>
          <w:sz w:val="20"/>
          <w:szCs w:val="20"/>
          <w:color w:val="auto"/>
        </w:rPr>
      </w:pPr>
      <w:r>
        <w:rPr>
          <w:rFonts w:ascii="Arial" w:cs="Arial" w:eastAsia="Arial" w:hAnsi="Arial"/>
          <w:sz w:val="16"/>
          <w:szCs w:val="16"/>
          <w:color w:val="auto"/>
        </w:rPr>
        <w:t>You will conduct and manage the Project and the Funded Developments in a manner that ensures Global Access. Your Global Access commitments will survive the term of this Agreement. "</w:t>
      </w:r>
      <w:r>
        <w:rPr>
          <w:rFonts w:ascii="Arial" w:cs="Arial" w:eastAsia="Arial" w:hAnsi="Arial"/>
          <w:sz w:val="16"/>
          <w:szCs w:val="16"/>
          <w:i w:val="1"/>
          <w:iCs w:val="1"/>
          <w:color w:val="auto"/>
        </w:rPr>
        <w:t>Funded Developments</w:t>
      </w:r>
      <w:r>
        <w:rPr>
          <w:rFonts w:ascii="Arial" w:cs="Arial" w:eastAsia="Arial" w:hAnsi="Arial"/>
          <w:sz w:val="16"/>
          <w:szCs w:val="16"/>
          <w:color w:val="auto"/>
        </w:rPr>
        <w:t>" means the products, services, processes, technologies, materials, software, data, other innovations, and intellectual property resulting from the Project (including modifications, improvements, and further developments to Background Technology). "</w:t>
      </w:r>
      <w:r>
        <w:rPr>
          <w:rFonts w:ascii="Arial" w:cs="Arial" w:eastAsia="Arial" w:hAnsi="Arial"/>
          <w:sz w:val="16"/>
          <w:szCs w:val="16"/>
          <w:i w:val="1"/>
          <w:iCs w:val="1"/>
          <w:color w:val="auto"/>
        </w:rPr>
        <w:t>Background Technology</w:t>
      </w:r>
      <w:r>
        <w:rPr>
          <w:rFonts w:ascii="Arial" w:cs="Arial" w:eastAsia="Arial" w:hAnsi="Arial"/>
          <w:sz w:val="16"/>
          <w:szCs w:val="16"/>
          <w:color w:val="auto"/>
        </w:rPr>
        <w:t>" means any and all products, services, processes, technologies, materials, software, data, or other innovations, and intellectual property created by You or a third party prior to or outside of the Project used as part of the Project. "</w:t>
      </w:r>
      <w:r>
        <w:rPr>
          <w:rFonts w:ascii="Arial" w:cs="Arial" w:eastAsia="Arial" w:hAnsi="Arial"/>
          <w:sz w:val="16"/>
          <w:szCs w:val="16"/>
          <w:i w:val="1"/>
          <w:iCs w:val="1"/>
          <w:color w:val="auto"/>
        </w:rPr>
        <w:t>Global Access</w:t>
      </w:r>
      <w:r>
        <w:rPr>
          <w:rFonts w:ascii="Arial" w:cs="Arial" w:eastAsia="Arial" w:hAnsi="Arial"/>
          <w:sz w:val="16"/>
          <w:szCs w:val="16"/>
          <w:color w:val="auto"/>
        </w:rPr>
        <w:t>"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w:t>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HUMANITARIAN LICENSE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color w:val="auto"/>
        </w:rPr>
        <w:t>Subject to applicable laws and for the purpose of achieving Global Access, You grant the Foundation a nonexclusive, perpetual,</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irrevocable, worldwide, royalty-free, fully paid up, sublicensable license to make, use, sell, offer to sell, import, distribute, copy, create</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derivative works, publicly perform, and display Funded Developments and Essential Background Technology. “Essential Background</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Technology” means Background Technology that is: (a) owned, controlled, or developed by You, or in-licensed with the right to sublicense;</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(b) either incorporated into a Funded Development or reasonably required to exercise the license to a Funded Development. You</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confirm that You have retained sufficient rights in the Funded Developments and Essential Background Technology to grant this</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license. You must ensure this license survives the assignment or transfer of Funded Developments or Essential Background Technology.</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 request, You must promptly make available the Funded Developments and Essential Background Technology to the Foundation for use</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solely under this license. If You demonstrate to the satisfaction of the Foundation that Global Access can best be achieved without this</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license, the Foundation and You will make good faith efforts to modify or terminate this license, as appropriate.</w:t>
      </w:r>
    </w:p>
    <w:p>
      <w:pPr>
        <w:spacing w:after="0" w:line="29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PUBLICATION</w:t>
      </w:r>
    </w:p>
    <w:p>
      <w:pPr>
        <w:spacing w:after="0" w:line="23" w:lineRule="exact"/>
        <w:rPr>
          <w:sz w:val="20"/>
          <w:szCs w:val="20"/>
          <w:color w:val="auto"/>
        </w:rPr>
      </w:pPr>
    </w:p>
    <w:p>
      <w:pPr>
        <w:ind w:left="80" w:right="20"/>
        <w:spacing w:after="0" w:line="249" w:lineRule="auto"/>
        <w:rPr>
          <w:sz w:val="20"/>
          <w:szCs w:val="20"/>
          <w:color w:val="auto"/>
        </w:rPr>
      </w:pPr>
      <w:r>
        <w:rPr>
          <w:rFonts w:ascii="Arial" w:cs="Arial" w:eastAsia="Arial" w:hAnsi="Arial"/>
          <w:sz w:val="17"/>
          <w:szCs w:val="17"/>
          <w:color w:val="auto"/>
        </w:rPr>
        <w:t>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www.gatesfoundation.org/How-We-Work/General-Information/Open-Access-Policy,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w:t>
      </w:r>
    </w:p>
    <w:p>
      <w:pPr>
        <w:spacing w:after="0" w:line="2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INTELLECTUAL PROPERTY REPORTING</w:t>
      </w:r>
    </w:p>
    <w:p>
      <w:pPr>
        <w:spacing w:after="0" w:line="23" w:lineRule="exact"/>
        <w:rPr>
          <w:sz w:val="20"/>
          <w:szCs w:val="20"/>
          <w:color w:val="auto"/>
        </w:rPr>
      </w:pPr>
    </w:p>
    <w:p>
      <w:pPr>
        <w:ind w:left="80" w:right="340"/>
        <w:spacing w:after="0" w:line="254" w:lineRule="auto"/>
        <w:rPr>
          <w:sz w:val="20"/>
          <w:szCs w:val="20"/>
          <w:color w:val="auto"/>
        </w:rPr>
      </w:pPr>
      <w:r>
        <w:rPr>
          <w:rFonts w:ascii="Arial" w:cs="Arial" w:eastAsia="Arial" w:hAnsi="Arial"/>
          <w:sz w:val="17"/>
          <w:szCs w:val="17"/>
          <w:color w:val="auto"/>
        </w:rPr>
        <w:t>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6563360" cy="160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6563360" cy="1606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SUBGRANTS AND SUBCONTRACTS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6 of 9</w:t>
      </w:r>
    </w:p>
    <w:p>
      <w:pPr>
        <w:sectPr>
          <w:pgSz w:w="11900" w:h="16838" w:orient="portrait"/>
          <w:cols w:equalWidth="0" w:num="1">
            <w:col w:w="10420"/>
          </w:cols>
          <w:pgMar w:left="300" w:top="1387" w:right="1179" w:bottom="1440" w:gutter="0" w:footer="0" w:header="0"/>
        </w:sectPr>
      </w:pPr>
    </w:p>
    <w:bookmarkStart w:id="197" w:name="page198"/>
    <w:bookmarkEnd w:id="197"/>
    <w:p>
      <w:pPr>
        <w:ind w:left="80"/>
        <w:spacing w:after="0"/>
        <w:rPr>
          <w:sz w:val="20"/>
          <w:szCs w:val="20"/>
          <w:color w:val="auto"/>
        </w:rPr>
      </w:pPr>
      <w:r>
        <w:rPr>
          <w:rFonts w:ascii="Arial" w:cs="Arial" w:eastAsia="Arial" w:hAnsi="Arial"/>
          <w:sz w:val="17"/>
          <w:szCs w:val="17"/>
          <w:b w:val="1"/>
          <w:bCs w:val="1"/>
          <w:color w:val="auto"/>
        </w:rPr>
        <w:t>SUBGRANTS AND SUBCONTRACTS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color w:val="auto"/>
        </w:rPr>
        <w:t>You may not make subgrants under this Agreement. You have the exclusive right to select subcontractors to assist with the Project.</w:t>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RESPONSIBILITY FOR OTHERS</w:t>
      </w:r>
    </w:p>
    <w:p>
      <w:pPr>
        <w:spacing w:after="0" w:line="23" w:lineRule="exact"/>
        <w:rPr>
          <w:sz w:val="20"/>
          <w:szCs w:val="20"/>
          <w:color w:val="auto"/>
        </w:rPr>
      </w:pPr>
    </w:p>
    <w:p>
      <w:pPr>
        <w:ind w:left="80" w:right="260"/>
        <w:spacing w:after="0" w:line="293" w:lineRule="auto"/>
        <w:rPr>
          <w:sz w:val="20"/>
          <w:szCs w:val="20"/>
          <w:color w:val="auto"/>
        </w:rPr>
      </w:pPr>
      <w:r>
        <w:rPr>
          <w:rFonts w:ascii="Arial" w:cs="Arial" w:eastAsia="Arial" w:hAnsi="Arial"/>
          <w:sz w:val="16"/>
          <w:szCs w:val="16"/>
          <w:color w:val="auto"/>
        </w:rPr>
        <w:t>You are responsible for (a) all acts and omissions of any of Your trustees, directors, officers, employees, subgrantees, subcontractors, contingent workers, agents, and affiliates assisting with the Project, and (b) ensuring their compliance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6563360" cy="160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6563360" cy="1606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PROHIBITED ACTIVITIES</w:t>
      </w: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ANTI-TERRORISM</w:t>
      </w:r>
    </w:p>
    <w:p>
      <w:pPr>
        <w:spacing w:after="0" w:line="23" w:lineRule="exact"/>
        <w:rPr>
          <w:sz w:val="20"/>
          <w:szCs w:val="20"/>
          <w:color w:val="auto"/>
        </w:rPr>
      </w:pPr>
    </w:p>
    <w:p>
      <w:pPr>
        <w:ind w:left="80" w:right="60"/>
        <w:spacing w:after="0" w:line="250" w:lineRule="auto"/>
        <w:rPr>
          <w:sz w:val="20"/>
          <w:szCs w:val="20"/>
          <w:color w:val="auto"/>
        </w:rPr>
      </w:pPr>
      <w:r>
        <w:rPr>
          <w:rFonts w:ascii="Arial" w:cs="Arial" w:eastAsia="Arial" w:hAnsi="Arial"/>
          <w:sz w:val="17"/>
          <w:szCs w:val="17"/>
          <w:color w:val="auto"/>
        </w:rPr>
        <w:t>You will not use funds provided under this Agreement, directly or indirectly, in support of activities (a) prohibited by U.S. laws relating to combating terrorism; (b) with persons on the List of Specially Designated Nationals (www.treasury.gov/sdn) or entities owned or controlled by such persons; or (c) in or with countries or territories against which the U.S. maintains comprehensive sanctions (currently, Cuba, Iran, Syria, North Korea, and the Crimea Region of Ukraine), including paying or reimbursing the expenses of persons from such countries or territories, unless such activities are fully authorized by the U.S. government under applicable law and specifically approved by the Foundation in its sole discretion.</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ANTI-CORRUPTION; ANTI-BRIBERY</w:t>
      </w:r>
    </w:p>
    <w:p>
      <w:pPr>
        <w:spacing w:after="0" w:line="23" w:lineRule="exact"/>
        <w:rPr>
          <w:sz w:val="20"/>
          <w:szCs w:val="20"/>
          <w:color w:val="auto"/>
        </w:rPr>
      </w:pPr>
    </w:p>
    <w:p>
      <w:pPr>
        <w:ind w:left="80"/>
        <w:spacing w:after="0" w:line="254" w:lineRule="auto"/>
        <w:rPr>
          <w:sz w:val="20"/>
          <w:szCs w:val="20"/>
          <w:color w:val="auto"/>
        </w:rPr>
      </w:pPr>
      <w:r>
        <w:rPr>
          <w:rFonts w:ascii="Arial" w:cs="Arial" w:eastAsia="Arial" w:hAnsi="Arial"/>
          <w:sz w:val="17"/>
          <w:szCs w:val="17"/>
          <w:color w:val="auto"/>
        </w:rPr>
        <w:t>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www.learnfoundationlaw.org.</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POLITICAL ACTIVITY AND ADVOCACY</w:t>
      </w:r>
    </w:p>
    <w:p>
      <w:pPr>
        <w:spacing w:after="0" w:line="23" w:lineRule="exact"/>
        <w:rPr>
          <w:sz w:val="20"/>
          <w:szCs w:val="20"/>
          <w:color w:val="auto"/>
        </w:rPr>
      </w:pPr>
    </w:p>
    <w:p>
      <w:pPr>
        <w:ind w:left="80" w:right="80"/>
        <w:spacing w:after="0" w:line="252" w:lineRule="auto"/>
        <w:rPr>
          <w:sz w:val="20"/>
          <w:szCs w:val="20"/>
          <w:color w:val="auto"/>
        </w:rPr>
      </w:pPr>
      <w:r>
        <w:rPr>
          <w:rFonts w:ascii="Arial" w:cs="Arial" w:eastAsia="Arial" w:hAnsi="Arial"/>
          <w:sz w:val="17"/>
          <w:szCs w:val="17"/>
          <w:color w:val="auto"/>
        </w:rPr>
        <w:t>You may not use Grant Funds to influence the outcome of any election for public office or to carry on any voter registration drive. You may not use Grant Funds to support lobbying activity or to otherwise support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643370" cy="160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6643370" cy="1606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7 of 9</w:t>
      </w:r>
    </w:p>
    <w:p>
      <w:pPr>
        <w:sectPr>
          <w:pgSz w:w="11900" w:h="16838" w:orient="portrait"/>
          <w:cols w:equalWidth="0" w:num="1">
            <w:col w:w="10400"/>
          </w:cols>
          <w:pgMar w:left="300" w:top="1387" w:right="119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b w:val="1"/>
          <w:bCs w:val="1"/>
          <w:color w:val="auto"/>
        </w:rPr>
        <w:t>PUBLICITY</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www.gatesfoundation.org/brandguidelines.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ENTITY AND AUTHORITY</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LAWS</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In carrying out the Project, You will comply with all applicable laws, regulations, and rules and will not infringe, misappropriate, or violate the intellectual property, privacy, or publicity rights of any third party.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REQUIREMENTS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You will conduct, control, manage, and monitor the Project in compliance with all applicable ethical, legal, regulatory, and safety requirements, including applicable international, national, local, and institutional standards ("</w:t>
      </w:r>
      <w:r>
        <w:rPr>
          <w:rFonts w:ascii="Arial" w:cs="Arial" w:eastAsia="Arial" w:hAnsi="Arial"/>
          <w:sz w:val="17"/>
          <w:szCs w:val="17"/>
          <w:i w:val="1"/>
          <w:iCs w:val="1"/>
          <w:color w:val="auto"/>
        </w:rPr>
        <w:t>Requirements</w:t>
      </w:r>
      <w:r>
        <w:rPr>
          <w:rFonts w:ascii="Arial" w:cs="Arial" w:eastAsia="Arial" w:hAnsi="Arial"/>
          <w:sz w:val="17"/>
          <w:szCs w:val="17"/>
          <w:color w:val="auto"/>
        </w:rPr>
        <w:t>"). You will obtain and maintain all necessary approvals, consents, and reviews before conducting the applicable activity. As a part of Your annual progress report to the Foundation, You must report whether the Project activities were conducted in compliance with all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If the Project involves:</w:t>
      </w:r>
    </w:p>
    <w:p>
      <w:pPr>
        <w:spacing w:after="0" w:line="23" w:lineRule="exact"/>
        <w:rPr>
          <w:sz w:val="20"/>
          <w:szCs w:val="20"/>
          <w:color w:val="auto"/>
        </w:rPr>
      </w:pPr>
    </w:p>
    <w:p>
      <w:pPr>
        <w:jc w:val="both"/>
        <w:ind w:right="600"/>
        <w:spacing w:after="0" w:line="248" w:lineRule="auto"/>
        <w:rPr>
          <w:sz w:val="20"/>
          <w:szCs w:val="20"/>
          <w:color w:val="auto"/>
        </w:rPr>
      </w:pPr>
      <w:r>
        <w:rPr>
          <w:rFonts w:ascii="Arial" w:cs="Arial" w:eastAsia="Arial" w:hAnsi="Arial"/>
          <w:sz w:val="17"/>
          <w:szCs w:val="17"/>
          <w:color w:val="auto"/>
        </w:rPr>
        <w:t>a. any protected information (including personally identifiable, protected health, or third-party confidential), You will not disclose this information to the Foundation without obtaining the Foundation's prior written approval and all necessary consents to disclose such information;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 children or vulnerable subjects, You will obtain any necessary consents and approvals unique to these subjects; and/or</w:t>
      </w:r>
    </w:p>
    <w:p>
      <w:pPr>
        <w:spacing w:after="0" w:line="7" w:lineRule="exact"/>
        <w:rPr>
          <w:sz w:val="20"/>
          <w:szCs w:val="20"/>
          <w:color w:val="auto"/>
        </w:rPr>
      </w:pPr>
    </w:p>
    <w:p>
      <w:pPr>
        <w:ind w:right="800"/>
        <w:spacing w:after="0" w:line="261" w:lineRule="auto"/>
        <w:rPr>
          <w:sz w:val="20"/>
          <w:szCs w:val="20"/>
          <w:color w:val="auto"/>
        </w:rPr>
      </w:pPr>
      <w:r>
        <w:rPr>
          <w:rFonts w:ascii="Arial" w:cs="Arial" w:eastAsia="Arial" w:hAnsi="Arial"/>
          <w:sz w:val="17"/>
          <w:szCs w:val="17"/>
          <w:color w:val="auto"/>
        </w:rPr>
        <w:t>c. any trial involving human subjects, You will adhere to current Good Clinical Practice as defined by the International Council on Harmonisation (ICH) E-6 Standards (or local regulations if more stringent) and will obtain applicable trial insurance.</w:t>
      </w:r>
    </w:p>
    <w:p>
      <w:pPr>
        <w:spacing w:after="0" w:line="16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Any activities by the Foundation in reviewing documents and providing input or funding does not modify Your responsibility for determining and complying with all Requirements for the Project.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RELIANCE</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8 of 9</w:t>
      </w:r>
    </w:p>
    <w:p>
      <w:pPr>
        <w:sectPr>
          <w:pgSz w:w="11900" w:h="16838" w:orient="portrait"/>
          <w:cols w:equalWidth="0" w:num="1">
            <w:col w:w="10340"/>
          </w:cols>
          <w:pgMar w:left="380" w:top="1386" w:right="1179" w:bottom="1440" w:gutter="0" w:footer="0" w:header="0"/>
        </w:sectPr>
      </w:pPr>
    </w:p>
    <w:bookmarkStart w:id="199" w:name="page200"/>
    <w:bookmarkEnd w:id="199"/>
    <w:p>
      <w:pPr>
        <w:ind w:left="80"/>
        <w:spacing w:after="0"/>
        <w:rPr>
          <w:sz w:val="20"/>
          <w:szCs w:val="20"/>
          <w:color w:val="auto"/>
        </w:rPr>
      </w:pPr>
      <w:r>
        <w:rPr>
          <w:rFonts w:ascii="Arial" w:cs="Arial" w:eastAsia="Arial" w:hAnsi="Arial"/>
          <w:sz w:val="17"/>
          <w:szCs w:val="17"/>
          <w:b w:val="1"/>
          <w:bCs w:val="1"/>
          <w:color w:val="auto"/>
        </w:rPr>
        <w:t>INDEMNIFICATION</w:t>
      </w:r>
    </w:p>
    <w:p>
      <w:pPr>
        <w:spacing w:after="0" w:line="23" w:lineRule="exact"/>
        <w:rPr>
          <w:sz w:val="20"/>
          <w:szCs w:val="20"/>
          <w:color w:val="auto"/>
        </w:rPr>
      </w:pPr>
    </w:p>
    <w:p>
      <w:pPr>
        <w:ind w:left="80"/>
        <w:spacing w:after="0" w:line="249" w:lineRule="auto"/>
        <w:rPr>
          <w:sz w:val="20"/>
          <w:szCs w:val="20"/>
          <w:color w:val="auto"/>
        </w:rPr>
      </w:pPr>
      <w:r>
        <w:rPr>
          <w:rFonts w:ascii="Arial" w:cs="Arial" w:eastAsia="Arial" w:hAnsi="Arial"/>
          <w:sz w:val="17"/>
          <w:szCs w:val="17"/>
          <w:color w:val="auto"/>
        </w:rPr>
        <w:t>If the Project involves clinical trials, trials involving human subjects, post-approval studies, field trials involving genetically modified organisms, experimental medicine, or the provision of medical/health services ("</w:t>
      </w:r>
      <w:r>
        <w:rPr>
          <w:rFonts w:ascii="Arial" w:cs="Arial" w:eastAsia="Arial" w:hAnsi="Arial"/>
          <w:sz w:val="17"/>
          <w:szCs w:val="17"/>
          <w:i w:val="1"/>
          <w:iCs w:val="1"/>
          <w:color w:val="auto"/>
        </w:rPr>
        <w:t>Indemnified Activities</w:t>
      </w:r>
      <w:r>
        <w:rPr>
          <w:rFonts w:ascii="Arial" w:cs="Arial" w:eastAsia="Arial" w:hAnsi="Arial"/>
          <w:sz w:val="17"/>
          <w:szCs w:val="17"/>
          <w:color w:val="auto"/>
        </w:rPr>
        <w:t>"), You will indemnify, defend, and hold harmless the Foundation and its trustees, employees, and agents ("</w:t>
      </w:r>
      <w:r>
        <w:rPr>
          <w:rFonts w:ascii="Arial" w:cs="Arial" w:eastAsia="Arial" w:hAnsi="Arial"/>
          <w:sz w:val="17"/>
          <w:szCs w:val="17"/>
          <w:i w:val="1"/>
          <w:iCs w:val="1"/>
          <w:color w:val="auto"/>
        </w:rPr>
        <w:t>Indemnified Parties</w:t>
      </w:r>
      <w:r>
        <w:rPr>
          <w:rFonts w:ascii="Arial" w:cs="Arial" w:eastAsia="Arial" w:hAnsi="Arial"/>
          <w:sz w:val="17"/>
          <w:szCs w:val="17"/>
          <w:color w:val="auto"/>
        </w:rPr>
        <w:t>") from and against any and all demands, claims, actions, suits, losses, damages (including property damage, bodily injury, and wrongful death), arbitration and legal proceedings, judgments, settlements, or costs or expenses (including reasonable attorneys' fees and expenses) (collectively, "</w:t>
      </w:r>
      <w:r>
        <w:rPr>
          <w:rFonts w:ascii="Arial" w:cs="Arial" w:eastAsia="Arial" w:hAnsi="Arial"/>
          <w:sz w:val="17"/>
          <w:szCs w:val="17"/>
          <w:i w:val="1"/>
          <w:iCs w:val="1"/>
          <w:color w:val="auto"/>
        </w:rPr>
        <w:t>Claims</w:t>
      </w:r>
      <w:r>
        <w:rPr>
          <w:rFonts w:ascii="Arial" w:cs="Arial" w:eastAsia="Arial" w:hAnsi="Arial"/>
          <w:sz w:val="17"/>
          <w:szCs w:val="17"/>
          <w:color w:val="auto"/>
        </w:rPr>
        <w:t>") arising out of or relating to the acts or omissions, actual or alleged, of You or Your employees, subgrantees, subcontractors, contingent workers, agents, and affiliates with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INSURANCE</w:t>
      </w:r>
    </w:p>
    <w:p>
      <w:pPr>
        <w:spacing w:after="0" w:line="23" w:lineRule="exact"/>
        <w:rPr>
          <w:sz w:val="20"/>
          <w:szCs w:val="20"/>
          <w:color w:val="auto"/>
        </w:rPr>
      </w:pPr>
    </w:p>
    <w:p>
      <w:pPr>
        <w:ind w:left="80" w:right="200"/>
        <w:spacing w:after="0" w:line="254" w:lineRule="auto"/>
        <w:rPr>
          <w:sz w:val="20"/>
          <w:szCs w:val="20"/>
          <w:color w:val="auto"/>
        </w:rPr>
      </w:pPr>
      <w:r>
        <w:rPr>
          <w:rFonts w:ascii="Arial" w:cs="Arial" w:eastAsia="Arial" w:hAnsi="Arial"/>
          <w:sz w:val="17"/>
          <w:szCs w:val="17"/>
          <w:color w:val="auto"/>
        </w:rPr>
        <w:t>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6643370" cy="160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6643370" cy="1606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AND TERMINATION</w:t>
      </w: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TERM</w:t>
      </w:r>
    </w:p>
    <w:p>
      <w:pPr>
        <w:spacing w:after="0" w:line="23" w:lineRule="exact"/>
        <w:rPr>
          <w:sz w:val="20"/>
          <w:szCs w:val="20"/>
          <w:color w:val="auto"/>
        </w:rPr>
      </w:pPr>
    </w:p>
    <w:p>
      <w:pPr>
        <w:ind w:left="80"/>
        <w:spacing w:after="0" w:line="254" w:lineRule="auto"/>
        <w:rPr>
          <w:sz w:val="20"/>
          <w:szCs w:val="20"/>
          <w:color w:val="auto"/>
        </w:rPr>
      </w:pPr>
      <w:r>
        <w:rPr>
          <w:rFonts w:ascii="Arial" w:cs="Arial" w:eastAsia="Arial" w:hAnsi="Arial"/>
          <w:sz w:val="17"/>
          <w:szCs w:val="17"/>
          <w:color w:val="auto"/>
        </w:rPr>
        <w:t>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w:t>
      </w:r>
    </w:p>
    <w:p>
      <w:pPr>
        <w:spacing w:after="0" w:line="26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TERMINATION</w:t>
      </w:r>
    </w:p>
    <w:p>
      <w:pPr>
        <w:spacing w:after="0" w:line="23" w:lineRule="exact"/>
        <w:rPr>
          <w:sz w:val="20"/>
          <w:szCs w:val="20"/>
          <w:color w:val="auto"/>
        </w:rPr>
      </w:pPr>
    </w:p>
    <w:p>
      <w:pPr>
        <w:ind w:left="80"/>
        <w:spacing w:after="0" w:line="252" w:lineRule="auto"/>
        <w:rPr>
          <w:sz w:val="20"/>
          <w:szCs w:val="20"/>
          <w:color w:val="auto"/>
        </w:rPr>
      </w:pPr>
      <w:r>
        <w:rPr>
          <w:rFonts w:ascii="Arial" w:cs="Arial" w:eastAsia="Arial" w:hAnsi="Arial"/>
          <w:sz w:val="17"/>
          <w:szCs w:val="17"/>
          <w:color w:val="auto"/>
        </w:rPr>
        <w:t>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RETURN OF FUNDS</w:t>
      </w:r>
    </w:p>
    <w:p>
      <w:pPr>
        <w:spacing w:after="0" w:line="23" w:lineRule="exact"/>
        <w:rPr>
          <w:sz w:val="20"/>
          <w:szCs w:val="20"/>
          <w:color w:val="auto"/>
        </w:rPr>
      </w:pPr>
    </w:p>
    <w:p>
      <w:pPr>
        <w:ind w:left="80" w:right="640"/>
        <w:spacing w:after="0" w:line="261" w:lineRule="auto"/>
        <w:rPr>
          <w:sz w:val="20"/>
          <w:szCs w:val="20"/>
          <w:color w:val="auto"/>
        </w:rPr>
      </w:pPr>
      <w:r>
        <w:rPr>
          <w:rFonts w:ascii="Arial" w:cs="Arial" w:eastAsia="Arial" w:hAnsi="Arial"/>
          <w:sz w:val="17"/>
          <w:szCs w:val="17"/>
          <w:color w:val="auto"/>
        </w:rPr>
        <w:t>Any Grant Funds, plus any Income, that have not been used for, or committed to, the Project upon expiration or termination of this Agreement, must be returned promptly to the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9 of 9</w:t>
      </w:r>
    </w:p>
    <w:p>
      <w:pPr>
        <w:sectPr>
          <w:pgSz w:w="11900" w:h="16838" w:orient="portrait"/>
          <w:cols w:equalWidth="0" w:num="1">
            <w:col w:w="10380"/>
          </w:cols>
          <w:pgMar w:left="300" w:top="1386" w:right="1219" w:bottom="1440" w:gutter="0" w:footer="0" w:header="0"/>
        </w:sectPr>
      </w:pPr>
    </w:p>
    <w:bookmarkStart w:id="200" w:name="page201"/>
    <w:bookmarkEnd w:id="200"/>
    <w:p>
      <w:pPr>
        <w:ind w:left="80"/>
        <w:spacing w:after="0"/>
        <w:rPr>
          <w:sz w:val="20"/>
          <w:szCs w:val="20"/>
          <w:color w:val="auto"/>
        </w:rPr>
      </w:pPr>
      <w:r>
        <w:rPr>
          <w:rFonts w:ascii="Arial" w:cs="Arial" w:eastAsia="Arial" w:hAnsi="Arial"/>
          <w:sz w:val="17"/>
          <w:szCs w:val="17"/>
          <w:b w:val="1"/>
          <w:bCs w:val="1"/>
          <w:color w:val="auto"/>
        </w:rPr>
        <w:t>MONITORING, REVIEW, AND AUDIT</w:t>
      </w:r>
    </w:p>
    <w:p>
      <w:pPr>
        <w:spacing w:after="0" w:line="23" w:lineRule="exact"/>
        <w:rPr>
          <w:sz w:val="20"/>
          <w:szCs w:val="20"/>
          <w:color w:val="auto"/>
        </w:rPr>
      </w:pPr>
    </w:p>
    <w:p>
      <w:pPr>
        <w:ind w:left="80"/>
        <w:spacing w:after="0" w:line="250" w:lineRule="auto"/>
        <w:rPr>
          <w:sz w:val="20"/>
          <w:szCs w:val="20"/>
          <w:color w:val="auto"/>
        </w:rPr>
      </w:pPr>
      <w:r>
        <w:rPr>
          <w:rFonts w:ascii="Arial" w:cs="Arial" w:eastAsia="Arial" w:hAnsi="Arial"/>
          <w:sz w:val="17"/>
          <w:szCs w:val="17"/>
          <w:color w:val="auto"/>
        </w:rPr>
        <w:t>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INTERNAL OR THIRD PARTY AUDIT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If during the term of this Agreement You are audited by your internal audit department or by a third party, You will provide the audit report</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to the Foundation upon request, including the management letter and a detailed plan for remedying any deficiencies observed</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Remediation Plan</w:t>
      </w:r>
      <w:r>
        <w:rPr>
          <w:rFonts w:ascii="Arial" w:cs="Arial" w:eastAsia="Arial" w:hAnsi="Arial"/>
          <w:sz w:val="16"/>
          <w:szCs w:val="16"/>
          <w:color w:val="auto"/>
        </w:rPr>
        <w:t>"). The Remediation Plan must include (a) details of actions You will take to correct any deficiencies observed, and (b)</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target dates for successful completion of the actions to correct the deficiencies.</w:t>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RECORD KEEPING</w:t>
      </w:r>
    </w:p>
    <w:p>
      <w:pPr>
        <w:spacing w:after="0" w:line="23" w:lineRule="exact"/>
        <w:rPr>
          <w:sz w:val="20"/>
          <w:szCs w:val="20"/>
          <w:color w:val="auto"/>
        </w:rPr>
      </w:pPr>
    </w:p>
    <w:p>
      <w:pPr>
        <w:ind w:left="80" w:right="40"/>
        <w:spacing w:after="0" w:line="278" w:lineRule="auto"/>
        <w:rPr>
          <w:sz w:val="20"/>
          <w:szCs w:val="20"/>
          <w:color w:val="auto"/>
        </w:rPr>
      </w:pPr>
      <w:r>
        <w:rPr>
          <w:rFonts w:ascii="Arial" w:cs="Arial" w:eastAsia="Arial" w:hAnsi="Arial"/>
          <w:sz w:val="16"/>
          <w:szCs w:val="16"/>
          <w:color w:val="auto"/>
        </w:rPr>
        <w:t>You will maintain complete and accurate accounting records and copies of any reports submitted to the Foundation relating to the Project. You will retain such records and reports for 4 years after Grant Funds have been fully spent. At the Foundation's request, You will make such records and reports available to enable the Foundation to monitor and evaluate how Grant Funds have been used or committed.</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SURVIVAL</w:t>
      </w:r>
    </w:p>
    <w:p>
      <w:pPr>
        <w:spacing w:after="0" w:line="23" w:lineRule="exact"/>
        <w:rPr>
          <w:sz w:val="20"/>
          <w:szCs w:val="20"/>
          <w:color w:val="auto"/>
        </w:rPr>
      </w:pPr>
    </w:p>
    <w:p>
      <w:pPr>
        <w:ind w:left="80" w:right="620"/>
        <w:spacing w:after="0" w:line="261" w:lineRule="auto"/>
        <w:rPr>
          <w:sz w:val="20"/>
          <w:szCs w:val="20"/>
          <w:color w:val="auto"/>
        </w:rPr>
      </w:pPr>
      <w:r>
        <w:rPr>
          <w:rFonts w:ascii="Arial" w:cs="Arial" w:eastAsia="Arial" w:hAnsi="Arial"/>
          <w:sz w:val="17"/>
          <w:szCs w:val="17"/>
          <w:color w:val="auto"/>
        </w:rPr>
        <w:t>A Party's obligations under this Agreement will be continuous and survive expiration or termination of this Agreement as expressly provided in this Agreement or otherwise required by law or intended by their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155575</wp:posOffset>
            </wp:positionV>
            <wp:extent cx="6643370" cy="160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6643370" cy="1606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ENTIRE AGREEMENT, CONFLICTS, AND AMENDMENTS</w:t>
      </w:r>
    </w:p>
    <w:p>
      <w:pPr>
        <w:spacing w:after="0" w:line="23" w:lineRule="exact"/>
        <w:rPr>
          <w:sz w:val="20"/>
          <w:szCs w:val="20"/>
          <w:color w:val="auto"/>
        </w:rPr>
      </w:pPr>
    </w:p>
    <w:p>
      <w:pPr>
        <w:ind w:left="80" w:right="60"/>
        <w:spacing w:after="0" w:line="252" w:lineRule="auto"/>
        <w:rPr>
          <w:sz w:val="20"/>
          <w:szCs w:val="20"/>
          <w:color w:val="auto"/>
        </w:rPr>
      </w:pPr>
      <w:r>
        <w:rPr>
          <w:rFonts w:ascii="Arial" w:cs="Arial" w:eastAsia="Arial" w:hAnsi="Arial"/>
          <w:sz w:val="17"/>
          <w:szCs w:val="17"/>
          <w:color w:val="auto"/>
        </w:rPr>
        <w:t>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NOTICES AND APPROVALS</w:t>
      </w:r>
    </w:p>
    <w:p>
      <w:pPr>
        <w:spacing w:after="0" w:line="23" w:lineRule="exact"/>
        <w:rPr>
          <w:sz w:val="20"/>
          <w:szCs w:val="20"/>
          <w:color w:val="auto"/>
        </w:rPr>
      </w:pPr>
    </w:p>
    <w:p>
      <w:pPr>
        <w:ind w:left="80" w:right="360"/>
        <w:spacing w:after="0" w:line="261" w:lineRule="auto"/>
        <w:rPr>
          <w:sz w:val="20"/>
          <w:szCs w:val="20"/>
          <w:color w:val="auto"/>
        </w:rPr>
      </w:pPr>
      <w:r>
        <w:rPr>
          <w:rFonts w:ascii="Arial" w:cs="Arial" w:eastAsia="Arial" w:hAnsi="Arial"/>
          <w:sz w:val="17"/>
          <w:szCs w:val="17"/>
          <w:color w:val="auto"/>
        </w:rPr>
        <w:t>Written notices, requests, and approvals under this Agreement must be delivered by mail or email to the other Party's primary contact specified on the Agreement Summary &amp; Signature Page, or as otherwise directed by the other Party.</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SEVERABILITY</w:t>
      </w:r>
    </w:p>
    <w:p>
      <w:pPr>
        <w:spacing w:after="0" w:line="23" w:lineRule="exact"/>
        <w:rPr>
          <w:sz w:val="20"/>
          <w:szCs w:val="20"/>
          <w:color w:val="auto"/>
        </w:rPr>
      </w:pPr>
    </w:p>
    <w:p>
      <w:pPr>
        <w:ind w:left="80" w:right="880"/>
        <w:spacing w:after="0" w:line="261" w:lineRule="auto"/>
        <w:rPr>
          <w:sz w:val="20"/>
          <w:szCs w:val="20"/>
          <w:color w:val="auto"/>
        </w:rPr>
      </w:pPr>
      <w:r>
        <w:rPr>
          <w:rFonts w:ascii="Arial" w:cs="Arial" w:eastAsia="Arial" w:hAnsi="Arial"/>
          <w:sz w:val="17"/>
          <w:szCs w:val="17"/>
          <w:color w:val="auto"/>
        </w:rPr>
        <w:t>Each provision of this Agreement must be interpreted in a way that is enforceable under applicable law. If any provision is held unenforceable, the rest of the Agreement will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10 of 9</w:t>
      </w:r>
    </w:p>
    <w:p>
      <w:pPr>
        <w:sectPr>
          <w:pgSz w:w="11900" w:h="16838" w:orient="portrait"/>
          <w:cols w:equalWidth="0" w:num="1">
            <w:col w:w="10360"/>
          </w:cols>
          <w:pgMar w:left="300" w:top="1386" w:right="1239" w:bottom="1440" w:gutter="0" w:footer="0" w:header="0"/>
        </w:sectPr>
      </w:pPr>
    </w:p>
    <w:bookmarkStart w:id="201" w:name="page202"/>
    <w:bookmarkEnd w:id="201"/>
    <w:p>
      <w:pPr>
        <w:ind w:left="60"/>
        <w:spacing w:after="0"/>
        <w:rPr>
          <w:sz w:val="20"/>
          <w:szCs w:val="20"/>
          <w:color w:val="auto"/>
        </w:rPr>
      </w:pPr>
      <w:r>
        <w:rPr>
          <w:rFonts w:ascii="Arial" w:cs="Arial" w:eastAsia="Arial" w:hAnsi="Arial"/>
          <w:sz w:val="17"/>
          <w:szCs w:val="17"/>
          <w:b w:val="1"/>
          <w:bCs w:val="1"/>
          <w:color w:val="auto"/>
        </w:rPr>
        <w:t>ASSIGNMENT</w:t>
      </w:r>
    </w:p>
    <w:p>
      <w:pPr>
        <w:spacing w:after="0" w:line="23" w:lineRule="exact"/>
        <w:rPr>
          <w:sz w:val="20"/>
          <w:szCs w:val="20"/>
          <w:color w:val="auto"/>
        </w:rPr>
      </w:pPr>
    </w:p>
    <w:p>
      <w:pPr>
        <w:ind w:left="60" w:right="1160"/>
        <w:spacing w:after="0" w:line="261" w:lineRule="auto"/>
        <w:rPr>
          <w:sz w:val="20"/>
          <w:szCs w:val="20"/>
          <w:color w:val="auto"/>
        </w:rPr>
      </w:pPr>
      <w:r>
        <w:rPr>
          <w:rFonts w:ascii="Arial" w:cs="Arial" w:eastAsia="Arial" w:hAnsi="Arial"/>
          <w:sz w:val="17"/>
          <w:szCs w:val="17"/>
          <w:color w:val="auto"/>
        </w:rPr>
        <w:t>You may not assign, or transfer by operation of law or court order, any of Your rights or obligations under this Agreement without the Foundation's prior written approval. This Agreement will bind and benefit any permitted successors and assigns.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COUNTERPARTS AND ELECTRONIC SIGNATURES</w:t>
      </w:r>
    </w:p>
    <w:p>
      <w:pPr>
        <w:spacing w:after="0" w:line="23" w:lineRule="exact"/>
        <w:rPr>
          <w:sz w:val="20"/>
          <w:szCs w:val="20"/>
          <w:color w:val="auto"/>
        </w:rPr>
      </w:pPr>
    </w:p>
    <w:p>
      <w:pPr>
        <w:ind w:left="60" w:right="620"/>
        <w:spacing w:after="0" w:line="254" w:lineRule="auto"/>
        <w:rPr>
          <w:sz w:val="20"/>
          <w:szCs w:val="20"/>
          <w:color w:val="auto"/>
        </w:rPr>
      </w:pPr>
      <w:r>
        <w:rPr>
          <w:rFonts w:ascii="Arial" w:cs="Arial" w:eastAsia="Arial" w:hAnsi="Arial"/>
          <w:sz w:val="17"/>
          <w:szCs w:val="17"/>
          <w:color w:val="auto"/>
        </w:rPr>
        <w:t>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640" w:type="dxa"/>
            <w:vAlign w:val="bottom"/>
            <w:gridSpan w:val="2"/>
          </w:tcPr>
          <w:p>
            <w:pPr>
              <w:jc w:val="center"/>
              <w:ind w:right="4120"/>
              <w:spacing w:after="0"/>
              <w:rPr>
                <w:sz w:val="20"/>
                <w:szCs w:val="20"/>
                <w:color w:val="auto"/>
              </w:rPr>
            </w:pPr>
            <w:r>
              <w:rPr>
                <w:rFonts w:ascii="Arial" w:cs="Arial" w:eastAsia="Arial" w:hAnsi="Arial"/>
                <w:sz w:val="17"/>
                <w:szCs w:val="17"/>
                <w:b w:val="1"/>
                <w:bCs w:val="1"/>
                <w:color w:val="auto"/>
                <w:w w:val="99"/>
              </w:rPr>
              <w:t>AMENDMENT 1</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640" w:type="dxa"/>
            <w:vAlign w:val="bottom"/>
            <w:gridSpan w:val="2"/>
          </w:tcPr>
          <w:p>
            <w:pPr>
              <w:jc w:val="center"/>
              <w:ind w:right="4100"/>
              <w:spacing w:after="0"/>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640" w:type="dxa"/>
            <w:vAlign w:val="bottom"/>
            <w:gridSpan w:val="2"/>
          </w:tcPr>
          <w:p>
            <w:pPr>
              <w:jc w:val="center"/>
              <w:ind w:right="4100"/>
              <w:spacing w:after="0"/>
              <w:rPr>
                <w:sz w:val="20"/>
                <w:szCs w:val="20"/>
                <w:color w:val="auto"/>
              </w:rPr>
            </w:pPr>
            <w:r>
              <w:rPr>
                <w:rFonts w:ascii="Arial" w:cs="Arial" w:eastAsia="Arial" w:hAnsi="Arial"/>
                <w:sz w:val="17"/>
                <w:szCs w:val="17"/>
                <w:color w:val="auto"/>
                <w:w w:val="98"/>
              </w:rPr>
              <w:t>GRANT AGREEMENT</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40" w:type="dxa"/>
            <w:vAlign w:val="bottom"/>
            <w:gridSpan w:val="2"/>
          </w:tcPr>
          <w:p>
            <w:pPr>
              <w:jc w:val="center"/>
              <w:ind w:right="410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63"/>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40" w:type="dxa"/>
            <w:vAlign w:val="bottom"/>
            <w:gridSpan w:val="2"/>
          </w:tcPr>
          <w:p>
            <w:pPr>
              <w:jc w:val="center"/>
              <w:ind w:right="412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45"/>
        </w:trPr>
        <w:tc>
          <w:tcPr>
            <w:tcW w:w="25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6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Arial" w:cs="Arial" w:eastAsia="Arial" w:hAnsi="Arial"/>
                <w:sz w:val="17"/>
                <w:szCs w:val="17"/>
                <w:b w:val="1"/>
                <w:bCs w:val="1"/>
                <w:color w:val="auto"/>
              </w:rPr>
              <w:t>AMENDMENT INFORMATION</w:t>
            </w:r>
          </w:p>
        </w:tc>
        <w:tc>
          <w:tcPr>
            <w:tcW w:w="1800" w:type="dxa"/>
            <w:vAlign w:val="bottom"/>
            <w:shd w:val="clear" w:color="auto" w:fill="D9D9D9"/>
          </w:tcPr>
          <w:p>
            <w:pPr>
              <w:spacing w:after="0"/>
              <w:rPr>
                <w:sz w:val="20"/>
                <w:szCs w:val="20"/>
                <w:color w:val="auto"/>
              </w:rPr>
            </w:pPr>
          </w:p>
        </w:tc>
        <w:tc>
          <w:tcPr>
            <w:tcW w:w="2520" w:type="dxa"/>
            <w:vAlign w:val="bottom"/>
            <w:shd w:val="clear" w:color="auto" w:fill="D9D9D9"/>
          </w:tcPr>
          <w:p>
            <w:pPr>
              <w:spacing w:after="0"/>
              <w:rPr>
                <w:sz w:val="20"/>
                <w:szCs w:val="20"/>
                <w:color w:val="auto"/>
              </w:rPr>
            </w:pPr>
          </w:p>
        </w:tc>
        <w:tc>
          <w:tcPr>
            <w:tcW w:w="41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60" w:type="dxa"/>
            <w:vAlign w:val="bottom"/>
            <w:tcBorders>
              <w:left w:val="single" w:sz="8" w:color="auto"/>
              <w:bottom w:val="single" w:sz="8" w:color="auto"/>
              <w:right w:val="single" w:sz="8" w:color="D9D9D9"/>
            </w:tcBorders>
            <w:shd w:val="clear" w:color="auto" w:fill="D9D9D9"/>
          </w:tcPr>
          <w:p>
            <w:pPr>
              <w:spacing w:after="0"/>
              <w:rPr>
                <w:sz w:val="13"/>
                <w:szCs w:val="13"/>
                <w:color w:val="auto"/>
              </w:rPr>
            </w:pPr>
          </w:p>
        </w:tc>
        <w:tc>
          <w:tcPr>
            <w:tcW w:w="8440" w:type="dxa"/>
            <w:vAlign w:val="bottom"/>
            <w:tcBorders>
              <w:bottom w:val="single" w:sz="8" w:color="auto"/>
              <w:right w:val="single" w:sz="8" w:color="auto"/>
            </w:tcBorders>
            <w:gridSpan w:val="3"/>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color w:val="auto"/>
              </w:rPr>
              <w:t>Agreement to be Amended:</w:t>
            </w:r>
          </w:p>
        </w:tc>
        <w:tc>
          <w:tcPr>
            <w:tcW w:w="8440" w:type="dxa"/>
            <w:vAlign w:val="bottom"/>
            <w:tcBorders>
              <w:right w:val="single" w:sz="8" w:color="auto"/>
            </w:tcBorders>
            <w:gridSpan w:val="3"/>
          </w:tcPr>
          <w:p>
            <w:pPr>
              <w:ind w:left="100"/>
              <w:spacing w:after="0"/>
              <w:rPr>
                <w:sz w:val="20"/>
                <w:szCs w:val="20"/>
                <w:color w:val="auto"/>
              </w:rPr>
            </w:pPr>
            <w:r>
              <w:rPr>
                <w:rFonts w:ascii="Arial" w:cs="Arial" w:eastAsia="Arial" w:hAnsi="Arial"/>
                <w:sz w:val="17"/>
                <w:szCs w:val="17"/>
                <w:color w:val="auto"/>
              </w:rPr>
              <w:t>Grant Agreement between the Bill &amp; Melinda Gates Foundation and Daré Bioscience, Inc., effective June 30,</w:t>
            </w:r>
          </w:p>
        </w:tc>
        <w:tc>
          <w:tcPr>
            <w:tcW w:w="0" w:type="dxa"/>
            <w:vAlign w:val="bottom"/>
          </w:tcPr>
          <w:p>
            <w:pPr>
              <w:spacing w:after="0"/>
              <w:rPr>
                <w:sz w:val="1"/>
                <w:szCs w:val="1"/>
                <w:color w:val="auto"/>
              </w:rPr>
            </w:pPr>
          </w:p>
        </w:tc>
      </w:tr>
      <w:tr>
        <w:trPr>
          <w:trHeight w:val="109"/>
        </w:trPr>
        <w:tc>
          <w:tcPr>
            <w:tcW w:w="2560" w:type="dxa"/>
            <w:vAlign w:val="bottom"/>
            <w:tcBorders>
              <w:left w:val="single" w:sz="8" w:color="auto"/>
              <w:right w:val="single" w:sz="8" w:color="auto"/>
            </w:tcBorders>
            <w:vMerge w:val="continue"/>
          </w:tcPr>
          <w:p>
            <w:pPr>
              <w:spacing w:after="0"/>
              <w:rPr>
                <w:sz w:val="9"/>
                <w:szCs w:val="9"/>
                <w:color w:val="auto"/>
              </w:rPr>
            </w:pPr>
          </w:p>
        </w:tc>
        <w:tc>
          <w:tcPr>
            <w:tcW w:w="84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7"/>
                <w:szCs w:val="17"/>
                <w:color w:val="auto"/>
              </w:rPr>
              <w:t>2021, and bearing Investment ID INV-026060</w:t>
            </w:r>
          </w:p>
        </w:tc>
        <w:tc>
          <w:tcPr>
            <w:tcW w:w="0" w:type="dxa"/>
            <w:vAlign w:val="bottom"/>
          </w:tcPr>
          <w:p>
            <w:pPr>
              <w:spacing w:after="0"/>
              <w:rPr>
                <w:sz w:val="1"/>
                <w:szCs w:val="1"/>
                <w:color w:val="auto"/>
              </w:rPr>
            </w:pPr>
          </w:p>
        </w:tc>
      </w:tr>
      <w:tr>
        <w:trPr>
          <w:trHeight w:val="114"/>
        </w:trPr>
        <w:tc>
          <w:tcPr>
            <w:tcW w:w="2560" w:type="dxa"/>
            <w:vAlign w:val="bottom"/>
            <w:tcBorders>
              <w:left w:val="single" w:sz="8" w:color="auto"/>
              <w:right w:val="single" w:sz="8" w:color="auto"/>
            </w:tcBorders>
          </w:tcPr>
          <w:p>
            <w:pPr>
              <w:spacing w:after="0"/>
              <w:rPr>
                <w:sz w:val="9"/>
                <w:szCs w:val="9"/>
                <w:color w:val="auto"/>
              </w:rPr>
            </w:pPr>
          </w:p>
        </w:tc>
        <w:tc>
          <w:tcPr>
            <w:tcW w:w="84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844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Amendment Purpose:</w:t>
            </w:r>
          </w:p>
        </w:tc>
        <w:tc>
          <w:tcPr>
            <w:tcW w:w="8440" w:type="dxa"/>
            <w:vAlign w:val="bottom"/>
            <w:tcBorders>
              <w:right w:val="single" w:sz="8" w:color="auto"/>
            </w:tcBorders>
            <w:gridSpan w:val="3"/>
          </w:tcPr>
          <w:p>
            <w:pPr>
              <w:ind w:left="100"/>
              <w:spacing w:after="0"/>
              <w:rPr>
                <w:sz w:val="20"/>
                <w:szCs w:val="20"/>
                <w:color w:val="auto"/>
              </w:rPr>
            </w:pPr>
            <w:r>
              <w:rPr>
                <w:rFonts w:ascii="Arial" w:cs="Arial" w:eastAsia="Arial" w:hAnsi="Arial"/>
                <w:sz w:val="17"/>
                <w:szCs w:val="17"/>
                <w:color w:val="auto"/>
              </w:rPr>
              <w:t>Reporting &amp; Payment Schedule Change</w:t>
            </w:r>
          </w:p>
        </w:tc>
        <w:tc>
          <w:tcPr>
            <w:tcW w:w="0" w:type="dxa"/>
            <w:vAlign w:val="bottom"/>
          </w:tcPr>
          <w:p>
            <w:pPr>
              <w:spacing w:after="0"/>
              <w:rPr>
                <w:sz w:val="1"/>
                <w:szCs w:val="1"/>
                <w:color w:val="auto"/>
              </w:rPr>
            </w:pPr>
          </w:p>
        </w:tc>
      </w:tr>
      <w:tr>
        <w:trPr>
          <w:trHeight w:val="161"/>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844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i w:val="1"/>
                <w:iCs w:val="1"/>
                <w:color w:val="auto"/>
              </w:rPr>
              <w:t>“Amendment Date”</w:t>
            </w:r>
            <w:r>
              <w:rPr>
                <w:rFonts w:ascii="Arial" w:cs="Arial" w:eastAsia="Arial" w:hAnsi="Arial"/>
                <w:sz w:val="17"/>
                <w:szCs w:val="17"/>
                <w:color w:val="auto"/>
              </w:rPr>
              <w:t>:</w:t>
            </w:r>
          </w:p>
        </w:tc>
        <w:tc>
          <w:tcPr>
            <w:tcW w:w="8440" w:type="dxa"/>
            <w:vAlign w:val="bottom"/>
            <w:tcBorders>
              <w:right w:val="single" w:sz="8" w:color="auto"/>
            </w:tcBorders>
            <w:gridSpan w:val="3"/>
          </w:tcPr>
          <w:p>
            <w:pPr>
              <w:ind w:left="100"/>
              <w:spacing w:after="0"/>
              <w:rPr>
                <w:sz w:val="20"/>
                <w:szCs w:val="20"/>
                <w:color w:val="auto"/>
              </w:rPr>
            </w:pPr>
            <w:r>
              <w:rPr>
                <w:rFonts w:ascii="Arial" w:cs="Arial" w:eastAsia="Arial" w:hAnsi="Arial"/>
                <w:sz w:val="17"/>
                <w:szCs w:val="17"/>
                <w:color w:val="auto"/>
              </w:rPr>
              <w:t>November 23, 2022</w:t>
            </w:r>
          </w:p>
        </w:tc>
        <w:tc>
          <w:tcPr>
            <w:tcW w:w="0" w:type="dxa"/>
            <w:vAlign w:val="bottom"/>
          </w:tcPr>
          <w:p>
            <w:pPr>
              <w:spacing w:after="0"/>
              <w:rPr>
                <w:sz w:val="1"/>
                <w:szCs w:val="1"/>
                <w:color w:val="auto"/>
              </w:rPr>
            </w:pPr>
          </w:p>
        </w:tc>
      </w:tr>
      <w:tr>
        <w:trPr>
          <w:trHeight w:val="63"/>
        </w:trPr>
        <w:tc>
          <w:tcPr>
            <w:tcW w:w="2560" w:type="dxa"/>
            <w:vAlign w:val="bottom"/>
            <w:tcBorders>
              <w:left w:val="single" w:sz="8" w:color="auto"/>
              <w:right w:val="single" w:sz="8" w:color="auto"/>
            </w:tcBorders>
            <w:vMerge w:val="continue"/>
          </w:tcPr>
          <w:p>
            <w:pPr>
              <w:spacing w:after="0"/>
              <w:rPr>
                <w:sz w:val="5"/>
                <w:szCs w:val="5"/>
                <w:color w:val="auto"/>
              </w:rPr>
            </w:pPr>
          </w:p>
        </w:tc>
        <w:tc>
          <w:tcPr>
            <w:tcW w:w="18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56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&amp; PAYMENT SCHEDULE</w:t>
      </w:r>
    </w:p>
    <w:p>
      <w:pPr>
        <w:ind w:right="500"/>
        <w:spacing w:after="0" w:line="227"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142875</wp:posOffset>
            </wp:positionV>
            <wp:extent cx="6828155" cy="1957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6828155" cy="1957705"/>
                    </a:xfrm>
                    <a:prstGeom prst="rect">
                      <a:avLst/>
                    </a:prstGeom>
                    <a:noFill/>
                  </pic:spPr>
                </pic:pic>
              </a:graphicData>
            </a:graphic>
          </wp:anchor>
        </w:drawing>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REPORTING &amp; PAYMENT SCHEDULE</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4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i w:val="1"/>
                <w:iCs w:val="1"/>
                <w:color w:val="auto"/>
              </w:rPr>
              <w:t>Investment Period</w:t>
            </w:r>
          </w:p>
        </w:tc>
        <w:tc>
          <w:tcPr>
            <w:tcW w:w="3020" w:type="dxa"/>
            <w:vAlign w:val="bottom"/>
            <w:tcBorders>
              <w:top w:val="single" w:sz="8" w:color="auto"/>
              <w:right w:val="single" w:sz="8" w:color="auto"/>
            </w:tcBorders>
          </w:tcPr>
          <w:p>
            <w:pPr>
              <w:ind w:left="60"/>
              <w:spacing w:after="0" w:line="188" w:lineRule="exact"/>
              <w:rPr>
                <w:sz w:val="20"/>
                <w:szCs w:val="20"/>
                <w:color w:val="auto"/>
              </w:rPr>
            </w:pPr>
            <w:r>
              <w:rPr>
                <w:rFonts w:ascii="Arial" w:cs="Arial" w:eastAsia="Arial" w:hAnsi="Arial"/>
                <w:sz w:val="17"/>
                <w:szCs w:val="17"/>
                <w:i w:val="1"/>
                <w:iCs w:val="1"/>
                <w:color w:val="auto"/>
              </w:rPr>
              <w:t>Target, Milestone*, or Reporting</w:t>
            </w:r>
          </w:p>
        </w:tc>
        <w:tc>
          <w:tcPr>
            <w:tcW w:w="1560" w:type="dxa"/>
            <w:vAlign w:val="bottom"/>
            <w:tcBorders>
              <w:top w:val="single" w:sz="8" w:color="auto"/>
              <w:right w:val="single" w:sz="8" w:color="auto"/>
            </w:tcBorders>
            <w:vMerge w:val="restart"/>
          </w:tcPr>
          <w:p>
            <w:pPr>
              <w:jc w:val="right"/>
              <w:ind w:right="856"/>
              <w:spacing w:after="0"/>
              <w:rPr>
                <w:sz w:val="20"/>
                <w:szCs w:val="20"/>
                <w:color w:val="auto"/>
              </w:rPr>
            </w:pPr>
            <w:r>
              <w:rPr>
                <w:rFonts w:ascii="Arial" w:cs="Arial" w:eastAsia="Arial" w:hAnsi="Arial"/>
                <w:sz w:val="17"/>
                <w:szCs w:val="17"/>
                <w:i w:val="1"/>
                <w:iCs w:val="1"/>
                <w:color w:val="auto"/>
              </w:rPr>
              <w:t>Due By</w:t>
            </w:r>
          </w:p>
        </w:tc>
        <w:tc>
          <w:tcPr>
            <w:tcW w:w="144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i w:val="1"/>
                <w:iCs w:val="1"/>
                <w:color w:val="auto"/>
              </w:rPr>
              <w:t>Payment Date</w:t>
            </w:r>
          </w:p>
        </w:tc>
        <w:tc>
          <w:tcPr>
            <w:tcW w:w="2320" w:type="dxa"/>
            <w:vAlign w:val="bottom"/>
            <w:tcBorders>
              <w:top w:val="single" w:sz="8" w:color="auto"/>
            </w:tcBorders>
            <w:gridSpan w:val="2"/>
            <w:vMerge w:val="restart"/>
          </w:tcPr>
          <w:p>
            <w:pPr>
              <w:jc w:val="right"/>
              <w:ind w:right="296"/>
              <w:spacing w:after="0"/>
              <w:rPr>
                <w:sz w:val="20"/>
                <w:szCs w:val="20"/>
                <w:color w:val="auto"/>
              </w:rPr>
            </w:pPr>
            <w:r>
              <w:rPr>
                <w:rFonts w:ascii="Arial" w:cs="Arial" w:eastAsia="Arial" w:hAnsi="Arial"/>
                <w:sz w:val="17"/>
                <w:szCs w:val="17"/>
                <w:i w:val="1"/>
                <w:iCs w:val="1"/>
                <w:color w:val="auto"/>
              </w:rPr>
              <w:t>Payment Amount (U.S.$)</w:t>
            </w:r>
          </w:p>
        </w:tc>
        <w:tc>
          <w:tcPr>
            <w:tcW w:w="0" w:type="dxa"/>
            <w:vAlign w:val="bottom"/>
          </w:tcPr>
          <w:p>
            <w:pPr>
              <w:spacing w:after="0"/>
              <w:rPr>
                <w:sz w:val="1"/>
                <w:szCs w:val="1"/>
                <w:color w:val="auto"/>
              </w:rPr>
            </w:pPr>
          </w:p>
        </w:tc>
      </w:tr>
      <w:tr>
        <w:trPr>
          <w:trHeight w:val="132"/>
        </w:trPr>
        <w:tc>
          <w:tcPr>
            <w:tcW w:w="2400" w:type="dxa"/>
            <w:vAlign w:val="bottom"/>
            <w:tcBorders>
              <w:right w:val="single" w:sz="8" w:color="auto"/>
            </w:tcBorders>
            <w:vMerge w:val="continue"/>
          </w:tcPr>
          <w:p>
            <w:pPr>
              <w:spacing w:after="0"/>
              <w:rPr>
                <w:sz w:val="11"/>
                <w:szCs w:val="11"/>
                <w:color w:val="auto"/>
              </w:rPr>
            </w:pPr>
          </w:p>
        </w:tc>
        <w:tc>
          <w:tcPr>
            <w:tcW w:w="3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i w:val="1"/>
                <w:iCs w:val="1"/>
                <w:color w:val="auto"/>
              </w:rPr>
              <w:t>Deliverable</w:t>
            </w:r>
          </w:p>
        </w:tc>
        <w:tc>
          <w:tcPr>
            <w:tcW w:w="156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2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400" w:type="dxa"/>
            <w:vAlign w:val="bottom"/>
            <w:tcBorders>
              <w:bottom w:val="single" w:sz="8" w:color="auto"/>
              <w:right w:val="single" w:sz="8" w:color="auto"/>
            </w:tcBorders>
          </w:tcPr>
          <w:p>
            <w:pPr>
              <w:spacing w:after="0"/>
              <w:rPr>
                <w:sz w:val="7"/>
                <w:szCs w:val="7"/>
                <w:color w:val="auto"/>
              </w:rPr>
            </w:pPr>
          </w:p>
        </w:tc>
        <w:tc>
          <w:tcPr>
            <w:tcW w:w="3020" w:type="dxa"/>
            <w:vAlign w:val="bottom"/>
            <w:tcBorders>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400" w:type="dxa"/>
            <w:vAlign w:val="bottom"/>
            <w:tcBorders>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Countersigned Grant Agreement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July 2021</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11,453,099.00</w:t>
            </w:r>
          </w:p>
        </w:tc>
        <w:tc>
          <w:tcPr>
            <w:tcW w:w="0" w:type="dxa"/>
            <w:vAlign w:val="bottom"/>
          </w:tcPr>
          <w:p>
            <w:pPr>
              <w:spacing w:after="0"/>
              <w:rPr>
                <w:sz w:val="1"/>
                <w:szCs w:val="1"/>
                <w:color w:val="auto"/>
              </w:rPr>
            </w:pPr>
          </w:p>
        </w:tc>
      </w:tr>
      <w:tr>
        <w:trPr>
          <w:trHeight w:val="207"/>
        </w:trPr>
        <w:tc>
          <w:tcPr>
            <w:tcW w:w="2400" w:type="dxa"/>
            <w:vAlign w:val="bottom"/>
            <w:tcBorders>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640" w:type="dxa"/>
            <w:vAlign w:val="bottom"/>
            <w:tcBorders>
              <w:bottom w:val="single" w:sz="8" w:color="auto"/>
            </w:tcBorders>
            <w:shd w:val="clear" w:color="auto" w:fill="D9D9D9"/>
          </w:tcPr>
          <w:p>
            <w:pPr>
              <w:spacing w:after="0"/>
              <w:rPr>
                <w:sz w:val="18"/>
                <w:szCs w:val="18"/>
                <w:color w:val="auto"/>
              </w:rPr>
            </w:pPr>
          </w:p>
        </w:tc>
        <w:tc>
          <w:tcPr>
            <w:tcW w:w="168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00" w:type="dxa"/>
            <w:vAlign w:val="bottom"/>
            <w:tcBorders>
              <w:bottom w:val="single" w:sz="8" w:color="D9D9D9"/>
              <w:right w:val="single" w:sz="8" w:color="auto"/>
            </w:tcBorders>
            <w:shd w:val="clear" w:color="auto" w:fill="D9D9D9"/>
          </w:tcPr>
          <w:p>
            <w:pPr>
              <w:spacing w:after="0"/>
              <w:rPr>
                <w:sz w:val="21"/>
                <w:szCs w:val="21"/>
                <w:color w:val="auto"/>
              </w:rPr>
            </w:pPr>
          </w:p>
        </w:tc>
        <w:tc>
          <w:tcPr>
            <w:tcW w:w="30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D9D9D9"/>
              <w:right w:val="single" w:sz="8" w:color="auto"/>
            </w:tcBorders>
            <w:shd w:val="clear" w:color="auto" w:fill="D9D9D9"/>
          </w:tcPr>
          <w:p>
            <w:pPr>
              <w:spacing w:after="0"/>
              <w:rPr>
                <w:sz w:val="21"/>
                <w:szCs w:val="21"/>
                <w:color w:val="auto"/>
              </w:rPr>
            </w:pPr>
          </w:p>
        </w:tc>
        <w:tc>
          <w:tcPr>
            <w:tcW w:w="640" w:type="dxa"/>
            <w:vAlign w:val="bottom"/>
            <w:tcBorders>
              <w:bottom w:val="single" w:sz="8" w:color="D9D9D9"/>
            </w:tcBorders>
            <w:shd w:val="clear" w:color="auto" w:fill="D9D9D9"/>
          </w:tcPr>
          <w:p>
            <w:pPr>
              <w:spacing w:after="0"/>
              <w:rPr>
                <w:sz w:val="21"/>
                <w:szCs w:val="21"/>
                <w:color w:val="auto"/>
              </w:rPr>
            </w:pPr>
          </w:p>
        </w:tc>
        <w:tc>
          <w:tcPr>
            <w:tcW w:w="168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tcBorders>
              <w:top w:val="single" w:sz="8" w:color="auto"/>
              <w:bottom w:val="single" w:sz="8" w:color="D9D9D9"/>
              <w:right w:val="single" w:sz="8" w:color="auto"/>
            </w:tcBorders>
            <w:shd w:val="clear" w:color="auto" w:fill="D9D9D9"/>
          </w:tcPr>
          <w:p>
            <w:pPr>
              <w:spacing w:after="0"/>
              <w:rPr>
                <w:sz w:val="21"/>
                <w:szCs w:val="21"/>
                <w:color w:val="auto"/>
              </w:rPr>
            </w:pPr>
          </w:p>
        </w:tc>
        <w:tc>
          <w:tcPr>
            <w:tcW w:w="3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right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tcBorders>
              <w:top w:val="single" w:sz="8" w:color="auto"/>
              <w:bottom w:val="single" w:sz="8" w:color="D9D9D9"/>
              <w:right w:val="single" w:sz="8" w:color="auto"/>
            </w:tcBorders>
            <w:shd w:val="clear" w:color="auto" w:fill="D9D9D9"/>
          </w:tcPr>
          <w:p>
            <w:pPr>
              <w:spacing w:after="0"/>
              <w:rPr>
                <w:sz w:val="21"/>
                <w:szCs w:val="21"/>
                <w:color w:val="auto"/>
              </w:rPr>
            </w:pPr>
          </w:p>
        </w:tc>
        <w:tc>
          <w:tcPr>
            <w:tcW w:w="3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tcBorders>
              <w:top w:val="single" w:sz="8" w:color="auto"/>
              <w:bottom w:val="single" w:sz="8" w:color="D9D9D9"/>
              <w:right w:val="single" w:sz="8" w:color="auto"/>
            </w:tcBorders>
            <w:shd w:val="clear" w:color="auto" w:fill="D9D9D9"/>
          </w:tcPr>
          <w:p>
            <w:pPr>
              <w:spacing w:after="0"/>
              <w:rPr>
                <w:sz w:val="21"/>
                <w:szCs w:val="21"/>
                <w:color w:val="auto"/>
              </w:rPr>
            </w:pPr>
          </w:p>
        </w:tc>
        <w:tc>
          <w:tcPr>
            <w:tcW w:w="3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7"/>
                <w:szCs w:val="17"/>
                <w:color w:val="auto"/>
              </w:rPr>
              <w:t>July 2022</w:t>
            </w:r>
          </w:p>
        </w:tc>
        <w:tc>
          <w:tcPr>
            <w:tcW w:w="640" w:type="dxa"/>
            <w:vAlign w:val="bottom"/>
            <w:vMerge w:val="restart"/>
          </w:tcPr>
          <w:p>
            <w:pPr>
              <w:jc w:val="right"/>
              <w:ind w:right="436"/>
              <w:spacing w:after="0"/>
              <w:rPr>
                <w:sz w:val="20"/>
                <w:szCs w:val="20"/>
                <w:color w:val="auto"/>
              </w:rPr>
            </w:pPr>
            <w:r>
              <w:rPr>
                <w:rFonts w:ascii="Arial" w:cs="Arial" w:eastAsia="Arial" w:hAnsi="Arial"/>
                <w:sz w:val="17"/>
                <w:szCs w:val="17"/>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7"/>
                <w:szCs w:val="17"/>
                <w:color w:val="auto"/>
              </w:rPr>
              <w:t>7,960,608.00</w:t>
            </w:r>
          </w:p>
        </w:tc>
        <w:tc>
          <w:tcPr>
            <w:tcW w:w="0" w:type="dxa"/>
            <w:vAlign w:val="bottom"/>
          </w:tcPr>
          <w:p>
            <w:pPr>
              <w:spacing w:after="0"/>
              <w:rPr>
                <w:sz w:val="1"/>
                <w:szCs w:val="1"/>
                <w:color w:val="auto"/>
              </w:rPr>
            </w:pPr>
          </w:p>
        </w:tc>
      </w:tr>
      <w:tr>
        <w:trPr>
          <w:trHeight w:val="72"/>
        </w:trPr>
        <w:tc>
          <w:tcPr>
            <w:tcW w:w="2400" w:type="dxa"/>
            <w:vAlign w:val="bottom"/>
            <w:tcBorders>
              <w:top w:val="single" w:sz="8" w:color="auto"/>
              <w:right w:val="single" w:sz="8" w:color="auto"/>
            </w:tcBorders>
            <w:shd w:val="clear" w:color="auto" w:fill="D9D9D9"/>
          </w:tcPr>
          <w:p>
            <w:pPr>
              <w:spacing w:after="0"/>
              <w:rPr>
                <w:sz w:val="6"/>
                <w:szCs w:val="6"/>
                <w:color w:val="auto"/>
              </w:rPr>
            </w:pPr>
          </w:p>
        </w:tc>
        <w:tc>
          <w:tcPr>
            <w:tcW w:w="30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400" w:type="dxa"/>
            <w:vAlign w:val="bottom"/>
            <w:tcBorders>
              <w:bottom w:val="single" w:sz="8" w:color="auto"/>
              <w:right w:val="single" w:sz="8" w:color="auto"/>
            </w:tcBorders>
            <w:shd w:val="clear" w:color="auto" w:fill="D9D9D9"/>
          </w:tcPr>
          <w:p>
            <w:pPr>
              <w:spacing w:after="0"/>
              <w:rPr>
                <w:sz w:val="12"/>
                <w:szCs w:val="12"/>
                <w:color w:val="auto"/>
              </w:rPr>
            </w:pPr>
          </w:p>
        </w:tc>
        <w:tc>
          <w:tcPr>
            <w:tcW w:w="30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30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400" w:type="dxa"/>
            <w:vAlign w:val="bottom"/>
            <w:tcBorders>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38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 of 9</w:t>
      </w:r>
    </w:p>
    <w:p>
      <w:pPr>
        <w:sectPr>
          <w:pgSz w:w="11900" w:h="16838" w:orient="portrait"/>
          <w:cols w:equalWidth="0" w:num="1">
            <w:col w:w="11020"/>
          </w:cols>
          <w:pgMar w:left="320" w:top="1387" w:right="55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27"/>
        </w:trPr>
        <w:tc>
          <w:tcPr>
            <w:tcW w:w="160" w:type="dxa"/>
            <w:vAlign w:val="bottom"/>
            <w:tcBorders>
              <w:right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tcPr>
          <w:p>
            <w:pPr>
              <w:jc w:val="right"/>
              <w:ind w:right="1976"/>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right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3760" w:type="dxa"/>
            <w:vAlign w:val="bottom"/>
            <w:tcBorders>
              <w:top w:val="single" w:sz="8" w:color="auto"/>
              <w:bottom w:val="single" w:sz="8" w:color="D9D9D9"/>
              <w:right w:val="single" w:sz="8" w:color="auto"/>
            </w:tcBorders>
            <w:shd w:val="clear" w:color="auto" w:fill="D9D9D9"/>
          </w:tcPr>
          <w:p>
            <w:pPr>
              <w:spacing w:after="0"/>
              <w:rPr>
                <w:sz w:val="19"/>
                <w:szCs w:val="19"/>
                <w:color w:val="auto"/>
              </w:rPr>
            </w:pPr>
          </w:p>
        </w:tc>
      </w:tr>
      <w:tr>
        <w:trPr>
          <w:trHeight w:val="207"/>
        </w:trPr>
        <w:tc>
          <w:tcPr>
            <w:tcW w:w="160" w:type="dxa"/>
            <w:vAlign w:val="bottom"/>
            <w:tcBorders>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right"/>
              <w:ind w:right="1976"/>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0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37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34"/>
        </w:trPr>
        <w:tc>
          <w:tcPr>
            <w:tcW w:w="2560" w:type="dxa"/>
            <w:vAlign w:val="bottom"/>
            <w:gridSpan w:val="2"/>
          </w:tcPr>
          <w:p>
            <w:pPr>
              <w:jc w:val="right"/>
              <w:ind w:right="696"/>
              <w:spacing w:after="0"/>
              <w:rPr>
                <w:sz w:val="20"/>
                <w:szCs w:val="20"/>
                <w:color w:val="auto"/>
              </w:rPr>
            </w:pPr>
            <w:r>
              <w:rPr>
                <w:rFonts w:ascii="Arial" w:cs="Arial" w:eastAsia="Arial" w:hAnsi="Arial"/>
                <w:sz w:val="15"/>
                <w:szCs w:val="15"/>
                <w:color w:val="auto"/>
                <w:w w:val="99"/>
              </w:rPr>
              <w:t>Investment ID INV-026060</w:t>
            </w:r>
          </w:p>
        </w:tc>
        <w:tc>
          <w:tcPr>
            <w:tcW w:w="1500" w:type="dxa"/>
            <w:vAlign w:val="bottom"/>
          </w:tcPr>
          <w:p>
            <w:pPr>
              <w:spacing w:after="0"/>
              <w:rPr>
                <w:sz w:val="20"/>
                <w:szCs w:val="20"/>
                <w:color w:val="auto"/>
              </w:rPr>
            </w:pPr>
          </w:p>
        </w:tc>
        <w:tc>
          <w:tcPr>
            <w:tcW w:w="6840" w:type="dxa"/>
            <w:vAlign w:val="bottom"/>
            <w:gridSpan w:val="3"/>
          </w:tcPr>
          <w:p>
            <w:pPr>
              <w:ind w:left="1140"/>
              <w:spacing w:after="0"/>
              <w:rPr>
                <w:sz w:val="20"/>
                <w:szCs w:val="20"/>
                <w:color w:val="auto"/>
              </w:rPr>
            </w:pPr>
            <w:r>
              <w:rPr>
                <w:rFonts w:ascii="Arial" w:cs="Arial" w:eastAsia="Arial" w:hAnsi="Arial"/>
                <w:sz w:val="15"/>
                <w:szCs w:val="15"/>
                <w:color w:val="auto"/>
              </w:rPr>
              <w:t>Page 1 of 3</w:t>
            </w: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358" w:right="339" w:bottom="1440" w:gutter="0" w:footer="0" w:header="0"/>
        </w:sectPr>
      </w:pPr>
    </w:p>
    <w:bookmarkStart w:id="203" w:name="page204"/>
    <w:bookmarkEnd w:id="203"/>
    <w:p>
      <w:pPr>
        <w:spacing w:after="0" w:line="285" w:lineRule="exact"/>
        <w:rPr>
          <w:sz w:val="20"/>
          <w:szCs w:val="20"/>
          <w:color w:val="auto"/>
        </w:rPr>
      </w:pPr>
    </w:p>
    <w:tbl>
      <w:tblPr>
        <w:tblLayout w:type="fixed"/>
        <w:tblInd w:w="170" w:type="dxa"/>
        <w:tblCellMar>
          <w:top w:w="0" w:type="dxa"/>
          <w:left w:w="0" w:type="dxa"/>
          <w:bottom w:w="0" w:type="dxa"/>
          <w:right w:w="0" w:type="dxa"/>
        </w:tblCellMar>
      </w:tblPr>
      <w:tr>
        <w:trPr>
          <w:trHeight w:val="235"/>
        </w:trPr>
        <w:tc>
          <w:tcPr>
            <w:tcW w:w="2400" w:type="dxa"/>
            <w:vAlign w:val="bottom"/>
            <w:tcBorders>
              <w:top w:val="single" w:sz="8" w:color="auto"/>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top w:val="single" w:sz="8" w:color="auto"/>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November 2022</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16"/>
              <w:spacing w:after="0"/>
              <w:rPr>
                <w:sz w:val="20"/>
                <w:szCs w:val="20"/>
                <w:color w:val="auto"/>
              </w:rPr>
            </w:pPr>
            <w:r>
              <w:rPr>
                <w:rFonts w:ascii="Arial" w:cs="Arial" w:eastAsia="Arial" w:hAnsi="Arial"/>
                <w:sz w:val="17"/>
                <w:szCs w:val="17"/>
                <w:color w:val="auto"/>
              </w:rPr>
              <w:t>4,436,204.00</w:t>
            </w: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Up to</w:t>
            </w:r>
          </w:p>
        </w:tc>
        <w:tc>
          <w:tcPr>
            <w:tcW w:w="0" w:type="dxa"/>
            <w:vAlign w:val="bottom"/>
          </w:tcPr>
          <w:p>
            <w:pPr>
              <w:spacing w:after="0"/>
              <w:rPr>
                <w:sz w:val="1"/>
                <w:szCs w:val="1"/>
                <w:color w:val="auto"/>
              </w:rPr>
            </w:pPr>
          </w:p>
        </w:tc>
      </w:tr>
      <w:tr>
        <w:trPr>
          <w:trHeight w:val="82"/>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w:t>
            </w:r>
          </w:p>
        </w:tc>
        <w:tc>
          <w:tcPr>
            <w:tcW w:w="36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30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4"/>
        </w:trPr>
        <w:tc>
          <w:tcPr>
            <w:tcW w:w="2400" w:type="dxa"/>
            <w:vAlign w:val="bottom"/>
            <w:tcBorders>
              <w:left w:val="single" w:sz="8" w:color="auto"/>
              <w:right w:val="single" w:sz="8" w:color="auto"/>
            </w:tcBorders>
            <w:shd w:val="clear" w:color="auto" w:fill="D9D9D9"/>
          </w:tcPr>
          <w:p>
            <w:pPr>
              <w:spacing w:after="0"/>
              <w:rPr>
                <w:sz w:val="5"/>
                <w:szCs w:val="5"/>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3020" w:type="dxa"/>
            <w:vAlign w:val="bottom"/>
            <w:tcBorders>
              <w:bottom w:val="single" w:sz="8" w:color="auto"/>
              <w:right w:val="single" w:sz="8" w:color="auto"/>
            </w:tcBorders>
            <w:vMerge w:val="continue"/>
          </w:tcPr>
          <w:p>
            <w:pPr>
              <w:spacing w:after="0"/>
              <w:rPr>
                <w:sz w:val="13"/>
                <w:szCs w:val="13"/>
                <w:color w:val="auto"/>
              </w:rPr>
            </w:pPr>
          </w:p>
        </w:tc>
        <w:tc>
          <w:tcPr>
            <w:tcW w:w="1560" w:type="dxa"/>
            <w:vAlign w:val="bottom"/>
            <w:tcBorders>
              <w:bottom w:val="single" w:sz="8" w:color="auto"/>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Up to</w:t>
            </w:r>
          </w:p>
        </w:tc>
        <w:tc>
          <w:tcPr>
            <w:tcW w:w="0" w:type="dxa"/>
            <w:vAlign w:val="bottom"/>
          </w:tcPr>
          <w:p>
            <w:pPr>
              <w:spacing w:after="0"/>
              <w:rPr>
                <w:sz w:val="1"/>
                <w:szCs w:val="1"/>
                <w:color w:val="auto"/>
              </w:rPr>
            </w:pPr>
          </w:p>
        </w:tc>
      </w:tr>
      <w:tr>
        <w:trPr>
          <w:trHeight w:val="82"/>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w:t>
            </w:r>
          </w:p>
        </w:tc>
        <w:tc>
          <w:tcPr>
            <w:tcW w:w="36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30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4"/>
        </w:trPr>
        <w:tc>
          <w:tcPr>
            <w:tcW w:w="2400" w:type="dxa"/>
            <w:vAlign w:val="bottom"/>
            <w:tcBorders>
              <w:left w:val="single" w:sz="8" w:color="auto"/>
              <w:right w:val="single" w:sz="8" w:color="auto"/>
            </w:tcBorders>
            <w:shd w:val="clear" w:color="auto" w:fill="D9D9D9"/>
          </w:tcPr>
          <w:p>
            <w:pPr>
              <w:spacing w:after="0"/>
              <w:rPr>
                <w:sz w:val="5"/>
                <w:szCs w:val="5"/>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3020" w:type="dxa"/>
            <w:vAlign w:val="bottom"/>
            <w:tcBorders>
              <w:bottom w:val="single" w:sz="8" w:color="auto"/>
              <w:right w:val="single" w:sz="8" w:color="auto"/>
            </w:tcBorders>
            <w:vMerge w:val="continue"/>
          </w:tcPr>
          <w:p>
            <w:pPr>
              <w:spacing w:after="0"/>
              <w:rPr>
                <w:sz w:val="13"/>
                <w:szCs w:val="13"/>
                <w:color w:val="auto"/>
              </w:rPr>
            </w:pPr>
          </w:p>
        </w:tc>
        <w:tc>
          <w:tcPr>
            <w:tcW w:w="1560" w:type="dxa"/>
            <w:vAlign w:val="bottom"/>
            <w:tcBorders>
              <w:bottom w:val="single" w:sz="8" w:color="auto"/>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w:t>
            </w:r>
          </w:p>
        </w:tc>
        <w:tc>
          <w:tcPr>
            <w:tcW w:w="360" w:type="dxa"/>
            <w:vAlign w:val="bottom"/>
          </w:tcPr>
          <w:p>
            <w:pPr>
              <w:spacing w:after="0"/>
              <w:rPr>
                <w:sz w:val="18"/>
                <w:szCs w:val="18"/>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Up to</w:t>
            </w:r>
          </w:p>
        </w:tc>
        <w:tc>
          <w:tcPr>
            <w:tcW w:w="0" w:type="dxa"/>
            <w:vAlign w:val="bottom"/>
          </w:tcPr>
          <w:p>
            <w:pPr>
              <w:spacing w:after="0"/>
              <w:rPr>
                <w:sz w:val="1"/>
                <w:szCs w:val="1"/>
                <w:color w:val="auto"/>
              </w:rPr>
            </w:pPr>
          </w:p>
        </w:tc>
      </w:tr>
      <w:tr>
        <w:trPr>
          <w:trHeight w:val="105"/>
        </w:trPr>
        <w:tc>
          <w:tcPr>
            <w:tcW w:w="2400" w:type="dxa"/>
            <w:vAlign w:val="bottom"/>
            <w:tcBorders>
              <w:left w:val="single" w:sz="8" w:color="auto"/>
              <w:right w:val="single" w:sz="8" w:color="auto"/>
            </w:tcBorders>
            <w:shd w:val="clear" w:color="auto" w:fill="D9D9D9"/>
          </w:tcPr>
          <w:p>
            <w:pPr>
              <w:spacing w:after="0"/>
              <w:rPr>
                <w:sz w:val="9"/>
                <w:szCs w:val="9"/>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55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1980" w:type="dxa"/>
            <w:vAlign w:val="bottom"/>
            <w:tcBorders>
              <w:right w:val="single" w:sz="8" w:color="auto"/>
            </w:tcBorders>
            <w:vMerge w:val="restart"/>
          </w:tcPr>
          <w:p>
            <w:pPr>
              <w:jc w:val="right"/>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0"/>
        </w:trPr>
        <w:tc>
          <w:tcPr>
            <w:tcW w:w="240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302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400" w:type="dxa"/>
            <w:vAlign w:val="bottom"/>
            <w:tcBorders>
              <w:left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Up to</w:t>
            </w:r>
          </w:p>
        </w:tc>
        <w:tc>
          <w:tcPr>
            <w:tcW w:w="0" w:type="dxa"/>
            <w:vAlign w:val="bottom"/>
          </w:tcPr>
          <w:p>
            <w:pPr>
              <w:spacing w:after="0"/>
              <w:rPr>
                <w:sz w:val="1"/>
                <w:szCs w:val="1"/>
                <w:color w:val="auto"/>
              </w:rPr>
            </w:pPr>
          </w:p>
        </w:tc>
      </w:tr>
      <w:tr>
        <w:trPr>
          <w:trHeight w:val="82"/>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jc w:val="right"/>
              <w:ind w:right="99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30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4"/>
        </w:trPr>
        <w:tc>
          <w:tcPr>
            <w:tcW w:w="2400" w:type="dxa"/>
            <w:vAlign w:val="bottom"/>
            <w:tcBorders>
              <w:left w:val="single" w:sz="8" w:color="auto"/>
              <w:right w:val="single" w:sz="8" w:color="auto"/>
            </w:tcBorders>
            <w:shd w:val="clear" w:color="auto" w:fill="D9D9D9"/>
          </w:tcPr>
          <w:p>
            <w:pPr>
              <w:spacing w:after="0"/>
              <w:rPr>
                <w:sz w:val="5"/>
                <w:szCs w:val="5"/>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3020" w:type="dxa"/>
            <w:vAlign w:val="bottom"/>
            <w:tcBorders>
              <w:bottom w:val="single" w:sz="8" w:color="auto"/>
              <w:right w:val="single" w:sz="8" w:color="auto"/>
            </w:tcBorders>
            <w:vMerge w:val="continue"/>
          </w:tcPr>
          <w:p>
            <w:pPr>
              <w:spacing w:after="0"/>
              <w:rPr>
                <w:sz w:val="13"/>
                <w:szCs w:val="13"/>
                <w:color w:val="auto"/>
              </w:rPr>
            </w:pPr>
          </w:p>
        </w:tc>
        <w:tc>
          <w:tcPr>
            <w:tcW w:w="1560" w:type="dxa"/>
            <w:vAlign w:val="bottom"/>
            <w:tcBorders>
              <w:bottom w:val="single" w:sz="8" w:color="auto"/>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Up to</w:t>
            </w:r>
          </w:p>
        </w:tc>
        <w:tc>
          <w:tcPr>
            <w:tcW w:w="0" w:type="dxa"/>
            <w:vAlign w:val="bottom"/>
          </w:tcPr>
          <w:p>
            <w:pPr>
              <w:spacing w:after="0"/>
              <w:rPr>
                <w:sz w:val="1"/>
                <w:szCs w:val="1"/>
                <w:color w:val="auto"/>
              </w:rPr>
            </w:pPr>
          </w:p>
        </w:tc>
      </w:tr>
      <w:tr>
        <w:trPr>
          <w:trHeight w:val="82"/>
        </w:trPr>
        <w:tc>
          <w:tcPr>
            <w:tcW w:w="2400" w:type="dxa"/>
            <w:vAlign w:val="bottom"/>
            <w:tcBorders>
              <w:left w:val="single" w:sz="8" w:color="auto"/>
              <w:right w:val="single" w:sz="8" w:color="auto"/>
            </w:tcBorders>
            <w:shd w:val="clear" w:color="auto" w:fill="D9D9D9"/>
          </w:tcPr>
          <w:p>
            <w:pPr>
              <w:spacing w:after="0"/>
              <w:rPr>
                <w:sz w:val="7"/>
                <w:szCs w:val="7"/>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vMerge w:val="restart"/>
          </w:tcPr>
          <w:p>
            <w:pPr>
              <w:jc w:val="right"/>
              <w:ind w:right="99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3020" w:type="dxa"/>
            <w:vAlign w:val="bottom"/>
            <w:tcBorders>
              <w:bottom w:val="single" w:sz="8" w:color="auto"/>
              <w:right w:val="single" w:sz="8" w:color="auto"/>
            </w:tcBorders>
            <w:vMerge w:val="continue"/>
          </w:tcPr>
          <w:p>
            <w:pPr>
              <w:spacing w:after="0"/>
              <w:rPr>
                <w:sz w:val="12"/>
                <w:szCs w:val="12"/>
                <w:color w:val="auto"/>
              </w:rPr>
            </w:pPr>
          </w:p>
        </w:tc>
        <w:tc>
          <w:tcPr>
            <w:tcW w:w="1560" w:type="dxa"/>
            <w:vAlign w:val="bottom"/>
            <w:tcBorders>
              <w:bottom w:val="single" w:sz="8" w:color="auto"/>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4"/>
        </w:trPr>
        <w:tc>
          <w:tcPr>
            <w:tcW w:w="2400" w:type="dxa"/>
            <w:vAlign w:val="bottom"/>
            <w:tcBorders>
              <w:left w:val="single" w:sz="8" w:color="auto"/>
              <w:right w:val="single" w:sz="8" w:color="auto"/>
            </w:tcBorders>
            <w:shd w:val="clear" w:color="auto" w:fill="D9D9D9"/>
          </w:tcPr>
          <w:p>
            <w:pPr>
              <w:spacing w:after="0"/>
              <w:rPr>
                <w:sz w:val="5"/>
                <w:szCs w:val="5"/>
                <w:color w:val="auto"/>
              </w:rPr>
            </w:pPr>
          </w:p>
        </w:tc>
        <w:tc>
          <w:tcPr>
            <w:tcW w:w="3020" w:type="dxa"/>
            <w:vAlign w:val="bottom"/>
            <w:tcBorders>
              <w:right w:val="single" w:sz="8" w:color="auto"/>
            </w:tcBorders>
            <w:vMerge w:val="restart"/>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vMerge w:val="restart"/>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3020" w:type="dxa"/>
            <w:vAlign w:val="bottom"/>
            <w:tcBorders>
              <w:bottom w:val="single" w:sz="8" w:color="auto"/>
              <w:right w:val="single" w:sz="8" w:color="auto"/>
            </w:tcBorders>
            <w:vMerge w:val="continue"/>
          </w:tcPr>
          <w:p>
            <w:pPr>
              <w:spacing w:after="0"/>
              <w:rPr>
                <w:sz w:val="13"/>
                <w:szCs w:val="13"/>
                <w:color w:val="auto"/>
              </w:rPr>
            </w:pPr>
          </w:p>
        </w:tc>
        <w:tc>
          <w:tcPr>
            <w:tcW w:w="1560" w:type="dxa"/>
            <w:vAlign w:val="bottom"/>
            <w:tcBorders>
              <w:bottom w:val="single" w:sz="8" w:color="auto"/>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tcPr>
          <w:p>
            <w:pPr>
              <w:jc w:val="right"/>
              <w:ind w:right="1956"/>
              <w:spacing w:after="0"/>
              <w:rPr>
                <w:sz w:val="20"/>
                <w:szCs w:val="20"/>
                <w:color w:val="auto"/>
              </w:rPr>
            </w:pPr>
            <w:r>
              <w:rPr>
                <w:rFonts w:ascii="Arial" w:cs="Arial" w:eastAsia="Arial" w:hAnsi="Arial"/>
                <w:sz w:val="17"/>
                <w:szCs w:val="17"/>
                <w:color w:val="auto"/>
              </w:rPr>
              <w:t>[***]</w:t>
            </w: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20" w:type="dxa"/>
            <w:vAlign w:val="bottom"/>
            <w:tcBorders>
              <w:bottom w:val="single" w:sz="8" w:color="auto"/>
              <w:right w:val="single" w:sz="8" w:color="auto"/>
            </w:tcBorders>
          </w:tcPr>
          <w:p>
            <w:pPr>
              <w:jc w:val="right"/>
              <w:ind w:right="259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right w:val="single" w:sz="8" w:color="auto"/>
            </w:tcBorders>
          </w:tcPr>
          <w:p>
            <w:pPr>
              <w:jc w:val="right"/>
              <w:ind w:right="113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9D9D9"/>
          </w:tcPr>
          <w:p>
            <w:pPr>
              <w:spacing w:after="0"/>
              <w:rPr>
                <w:sz w:val="18"/>
                <w:szCs w:val="18"/>
                <w:color w:val="auto"/>
              </w:rPr>
            </w:pPr>
          </w:p>
        </w:tc>
        <w:tc>
          <w:tcPr>
            <w:tcW w:w="360" w:type="dxa"/>
            <w:vAlign w:val="bottom"/>
            <w:tcBorders>
              <w:bottom w:val="single" w:sz="8" w:color="auto"/>
            </w:tcBorders>
            <w:shd w:val="clear" w:color="auto" w:fill="D9D9D9"/>
          </w:tcPr>
          <w:p>
            <w:pPr>
              <w:spacing w:after="0"/>
              <w:rPr>
                <w:sz w:val="18"/>
                <w:szCs w:val="18"/>
                <w:color w:val="auto"/>
              </w:rPr>
            </w:pPr>
          </w:p>
        </w:tc>
        <w:tc>
          <w:tcPr>
            <w:tcW w:w="19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3020" w:type="dxa"/>
            <w:vAlign w:val="bottom"/>
            <w:tcBorders>
              <w:bottom w:val="single" w:sz="8" w:color="auto"/>
              <w:right w:val="single" w:sz="8" w:color="D9D9D9"/>
            </w:tcBorders>
            <w:shd w:val="clear" w:color="auto" w:fill="D9D9D9"/>
          </w:tcPr>
          <w:p>
            <w:pPr>
              <w:spacing w:after="0"/>
              <w:rPr>
                <w:sz w:val="18"/>
                <w:szCs w:val="18"/>
                <w:color w:val="auto"/>
              </w:rPr>
            </w:pPr>
          </w:p>
        </w:tc>
        <w:tc>
          <w:tcPr>
            <w:tcW w:w="3000" w:type="dxa"/>
            <w:vAlign w:val="bottom"/>
            <w:tcBorders>
              <w:bottom w:val="single" w:sz="8" w:color="auto"/>
              <w:right w:val="single" w:sz="8" w:color="auto"/>
            </w:tcBorders>
            <w:gridSpan w:val="2"/>
            <w:shd w:val="clear" w:color="auto" w:fill="D9D9D9"/>
          </w:tcPr>
          <w:p>
            <w:pPr>
              <w:jc w:val="right"/>
              <w:spacing w:after="0"/>
              <w:rPr>
                <w:sz w:val="20"/>
                <w:szCs w:val="20"/>
                <w:color w:val="auto"/>
              </w:rPr>
            </w:pPr>
            <w:r>
              <w:rPr>
                <w:rFonts w:ascii="Arial" w:cs="Arial" w:eastAsia="Arial" w:hAnsi="Arial"/>
                <w:sz w:val="17"/>
                <w:szCs w:val="17"/>
                <w:b w:val="1"/>
                <w:bCs w:val="1"/>
                <w:color w:val="auto"/>
              </w:rPr>
              <w:t>Amended Total Grant Amount</w:t>
            </w: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Up to $48,945,928.00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provided in the Agreement, signatures are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spacing w:after="0"/>
        <w:tabs>
          <w:tab w:leader="none" w:pos="5000" w:val="left"/>
          <w:tab w:leader="none" w:pos="906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3"/>
          <w:szCs w:val="13"/>
          <w:color w:val="auto"/>
        </w:rPr>
        <w:t>Page 2 of 3</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0900"/>
          </w:cols>
          <w:pgMar w:left="320" w:top="1440" w:right="679" w:bottom="1440" w:gutter="0" w:footer="0" w:header="0"/>
        </w:sectPr>
      </w:pPr>
    </w:p>
    <w:bookmarkStart w:id="204" w:name="page205"/>
    <w:bookmarkEnd w:id="204"/>
    <w:p>
      <w:pPr>
        <w:spacing w:after="0" w:line="263" w:lineRule="exact"/>
        <w:rPr>
          <w:sz w:val="20"/>
          <w:szCs w:val="20"/>
          <w:color w:val="auto"/>
        </w:rPr>
      </w:pPr>
    </w:p>
    <w:tbl>
      <w:tblPr>
        <w:tblLayout w:type="fixed"/>
        <w:tblInd w:w="9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2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w w:val="99"/>
              </w:rPr>
              <w:t>AMENDMENT 2</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20" w:type="dxa"/>
            <w:vAlign w:val="bottom"/>
            <w:gridSpan w:val="2"/>
          </w:tcPr>
          <w:p>
            <w:pPr>
              <w:jc w:val="center"/>
              <w:ind w:right="3880"/>
              <w:spacing w:after="0" w:line="189" w:lineRule="exact"/>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2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w w:val="98"/>
              </w:rPr>
              <w:t>GRANT AGREEMENT</w:t>
            </w: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20" w:type="dxa"/>
            <w:vAlign w:val="bottom"/>
            <w:gridSpan w:val="2"/>
          </w:tcPr>
          <w:p>
            <w:pPr>
              <w:jc w:val="center"/>
              <w:ind w:right="388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50"/>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2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71"/>
        </w:trPr>
        <w:tc>
          <w:tcPr>
            <w:tcW w:w="29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520" w:type="dxa"/>
            <w:vAlign w:val="bottom"/>
            <w:tcBorders>
              <w:top w:val="single" w:sz="8" w:color="auto"/>
              <w:bottom w:val="single" w:sz="8" w:color="auto"/>
            </w:tcBorders>
          </w:tcPr>
          <w:p>
            <w:pPr>
              <w:spacing w:after="0"/>
              <w:rPr>
                <w:sz w:val="23"/>
                <w:szCs w:val="23"/>
                <w:color w:val="auto"/>
              </w:rPr>
            </w:pPr>
          </w:p>
        </w:tc>
        <w:tc>
          <w:tcPr>
            <w:tcW w:w="3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900" w:type="dxa"/>
            <w:vAlign w:val="bottom"/>
            <w:tcBorders>
              <w:left w:val="single" w:sz="8" w:color="auto"/>
              <w:bottom w:val="single" w:sz="8" w:color="auto"/>
              <w:right w:val="single" w:sz="8" w:color="BEBEBE"/>
            </w:tcBorders>
            <w:shd w:val="clear" w:color="auto" w:fill="BEBEBE"/>
          </w:tcPr>
          <w:p>
            <w:pPr>
              <w:ind w:left="80"/>
              <w:spacing w:after="0"/>
              <w:rPr>
                <w:sz w:val="20"/>
                <w:szCs w:val="20"/>
                <w:color w:val="auto"/>
              </w:rPr>
            </w:pPr>
            <w:r>
              <w:rPr>
                <w:rFonts w:ascii="Arial" w:cs="Arial" w:eastAsia="Arial" w:hAnsi="Arial"/>
                <w:sz w:val="17"/>
                <w:szCs w:val="17"/>
                <w:b w:val="1"/>
                <w:bCs w:val="1"/>
                <w:color w:val="auto"/>
              </w:rPr>
              <w:t>AMENDMENT INFORMATION</w:t>
            </w:r>
          </w:p>
        </w:tc>
        <w:tc>
          <w:tcPr>
            <w:tcW w:w="1360" w:type="dxa"/>
            <w:vAlign w:val="bottom"/>
            <w:tcBorders>
              <w:bottom w:val="single" w:sz="8" w:color="auto"/>
            </w:tcBorders>
            <w:shd w:val="clear" w:color="auto" w:fill="BEBEBE"/>
          </w:tcPr>
          <w:p>
            <w:pPr>
              <w:spacing w:after="0"/>
              <w:rPr>
                <w:sz w:val="19"/>
                <w:szCs w:val="19"/>
                <w:color w:val="auto"/>
              </w:rPr>
            </w:pPr>
          </w:p>
        </w:tc>
        <w:tc>
          <w:tcPr>
            <w:tcW w:w="2520" w:type="dxa"/>
            <w:vAlign w:val="bottom"/>
            <w:tcBorders>
              <w:bottom w:val="single" w:sz="8" w:color="auto"/>
            </w:tcBorders>
            <w:shd w:val="clear" w:color="auto" w:fill="BEBEBE"/>
          </w:tcPr>
          <w:p>
            <w:pPr>
              <w:spacing w:after="0"/>
              <w:rPr>
                <w:sz w:val="19"/>
                <w:szCs w:val="19"/>
                <w:color w:val="auto"/>
              </w:rPr>
            </w:pPr>
          </w:p>
        </w:tc>
        <w:tc>
          <w:tcPr>
            <w:tcW w:w="3900" w:type="dxa"/>
            <w:vAlign w:val="bottom"/>
            <w:tcBorders>
              <w:bottom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Agreement to be Amended:</w:t>
            </w:r>
          </w:p>
        </w:tc>
        <w:tc>
          <w:tcPr>
            <w:tcW w:w="778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Grant agreement between the Bill &amp; Melinda Gates Foundation and Dare Bioscience, Inc., effective</w:t>
            </w:r>
          </w:p>
        </w:tc>
        <w:tc>
          <w:tcPr>
            <w:tcW w:w="0" w:type="dxa"/>
            <w:vAlign w:val="bottom"/>
          </w:tcPr>
          <w:p>
            <w:pPr>
              <w:spacing w:after="0"/>
              <w:rPr>
                <w:sz w:val="1"/>
                <w:szCs w:val="1"/>
                <w:color w:val="auto"/>
              </w:rPr>
            </w:pPr>
          </w:p>
        </w:tc>
      </w:tr>
      <w:tr>
        <w:trPr>
          <w:trHeight w:val="190"/>
        </w:trPr>
        <w:tc>
          <w:tcPr>
            <w:tcW w:w="2900" w:type="dxa"/>
            <w:vAlign w:val="bottom"/>
            <w:tcBorders>
              <w:left w:val="single" w:sz="8" w:color="auto"/>
              <w:right w:val="single" w:sz="8" w:color="auto"/>
            </w:tcBorders>
            <w:vMerge w:val="continue"/>
          </w:tcPr>
          <w:p>
            <w:pPr>
              <w:spacing w:after="0"/>
              <w:rPr>
                <w:sz w:val="16"/>
                <w:szCs w:val="16"/>
                <w:color w:val="auto"/>
              </w:rPr>
            </w:pPr>
          </w:p>
        </w:tc>
        <w:tc>
          <w:tcPr>
            <w:tcW w:w="7780" w:type="dxa"/>
            <w:vAlign w:val="bottom"/>
            <w:tcBorders>
              <w:right w:val="single" w:sz="8" w:color="auto"/>
            </w:tcBorders>
            <w:gridSpan w:val="3"/>
          </w:tcPr>
          <w:p>
            <w:pPr>
              <w:ind w:left="60"/>
              <w:spacing w:after="0" w:line="189" w:lineRule="exact"/>
              <w:rPr>
                <w:sz w:val="20"/>
                <w:szCs w:val="20"/>
                <w:color w:val="auto"/>
              </w:rPr>
            </w:pPr>
            <w:r>
              <w:rPr>
                <w:rFonts w:ascii="Arial" w:cs="Arial" w:eastAsia="Arial" w:hAnsi="Arial"/>
                <w:sz w:val="17"/>
                <w:szCs w:val="17"/>
                <w:color w:val="auto"/>
              </w:rPr>
              <w:t>June 30, 2021, as amended, and bearing Investment</w:t>
            </w:r>
          </w:p>
        </w:tc>
        <w:tc>
          <w:tcPr>
            <w:tcW w:w="0" w:type="dxa"/>
            <w:vAlign w:val="bottom"/>
          </w:tcPr>
          <w:p>
            <w:pPr>
              <w:spacing w:after="0"/>
              <w:rPr>
                <w:sz w:val="1"/>
                <w:szCs w:val="1"/>
                <w:color w:val="auto"/>
              </w:rPr>
            </w:pPr>
          </w:p>
        </w:tc>
      </w:tr>
      <w:tr>
        <w:trPr>
          <w:trHeight w:val="227"/>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ID INV-026060</w:t>
            </w: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Amendment Purpose:</w:t>
            </w: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Payment &amp; Reporting Schedule Change</w:t>
            </w:r>
          </w:p>
        </w:tc>
        <w:tc>
          <w:tcPr>
            <w:tcW w:w="0" w:type="dxa"/>
            <w:vAlign w:val="bottom"/>
          </w:tcPr>
          <w:p>
            <w:pPr>
              <w:spacing w:after="0"/>
              <w:rPr>
                <w:sz w:val="1"/>
                <w:szCs w:val="1"/>
                <w:color w:val="auto"/>
              </w:rPr>
            </w:pPr>
          </w:p>
        </w:tc>
      </w:tr>
      <w:tr>
        <w:trPr>
          <w:trHeight w:val="22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“Amendment Date”</w:t>
            </w:r>
            <w:r>
              <w:rPr>
                <w:rFonts w:ascii="Arial" w:cs="Arial" w:eastAsia="Arial" w:hAnsi="Arial"/>
                <w:sz w:val="17"/>
                <w:szCs w:val="17"/>
                <w:color w:val="auto"/>
              </w:rPr>
              <w:t>:</w:t>
            </w: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September 14, 2023</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left="80" w:right="80"/>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ind w:left="80" w:right="620"/>
        <w:spacing w:after="0" w:line="261"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 w:type="dxa"/>
            <w:vAlign w:val="bottom"/>
            <w:tcBorders>
              <w:right w:val="single" w:sz="8" w:color="auto"/>
            </w:tcBorders>
          </w:tcPr>
          <w:p>
            <w:pPr>
              <w:spacing w:after="0"/>
              <w:rPr>
                <w:sz w:val="20"/>
                <w:szCs w:val="20"/>
                <w:color w:val="auto"/>
              </w:rPr>
            </w:pPr>
          </w:p>
        </w:tc>
        <w:tc>
          <w:tcPr>
            <w:tcW w:w="5000" w:type="dxa"/>
            <w:vAlign w:val="bottom"/>
            <w:tcBorders>
              <w:top w:val="single" w:sz="8" w:color="auto"/>
              <w:bottom w:val="single" w:sz="8" w:color="auto"/>
              <w:right w:val="single" w:sz="8" w:color="C0C0C0"/>
            </w:tcBorders>
            <w:gridSpan w:val="2"/>
            <w:shd w:val="clear" w:color="auto" w:fill="C0C0C0"/>
          </w:tcPr>
          <w:p>
            <w:pPr>
              <w:ind w:left="20"/>
              <w:spacing w:after="0"/>
              <w:rPr>
                <w:sz w:val="20"/>
                <w:szCs w:val="20"/>
                <w:color w:val="auto"/>
              </w:rPr>
            </w:pPr>
            <w:r>
              <w:rPr>
                <w:rFonts w:ascii="Arial" w:cs="Arial" w:eastAsia="Arial" w:hAnsi="Arial"/>
                <w:sz w:val="17"/>
                <w:szCs w:val="17"/>
                <w:b w:val="1"/>
                <w:bCs w:val="1"/>
                <w:color w:val="auto"/>
              </w:rPr>
              <w:t>REPORTING &amp; PAYMENT SCHEDULE</w:t>
            </w:r>
          </w:p>
        </w:tc>
        <w:tc>
          <w:tcPr>
            <w:tcW w:w="212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166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1920" w:type="dxa"/>
            <w:vAlign w:val="bottom"/>
            <w:tcBorders>
              <w:top w:val="single" w:sz="8" w:color="auto"/>
              <w:bottom w:val="single" w:sz="8" w:color="auto"/>
              <w:right w:val="single" w:sz="8" w:color="auto"/>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vMerge w:val="restart"/>
          </w:tcPr>
          <w:p>
            <w:pPr>
              <w:jc w:val="right"/>
              <w:ind w:right="616"/>
              <w:spacing w:after="0"/>
              <w:rPr>
                <w:sz w:val="20"/>
                <w:szCs w:val="20"/>
                <w:color w:val="auto"/>
              </w:rPr>
            </w:pPr>
            <w:r>
              <w:rPr>
                <w:rFonts w:ascii="Arial" w:cs="Arial" w:eastAsia="Arial" w:hAnsi="Arial"/>
                <w:sz w:val="17"/>
                <w:szCs w:val="17"/>
                <w:i w:val="1"/>
                <w:iCs w:val="1"/>
                <w:color w:val="auto"/>
              </w:rPr>
              <w:t>Investment Period</w:t>
            </w:r>
          </w:p>
        </w:tc>
        <w:tc>
          <w:tcPr>
            <w:tcW w:w="2780" w:type="dxa"/>
            <w:vAlign w:val="bottom"/>
            <w:tcBorders>
              <w:right w:val="single" w:sz="8" w:color="auto"/>
            </w:tcBorders>
          </w:tcPr>
          <w:p>
            <w:pPr>
              <w:ind w:left="280"/>
              <w:spacing w:after="0" w:line="193" w:lineRule="exact"/>
              <w:rPr>
                <w:sz w:val="20"/>
                <w:szCs w:val="20"/>
                <w:color w:val="auto"/>
              </w:rPr>
            </w:pPr>
            <w:r>
              <w:rPr>
                <w:rFonts w:ascii="Arial" w:cs="Arial" w:eastAsia="Arial" w:hAnsi="Arial"/>
                <w:sz w:val="17"/>
                <w:szCs w:val="17"/>
                <w:i w:val="1"/>
                <w:iCs w:val="1"/>
                <w:color w:val="auto"/>
              </w:rPr>
              <w:t>Target, Milestone, or Reporting</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i w:val="1"/>
                <w:iCs w:val="1"/>
                <w:color w:val="auto"/>
                <w:w w:val="96"/>
              </w:rPr>
              <w:t>Due By</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i w:val="1"/>
                <w:iCs w:val="1"/>
                <w:color w:val="auto"/>
                <w:w w:val="98"/>
              </w:rPr>
              <w:t>Payment Date</w:t>
            </w:r>
          </w:p>
        </w:tc>
        <w:tc>
          <w:tcPr>
            <w:tcW w:w="1920" w:type="dxa"/>
            <w:vAlign w:val="bottom"/>
            <w:tcBorders>
              <w:right w:val="single" w:sz="8" w:color="auto"/>
            </w:tcBorders>
          </w:tcPr>
          <w:p>
            <w:pPr>
              <w:jc w:val="right"/>
              <w:ind w:right="456"/>
              <w:spacing w:after="0" w:line="193" w:lineRule="exact"/>
              <w:rPr>
                <w:sz w:val="20"/>
                <w:szCs w:val="20"/>
                <w:color w:val="auto"/>
              </w:rPr>
            </w:pPr>
            <w:r>
              <w:rPr>
                <w:rFonts w:ascii="Arial" w:cs="Arial" w:eastAsia="Arial" w:hAnsi="Arial"/>
                <w:sz w:val="17"/>
                <w:szCs w:val="17"/>
                <w:i w:val="1"/>
                <w:iCs w:val="1"/>
                <w:color w:val="auto"/>
              </w:rPr>
              <w:t>Payment Amount</w:t>
            </w:r>
          </w:p>
        </w:tc>
        <w:tc>
          <w:tcPr>
            <w:tcW w:w="0" w:type="dxa"/>
            <w:vAlign w:val="bottom"/>
          </w:tcPr>
          <w:p>
            <w:pPr>
              <w:spacing w:after="0"/>
              <w:rPr>
                <w:sz w:val="1"/>
                <w:szCs w:val="1"/>
                <w:color w:val="auto"/>
              </w:rPr>
            </w:pPr>
          </w:p>
        </w:tc>
      </w:tr>
      <w:tr>
        <w:trPr>
          <w:trHeight w:val="119"/>
        </w:trPr>
        <w:tc>
          <w:tcPr>
            <w:tcW w:w="10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i w:val="1"/>
                <w:iCs w:val="1"/>
                <w:color w:val="auto"/>
              </w:rPr>
              <w:t>Deliverable</w:t>
            </w:r>
          </w:p>
        </w:tc>
        <w:tc>
          <w:tcPr>
            <w:tcW w:w="21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right"/>
              <w:ind w:right="836"/>
              <w:spacing w:after="0"/>
              <w:rPr>
                <w:sz w:val="20"/>
                <w:szCs w:val="20"/>
                <w:color w:val="auto"/>
              </w:rPr>
            </w:pPr>
            <w:r>
              <w:rPr>
                <w:rFonts w:ascii="Arial" w:cs="Arial" w:eastAsia="Arial" w:hAnsi="Arial"/>
                <w:sz w:val="17"/>
                <w:szCs w:val="17"/>
                <w:i w:val="1"/>
                <w:iCs w:val="1"/>
                <w:color w:val="auto"/>
              </w:rPr>
              <w:t>(U.S.$)</w:t>
            </w: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6"/>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BEBEBE"/>
              <w:right w:val="single" w:sz="8" w:color="auto"/>
            </w:tcBorders>
            <w:shd w:val="clear" w:color="auto" w:fill="BEBEBE"/>
          </w:tcPr>
          <w:p>
            <w:pPr>
              <w:spacing w:after="0"/>
              <w:rPr>
                <w:sz w:val="24"/>
                <w:szCs w:val="2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Countersigned Agreement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2021</w:t>
            </w:r>
          </w:p>
        </w:tc>
        <w:tc>
          <w:tcPr>
            <w:tcW w:w="1920" w:type="dxa"/>
            <w:vAlign w:val="bottom"/>
            <w:tcBorders>
              <w:right w:val="single" w:sz="8" w:color="auto"/>
            </w:tcBorders>
          </w:tcPr>
          <w:p>
            <w:pPr>
              <w:jc w:val="right"/>
              <w:ind w:right="456"/>
              <w:spacing w:after="0"/>
              <w:rPr>
                <w:sz w:val="20"/>
                <w:szCs w:val="20"/>
                <w:color w:val="auto"/>
              </w:rPr>
            </w:pPr>
            <w:r>
              <w:rPr>
                <w:rFonts w:ascii="Arial" w:cs="Arial" w:eastAsia="Arial" w:hAnsi="Arial"/>
                <w:sz w:val="17"/>
                <w:szCs w:val="17"/>
                <w:color w:val="auto"/>
              </w:rPr>
              <w:t>$11,453,099.00</w:t>
            </w: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shd w:val="clear" w:color="auto" w:fill="BEBEBE"/>
          </w:tcPr>
          <w:p>
            <w:pPr>
              <w:spacing w:after="0"/>
              <w:rPr>
                <w:sz w:val="19"/>
                <w:szCs w:val="19"/>
                <w:color w:val="auto"/>
              </w:rPr>
            </w:pPr>
          </w:p>
        </w:tc>
        <w:tc>
          <w:tcPr>
            <w:tcW w:w="2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auto"/>
            </w:tcBorders>
          </w:tcPr>
          <w:p>
            <w:pPr>
              <w:spacing w:after="0"/>
              <w:rPr>
                <w:sz w:val="9"/>
                <w:szCs w:val="9"/>
                <w:color w:val="auto"/>
              </w:rPr>
            </w:pPr>
          </w:p>
        </w:tc>
        <w:tc>
          <w:tcPr>
            <w:tcW w:w="2220" w:type="dxa"/>
            <w:vAlign w:val="bottom"/>
            <w:tcBorders>
              <w:bottom w:val="single" w:sz="8" w:color="auto"/>
              <w:right w:val="single" w:sz="8" w:color="auto"/>
            </w:tcBorders>
            <w:shd w:val="clear" w:color="auto" w:fill="BEBEB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shd w:val="clear" w:color="auto" w:fill="BEBEB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shd w:val="clear" w:color="auto" w:fill="BEBEB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7"/>
                <w:szCs w:val="17"/>
                <w:color w:val="auto"/>
              </w:rPr>
              <w:t>July 2022</w:t>
            </w:r>
          </w:p>
        </w:tc>
        <w:tc>
          <w:tcPr>
            <w:tcW w:w="1920" w:type="dxa"/>
            <w:vAlign w:val="bottom"/>
            <w:tcBorders>
              <w:right w:val="single" w:sz="8" w:color="auto"/>
            </w:tcBorders>
            <w:vMerge w:val="restart"/>
          </w:tcPr>
          <w:p>
            <w:pPr>
              <w:jc w:val="right"/>
              <w:ind w:right="436"/>
              <w:spacing w:after="0"/>
              <w:rPr>
                <w:sz w:val="20"/>
                <w:szCs w:val="20"/>
                <w:color w:val="auto"/>
              </w:rPr>
            </w:pPr>
            <w:r>
              <w:rPr>
                <w:rFonts w:ascii="Arial" w:cs="Arial" w:eastAsia="Arial" w:hAnsi="Arial"/>
                <w:sz w:val="17"/>
                <w:szCs w:val="17"/>
                <w:color w:val="auto"/>
              </w:rPr>
              <w:t>$7,960,608.00</w:t>
            </w: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shd w:val="clear" w:color="auto" w:fill="BEBEB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BEBEBE"/>
              <w:right w:val="single" w:sz="8" w:color="auto"/>
            </w:tcBorders>
            <w:shd w:val="clear" w:color="auto" w:fill="BEBEBE"/>
          </w:tcPr>
          <w:p>
            <w:pPr>
              <w:spacing w:after="0"/>
              <w:rPr>
                <w:sz w:val="24"/>
                <w:szCs w:val="2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320" w:type="dxa"/>
            <w:vAlign w:val="bottom"/>
            <w:gridSpan w:val="2"/>
          </w:tcPr>
          <w:p>
            <w:pPr>
              <w:jc w:val="right"/>
              <w:ind w:right="456"/>
              <w:spacing w:after="0"/>
              <w:rPr>
                <w:sz w:val="20"/>
                <w:szCs w:val="20"/>
                <w:color w:val="auto"/>
              </w:rPr>
            </w:pPr>
            <w:r>
              <w:rPr>
                <w:rFonts w:ascii="Arial" w:cs="Arial" w:eastAsia="Arial" w:hAnsi="Arial"/>
                <w:sz w:val="15"/>
                <w:szCs w:val="15"/>
                <w:color w:val="auto"/>
                <w:w w:val="99"/>
              </w:rPr>
              <w:t>Investment ID INV-026060</w:t>
            </w:r>
          </w:p>
        </w:tc>
        <w:tc>
          <w:tcPr>
            <w:tcW w:w="2780" w:type="dxa"/>
            <w:vAlign w:val="bottom"/>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15"/>
                <w:szCs w:val="15"/>
                <w:color w:val="auto"/>
              </w:rPr>
              <w:t>1 of 5</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440"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44"/>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shd w:val="clear" w:color="auto" w:fill="BEBEBE"/>
          </w:tcPr>
          <w:p>
            <w:pPr>
              <w:spacing w:after="0"/>
              <w:rPr>
                <w:sz w:val="21"/>
                <w:szCs w:val="21"/>
                <w:color w:val="auto"/>
              </w:rPr>
            </w:pPr>
          </w:p>
        </w:tc>
        <w:tc>
          <w:tcPr>
            <w:tcW w:w="2780" w:type="dxa"/>
            <w:vAlign w:val="bottom"/>
            <w:tcBorders>
              <w:top w:val="single" w:sz="8" w:color="auto"/>
              <w:right w:val="single" w:sz="8" w:color="auto"/>
            </w:tcBorders>
            <w:vMerge w:val="restart"/>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shd w:val="clear" w:color="auto" w:fill="BEBEBE"/>
          </w:tcPr>
          <w:p>
            <w:pPr>
              <w:spacing w:after="0"/>
              <w:rPr>
                <w:sz w:val="21"/>
                <w:szCs w:val="21"/>
                <w:color w:val="auto"/>
              </w:rPr>
            </w:pPr>
          </w:p>
        </w:tc>
        <w:tc>
          <w:tcPr>
            <w:tcW w:w="1920" w:type="dxa"/>
            <w:vAlign w:val="bottom"/>
            <w:tcBorders>
              <w:top w:val="single" w:sz="8" w:color="auto"/>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100" w:type="dxa"/>
            <w:vAlign w:val="bottom"/>
            <w:tcBorders>
              <w:right w:val="single" w:sz="8" w:color="auto"/>
            </w:tcBorders>
          </w:tcPr>
          <w:p>
            <w:pPr>
              <w:spacing w:after="0"/>
              <w:rPr>
                <w:sz w:val="7"/>
                <w:szCs w:val="7"/>
                <w:color w:val="auto"/>
              </w:rPr>
            </w:pPr>
          </w:p>
        </w:tc>
        <w:tc>
          <w:tcPr>
            <w:tcW w:w="2220" w:type="dxa"/>
            <w:vAlign w:val="bottom"/>
            <w:tcBorders>
              <w:bottom w:val="single" w:sz="8" w:color="BEBEBE"/>
              <w:right w:val="single" w:sz="8" w:color="auto"/>
            </w:tcBorders>
            <w:shd w:val="clear" w:color="auto" w:fill="BEBEBE"/>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1660" w:type="dxa"/>
            <w:vAlign w:val="bottom"/>
            <w:tcBorders>
              <w:bottom w:val="single" w:sz="8" w:color="BEBEBE"/>
              <w:right w:val="single" w:sz="8" w:color="auto"/>
            </w:tcBorders>
            <w:shd w:val="clear" w:color="auto" w:fill="BEBEBE"/>
          </w:tcPr>
          <w:p>
            <w:pPr>
              <w:spacing w:after="0"/>
              <w:rPr>
                <w:sz w:val="7"/>
                <w:szCs w:val="7"/>
                <w:color w:val="auto"/>
              </w:rPr>
            </w:pPr>
          </w:p>
        </w:tc>
        <w:tc>
          <w:tcPr>
            <w:tcW w:w="1920" w:type="dxa"/>
            <w:vAlign w:val="bottom"/>
            <w:tcBorders>
              <w:bottom w:val="single" w:sz="8" w:color="BEBEBE"/>
              <w:right w:val="single" w:sz="8" w:color="auto"/>
            </w:tcBorders>
            <w:shd w:val="clear" w:color="auto" w:fill="BEBEB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shd w:val="clear" w:color="auto" w:fill="BEBEBE"/>
          </w:tcPr>
          <w:p>
            <w:pPr>
              <w:spacing w:after="0"/>
              <w:rPr>
                <w:sz w:val="19"/>
                <w:szCs w:val="19"/>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shd w:val="clear" w:color="auto" w:fill="BEBEBE"/>
          </w:tcPr>
          <w:p>
            <w:pPr>
              <w:spacing w:after="0"/>
              <w:rPr>
                <w:sz w:val="18"/>
                <w:szCs w:val="18"/>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8"/>
        </w:trPr>
        <w:tc>
          <w:tcPr>
            <w:tcW w:w="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shd w:val="clear" w:color="auto" w:fill="BEBEBE"/>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jc w:val="center"/>
              <w:ind w:right="336"/>
              <w:spacing w:after="0"/>
              <w:rPr>
                <w:sz w:val="20"/>
                <w:szCs w:val="20"/>
                <w:color w:val="auto"/>
              </w:rPr>
            </w:pPr>
            <w:r>
              <w:rPr>
                <w:rFonts w:ascii="Arial" w:cs="Arial" w:eastAsia="Arial" w:hAnsi="Arial"/>
                <w:sz w:val="17"/>
                <w:szCs w:val="17"/>
                <w:color w:val="auto"/>
                <w:w w:val="96"/>
              </w:rPr>
              <w:t>November</w:t>
            </w:r>
          </w:p>
        </w:tc>
        <w:tc>
          <w:tcPr>
            <w:tcW w:w="1920" w:type="dxa"/>
            <w:vAlign w:val="bottom"/>
            <w:tcBorders>
              <w:right w:val="single" w:sz="8" w:color="auto"/>
            </w:tcBorders>
            <w:vMerge w:val="restart"/>
          </w:tcPr>
          <w:p>
            <w:pPr>
              <w:jc w:val="right"/>
              <w:ind w:right="436"/>
              <w:spacing w:after="0"/>
              <w:rPr>
                <w:sz w:val="20"/>
                <w:szCs w:val="20"/>
                <w:color w:val="auto"/>
              </w:rPr>
            </w:pPr>
            <w:r>
              <w:rPr>
                <w:rFonts w:ascii="Arial" w:cs="Arial" w:eastAsia="Arial" w:hAnsi="Arial"/>
                <w:sz w:val="17"/>
                <w:szCs w:val="17"/>
                <w:color w:val="auto"/>
              </w:rPr>
              <w:t>$4,436,204.00</w:t>
            </w:r>
          </w:p>
        </w:tc>
        <w:tc>
          <w:tcPr>
            <w:tcW w:w="0" w:type="dxa"/>
            <w:vAlign w:val="bottom"/>
          </w:tcPr>
          <w:p>
            <w:pPr>
              <w:spacing w:after="0"/>
              <w:rPr>
                <w:sz w:val="1"/>
                <w:szCs w:val="1"/>
                <w:color w:val="auto"/>
              </w:rPr>
            </w:pPr>
          </w:p>
        </w:tc>
      </w:tr>
      <w:tr>
        <w:trPr>
          <w:trHeight w:val="121"/>
        </w:trPr>
        <w:tc>
          <w:tcPr>
            <w:tcW w:w="10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shd w:val="clear" w:color="auto" w:fill="BEBEBE"/>
          </w:tcPr>
          <w:p>
            <w:pPr>
              <w:spacing w:after="0"/>
              <w:rPr>
                <w:sz w:val="10"/>
                <w:szCs w:val="10"/>
                <w:color w:val="auto"/>
              </w:rPr>
            </w:pPr>
          </w:p>
        </w:tc>
        <w:tc>
          <w:tcPr>
            <w:tcW w:w="278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right"/>
              <w:ind w:right="776"/>
              <w:spacing w:after="0"/>
              <w:rPr>
                <w:sz w:val="20"/>
                <w:szCs w:val="20"/>
                <w:color w:val="auto"/>
              </w:rPr>
            </w:pPr>
            <w:r>
              <w:rPr>
                <w:rFonts w:ascii="Arial" w:cs="Arial" w:eastAsia="Arial" w:hAnsi="Arial"/>
                <w:sz w:val="17"/>
                <w:szCs w:val="17"/>
                <w:color w:val="auto"/>
              </w:rPr>
              <w:t>2022</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shd w:val="clear" w:color="auto" w:fill="BEBEBE"/>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0"/>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shd w:val="clear" w:color="auto" w:fill="BEBEBE"/>
          </w:tcPr>
          <w:p>
            <w:pPr>
              <w:spacing w:after="0"/>
              <w:rPr>
                <w:sz w:val="20"/>
                <w:szCs w:val="20"/>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ind w:left="200"/>
              <w:spacing w:after="0"/>
              <w:rPr>
                <w:sz w:val="20"/>
                <w:szCs w:val="20"/>
                <w:color w:val="auto"/>
              </w:rPr>
            </w:pPr>
            <w:r>
              <w:rPr>
                <w:rFonts w:ascii="Arial" w:cs="Arial" w:eastAsia="Arial" w:hAnsi="Arial"/>
                <w:sz w:val="17"/>
                <w:szCs w:val="17"/>
                <w:color w:val="auto"/>
              </w:rPr>
              <w:t>September 2023</w:t>
            </w:r>
          </w:p>
        </w:tc>
        <w:tc>
          <w:tcPr>
            <w:tcW w:w="1920" w:type="dxa"/>
            <w:vAlign w:val="bottom"/>
            <w:tcBorders>
              <w:right w:val="single" w:sz="8" w:color="auto"/>
            </w:tcBorders>
            <w:vMerge w:val="restart"/>
          </w:tcPr>
          <w:p>
            <w:pPr>
              <w:jc w:val="right"/>
              <w:ind w:right="436"/>
              <w:spacing w:after="0"/>
              <w:rPr>
                <w:sz w:val="20"/>
                <w:szCs w:val="20"/>
                <w:color w:val="auto"/>
              </w:rPr>
            </w:pPr>
            <w:r>
              <w:rPr>
                <w:rFonts w:ascii="Arial" w:cs="Arial" w:eastAsia="Arial" w:hAnsi="Arial"/>
                <w:sz w:val="17"/>
                <w:szCs w:val="17"/>
                <w:color w:val="auto"/>
              </w:rPr>
              <w:t>$4,500,000.00</w:t>
            </w:r>
          </w:p>
        </w:tc>
        <w:tc>
          <w:tcPr>
            <w:tcW w:w="0" w:type="dxa"/>
            <w:vAlign w:val="bottom"/>
          </w:tcPr>
          <w:p>
            <w:pPr>
              <w:spacing w:after="0"/>
              <w:rPr>
                <w:sz w:val="1"/>
                <w:szCs w:val="1"/>
                <w:color w:val="auto"/>
              </w:rPr>
            </w:pPr>
          </w:p>
        </w:tc>
      </w:tr>
      <w:tr>
        <w:trPr>
          <w:trHeight w:val="114"/>
        </w:trPr>
        <w:tc>
          <w:tcPr>
            <w:tcW w:w="1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shd w:val="clear" w:color="auto" w:fill="BEBEB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320" w:type="dxa"/>
            <w:vAlign w:val="bottom"/>
            <w:gridSpan w:val="2"/>
          </w:tcPr>
          <w:p>
            <w:pPr>
              <w:jc w:val="right"/>
              <w:ind w:right="456"/>
              <w:spacing w:after="0"/>
              <w:rPr>
                <w:sz w:val="20"/>
                <w:szCs w:val="20"/>
                <w:color w:val="auto"/>
              </w:rPr>
            </w:pPr>
            <w:r>
              <w:rPr>
                <w:rFonts w:ascii="Arial" w:cs="Arial" w:eastAsia="Arial" w:hAnsi="Arial"/>
                <w:sz w:val="15"/>
                <w:szCs w:val="15"/>
                <w:color w:val="auto"/>
                <w:w w:val="99"/>
              </w:rPr>
              <w:t>Investment ID INV-026060</w:t>
            </w:r>
          </w:p>
        </w:tc>
        <w:tc>
          <w:tcPr>
            <w:tcW w:w="2780" w:type="dxa"/>
            <w:vAlign w:val="bottom"/>
          </w:tcPr>
          <w:p>
            <w:pPr>
              <w:spacing w:after="0"/>
              <w:rPr>
                <w:sz w:val="24"/>
                <w:szCs w:val="24"/>
                <w:color w:val="auto"/>
              </w:rPr>
            </w:pPr>
          </w:p>
        </w:tc>
        <w:tc>
          <w:tcPr>
            <w:tcW w:w="2120" w:type="dxa"/>
            <w:vAlign w:val="bottom"/>
          </w:tcPr>
          <w:p>
            <w:pPr>
              <w:jc w:val="right"/>
              <w:ind w:right="1356"/>
              <w:spacing w:after="0"/>
              <w:rPr>
                <w:sz w:val="20"/>
                <w:szCs w:val="20"/>
                <w:color w:val="auto"/>
              </w:rPr>
            </w:pPr>
            <w:r>
              <w:rPr>
                <w:rFonts w:ascii="Arial" w:cs="Arial" w:eastAsia="Arial" w:hAnsi="Arial"/>
                <w:sz w:val="15"/>
                <w:szCs w:val="15"/>
                <w:color w:val="auto"/>
              </w:rPr>
              <w:t>2 of 5</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358"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65"/>
        </w:trPr>
        <w:tc>
          <w:tcPr>
            <w:tcW w:w="100" w:type="dxa"/>
            <w:vAlign w:val="bottom"/>
            <w:tcBorders>
              <w:right w:val="single" w:sz="8" w:color="auto"/>
            </w:tcBorders>
          </w:tcPr>
          <w:p>
            <w:pPr>
              <w:spacing w:after="0"/>
              <w:rPr>
                <w:sz w:val="23"/>
                <w:szCs w:val="23"/>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23"/>
                <w:szCs w:val="23"/>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rPr>
              <w:t>[***]</w:t>
            </w:r>
          </w:p>
        </w:tc>
        <w:tc>
          <w:tcPr>
            <w:tcW w:w="1920" w:type="dxa"/>
            <w:vAlign w:val="bottom"/>
            <w:tcBorders>
              <w:right w:val="single" w:sz="8" w:color="auto"/>
            </w:tcBorders>
            <w:vMerge w:val="restart"/>
          </w:tcPr>
          <w:p>
            <w:pPr>
              <w:jc w:val="right"/>
              <w:ind w:right="12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2"/>
        </w:trPr>
        <w:tc>
          <w:tcPr>
            <w:tcW w:w="10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shd w:val="clear" w:color="auto" w:fill="BEBEBE"/>
          </w:tcPr>
          <w:p>
            <w:pPr>
              <w:spacing w:after="0"/>
              <w:rPr>
                <w:sz w:val="6"/>
                <w:szCs w:val="6"/>
                <w:color w:val="auto"/>
              </w:rPr>
            </w:pPr>
          </w:p>
        </w:tc>
        <w:tc>
          <w:tcPr>
            <w:tcW w:w="2780" w:type="dxa"/>
            <w:vAlign w:val="bottom"/>
            <w:tcBorders>
              <w:right w:val="single" w:sz="8" w:color="auto"/>
            </w:tcBorders>
            <w:vMerge w:val="restart"/>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vMerge w:val="restart"/>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shd w:val="clear" w:color="auto" w:fill="BEBEBE"/>
          </w:tcPr>
          <w:p>
            <w:pPr>
              <w:spacing w:after="0"/>
              <w:rPr>
                <w:sz w:val="13"/>
                <w:szCs w:val="13"/>
                <w:color w:val="auto"/>
              </w:rPr>
            </w:pPr>
          </w:p>
        </w:tc>
        <w:tc>
          <w:tcPr>
            <w:tcW w:w="2780" w:type="dxa"/>
            <w:vAlign w:val="bottom"/>
            <w:tcBorders>
              <w:right w:val="single" w:sz="8" w:color="auto"/>
            </w:tcBorders>
            <w:vMerge w:val="continue"/>
          </w:tcPr>
          <w:p>
            <w:pPr>
              <w:spacing w:after="0"/>
              <w:rPr>
                <w:sz w:val="13"/>
                <w:szCs w:val="13"/>
                <w:color w:val="auto"/>
              </w:rPr>
            </w:pPr>
          </w:p>
        </w:tc>
        <w:tc>
          <w:tcPr>
            <w:tcW w:w="2120" w:type="dxa"/>
            <w:vAlign w:val="bottom"/>
            <w:tcBorders>
              <w:right w:val="single" w:sz="8" w:color="auto"/>
            </w:tcBorders>
            <w:vMerge w:val="continue"/>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bottom w:val="single" w:sz="8" w:color="BEBEBE"/>
              <w:right w:val="single" w:sz="8" w:color="auto"/>
            </w:tcBorders>
            <w:shd w:val="clear" w:color="auto" w:fill="BEBEBE"/>
          </w:tcPr>
          <w:p>
            <w:pPr>
              <w:spacing w:after="0"/>
              <w:rPr>
                <w:sz w:val="21"/>
                <w:szCs w:val="21"/>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BEBEBE"/>
              <w:right w:val="single" w:sz="8" w:color="auto"/>
            </w:tcBorders>
            <w:shd w:val="clear" w:color="auto" w:fill="BEBEBE"/>
          </w:tcPr>
          <w:p>
            <w:pPr>
              <w:spacing w:after="0"/>
              <w:rPr>
                <w:sz w:val="21"/>
                <w:szCs w:val="21"/>
                <w:color w:val="auto"/>
              </w:rPr>
            </w:pPr>
          </w:p>
        </w:tc>
        <w:tc>
          <w:tcPr>
            <w:tcW w:w="1920" w:type="dxa"/>
            <w:vAlign w:val="bottom"/>
            <w:tcBorders>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shd w:val="clear" w:color="auto" w:fill="BEBEBE"/>
          </w:tcPr>
          <w:p>
            <w:pPr>
              <w:spacing w:after="0"/>
              <w:rPr>
                <w:sz w:val="19"/>
                <w:szCs w:val="19"/>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vMerge w:val="restart"/>
          </w:tcPr>
          <w:p>
            <w:pPr>
              <w:jc w:val="right"/>
              <w:ind w:right="1056"/>
              <w:spacing w:after="0"/>
              <w:rPr>
                <w:sz w:val="20"/>
                <w:szCs w:val="20"/>
                <w:color w:val="auto"/>
              </w:rPr>
            </w:pPr>
            <w:r>
              <w:rPr>
                <w:rFonts w:ascii="Arial" w:cs="Arial" w:eastAsia="Arial" w:hAnsi="Arial"/>
                <w:sz w:val="17"/>
                <w:szCs w:val="17"/>
                <w:color w:val="auto"/>
              </w:rPr>
              <w:t>[***]</w:t>
            </w:r>
          </w:p>
        </w:tc>
        <w:tc>
          <w:tcPr>
            <w:tcW w:w="1920" w:type="dxa"/>
            <w:vAlign w:val="bottom"/>
            <w:tcBorders>
              <w:right w:val="single" w:sz="8" w:color="auto"/>
            </w:tcBorders>
            <w:vMerge w:val="restart"/>
          </w:tcPr>
          <w:p>
            <w:pPr>
              <w:jc w:val="right"/>
              <w:ind w:right="12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vMerge w:val="continue"/>
          </w:tcPr>
          <w:p>
            <w:pPr>
              <w:spacing w:after="0"/>
              <w:rPr>
                <w:sz w:val="19"/>
                <w:szCs w:val="19"/>
                <w:color w:val="auto"/>
              </w:rPr>
            </w:pPr>
          </w:p>
        </w:tc>
        <w:tc>
          <w:tcPr>
            <w:tcW w:w="19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320" w:type="dxa"/>
            <w:vAlign w:val="bottom"/>
            <w:gridSpan w:val="2"/>
          </w:tcPr>
          <w:p>
            <w:pPr>
              <w:jc w:val="right"/>
              <w:ind w:right="456"/>
              <w:spacing w:after="0"/>
              <w:rPr>
                <w:sz w:val="20"/>
                <w:szCs w:val="20"/>
                <w:color w:val="auto"/>
              </w:rPr>
            </w:pPr>
            <w:r>
              <w:rPr>
                <w:rFonts w:ascii="Arial" w:cs="Arial" w:eastAsia="Arial" w:hAnsi="Arial"/>
                <w:sz w:val="15"/>
                <w:szCs w:val="15"/>
                <w:color w:val="auto"/>
                <w:w w:val="99"/>
              </w:rPr>
              <w:t>Investment ID INV-026060</w:t>
            </w:r>
          </w:p>
        </w:tc>
        <w:tc>
          <w:tcPr>
            <w:tcW w:w="2780" w:type="dxa"/>
            <w:vAlign w:val="bottom"/>
          </w:tcPr>
          <w:p>
            <w:pPr>
              <w:spacing w:after="0"/>
              <w:rPr>
                <w:sz w:val="24"/>
                <w:szCs w:val="24"/>
                <w:color w:val="auto"/>
              </w:rPr>
            </w:pPr>
          </w:p>
        </w:tc>
        <w:tc>
          <w:tcPr>
            <w:tcW w:w="2120" w:type="dxa"/>
            <w:vAlign w:val="bottom"/>
          </w:tcPr>
          <w:p>
            <w:pPr>
              <w:jc w:val="right"/>
              <w:ind w:right="1356"/>
              <w:spacing w:after="0"/>
              <w:rPr>
                <w:sz w:val="20"/>
                <w:szCs w:val="20"/>
                <w:color w:val="auto"/>
              </w:rPr>
            </w:pPr>
            <w:r>
              <w:rPr>
                <w:rFonts w:ascii="Arial" w:cs="Arial" w:eastAsia="Arial" w:hAnsi="Arial"/>
                <w:sz w:val="15"/>
                <w:szCs w:val="15"/>
                <w:color w:val="auto"/>
              </w:rPr>
              <w:t>3 of 5</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358" w:right="339" w:bottom="1440" w:gutter="0" w:footer="0" w:header="0"/>
        </w:sectPr>
      </w:pPr>
    </w:p>
    <w:bookmarkStart w:id="207" w:name="page208"/>
    <w:bookmarkEnd w:id="207"/>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21"/>
                <w:szCs w:val="21"/>
                <w:color w:val="auto"/>
              </w:rPr>
            </w:pP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rPr>
              <w:t>[***]</w:t>
            </w:r>
          </w:p>
        </w:tc>
        <w:tc>
          <w:tcPr>
            <w:tcW w:w="1920" w:type="dxa"/>
            <w:vAlign w:val="bottom"/>
            <w:tcBorders>
              <w:right w:val="single" w:sz="8" w:color="auto"/>
            </w:tcBorders>
            <w:vMerge w:val="restart"/>
          </w:tcPr>
          <w:p>
            <w:pPr>
              <w:jc w:val="right"/>
              <w:ind w:right="12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9"/>
        </w:trPr>
        <w:tc>
          <w:tcPr>
            <w:tcW w:w="1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shd w:val="clear" w:color="auto" w:fill="BEBEBE"/>
          </w:tcPr>
          <w:p>
            <w:pPr>
              <w:spacing w:after="0"/>
              <w:rPr>
                <w:sz w:val="5"/>
                <w:szCs w:val="5"/>
                <w:color w:val="auto"/>
              </w:rPr>
            </w:pPr>
          </w:p>
        </w:tc>
        <w:tc>
          <w:tcPr>
            <w:tcW w:w="2780" w:type="dxa"/>
            <w:vAlign w:val="bottom"/>
            <w:tcBorders>
              <w:right w:val="single" w:sz="8" w:color="auto"/>
            </w:tcBorders>
            <w:vMerge w:val="restart"/>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vMerge w:val="restart"/>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vMerge w:val="continue"/>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shd w:val="clear" w:color="auto" w:fill="BEBEBE"/>
          </w:tcPr>
          <w:p>
            <w:pPr>
              <w:spacing w:after="0"/>
              <w:rPr>
                <w:sz w:val="14"/>
                <w:szCs w:val="14"/>
                <w:color w:val="auto"/>
              </w:rPr>
            </w:pPr>
          </w:p>
        </w:tc>
        <w:tc>
          <w:tcPr>
            <w:tcW w:w="278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BEBEBE"/>
              <w:right w:val="single" w:sz="8" w:color="auto"/>
            </w:tcBorders>
            <w:shd w:val="clear" w:color="auto" w:fill="BEBEBE"/>
          </w:tcPr>
          <w:p>
            <w:pPr>
              <w:spacing w:after="0"/>
              <w:rPr>
                <w:sz w:val="21"/>
                <w:szCs w:val="21"/>
                <w:color w:val="auto"/>
              </w:rPr>
            </w:pPr>
          </w:p>
        </w:tc>
        <w:tc>
          <w:tcPr>
            <w:tcW w:w="1920" w:type="dxa"/>
            <w:vAlign w:val="bottom"/>
            <w:tcBorders>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right w:val="single" w:sz="8" w:color="auto"/>
            </w:tcBorders>
            <w:shd w:val="clear" w:color="auto" w:fill="BEBEBE"/>
          </w:tcPr>
          <w:p>
            <w:pPr>
              <w:spacing w:after="0"/>
              <w:rPr>
                <w:sz w:val="19"/>
                <w:szCs w:val="19"/>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shd w:val="clear" w:color="auto" w:fill="BEBEBE"/>
          </w:tcPr>
          <w:p>
            <w:pPr>
              <w:spacing w:after="0"/>
              <w:rPr>
                <w:sz w:val="19"/>
                <w:szCs w:val="19"/>
                <w:color w:val="auto"/>
              </w:rPr>
            </w:pP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vMerge w:val="restart"/>
          </w:tcPr>
          <w:p>
            <w:pPr>
              <w:jc w:val="right"/>
              <w:ind w:right="1036"/>
              <w:spacing w:after="0"/>
              <w:rPr>
                <w:sz w:val="20"/>
                <w:szCs w:val="20"/>
                <w:color w:val="auto"/>
              </w:rPr>
            </w:pPr>
            <w:r>
              <w:rPr>
                <w:rFonts w:ascii="Arial" w:cs="Arial" w:eastAsia="Arial" w:hAnsi="Arial"/>
                <w:sz w:val="17"/>
                <w:szCs w:val="17"/>
                <w:color w:val="auto"/>
              </w:rPr>
              <w:t>[***]</w:t>
            </w:r>
          </w:p>
        </w:tc>
        <w:tc>
          <w:tcPr>
            <w:tcW w:w="1920" w:type="dxa"/>
            <w:vAlign w:val="bottom"/>
            <w:tcBorders>
              <w:right w:val="single" w:sz="8" w:color="auto"/>
            </w:tcBorders>
            <w:vMerge w:val="restart"/>
          </w:tcPr>
          <w:p>
            <w:pPr>
              <w:jc w:val="right"/>
              <w:ind w:right="12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9"/>
        </w:trPr>
        <w:tc>
          <w:tcPr>
            <w:tcW w:w="1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shd w:val="clear" w:color="auto" w:fill="BEBEBE"/>
          </w:tcPr>
          <w:p>
            <w:pPr>
              <w:spacing w:after="0"/>
              <w:rPr>
                <w:sz w:val="5"/>
                <w:szCs w:val="5"/>
                <w:color w:val="auto"/>
              </w:rPr>
            </w:pPr>
          </w:p>
        </w:tc>
        <w:tc>
          <w:tcPr>
            <w:tcW w:w="2780" w:type="dxa"/>
            <w:vAlign w:val="bottom"/>
            <w:tcBorders>
              <w:right w:val="single" w:sz="8" w:color="auto"/>
            </w:tcBorders>
            <w:vMerge w:val="restart"/>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vMerge w:val="restart"/>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vMerge w:val="continue"/>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shd w:val="clear" w:color="auto" w:fill="BEBEBE"/>
          </w:tcPr>
          <w:p>
            <w:pPr>
              <w:spacing w:after="0"/>
              <w:rPr>
                <w:sz w:val="14"/>
                <w:szCs w:val="14"/>
                <w:color w:val="auto"/>
              </w:rPr>
            </w:pPr>
          </w:p>
        </w:tc>
        <w:tc>
          <w:tcPr>
            <w:tcW w:w="278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shd w:val="clear" w:color="auto" w:fill="BEBEBE"/>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right"/>
              <w:ind w:right="1776"/>
              <w:spacing w:after="0"/>
              <w:rPr>
                <w:sz w:val="20"/>
                <w:szCs w:val="20"/>
                <w:color w:val="auto"/>
              </w:rPr>
            </w:pPr>
            <w:r>
              <w:rPr>
                <w:rFonts w:ascii="Arial" w:cs="Arial" w:eastAsia="Arial" w:hAnsi="Arial"/>
                <w:sz w:val="17"/>
                <w:szCs w:val="17"/>
                <w:color w:val="auto"/>
              </w:rPr>
              <w:t>[***]</w:t>
            </w:r>
          </w:p>
        </w:tc>
        <w:tc>
          <w:tcPr>
            <w:tcW w:w="2780" w:type="dxa"/>
            <w:vAlign w:val="bottom"/>
            <w:tcBorders>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BEBEBE"/>
              <w:right w:val="single" w:sz="8" w:color="auto"/>
            </w:tcBorders>
            <w:shd w:val="clear" w:color="auto" w:fill="BEBEBE"/>
          </w:tcPr>
          <w:p>
            <w:pPr>
              <w:spacing w:after="0"/>
              <w:rPr>
                <w:sz w:val="21"/>
                <w:szCs w:val="21"/>
                <w:color w:val="auto"/>
              </w:rPr>
            </w:pPr>
          </w:p>
        </w:tc>
        <w:tc>
          <w:tcPr>
            <w:tcW w:w="1920" w:type="dxa"/>
            <w:vAlign w:val="bottom"/>
            <w:tcBorders>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0" w:type="dxa"/>
            <w:vAlign w:val="bottom"/>
            <w:tcBorders>
              <w:right w:val="single" w:sz="8" w:color="auto"/>
            </w:tcBorders>
          </w:tcPr>
          <w:p>
            <w:pPr>
              <w:spacing w:after="0"/>
              <w:rPr>
                <w:sz w:val="19"/>
                <w:szCs w:val="19"/>
                <w:color w:val="auto"/>
              </w:rPr>
            </w:pPr>
          </w:p>
        </w:tc>
        <w:tc>
          <w:tcPr>
            <w:tcW w:w="2220" w:type="dxa"/>
            <w:vAlign w:val="bottom"/>
            <w:tcBorders>
              <w:top w:val="single" w:sz="8" w:color="auto"/>
              <w:bottom w:val="single" w:sz="8" w:color="BEBEBE"/>
              <w:right w:val="single" w:sz="8" w:color="auto"/>
            </w:tcBorders>
            <w:shd w:val="clear" w:color="auto" w:fill="BEBEBE"/>
          </w:tcPr>
          <w:p>
            <w:pPr>
              <w:spacing w:after="0"/>
              <w:rPr>
                <w:sz w:val="19"/>
                <w:szCs w:val="19"/>
                <w:color w:val="auto"/>
              </w:rPr>
            </w:pPr>
          </w:p>
        </w:tc>
        <w:tc>
          <w:tcPr>
            <w:tcW w:w="2780" w:type="dxa"/>
            <w:vAlign w:val="bottom"/>
            <w:tcBorders>
              <w:top w:val="single" w:sz="8" w:color="auto"/>
              <w:right w:val="single" w:sz="8" w:color="auto"/>
            </w:tcBorders>
          </w:tcPr>
          <w:p>
            <w:pPr>
              <w:jc w:val="right"/>
              <w:ind w:right="2356"/>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19"/>
                <w:szCs w:val="19"/>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2320" w:type="dxa"/>
            <w:vAlign w:val="bottom"/>
            <w:gridSpan w:val="2"/>
          </w:tcPr>
          <w:p>
            <w:pPr>
              <w:jc w:val="right"/>
              <w:ind w:right="456"/>
              <w:spacing w:after="0"/>
              <w:rPr>
                <w:sz w:val="20"/>
                <w:szCs w:val="20"/>
                <w:color w:val="auto"/>
              </w:rPr>
            </w:pPr>
            <w:r>
              <w:rPr>
                <w:rFonts w:ascii="Arial" w:cs="Arial" w:eastAsia="Arial" w:hAnsi="Arial"/>
                <w:sz w:val="15"/>
                <w:szCs w:val="15"/>
                <w:color w:val="auto"/>
                <w:w w:val="99"/>
              </w:rPr>
              <w:t>Investment ID INV-026060</w:t>
            </w:r>
          </w:p>
        </w:tc>
        <w:tc>
          <w:tcPr>
            <w:tcW w:w="2780" w:type="dxa"/>
            <w:vAlign w:val="bottom"/>
          </w:tcPr>
          <w:p>
            <w:pPr>
              <w:spacing w:after="0"/>
              <w:rPr>
                <w:sz w:val="24"/>
                <w:szCs w:val="24"/>
                <w:color w:val="auto"/>
              </w:rPr>
            </w:pPr>
          </w:p>
        </w:tc>
        <w:tc>
          <w:tcPr>
            <w:tcW w:w="3780" w:type="dxa"/>
            <w:vAlign w:val="bottom"/>
            <w:gridSpan w:val="2"/>
          </w:tcPr>
          <w:p>
            <w:pPr>
              <w:jc w:val="right"/>
              <w:ind w:right="3016"/>
              <w:spacing w:after="0"/>
              <w:rPr>
                <w:sz w:val="20"/>
                <w:szCs w:val="20"/>
                <w:color w:val="auto"/>
              </w:rPr>
            </w:pPr>
            <w:r>
              <w:rPr>
                <w:rFonts w:ascii="Arial" w:cs="Arial" w:eastAsia="Arial" w:hAnsi="Arial"/>
                <w:sz w:val="15"/>
                <w:szCs w:val="15"/>
                <w:color w:val="auto"/>
              </w:rPr>
              <w:t>4 of 5</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440" w:right="339" w:bottom="1440" w:gutter="0" w:footer="0" w:header="0"/>
        </w:sectPr>
      </w:pPr>
    </w:p>
    <w:bookmarkStart w:id="208" w:name="page209"/>
    <w:bookmarkEnd w:id="208"/>
    <w:p>
      <w:pPr>
        <w:spacing w:after="0" w:line="146" w:lineRule="exact"/>
        <w:rPr>
          <w:sz w:val="20"/>
          <w:szCs w:val="20"/>
          <w:color w:val="auto"/>
        </w:rPr>
      </w:pPr>
    </w:p>
    <w:tbl>
      <w:tblPr>
        <w:tblLayout w:type="fixed"/>
        <w:tblInd w:w="90" w:type="dxa"/>
        <w:tblCellMar>
          <w:top w:w="0" w:type="dxa"/>
          <w:left w:w="0" w:type="dxa"/>
          <w:bottom w:w="0" w:type="dxa"/>
          <w:right w:w="0" w:type="dxa"/>
        </w:tblCellMar>
      </w:tblPr>
      <w:tr>
        <w:trPr>
          <w:trHeight w:val="265"/>
        </w:trPr>
        <w:tc>
          <w:tcPr>
            <w:tcW w:w="2240" w:type="dxa"/>
            <w:vAlign w:val="bottom"/>
            <w:tcBorders>
              <w:top w:val="single" w:sz="8" w:color="auto"/>
              <w:left w:val="single" w:sz="8" w:color="auto"/>
              <w:bottom w:val="single" w:sz="8" w:color="BEBEBE"/>
              <w:right w:val="single" w:sz="8" w:color="auto"/>
            </w:tcBorders>
            <w:shd w:val="clear" w:color="auto" w:fill="BEBEBE"/>
          </w:tcPr>
          <w:p>
            <w:pPr>
              <w:spacing w:after="0"/>
              <w:rPr>
                <w:sz w:val="23"/>
                <w:szCs w:val="23"/>
                <w:color w:val="auto"/>
              </w:rPr>
            </w:pPr>
          </w:p>
        </w:tc>
        <w:tc>
          <w:tcPr>
            <w:tcW w:w="126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3"/>
                <w:szCs w:val="23"/>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240" w:type="dxa"/>
            <w:vAlign w:val="bottom"/>
            <w:tcBorders>
              <w:top w:val="single" w:sz="8" w:color="auto"/>
              <w:left w:val="single" w:sz="8" w:color="auto"/>
              <w:bottom w:val="single" w:sz="8" w:color="BEBEBE"/>
              <w:right w:val="single" w:sz="8" w:color="auto"/>
            </w:tcBorders>
            <w:shd w:val="clear" w:color="auto" w:fill="BEBEBE"/>
          </w:tcPr>
          <w:p>
            <w:pPr>
              <w:spacing w:after="0"/>
              <w:rPr>
                <w:sz w:val="21"/>
                <w:szCs w:val="21"/>
                <w:color w:val="auto"/>
              </w:rPr>
            </w:pPr>
          </w:p>
        </w:tc>
        <w:tc>
          <w:tcPr>
            <w:tcW w:w="126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left w:val="single" w:sz="8" w:color="auto"/>
              <w:right w:val="single" w:sz="8" w:color="auto"/>
            </w:tcBorders>
            <w:shd w:val="clear" w:color="auto" w:fill="BEBEBE"/>
          </w:tcPr>
          <w:p>
            <w:pPr>
              <w:spacing w:after="0"/>
              <w:rPr>
                <w:sz w:val="19"/>
                <w:szCs w:val="19"/>
                <w:color w:val="auto"/>
              </w:rPr>
            </w:pPr>
          </w:p>
        </w:tc>
        <w:tc>
          <w:tcPr>
            <w:tcW w:w="1260" w:type="dxa"/>
            <w:vAlign w:val="bottom"/>
            <w:tcBorders>
              <w:top w:val="single" w:sz="8" w:color="auto"/>
            </w:tcBorders>
            <w:vMerge w:val="restart"/>
          </w:tcPr>
          <w:p>
            <w:pPr>
              <w:jc w:val="right"/>
              <w:ind w:right="8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shd w:val="clear" w:color="auto" w:fill="BEBEBE"/>
          </w:tcPr>
          <w:p>
            <w:pPr>
              <w:spacing w:after="0"/>
              <w:rPr>
                <w:sz w:val="19"/>
                <w:szCs w:val="19"/>
                <w:color w:val="auto"/>
              </w:rPr>
            </w:pPr>
          </w:p>
        </w:tc>
        <w:tc>
          <w:tcPr>
            <w:tcW w:w="1920" w:type="dxa"/>
            <w:vAlign w:val="bottom"/>
            <w:tcBorders>
              <w:top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40" w:type="dxa"/>
            <w:vAlign w:val="bottom"/>
            <w:tcBorders>
              <w:left w:val="single" w:sz="8" w:color="auto"/>
              <w:bottom w:val="single" w:sz="8" w:color="BEBEBE"/>
              <w:right w:val="single" w:sz="8" w:color="auto"/>
            </w:tcBorders>
            <w:shd w:val="clear" w:color="auto" w:fill="BEBEBE"/>
          </w:tcPr>
          <w:p>
            <w:pPr>
              <w:spacing w:after="0"/>
              <w:rPr>
                <w:sz w:val="16"/>
                <w:szCs w:val="16"/>
                <w:color w:val="auto"/>
              </w:rPr>
            </w:pPr>
          </w:p>
        </w:tc>
        <w:tc>
          <w:tcPr>
            <w:tcW w:w="1260" w:type="dxa"/>
            <w:vAlign w:val="bottom"/>
            <w:vMerge w:val="continue"/>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660" w:type="dxa"/>
            <w:vAlign w:val="bottom"/>
            <w:tcBorders>
              <w:bottom w:val="single" w:sz="8" w:color="BEBEBE"/>
              <w:right w:val="single" w:sz="8" w:color="auto"/>
            </w:tcBorders>
            <w:shd w:val="clear" w:color="auto" w:fill="BEBEBE"/>
          </w:tcPr>
          <w:p>
            <w:pPr>
              <w:spacing w:after="0"/>
              <w:rPr>
                <w:sz w:val="16"/>
                <w:szCs w:val="16"/>
                <w:color w:val="auto"/>
              </w:rPr>
            </w:pPr>
          </w:p>
        </w:tc>
        <w:tc>
          <w:tcPr>
            <w:tcW w:w="1920" w:type="dxa"/>
            <w:vAlign w:val="bottom"/>
            <w:tcBorders>
              <w:bottom w:val="single" w:sz="8" w:color="BEBEBE"/>
              <w:right w:val="single" w:sz="8" w:color="auto"/>
            </w:tcBorders>
            <w:shd w:val="clear" w:color="auto" w:fill="BEBEB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40" w:type="dxa"/>
            <w:vAlign w:val="bottom"/>
            <w:tcBorders>
              <w:top w:val="single" w:sz="8" w:color="auto"/>
              <w:left w:val="single" w:sz="8" w:color="auto"/>
              <w:bottom w:val="single" w:sz="8" w:color="BEBEBE"/>
              <w:right w:val="single" w:sz="8" w:color="auto"/>
            </w:tcBorders>
            <w:shd w:val="clear" w:color="auto" w:fill="BEBEBE"/>
          </w:tcPr>
          <w:p>
            <w:pPr>
              <w:spacing w:after="0"/>
              <w:rPr>
                <w:sz w:val="21"/>
                <w:szCs w:val="21"/>
                <w:color w:val="auto"/>
              </w:rPr>
            </w:pPr>
          </w:p>
        </w:tc>
        <w:tc>
          <w:tcPr>
            <w:tcW w:w="126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1920" w:type="dxa"/>
            <w:vAlign w:val="bottom"/>
            <w:tcBorders>
              <w:top w:val="single" w:sz="8" w:color="auto"/>
              <w:bottom w:val="single" w:sz="8" w:color="BEBEBE"/>
              <w:right w:val="single" w:sz="8" w:color="auto"/>
            </w:tcBorders>
            <w:shd w:val="clear" w:color="auto" w:fill="BEBEB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left w:val="single" w:sz="8" w:color="auto"/>
              <w:right w:val="single" w:sz="8" w:color="auto"/>
            </w:tcBorders>
            <w:vMerge w:val="restart"/>
          </w:tcPr>
          <w:p>
            <w:pPr>
              <w:jc w:val="right"/>
              <w:ind w:right="177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right w:val="single" w:sz="8" w:color="auto"/>
            </w:tcBorders>
            <w:shd w:val="clear" w:color="auto" w:fill="BEBEBE"/>
          </w:tcPr>
          <w:p>
            <w:pPr>
              <w:spacing w:after="0"/>
              <w:rPr>
                <w:sz w:val="19"/>
                <w:szCs w:val="19"/>
                <w:color w:val="auto"/>
              </w:rPr>
            </w:pPr>
          </w:p>
        </w:tc>
        <w:tc>
          <w:tcPr>
            <w:tcW w:w="1920" w:type="dxa"/>
            <w:vAlign w:val="bottom"/>
            <w:tcBorders>
              <w:top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4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660" w:type="dxa"/>
            <w:vAlign w:val="bottom"/>
            <w:tcBorders>
              <w:bottom w:val="single" w:sz="8" w:color="BEBEBE"/>
              <w:right w:val="single" w:sz="8" w:color="auto"/>
            </w:tcBorders>
            <w:shd w:val="clear" w:color="auto" w:fill="BEBEBE"/>
          </w:tcPr>
          <w:p>
            <w:pPr>
              <w:spacing w:after="0"/>
              <w:rPr>
                <w:sz w:val="16"/>
                <w:szCs w:val="16"/>
                <w:color w:val="auto"/>
              </w:rPr>
            </w:pPr>
          </w:p>
        </w:tc>
        <w:tc>
          <w:tcPr>
            <w:tcW w:w="1920" w:type="dxa"/>
            <w:vAlign w:val="bottom"/>
            <w:tcBorders>
              <w:bottom w:val="single" w:sz="8" w:color="BEBEBE"/>
              <w:right w:val="single" w:sz="8" w:color="auto"/>
            </w:tcBorders>
            <w:shd w:val="clear" w:color="auto" w:fill="BEBEB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40" w:type="dxa"/>
            <w:vAlign w:val="bottom"/>
            <w:tcBorders>
              <w:top w:val="single" w:sz="8" w:color="auto"/>
              <w:left w:val="single" w:sz="8" w:color="auto"/>
              <w:bottom w:val="single" w:sz="8" w:color="auto"/>
              <w:right w:val="single" w:sz="8" w:color="C0C0C0"/>
            </w:tcBorders>
            <w:shd w:val="clear" w:color="auto" w:fill="C0C0C0"/>
          </w:tcPr>
          <w:p>
            <w:pPr>
              <w:spacing w:after="0"/>
              <w:rPr>
                <w:sz w:val="19"/>
                <w:szCs w:val="19"/>
                <w:color w:val="auto"/>
              </w:rPr>
            </w:pPr>
          </w:p>
        </w:tc>
        <w:tc>
          <w:tcPr>
            <w:tcW w:w="1260" w:type="dxa"/>
            <w:vAlign w:val="bottom"/>
            <w:tcBorders>
              <w:top w:val="single" w:sz="8" w:color="auto"/>
              <w:bottom w:val="single" w:sz="8" w:color="auto"/>
            </w:tcBorders>
            <w:shd w:val="clear" w:color="auto" w:fill="C0C0C0"/>
          </w:tcPr>
          <w:p>
            <w:pPr>
              <w:spacing w:after="0"/>
              <w:rPr>
                <w:sz w:val="19"/>
                <w:szCs w:val="19"/>
                <w:color w:val="auto"/>
              </w:rPr>
            </w:pPr>
          </w:p>
        </w:tc>
        <w:tc>
          <w:tcPr>
            <w:tcW w:w="3640" w:type="dxa"/>
            <w:vAlign w:val="bottom"/>
            <w:tcBorders>
              <w:top w:val="single" w:sz="8" w:color="auto"/>
              <w:bottom w:val="single" w:sz="8" w:color="auto"/>
              <w:right w:val="single" w:sz="8" w:color="C0C0C0"/>
            </w:tcBorders>
            <w:gridSpan w:val="2"/>
            <w:shd w:val="clear" w:color="auto" w:fill="C0C0C0"/>
          </w:tcPr>
          <w:p>
            <w:pPr>
              <w:jc w:val="right"/>
              <w:ind w:right="276"/>
              <w:spacing w:after="0"/>
              <w:rPr>
                <w:sz w:val="20"/>
                <w:szCs w:val="20"/>
                <w:color w:val="auto"/>
              </w:rPr>
            </w:pPr>
            <w:r>
              <w:rPr>
                <w:rFonts w:ascii="Arial" w:cs="Arial" w:eastAsia="Arial" w:hAnsi="Arial"/>
                <w:sz w:val="17"/>
                <w:szCs w:val="17"/>
                <w:b w:val="1"/>
                <w:bCs w:val="1"/>
                <w:color w:val="auto"/>
              </w:rPr>
              <w:t>Amended Total Grant Amount</w:t>
            </w:r>
          </w:p>
        </w:tc>
        <w:tc>
          <w:tcPr>
            <w:tcW w:w="1660" w:type="dxa"/>
            <w:vAlign w:val="bottom"/>
            <w:tcBorders>
              <w:top w:val="single" w:sz="8" w:color="auto"/>
              <w:bottom w:val="single" w:sz="8" w:color="auto"/>
              <w:right w:val="single" w:sz="8" w:color="auto"/>
            </w:tcBorders>
            <w:shd w:val="clear" w:color="auto" w:fill="C0C0C0"/>
          </w:tcPr>
          <w:p>
            <w:pPr>
              <w:spacing w:after="0"/>
              <w:rPr>
                <w:sz w:val="19"/>
                <w:szCs w:val="19"/>
                <w:color w:val="auto"/>
              </w:rPr>
            </w:pPr>
          </w:p>
        </w:tc>
        <w:tc>
          <w:tcPr>
            <w:tcW w:w="1920" w:type="dxa"/>
            <w:vAlign w:val="bottom"/>
            <w:tcBorders>
              <w:top w:val="single" w:sz="8" w:color="auto"/>
              <w:bottom w:val="single" w:sz="8" w:color="auto"/>
              <w:right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$48,945,928.00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 provided in the Agreement, signatures are not required.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80" w:type="dxa"/>
            <w:vAlign w:val="bottom"/>
          </w:tcPr>
          <w:p>
            <w:pPr>
              <w:spacing w:after="0"/>
              <w:rPr>
                <w:sz w:val="20"/>
                <w:szCs w:val="20"/>
                <w:color w:val="auto"/>
              </w:rPr>
            </w:pPr>
            <w:r>
              <w:rPr>
                <w:rFonts w:ascii="Arial" w:cs="Arial" w:eastAsia="Arial" w:hAnsi="Arial"/>
                <w:sz w:val="15"/>
                <w:szCs w:val="15"/>
                <w:color w:val="auto"/>
              </w:rPr>
              <w:t>Investment ID INV-026060</w:t>
            </w:r>
          </w:p>
        </w:tc>
        <w:tc>
          <w:tcPr>
            <w:tcW w:w="2200" w:type="dxa"/>
            <w:vAlign w:val="bottom"/>
          </w:tcPr>
          <w:p>
            <w:pPr>
              <w:ind w:left="1820"/>
              <w:spacing w:after="0"/>
              <w:rPr>
                <w:sz w:val="20"/>
                <w:szCs w:val="20"/>
                <w:color w:val="auto"/>
              </w:rPr>
            </w:pPr>
            <w:r>
              <w:rPr>
                <w:rFonts w:ascii="Arial" w:cs="Arial" w:eastAsia="Arial" w:hAnsi="Arial"/>
                <w:sz w:val="15"/>
                <w:szCs w:val="15"/>
                <w:color w:val="auto"/>
                <w:w w:val="95"/>
              </w:rPr>
              <w:t>5 of 5</w:t>
            </w: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440" w:right="339" w:bottom="1440" w:gutter="0" w:footer="0" w:header="0"/>
        </w:sectPr>
      </w:pPr>
    </w:p>
    <w:bookmarkStart w:id="209" w:name="page210"/>
    <w:bookmarkEnd w:id="209"/>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520" w:type="dxa"/>
            <w:vAlign w:val="bottom"/>
            <w:gridSpan w:val="2"/>
          </w:tcPr>
          <w:p>
            <w:pPr>
              <w:jc w:val="center"/>
              <w:ind w:right="4000"/>
              <w:spacing w:after="0"/>
              <w:rPr>
                <w:sz w:val="20"/>
                <w:szCs w:val="20"/>
                <w:color w:val="auto"/>
              </w:rPr>
            </w:pPr>
            <w:r>
              <w:rPr>
                <w:rFonts w:ascii="Arial" w:cs="Arial" w:eastAsia="Arial" w:hAnsi="Arial"/>
                <w:sz w:val="17"/>
                <w:szCs w:val="17"/>
                <w:b w:val="1"/>
                <w:bCs w:val="1"/>
                <w:color w:val="auto"/>
                <w:w w:val="99"/>
              </w:rPr>
              <w:t>AMENDMENT 3</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520" w:type="dxa"/>
            <w:vAlign w:val="bottom"/>
            <w:gridSpan w:val="2"/>
          </w:tcPr>
          <w:p>
            <w:pPr>
              <w:jc w:val="center"/>
              <w:ind w:right="3980"/>
              <w:spacing w:after="0"/>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520" w:type="dxa"/>
            <w:vAlign w:val="bottom"/>
            <w:gridSpan w:val="2"/>
          </w:tcPr>
          <w:p>
            <w:pPr>
              <w:jc w:val="center"/>
              <w:ind w:right="4000"/>
              <w:spacing w:after="0"/>
              <w:rPr>
                <w:sz w:val="20"/>
                <w:szCs w:val="20"/>
                <w:color w:val="auto"/>
              </w:rPr>
            </w:pPr>
            <w:r>
              <w:rPr>
                <w:rFonts w:ascii="Arial" w:cs="Arial" w:eastAsia="Arial" w:hAnsi="Arial"/>
                <w:sz w:val="17"/>
                <w:szCs w:val="17"/>
                <w:b w:val="1"/>
                <w:bCs w:val="1"/>
                <w:color w:val="auto"/>
                <w:w w:val="98"/>
              </w:rPr>
              <w:t>GRANT AGREEMENT</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520" w:type="dxa"/>
            <w:vAlign w:val="bottom"/>
            <w:gridSpan w:val="2"/>
          </w:tcPr>
          <w:p>
            <w:pPr>
              <w:jc w:val="center"/>
              <w:ind w:right="398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63"/>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20" w:type="dxa"/>
            <w:vAlign w:val="bottom"/>
            <w:gridSpan w:val="2"/>
          </w:tcPr>
          <w:p>
            <w:pPr>
              <w:jc w:val="center"/>
              <w:ind w:right="400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45"/>
        </w:trPr>
        <w:tc>
          <w:tcPr>
            <w:tcW w:w="3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60" w:type="dxa"/>
            <w:vAlign w:val="bottom"/>
            <w:tcBorders>
              <w:left w:val="single" w:sz="8" w:color="auto"/>
              <w:bottom w:val="single" w:sz="8" w:color="auto"/>
              <w:right w:val="single" w:sz="8" w:color="BEBEBE"/>
            </w:tcBorders>
            <w:shd w:val="clear" w:color="auto" w:fill="BEBEBE"/>
          </w:tcPr>
          <w:p>
            <w:pPr>
              <w:ind w:left="80"/>
              <w:spacing w:after="0"/>
              <w:rPr>
                <w:sz w:val="20"/>
                <w:szCs w:val="20"/>
                <w:color w:val="auto"/>
              </w:rPr>
            </w:pPr>
            <w:r>
              <w:rPr>
                <w:rFonts w:ascii="Arial" w:cs="Arial" w:eastAsia="Arial" w:hAnsi="Arial"/>
                <w:sz w:val="17"/>
                <w:szCs w:val="17"/>
                <w:b w:val="1"/>
                <w:bCs w:val="1"/>
                <w:color w:val="auto"/>
              </w:rPr>
              <w:t>AMENDMENT INFORMATION</w:t>
            </w:r>
          </w:p>
        </w:tc>
        <w:tc>
          <w:tcPr>
            <w:tcW w:w="1200" w:type="dxa"/>
            <w:vAlign w:val="bottom"/>
            <w:tcBorders>
              <w:bottom w:val="single" w:sz="8" w:color="auto"/>
            </w:tcBorders>
            <w:shd w:val="clear" w:color="auto" w:fill="BEBEBE"/>
          </w:tcPr>
          <w:p>
            <w:pPr>
              <w:spacing w:after="0"/>
              <w:rPr>
                <w:sz w:val="19"/>
                <w:szCs w:val="19"/>
                <w:color w:val="auto"/>
              </w:rPr>
            </w:pPr>
          </w:p>
        </w:tc>
        <w:tc>
          <w:tcPr>
            <w:tcW w:w="2520" w:type="dxa"/>
            <w:vAlign w:val="bottom"/>
            <w:tcBorders>
              <w:bottom w:val="single" w:sz="8" w:color="auto"/>
            </w:tcBorders>
            <w:shd w:val="clear" w:color="auto" w:fill="BEBEBE"/>
          </w:tcPr>
          <w:p>
            <w:pPr>
              <w:spacing w:after="0"/>
              <w:rPr>
                <w:sz w:val="19"/>
                <w:szCs w:val="19"/>
                <w:color w:val="auto"/>
              </w:rPr>
            </w:pPr>
          </w:p>
        </w:tc>
        <w:tc>
          <w:tcPr>
            <w:tcW w:w="4000" w:type="dxa"/>
            <w:vAlign w:val="bottom"/>
            <w:tcBorders>
              <w:bottom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Agreement to be Amended:</w:t>
            </w:r>
          </w:p>
        </w:tc>
        <w:tc>
          <w:tcPr>
            <w:tcW w:w="772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Grant agreement between the Bill &amp; Melinda Gates Foundation and Dare Bioscience, Inc., effective</w:t>
            </w:r>
          </w:p>
        </w:tc>
        <w:tc>
          <w:tcPr>
            <w:tcW w:w="0" w:type="dxa"/>
            <w:vAlign w:val="bottom"/>
          </w:tcPr>
          <w:p>
            <w:pPr>
              <w:spacing w:after="0"/>
              <w:rPr>
                <w:sz w:val="1"/>
                <w:szCs w:val="1"/>
                <w:color w:val="auto"/>
              </w:rPr>
            </w:pPr>
          </w:p>
        </w:tc>
      </w:tr>
      <w:tr>
        <w:trPr>
          <w:trHeight w:val="222"/>
        </w:trPr>
        <w:tc>
          <w:tcPr>
            <w:tcW w:w="3160" w:type="dxa"/>
            <w:vAlign w:val="bottom"/>
            <w:tcBorders>
              <w:left w:val="single" w:sz="8" w:color="auto"/>
              <w:right w:val="single" w:sz="8" w:color="auto"/>
            </w:tcBorders>
            <w:vMerge w:val="continue"/>
          </w:tcPr>
          <w:p>
            <w:pPr>
              <w:spacing w:after="0"/>
              <w:rPr>
                <w:sz w:val="19"/>
                <w:szCs w:val="19"/>
                <w:color w:val="auto"/>
              </w:rPr>
            </w:pPr>
          </w:p>
        </w:tc>
        <w:tc>
          <w:tcPr>
            <w:tcW w:w="772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June 30, 2021, as amended, and bearing Investment ID INV-026060</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72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Amendment Purpose:</w:t>
            </w:r>
          </w:p>
        </w:tc>
        <w:tc>
          <w:tcPr>
            <w:tcW w:w="77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Payment &amp; Reporting Schedule Change</w:t>
            </w:r>
          </w:p>
        </w:tc>
        <w:tc>
          <w:tcPr>
            <w:tcW w:w="0" w:type="dxa"/>
            <w:vAlign w:val="bottom"/>
          </w:tcPr>
          <w:p>
            <w:pPr>
              <w:spacing w:after="0"/>
              <w:rPr>
                <w:sz w:val="1"/>
                <w:szCs w:val="1"/>
                <w:color w:val="auto"/>
              </w:rPr>
            </w:pPr>
          </w:p>
        </w:tc>
      </w:tr>
      <w:tr>
        <w:trPr>
          <w:trHeight w:val="220"/>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“Amendment Date”:</w:t>
            </w:r>
          </w:p>
        </w:tc>
        <w:tc>
          <w:tcPr>
            <w:tcW w:w="77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Date of this email</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5200" w:type="dxa"/>
            <w:vAlign w:val="bottom"/>
            <w:tcBorders>
              <w:top w:val="single" w:sz="8" w:color="auto"/>
              <w:left w:val="single" w:sz="8" w:color="auto"/>
              <w:bottom w:val="single" w:sz="8" w:color="auto"/>
            </w:tcBorders>
            <w:gridSpan w:val="2"/>
            <w:shd w:val="clear" w:color="auto" w:fill="C0C0C0"/>
          </w:tcPr>
          <w:p>
            <w:pPr>
              <w:ind w:left="40"/>
              <w:spacing w:after="0"/>
              <w:rPr>
                <w:sz w:val="20"/>
                <w:szCs w:val="20"/>
                <w:color w:val="auto"/>
              </w:rPr>
            </w:pPr>
            <w:r>
              <w:rPr>
                <w:rFonts w:ascii="Arial" w:cs="Arial" w:eastAsia="Arial" w:hAnsi="Arial"/>
                <w:sz w:val="17"/>
                <w:szCs w:val="17"/>
                <w:b w:val="1"/>
                <w:bCs w:val="1"/>
                <w:color w:val="auto"/>
              </w:rPr>
              <w:t>REPORTING &amp; PAYMENT SCHEDULE</w:t>
            </w:r>
          </w:p>
        </w:tc>
        <w:tc>
          <w:tcPr>
            <w:tcW w:w="24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194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174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1560" w:type="dxa"/>
            <w:vAlign w:val="bottom"/>
            <w:tcBorders>
              <w:top w:val="single" w:sz="8" w:color="auto"/>
              <w:bottom w:val="single" w:sz="8" w:color="auto"/>
              <w:right w:val="single" w:sz="8" w:color="auto"/>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vMerge w:val="restart"/>
          </w:tcPr>
          <w:p>
            <w:pPr>
              <w:jc w:val="right"/>
              <w:ind w:right="697"/>
              <w:spacing w:after="0"/>
              <w:rPr>
                <w:sz w:val="20"/>
                <w:szCs w:val="20"/>
                <w:color w:val="auto"/>
              </w:rPr>
            </w:pPr>
            <w:r>
              <w:rPr>
                <w:rFonts w:ascii="Arial" w:cs="Arial" w:eastAsia="Arial" w:hAnsi="Arial"/>
                <w:sz w:val="17"/>
                <w:szCs w:val="17"/>
                <w:i w:val="1"/>
                <w:iCs w:val="1"/>
                <w:color w:val="auto"/>
              </w:rPr>
              <w:t>Investment Period</w:t>
            </w:r>
          </w:p>
        </w:tc>
        <w:tc>
          <w:tcPr>
            <w:tcW w:w="2920" w:type="dxa"/>
            <w:vAlign w:val="bottom"/>
          </w:tcPr>
          <w:p>
            <w:pPr>
              <w:ind w:left="400"/>
              <w:spacing w:after="0"/>
              <w:rPr>
                <w:sz w:val="20"/>
                <w:szCs w:val="20"/>
                <w:color w:val="auto"/>
              </w:rPr>
            </w:pPr>
            <w:r>
              <w:rPr>
                <w:rFonts w:ascii="Arial" w:cs="Arial" w:eastAsia="Arial" w:hAnsi="Arial"/>
                <w:sz w:val="17"/>
                <w:szCs w:val="17"/>
                <w:i w:val="1"/>
                <w:iCs w:val="1"/>
                <w:color w:val="auto"/>
              </w:rPr>
              <w:t>Target, Milestone, or Reporting</w:t>
            </w:r>
          </w:p>
        </w:tc>
        <w:tc>
          <w:tcPr>
            <w:tcW w:w="2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ind w:left="680"/>
              <w:spacing w:after="0"/>
              <w:rPr>
                <w:sz w:val="20"/>
                <w:szCs w:val="20"/>
                <w:color w:val="auto"/>
              </w:rPr>
            </w:pPr>
            <w:r>
              <w:rPr>
                <w:rFonts w:ascii="Arial" w:cs="Arial" w:eastAsia="Arial" w:hAnsi="Arial"/>
                <w:sz w:val="17"/>
                <w:szCs w:val="17"/>
                <w:i w:val="1"/>
                <w:iCs w:val="1"/>
                <w:color w:val="auto"/>
              </w:rPr>
              <w:t>Due By</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i w:val="1"/>
                <w:iCs w:val="1"/>
                <w:color w:val="auto"/>
                <w:w w:val="98"/>
              </w:rPr>
              <w:t>Payment Date</w:t>
            </w:r>
          </w:p>
        </w:tc>
        <w:tc>
          <w:tcPr>
            <w:tcW w:w="200" w:type="dxa"/>
            <w:vAlign w:val="bottom"/>
          </w:tcPr>
          <w:p>
            <w:pPr>
              <w:spacing w:after="0"/>
              <w:rPr>
                <w:sz w:val="18"/>
                <w:szCs w:val="18"/>
                <w:color w:val="auto"/>
              </w:rPr>
            </w:pPr>
          </w:p>
        </w:tc>
        <w:tc>
          <w:tcPr>
            <w:tcW w:w="1560" w:type="dxa"/>
            <w:vAlign w:val="bottom"/>
            <w:tcBorders>
              <w:right w:val="single" w:sz="8" w:color="auto"/>
            </w:tcBorders>
          </w:tcPr>
          <w:p>
            <w:pPr>
              <w:jc w:val="right"/>
              <w:ind w:right="76"/>
              <w:spacing w:after="0"/>
              <w:rPr>
                <w:sz w:val="20"/>
                <w:szCs w:val="20"/>
                <w:color w:val="auto"/>
              </w:rPr>
            </w:pPr>
            <w:r>
              <w:rPr>
                <w:rFonts w:ascii="Arial" w:cs="Arial" w:eastAsia="Arial" w:hAnsi="Arial"/>
                <w:sz w:val="17"/>
                <w:szCs w:val="17"/>
                <w:i w:val="1"/>
                <w:iCs w:val="1"/>
                <w:color w:val="auto"/>
              </w:rPr>
              <w:t>Payment Amount</w:t>
            </w:r>
          </w:p>
        </w:tc>
        <w:tc>
          <w:tcPr>
            <w:tcW w:w="0" w:type="dxa"/>
            <w:vAlign w:val="bottom"/>
          </w:tcPr>
          <w:p>
            <w:pPr>
              <w:spacing w:after="0"/>
              <w:rPr>
                <w:sz w:val="1"/>
                <w:szCs w:val="1"/>
                <w:color w:val="auto"/>
              </w:rPr>
            </w:pPr>
          </w:p>
        </w:tc>
      </w:tr>
      <w:tr>
        <w:trPr>
          <w:trHeight w:val="119"/>
        </w:trPr>
        <w:tc>
          <w:tcPr>
            <w:tcW w:w="228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Deliverable</w:t>
            </w:r>
          </w:p>
        </w:tc>
        <w:tc>
          <w:tcPr>
            <w:tcW w:w="2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gridSpan w:val="2"/>
            <w:vMerge w:val="restart"/>
          </w:tcPr>
          <w:p>
            <w:pPr>
              <w:jc w:val="right"/>
              <w:ind w:right="1076"/>
              <w:spacing w:after="0"/>
              <w:rPr>
                <w:sz w:val="20"/>
                <w:szCs w:val="20"/>
                <w:color w:val="auto"/>
              </w:rPr>
            </w:pPr>
            <w:r>
              <w:rPr>
                <w:rFonts w:ascii="Arial" w:cs="Arial" w:eastAsia="Arial" w:hAnsi="Arial"/>
                <w:sz w:val="17"/>
                <w:szCs w:val="17"/>
                <w:i w:val="1"/>
                <w:iCs w:val="1"/>
                <w:color w:val="auto"/>
              </w:rPr>
              <w:t>(U.S.$)</w:t>
            </w:r>
          </w:p>
        </w:tc>
        <w:tc>
          <w:tcPr>
            <w:tcW w:w="0" w:type="dxa"/>
            <w:vAlign w:val="bottom"/>
          </w:tcPr>
          <w:p>
            <w:pPr>
              <w:spacing w:after="0"/>
              <w:rPr>
                <w:sz w:val="1"/>
                <w:szCs w:val="1"/>
                <w:color w:val="auto"/>
              </w:rPr>
            </w:pPr>
          </w:p>
        </w:tc>
      </w:tr>
      <w:tr>
        <w:trPr>
          <w:trHeight w:val="101"/>
        </w:trPr>
        <w:tc>
          <w:tcPr>
            <w:tcW w:w="2280" w:type="dxa"/>
            <w:vAlign w:val="bottom"/>
            <w:tcBorders>
              <w:left w:val="single" w:sz="8" w:color="auto"/>
              <w:right w:val="single" w:sz="8" w:color="auto"/>
            </w:tcBorders>
          </w:tcPr>
          <w:p>
            <w:pPr>
              <w:spacing w:after="0"/>
              <w:rPr>
                <w:sz w:val="8"/>
                <w:szCs w:val="8"/>
                <w:color w:val="auto"/>
              </w:rPr>
            </w:pPr>
          </w:p>
        </w:tc>
        <w:tc>
          <w:tcPr>
            <w:tcW w:w="29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28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2920" w:type="dxa"/>
            <w:vAlign w:val="bottom"/>
          </w:tcPr>
          <w:p>
            <w:pPr>
              <w:ind w:left="40"/>
              <w:spacing w:after="0"/>
              <w:rPr>
                <w:sz w:val="20"/>
                <w:szCs w:val="20"/>
                <w:color w:val="auto"/>
              </w:rPr>
            </w:pPr>
            <w:r>
              <w:rPr>
                <w:rFonts w:ascii="Arial" w:cs="Arial" w:eastAsia="Arial" w:hAnsi="Arial"/>
                <w:sz w:val="17"/>
                <w:szCs w:val="17"/>
                <w:color w:val="auto"/>
              </w:rPr>
              <w:t>Countersigned Agreement</w:t>
            </w:r>
          </w:p>
        </w:tc>
        <w:tc>
          <w:tcPr>
            <w:tcW w:w="240" w:type="dxa"/>
            <w:vAlign w:val="bottom"/>
            <w:tcBorders>
              <w:right w:val="single" w:sz="8" w:color="auto"/>
            </w:tcBorders>
          </w:tcPr>
          <w:p>
            <w:pPr>
              <w:spacing w:after="0"/>
              <w:rPr>
                <w:sz w:val="23"/>
                <w:szCs w:val="23"/>
                <w:color w:val="auto"/>
              </w:rPr>
            </w:pPr>
          </w:p>
        </w:tc>
        <w:tc>
          <w:tcPr>
            <w:tcW w:w="1940" w:type="dxa"/>
            <w:vAlign w:val="bottom"/>
            <w:tcBorders>
              <w:bottom w:val="single" w:sz="8" w:color="D9D9D9"/>
              <w:right w:val="single" w:sz="8" w:color="auto"/>
            </w:tcBorders>
            <w:shd w:val="clear" w:color="auto" w:fill="D9D9D9"/>
          </w:tcPr>
          <w:p>
            <w:pPr>
              <w:spacing w:after="0"/>
              <w:rPr>
                <w:sz w:val="23"/>
                <w:szCs w:val="23"/>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2021</w:t>
            </w:r>
          </w:p>
        </w:tc>
        <w:tc>
          <w:tcPr>
            <w:tcW w:w="200" w:type="dxa"/>
            <w:vAlign w:val="bottom"/>
          </w:tcPr>
          <w:p>
            <w:pPr>
              <w:spacing w:after="0"/>
              <w:rPr>
                <w:sz w:val="23"/>
                <w:szCs w:val="23"/>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$11,453,099.00</w:t>
            </w:r>
          </w:p>
        </w:tc>
        <w:tc>
          <w:tcPr>
            <w:tcW w:w="0" w:type="dxa"/>
            <w:vAlign w:val="bottom"/>
          </w:tcPr>
          <w:p>
            <w:pPr>
              <w:spacing w:after="0"/>
              <w:rPr>
                <w:sz w:val="1"/>
                <w:szCs w:val="1"/>
                <w:color w:val="auto"/>
              </w:rPr>
            </w:pPr>
          </w:p>
        </w:tc>
      </w:tr>
      <w:tr>
        <w:trPr>
          <w:trHeight w:val="228"/>
        </w:trPr>
        <w:tc>
          <w:tcPr>
            <w:tcW w:w="228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2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74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200" w:type="dxa"/>
            <w:vAlign w:val="bottom"/>
            <w:tcBorders>
              <w:top w:val="single" w:sz="8" w:color="auto"/>
              <w:bottom w:val="single" w:sz="8" w:color="auto"/>
            </w:tcBorders>
            <w:shd w:val="clear" w:color="auto" w:fill="D9D9D9"/>
          </w:tcPr>
          <w:p>
            <w:pPr>
              <w:spacing w:after="0"/>
              <w:rPr>
                <w:sz w:val="19"/>
                <w:szCs w:val="19"/>
                <w:color w:val="auto"/>
              </w:rPr>
            </w:pPr>
          </w:p>
        </w:tc>
        <w:tc>
          <w:tcPr>
            <w:tcW w:w="156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shd w:val="clear" w:color="auto" w:fill="D9D9D9"/>
          </w:tcPr>
          <w:p>
            <w:pPr>
              <w:spacing w:after="0"/>
              <w:rPr>
                <w:sz w:val="18"/>
                <w:szCs w:val="18"/>
                <w:color w:val="auto"/>
              </w:rPr>
            </w:pPr>
          </w:p>
        </w:tc>
        <w:tc>
          <w:tcPr>
            <w:tcW w:w="1740" w:type="dxa"/>
            <w:vAlign w:val="bottom"/>
            <w:tcBorders>
              <w:bottom w:val="single" w:sz="8" w:color="auto"/>
              <w:right w:val="single" w:sz="8" w:color="auto"/>
            </w:tcBorders>
            <w:shd w:val="clear" w:color="auto" w:fill="D9D9D9"/>
          </w:tcPr>
          <w:p>
            <w:pPr>
              <w:spacing w:after="0"/>
              <w:rPr>
                <w:sz w:val="18"/>
                <w:szCs w:val="18"/>
                <w:color w:val="auto"/>
              </w:rPr>
            </w:pPr>
          </w:p>
        </w:tc>
        <w:tc>
          <w:tcPr>
            <w:tcW w:w="200" w:type="dxa"/>
            <w:vAlign w:val="bottom"/>
            <w:tcBorders>
              <w:bottom w:val="single" w:sz="8" w:color="auto"/>
            </w:tcBorders>
            <w:shd w:val="clear" w:color="auto" w:fill="D9D9D9"/>
          </w:tcPr>
          <w:p>
            <w:pPr>
              <w:spacing w:after="0"/>
              <w:rPr>
                <w:sz w:val="18"/>
                <w:szCs w:val="18"/>
                <w:color w:val="auto"/>
              </w:rPr>
            </w:pPr>
          </w:p>
        </w:tc>
        <w:tc>
          <w:tcPr>
            <w:tcW w:w="15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8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D9D9D9"/>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D9D9D9"/>
              <w:right w:val="single" w:sz="8" w:color="auto"/>
            </w:tcBorders>
            <w:shd w:val="clear" w:color="auto" w:fill="D9D9D9"/>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D9D9D9"/>
              <w:right w:val="single" w:sz="8" w:color="auto"/>
            </w:tcBorders>
            <w:shd w:val="clear" w:color="auto" w:fill="D9D9D9"/>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28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D9D9D9"/>
              <w:right w:val="single" w:sz="8" w:color="auto"/>
            </w:tcBorders>
            <w:shd w:val="clear" w:color="auto" w:fill="D9D9D9"/>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2022</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7,960,608.00</w:t>
            </w: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2920" w:type="dxa"/>
            <w:vAlign w:val="bottom"/>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2920" w:type="dxa"/>
            <w:vAlign w:val="bottom"/>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D9D9D9"/>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D9D9D9"/>
              <w:right w:val="single" w:sz="8" w:color="auto"/>
            </w:tcBorders>
            <w:shd w:val="clear" w:color="auto" w:fill="D9D9D9"/>
          </w:tcPr>
          <w:p>
            <w:pPr>
              <w:spacing w:after="0"/>
              <w:rPr>
                <w:sz w:val="19"/>
                <w:szCs w:val="19"/>
                <w:color w:val="auto"/>
              </w:rPr>
            </w:pPr>
          </w:p>
        </w:tc>
        <w:tc>
          <w:tcPr>
            <w:tcW w:w="1740" w:type="dxa"/>
            <w:vAlign w:val="bottom"/>
            <w:tcBorders>
              <w:bottom w:val="single" w:sz="8" w:color="D9D9D9"/>
              <w:right w:val="single" w:sz="8" w:color="auto"/>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vMerge w:val="restart"/>
          </w:tcPr>
          <w:p>
            <w:pPr>
              <w:jc w:val="right"/>
              <w:ind w:right="1837"/>
              <w:spacing w:after="0"/>
              <w:rPr>
                <w:sz w:val="20"/>
                <w:szCs w:val="20"/>
                <w:color w:val="auto"/>
              </w:rPr>
            </w:pPr>
            <w:r>
              <w:rPr>
                <w:rFonts w:ascii="Arial" w:cs="Arial" w:eastAsia="Arial" w:hAnsi="Arial"/>
                <w:sz w:val="17"/>
                <w:szCs w:val="17"/>
                <w:color w:val="auto"/>
              </w:rPr>
              <w:t>[***]</w:t>
            </w:r>
          </w:p>
        </w:tc>
        <w:tc>
          <w:tcPr>
            <w:tcW w:w="2920" w:type="dxa"/>
            <w:vAlign w:val="bottom"/>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56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D9D9D9"/>
              <w:right w:val="single" w:sz="8" w:color="auto"/>
            </w:tcBorders>
            <w:shd w:val="clear" w:color="auto" w:fill="D9D9D9"/>
          </w:tcPr>
          <w:p>
            <w:pPr>
              <w:spacing w:after="0"/>
              <w:rPr>
                <w:sz w:val="6"/>
                <w:szCs w:val="6"/>
                <w:color w:val="auto"/>
              </w:rPr>
            </w:pPr>
          </w:p>
        </w:tc>
        <w:tc>
          <w:tcPr>
            <w:tcW w:w="1740" w:type="dxa"/>
            <w:vAlign w:val="bottom"/>
            <w:tcBorders>
              <w:bottom w:val="single" w:sz="8" w:color="D9D9D9"/>
              <w:right w:val="single" w:sz="8" w:color="auto"/>
            </w:tcBorders>
            <w:shd w:val="clear" w:color="auto" w:fill="D9D9D9"/>
          </w:tcPr>
          <w:p>
            <w:pPr>
              <w:spacing w:after="0"/>
              <w:rPr>
                <w:sz w:val="6"/>
                <w:szCs w:val="6"/>
                <w:color w:val="auto"/>
              </w:rPr>
            </w:pPr>
          </w:p>
        </w:tc>
        <w:tc>
          <w:tcPr>
            <w:tcW w:w="200" w:type="dxa"/>
            <w:vAlign w:val="bottom"/>
            <w:tcBorders>
              <w:bottom w:val="single" w:sz="8" w:color="D9D9D9"/>
            </w:tcBorders>
            <w:shd w:val="clear" w:color="auto" w:fill="D9D9D9"/>
          </w:tcPr>
          <w:p>
            <w:pPr>
              <w:spacing w:after="0"/>
              <w:rPr>
                <w:sz w:val="6"/>
                <w:szCs w:val="6"/>
                <w:color w:val="auto"/>
              </w:rPr>
            </w:pPr>
          </w:p>
        </w:tc>
        <w:tc>
          <w:tcPr>
            <w:tcW w:w="1560" w:type="dxa"/>
            <w:vAlign w:val="bottom"/>
            <w:tcBorders>
              <w:bottom w:val="single" w:sz="8" w:color="D9D9D9"/>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spacing w:after="0"/>
              <w:rPr>
                <w:sz w:val="19"/>
                <w:szCs w:val="19"/>
                <w:color w:val="auto"/>
              </w:rPr>
            </w:pPr>
          </w:p>
        </w:tc>
        <w:tc>
          <w:tcPr>
            <w:tcW w:w="2920" w:type="dxa"/>
            <w:vAlign w:val="bottom"/>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156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right w:val="single" w:sz="8" w:color="auto"/>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156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shd w:val="clear" w:color="auto" w:fill="D9D9D9"/>
          </w:tcPr>
          <w:p>
            <w:pPr>
              <w:spacing w:after="0"/>
              <w:rPr>
                <w:sz w:val="17"/>
                <w:szCs w:val="17"/>
                <w:color w:val="auto"/>
              </w:rPr>
            </w:pPr>
          </w:p>
        </w:tc>
        <w:tc>
          <w:tcPr>
            <w:tcW w:w="2920" w:type="dxa"/>
            <w:vAlign w:val="bottom"/>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shd w:val="clear" w:color="auto" w:fill="D9D9D9"/>
          </w:tcPr>
          <w:p>
            <w:pPr>
              <w:spacing w:after="0"/>
              <w:rPr>
                <w:sz w:val="17"/>
                <w:szCs w:val="17"/>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November</w:t>
            </w:r>
          </w:p>
        </w:tc>
        <w:tc>
          <w:tcPr>
            <w:tcW w:w="200" w:type="dxa"/>
            <w:vAlign w:val="bottom"/>
          </w:tcPr>
          <w:p>
            <w:pPr>
              <w:spacing w:after="0"/>
              <w:rPr>
                <w:sz w:val="17"/>
                <w:szCs w:val="17"/>
                <w:color w:val="auto"/>
              </w:rPr>
            </w:pP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$4,436,204.00</w:t>
            </w: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shd w:val="clear" w:color="auto" w:fill="D9D9D9"/>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shd w:val="clear" w:color="auto" w:fill="D9D9D9"/>
          </w:tcPr>
          <w:p>
            <w:pPr>
              <w:spacing w:after="0"/>
              <w:rPr>
                <w:sz w:val="10"/>
                <w:szCs w:val="1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80" w:type="dxa"/>
            <w:vAlign w:val="bottom"/>
            <w:tcBorders>
              <w:left w:val="single" w:sz="8" w:color="auto"/>
              <w:bottom w:val="single" w:sz="8" w:color="D9D9D9"/>
              <w:right w:val="single" w:sz="8" w:color="auto"/>
            </w:tcBorders>
            <w:shd w:val="clear" w:color="auto" w:fill="D9D9D9"/>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940" w:type="dxa"/>
            <w:vAlign w:val="bottom"/>
            <w:tcBorders>
              <w:bottom w:val="single" w:sz="8" w:color="D9D9D9"/>
              <w:right w:val="single" w:sz="8" w:color="auto"/>
            </w:tcBorders>
            <w:shd w:val="clear" w:color="auto" w:fill="D9D9D9"/>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8"/>
        </w:trPr>
        <w:tc>
          <w:tcPr>
            <w:tcW w:w="2280" w:type="dxa"/>
            <w:vAlign w:val="bottom"/>
            <w:tcBorders>
              <w:top w:val="single" w:sz="8" w:color="auto"/>
            </w:tcBorders>
          </w:tcPr>
          <w:p>
            <w:pPr>
              <w:jc w:val="right"/>
              <w:ind w:right="397"/>
              <w:spacing w:after="0"/>
              <w:rPr>
                <w:sz w:val="20"/>
                <w:szCs w:val="20"/>
                <w:color w:val="auto"/>
              </w:rPr>
            </w:pPr>
            <w:r>
              <w:rPr>
                <w:rFonts w:ascii="Arial" w:cs="Arial" w:eastAsia="Arial" w:hAnsi="Arial"/>
                <w:sz w:val="15"/>
                <w:szCs w:val="15"/>
                <w:color w:val="auto"/>
              </w:rPr>
              <w:t>Investment ID INV-026060</w:t>
            </w:r>
          </w:p>
        </w:tc>
        <w:tc>
          <w:tcPr>
            <w:tcW w:w="29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gridSpan w:val="2"/>
          </w:tcPr>
          <w:p>
            <w:pPr>
              <w:ind w:left="220"/>
              <w:spacing w:after="0"/>
              <w:rPr>
                <w:sz w:val="20"/>
                <w:szCs w:val="20"/>
                <w:color w:val="auto"/>
              </w:rPr>
            </w:pPr>
            <w:r>
              <w:rPr>
                <w:rFonts w:ascii="Arial" w:cs="Arial" w:eastAsia="Arial" w:hAnsi="Arial"/>
                <w:sz w:val="15"/>
                <w:szCs w:val="15"/>
                <w:color w:val="auto"/>
              </w:rPr>
              <w:t>1 of 3</w:t>
            </w:r>
          </w:p>
        </w:tc>
        <w:tc>
          <w:tcPr>
            <w:tcW w:w="1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280" w:type="dxa"/>
            <w:vAlign w:val="bottom"/>
            <w:tcBorders>
              <w:top w:val="single" w:sz="8" w:color="auto"/>
              <w:left w:val="single" w:sz="8" w:color="auto"/>
              <w:right w:val="single" w:sz="8" w:color="auto"/>
            </w:tcBorders>
            <w:shd w:val="clear" w:color="auto" w:fill="D9D9D9"/>
          </w:tcPr>
          <w:p>
            <w:pPr>
              <w:spacing w:after="0"/>
              <w:rPr>
                <w:sz w:val="22"/>
                <w:szCs w:val="22"/>
                <w:color w:val="auto"/>
              </w:rPr>
            </w:pPr>
          </w:p>
        </w:tc>
        <w:tc>
          <w:tcPr>
            <w:tcW w:w="1740" w:type="dxa"/>
            <w:vAlign w:val="bottom"/>
            <w:tcBorders>
              <w:top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shd w:val="clear" w:color="auto" w:fill="D9D9D9"/>
          </w:tcPr>
          <w:p>
            <w:pPr>
              <w:spacing w:after="0"/>
              <w:rPr>
                <w:sz w:val="22"/>
                <w:szCs w:val="22"/>
                <w:color w:val="auto"/>
              </w:rPr>
            </w:pPr>
          </w:p>
        </w:tc>
        <w:tc>
          <w:tcPr>
            <w:tcW w:w="1740" w:type="dxa"/>
            <w:vAlign w:val="bottom"/>
            <w:tcBorders>
              <w:top w:val="single" w:sz="8" w:color="auto"/>
              <w:right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1"/>
        </w:trPr>
        <w:tc>
          <w:tcPr>
            <w:tcW w:w="228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D9D9D9"/>
              <w:right w:val="single" w:sz="8" w:color="auto"/>
            </w:tcBorders>
            <w:shd w:val="clear" w:color="auto" w:fill="D9D9D9"/>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D9D9D9"/>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280" w:type="dxa"/>
            <w:vAlign w:val="bottom"/>
            <w:tcBorders>
              <w:left w:val="single" w:sz="8" w:color="auto"/>
              <w:right w:val="single" w:sz="8" w:color="auto"/>
            </w:tcBorders>
            <w:shd w:val="clear" w:color="auto" w:fill="D9D9D9"/>
          </w:tcPr>
          <w:p>
            <w:pPr>
              <w:spacing w:after="0"/>
              <w:rPr>
                <w:sz w:val="21"/>
                <w:szCs w:val="21"/>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shd w:val="clear" w:color="auto" w:fill="D9D9D9"/>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September</w:t>
            </w:r>
          </w:p>
        </w:tc>
        <w:tc>
          <w:tcPr>
            <w:tcW w:w="400" w:type="dxa"/>
            <w:vAlign w:val="bottom"/>
            <w:vMerge w:val="restart"/>
          </w:tcPr>
          <w:p>
            <w:pPr>
              <w:jc w:val="right"/>
              <w:ind w:right="216"/>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4,500,000.00</w:t>
            </w:r>
          </w:p>
        </w:tc>
        <w:tc>
          <w:tcPr>
            <w:tcW w:w="0" w:type="dxa"/>
            <w:vAlign w:val="bottom"/>
          </w:tcPr>
          <w:p>
            <w:pPr>
              <w:spacing w:after="0"/>
              <w:rPr>
                <w:sz w:val="1"/>
                <w:szCs w:val="1"/>
                <w:color w:val="auto"/>
              </w:rPr>
            </w:pPr>
          </w:p>
        </w:tc>
      </w:tr>
      <w:tr>
        <w:trPr>
          <w:trHeight w:val="136"/>
        </w:trPr>
        <w:tc>
          <w:tcPr>
            <w:tcW w:w="228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D9D9D9"/>
              <w:right w:val="single" w:sz="8" w:color="auto"/>
            </w:tcBorders>
            <w:shd w:val="clear" w:color="auto" w:fill="D9D9D9"/>
          </w:tcPr>
          <w:p>
            <w:pPr>
              <w:spacing w:after="0"/>
              <w:rPr>
                <w:sz w:val="11"/>
                <w:szCs w:val="11"/>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2023</w:t>
            </w:r>
          </w:p>
        </w:tc>
        <w:tc>
          <w:tcPr>
            <w:tcW w:w="400" w:type="dxa"/>
            <w:vAlign w:val="bottom"/>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280" w:type="dxa"/>
            <w:vAlign w:val="bottom"/>
            <w:tcBorders>
              <w:left w:val="single" w:sz="8" w:color="auto"/>
              <w:right w:val="single" w:sz="8" w:color="auto"/>
            </w:tcBorders>
            <w:shd w:val="clear" w:color="auto" w:fill="D9D9D9"/>
          </w:tcPr>
          <w:p>
            <w:pPr>
              <w:spacing w:after="0"/>
              <w:rPr>
                <w:sz w:val="5"/>
                <w:szCs w:val="5"/>
                <w:color w:val="auto"/>
              </w:rPr>
            </w:pPr>
          </w:p>
        </w:tc>
        <w:tc>
          <w:tcPr>
            <w:tcW w:w="1740" w:type="dxa"/>
            <w:vAlign w:val="bottom"/>
            <w:vMerge w:val="restart"/>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shd w:val="clear" w:color="auto" w:fill="D9D9D9"/>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280" w:type="dxa"/>
            <w:vAlign w:val="bottom"/>
            <w:tcBorders>
              <w:left w:val="single" w:sz="8" w:color="auto"/>
              <w:right w:val="single" w:sz="8" w:color="auto"/>
            </w:tcBorders>
            <w:shd w:val="clear" w:color="auto" w:fill="D9D9D9"/>
          </w:tcPr>
          <w:p>
            <w:pPr>
              <w:spacing w:after="0"/>
              <w:rPr>
                <w:sz w:val="14"/>
                <w:szCs w:val="14"/>
                <w:color w:val="auto"/>
              </w:rPr>
            </w:pPr>
          </w:p>
        </w:tc>
        <w:tc>
          <w:tcPr>
            <w:tcW w:w="1740" w:type="dxa"/>
            <w:vAlign w:val="bottom"/>
            <w:vMerge w:val="continue"/>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shd w:val="clear" w:color="auto" w:fill="D9D9D9"/>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shd w:val="clear" w:color="auto" w:fill="D9D9D9"/>
          </w:tcPr>
          <w:p>
            <w:pPr>
              <w:spacing w:after="0"/>
              <w:rPr>
                <w:sz w:val="19"/>
                <w:szCs w:val="19"/>
                <w:color w:val="auto"/>
              </w:rPr>
            </w:pPr>
          </w:p>
        </w:tc>
        <w:tc>
          <w:tcPr>
            <w:tcW w:w="1740" w:type="dxa"/>
            <w:vAlign w:val="bottom"/>
            <w:tcBorders>
              <w:bottom w:val="single" w:sz="8" w:color="auto"/>
              <w:right w:val="single" w:sz="8" w:color="auto"/>
            </w:tcBorders>
            <w:shd w:val="clear" w:color="auto" w:fill="D9D9D9"/>
          </w:tcPr>
          <w:p>
            <w:pPr>
              <w:spacing w:after="0"/>
              <w:rPr>
                <w:sz w:val="19"/>
                <w:szCs w:val="19"/>
                <w:color w:val="auto"/>
              </w:rPr>
            </w:pPr>
          </w:p>
        </w:tc>
        <w:tc>
          <w:tcPr>
            <w:tcW w:w="400" w:type="dxa"/>
            <w:vAlign w:val="bottom"/>
            <w:tcBorders>
              <w:bottom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shd w:val="clear" w:color="auto" w:fill="D9D9D9"/>
          </w:tcPr>
          <w:p>
            <w:pPr>
              <w:spacing w:after="0"/>
              <w:rPr>
                <w:sz w:val="20"/>
                <w:szCs w:val="20"/>
                <w:color w:val="auto"/>
              </w:rPr>
            </w:pPr>
          </w:p>
        </w:tc>
        <w:tc>
          <w:tcPr>
            <w:tcW w:w="1740" w:type="dxa"/>
            <w:vAlign w:val="bottom"/>
            <w:tcBorders>
              <w:bottom w:val="single" w:sz="8" w:color="auto"/>
              <w:right w:val="single" w:sz="8" w:color="auto"/>
            </w:tcBorders>
            <w:shd w:val="clear" w:color="auto" w:fill="D9D9D9"/>
          </w:tcPr>
          <w:p>
            <w:pPr>
              <w:spacing w:after="0"/>
              <w:rPr>
                <w:sz w:val="20"/>
                <w:szCs w:val="20"/>
                <w:color w:val="auto"/>
              </w:rPr>
            </w:pPr>
          </w:p>
        </w:tc>
        <w:tc>
          <w:tcPr>
            <w:tcW w:w="400" w:type="dxa"/>
            <w:vAlign w:val="bottom"/>
            <w:tcBorders>
              <w:bottom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shd w:val="clear" w:color="auto" w:fill="D9D9D9"/>
          </w:tcPr>
          <w:p>
            <w:pPr>
              <w:spacing w:after="0"/>
              <w:rPr>
                <w:sz w:val="20"/>
                <w:szCs w:val="20"/>
                <w:color w:val="auto"/>
              </w:rPr>
            </w:pPr>
          </w:p>
        </w:tc>
        <w:tc>
          <w:tcPr>
            <w:tcW w:w="1740" w:type="dxa"/>
            <w:vAlign w:val="bottom"/>
            <w:tcBorders>
              <w:bottom w:val="single" w:sz="8" w:color="auto"/>
              <w:right w:val="single" w:sz="8" w:color="auto"/>
            </w:tcBorders>
            <w:shd w:val="clear" w:color="auto" w:fill="D9D9D9"/>
          </w:tcPr>
          <w:p>
            <w:pPr>
              <w:spacing w:after="0"/>
              <w:rPr>
                <w:sz w:val="20"/>
                <w:szCs w:val="20"/>
                <w:color w:val="auto"/>
              </w:rPr>
            </w:pPr>
          </w:p>
        </w:tc>
        <w:tc>
          <w:tcPr>
            <w:tcW w:w="400" w:type="dxa"/>
            <w:vAlign w:val="bottom"/>
            <w:tcBorders>
              <w:bottom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280" w:type="dxa"/>
            <w:vAlign w:val="bottom"/>
            <w:tcBorders>
              <w:left w:val="single" w:sz="8" w:color="auto"/>
              <w:right w:val="single" w:sz="8" w:color="auto"/>
            </w:tcBorders>
            <w:shd w:val="clear" w:color="auto" w:fill="D9D9D9"/>
          </w:tcPr>
          <w:p>
            <w:pPr>
              <w:spacing w:after="0"/>
              <w:rPr>
                <w:sz w:val="21"/>
                <w:szCs w:val="21"/>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Scheduled:</w:t>
            </w:r>
          </w:p>
        </w:tc>
        <w:tc>
          <w:tcPr>
            <w:tcW w:w="400" w:type="dxa"/>
            <w:vAlign w:val="bottom"/>
            <w:vMerge w:val="restart"/>
          </w:tcPr>
          <w:p>
            <w:pPr>
              <w:jc w:val="right"/>
              <w:ind w:right="216"/>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139"/>
        </w:trPr>
        <w:tc>
          <w:tcPr>
            <w:tcW w:w="2280" w:type="dxa"/>
            <w:vAlign w:val="bottom"/>
            <w:tcBorders>
              <w:left w:val="single" w:sz="8" w:color="auto"/>
              <w:bottom w:val="single" w:sz="8" w:color="D9D9D9"/>
              <w:right w:val="single" w:sz="8" w:color="auto"/>
            </w:tcBorders>
            <w:shd w:val="clear" w:color="auto" w:fill="D9D9D9"/>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April 2024</w:t>
            </w:r>
          </w:p>
        </w:tc>
        <w:tc>
          <w:tcPr>
            <w:tcW w:w="400" w:type="dxa"/>
            <w:vAlign w:val="bottom"/>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280" w:type="dxa"/>
            <w:vAlign w:val="bottom"/>
            <w:tcBorders>
              <w:left w:val="single" w:sz="8" w:color="auto"/>
              <w:right w:val="single" w:sz="8" w:color="auto"/>
            </w:tcBorders>
            <w:shd w:val="clear" w:color="auto" w:fill="D9D9D9"/>
          </w:tcPr>
          <w:p>
            <w:pPr>
              <w:spacing w:after="0"/>
              <w:rPr>
                <w:sz w:val="5"/>
                <w:szCs w:val="5"/>
                <w:color w:val="auto"/>
              </w:rPr>
            </w:pPr>
          </w:p>
        </w:tc>
        <w:tc>
          <w:tcPr>
            <w:tcW w:w="1740" w:type="dxa"/>
            <w:vAlign w:val="bottom"/>
            <w:vMerge w:val="restart"/>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280" w:type="dxa"/>
            <w:vAlign w:val="bottom"/>
            <w:tcBorders>
              <w:left w:val="single" w:sz="8" w:color="auto"/>
              <w:right w:val="single" w:sz="8" w:color="auto"/>
            </w:tcBorders>
            <w:shd w:val="clear" w:color="auto" w:fill="D9D9D9"/>
          </w:tcPr>
          <w:p>
            <w:pPr>
              <w:spacing w:after="0"/>
              <w:rPr>
                <w:sz w:val="14"/>
                <w:szCs w:val="14"/>
                <w:color w:val="auto"/>
              </w:rPr>
            </w:pPr>
          </w:p>
        </w:tc>
        <w:tc>
          <w:tcPr>
            <w:tcW w:w="1740" w:type="dxa"/>
            <w:vAlign w:val="bottom"/>
            <w:vMerge w:val="continue"/>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shd w:val="clear" w:color="auto" w:fill="D9D9D9"/>
          </w:tcPr>
          <w:p>
            <w:pPr>
              <w:spacing w:after="0"/>
              <w:rPr>
                <w:sz w:val="19"/>
                <w:szCs w:val="19"/>
                <w:color w:val="auto"/>
              </w:rPr>
            </w:pPr>
          </w:p>
        </w:tc>
        <w:tc>
          <w:tcPr>
            <w:tcW w:w="400" w:type="dxa"/>
            <w:vAlign w:val="bottom"/>
            <w:tcBorders>
              <w:bottom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3"/>
                <w:szCs w:val="13"/>
                <w:color w:val="auto"/>
              </w:rPr>
            </w:pP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280" w:type="dxa"/>
            <w:vAlign w:val="bottom"/>
            <w:tcBorders>
              <w:left w:val="single" w:sz="8" w:color="auto"/>
              <w:right w:val="single" w:sz="8" w:color="auto"/>
            </w:tcBorders>
            <w:shd w:val="clear" w:color="auto" w:fill="D9D9D9"/>
          </w:tcPr>
          <w:p>
            <w:pPr>
              <w:spacing w:after="0"/>
              <w:rPr>
                <w:sz w:val="8"/>
                <w:szCs w:val="8"/>
                <w:color w:val="auto"/>
              </w:rPr>
            </w:pPr>
          </w:p>
        </w:tc>
        <w:tc>
          <w:tcPr>
            <w:tcW w:w="1740" w:type="dxa"/>
            <w:vAlign w:val="bottom"/>
            <w:vMerge w:val="restart"/>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shd w:val="clear" w:color="auto" w:fill="D9D9D9"/>
          </w:tcPr>
          <w:p>
            <w:pPr>
              <w:spacing w:after="0"/>
              <w:rPr>
                <w:sz w:val="10"/>
                <w:szCs w:val="10"/>
                <w:color w:val="auto"/>
              </w:rPr>
            </w:pPr>
          </w:p>
        </w:tc>
        <w:tc>
          <w:tcPr>
            <w:tcW w:w="1740" w:type="dxa"/>
            <w:vAlign w:val="bottom"/>
            <w:vMerge w:val="continue"/>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shd w:val="clear" w:color="auto" w:fill="D9D9D9"/>
          </w:tcPr>
          <w:p>
            <w:pPr>
              <w:spacing w:after="0"/>
              <w:rPr>
                <w:sz w:val="6"/>
                <w:szCs w:val="6"/>
                <w:color w:val="auto"/>
              </w:rPr>
            </w:pPr>
          </w:p>
        </w:tc>
        <w:tc>
          <w:tcPr>
            <w:tcW w:w="1740" w:type="dxa"/>
            <w:vAlign w:val="bottom"/>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280" w:type="dxa"/>
            <w:vAlign w:val="bottom"/>
            <w:tcBorders>
              <w:left w:val="single" w:sz="8" w:color="auto"/>
              <w:bottom w:val="single" w:sz="8" w:color="D9D9D9"/>
              <w:right w:val="single" w:sz="8" w:color="auto"/>
            </w:tcBorders>
            <w:shd w:val="clear" w:color="auto" w:fill="D9D9D9"/>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740" w:type="dxa"/>
            <w:vAlign w:val="bottom"/>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auto"/>
              <w:right w:val="single" w:sz="8" w:color="auto"/>
            </w:tcBorders>
          </w:tcPr>
          <w:p>
            <w:pPr>
              <w:jc w:val="right"/>
              <w:ind w:right="183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shd w:val="clear" w:color="auto" w:fill="D9D9D9"/>
          </w:tcPr>
          <w:p>
            <w:pPr>
              <w:spacing w:after="0"/>
              <w:rPr>
                <w:sz w:val="19"/>
                <w:szCs w:val="19"/>
                <w:color w:val="auto"/>
              </w:rPr>
            </w:pPr>
          </w:p>
        </w:tc>
        <w:tc>
          <w:tcPr>
            <w:tcW w:w="400" w:type="dxa"/>
            <w:vAlign w:val="bottom"/>
            <w:tcBorders>
              <w:bottom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80" w:type="dxa"/>
            <w:vAlign w:val="bottom"/>
          </w:tcPr>
          <w:p>
            <w:pPr>
              <w:jc w:val="right"/>
              <w:ind w:right="397"/>
              <w:spacing w:after="0"/>
              <w:rPr>
                <w:sz w:val="20"/>
                <w:szCs w:val="20"/>
                <w:color w:val="auto"/>
              </w:rPr>
            </w:pPr>
            <w:r>
              <w:rPr>
                <w:rFonts w:ascii="Arial" w:cs="Arial" w:eastAsia="Arial" w:hAnsi="Arial"/>
                <w:sz w:val="15"/>
                <w:szCs w:val="15"/>
                <w:color w:val="auto"/>
              </w:rPr>
              <w:t>Investment ID INV-026060</w:t>
            </w:r>
          </w:p>
        </w:tc>
        <w:tc>
          <w:tcPr>
            <w:tcW w:w="1740" w:type="dxa"/>
            <w:vAlign w:val="bottom"/>
          </w:tcPr>
          <w:p>
            <w:pPr>
              <w:spacing w:after="0"/>
              <w:rPr>
                <w:sz w:val="20"/>
                <w:szCs w:val="20"/>
                <w:color w:val="auto"/>
              </w:rPr>
            </w:pPr>
          </w:p>
        </w:tc>
        <w:tc>
          <w:tcPr>
            <w:tcW w:w="3360" w:type="dxa"/>
            <w:vAlign w:val="bottom"/>
            <w:gridSpan w:val="2"/>
          </w:tcPr>
          <w:p>
            <w:pPr>
              <w:jc w:val="right"/>
              <w:ind w:right="1496"/>
              <w:spacing w:after="0"/>
              <w:rPr>
                <w:sz w:val="20"/>
                <w:szCs w:val="20"/>
                <w:color w:val="auto"/>
              </w:rPr>
            </w:pPr>
            <w:r>
              <w:rPr>
                <w:rFonts w:ascii="Arial" w:cs="Arial" w:eastAsia="Arial" w:hAnsi="Arial"/>
                <w:sz w:val="15"/>
                <w:szCs w:val="15"/>
                <w:color w:val="auto"/>
              </w:rPr>
              <w:t>2 of 3</w:t>
            </w: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280" w:type="dxa"/>
            <w:vAlign w:val="bottom"/>
            <w:tcBorders>
              <w:top w:val="single" w:sz="8" w:color="auto"/>
              <w:left w:val="single" w:sz="8" w:color="auto"/>
              <w:bottom w:val="single" w:sz="8" w:color="auto"/>
              <w:right w:val="single" w:sz="8" w:color="auto"/>
            </w:tcBorders>
            <w:shd w:val="clear" w:color="auto" w:fill="D9D9D9"/>
          </w:tcPr>
          <w:p>
            <w:pPr>
              <w:spacing w:after="0"/>
              <w:rPr>
                <w:sz w:val="21"/>
                <w:szCs w:val="21"/>
                <w:color w:val="auto"/>
              </w:rPr>
            </w:pPr>
          </w:p>
        </w:tc>
        <w:tc>
          <w:tcPr>
            <w:tcW w:w="134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bottom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74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134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vMerge w:val="restart"/>
          </w:tcPr>
          <w:p>
            <w:pPr>
              <w:jc w:val="right"/>
              <w:ind w:right="6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right w:val="single" w:sz="8" w:color="auto"/>
            </w:tcBorders>
            <w:vMerge w:val="continue"/>
          </w:tcPr>
          <w:p>
            <w:pPr>
              <w:spacing w:after="0"/>
              <w:rPr>
                <w:sz w:val="19"/>
                <w:szCs w:val="19"/>
                <w:color w:val="auto"/>
              </w:rPr>
            </w:pPr>
          </w:p>
        </w:tc>
        <w:tc>
          <w:tcPr>
            <w:tcW w:w="17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jc w:val="right"/>
              <w:ind w:right="183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bottom w:val="single" w:sz="8" w:color="auto"/>
              <w:right w:val="single" w:sz="8" w:color="auto"/>
            </w:tcBorders>
          </w:tcPr>
          <w:p>
            <w:pPr>
              <w:jc w:val="right"/>
              <w:ind w:right="1836"/>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shd w:val="clear" w:color="auto" w:fill="D9D9D9"/>
          </w:tcPr>
          <w:p>
            <w:pPr>
              <w:spacing w:after="0"/>
              <w:rPr>
                <w:sz w:val="19"/>
                <w:szCs w:val="19"/>
                <w:color w:val="auto"/>
              </w:rPr>
            </w:pPr>
          </w:p>
        </w:tc>
        <w:tc>
          <w:tcPr>
            <w:tcW w:w="17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134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D9D9D9"/>
              <w:right w:val="single" w:sz="8" w:color="auto"/>
            </w:tcBorders>
            <w:shd w:val="clear" w:color="auto" w:fill="D9D9D9"/>
          </w:tcPr>
          <w:p>
            <w:pPr>
              <w:spacing w:after="0"/>
              <w:rPr>
                <w:sz w:val="20"/>
                <w:szCs w:val="20"/>
                <w:color w:val="auto"/>
              </w:rPr>
            </w:pPr>
          </w:p>
        </w:tc>
        <w:tc>
          <w:tcPr>
            <w:tcW w:w="1740" w:type="dxa"/>
            <w:vAlign w:val="bottom"/>
            <w:tcBorders>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shd w:val="clear" w:color="auto" w:fill="D9D9D9"/>
          </w:tcPr>
          <w:p>
            <w:pPr>
              <w:spacing w:after="0"/>
              <w:rPr>
                <w:sz w:val="12"/>
                <w:szCs w:val="12"/>
                <w:color w:val="auto"/>
              </w:rPr>
            </w:pPr>
          </w:p>
        </w:tc>
        <w:tc>
          <w:tcPr>
            <w:tcW w:w="1340" w:type="dxa"/>
            <w:vAlign w:val="bottom"/>
            <w:vMerge w:val="restart"/>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shd w:val="clear" w:color="auto" w:fill="D9D9D9"/>
          </w:tcPr>
          <w:p>
            <w:pPr>
              <w:spacing w:after="0"/>
              <w:rPr>
                <w:sz w:val="12"/>
                <w:szCs w:val="12"/>
                <w:color w:val="auto"/>
              </w:rPr>
            </w:pPr>
          </w:p>
        </w:tc>
        <w:tc>
          <w:tcPr>
            <w:tcW w:w="17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28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shd w:val="clear" w:color="auto" w:fill="D9D9D9"/>
          </w:tcPr>
          <w:p>
            <w:pPr>
              <w:spacing w:after="0"/>
              <w:rPr>
                <w:sz w:val="8"/>
                <w:szCs w:val="8"/>
                <w:color w:val="auto"/>
              </w:rPr>
            </w:pPr>
          </w:p>
        </w:tc>
        <w:tc>
          <w:tcPr>
            <w:tcW w:w="17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shd w:val="clear" w:color="auto" w:fill="D9D9D9"/>
          </w:tcPr>
          <w:p>
            <w:pPr>
              <w:spacing w:after="0"/>
              <w:rPr>
                <w:sz w:val="20"/>
                <w:szCs w:val="20"/>
                <w:color w:val="auto"/>
              </w:rPr>
            </w:pPr>
          </w:p>
        </w:tc>
        <w:tc>
          <w:tcPr>
            <w:tcW w:w="174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134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40" w:type="dxa"/>
            <w:vAlign w:val="bottom"/>
            <w:tcBorders>
              <w:bottom w:val="single" w:sz="8" w:color="D9D9D9"/>
              <w:right w:val="single" w:sz="8" w:color="auto"/>
            </w:tcBorders>
            <w:shd w:val="clear" w:color="auto" w:fill="D9D9D9"/>
          </w:tcPr>
          <w:p>
            <w:pPr>
              <w:spacing w:after="0"/>
              <w:rPr>
                <w:sz w:val="20"/>
                <w:szCs w:val="20"/>
                <w:color w:val="auto"/>
              </w:rPr>
            </w:pPr>
          </w:p>
        </w:tc>
        <w:tc>
          <w:tcPr>
            <w:tcW w:w="1740" w:type="dxa"/>
            <w:vAlign w:val="bottom"/>
            <w:tcBorders>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jc w:val="right"/>
              <w:ind w:right="756"/>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shd w:val="clear" w:color="auto" w:fill="D9D9D9"/>
          </w:tcPr>
          <w:p>
            <w:pPr>
              <w:spacing w:after="0"/>
              <w:rPr>
                <w:sz w:val="19"/>
                <w:szCs w:val="19"/>
                <w:color w:val="auto"/>
              </w:rPr>
            </w:pP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4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jc w:val="right"/>
              <w:ind w:right="183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916"/>
              <w:spacing w:after="0"/>
              <w:rPr>
                <w:sz w:val="20"/>
                <w:szCs w:val="20"/>
                <w:color w:val="auto"/>
              </w:rPr>
            </w:pPr>
            <w:r>
              <w:rPr>
                <w:rFonts w:ascii="Arial" w:cs="Arial" w:eastAsia="Arial" w:hAnsi="Arial"/>
                <w:sz w:val="17"/>
                <w:szCs w:val="17"/>
                <w:color w:val="auto"/>
              </w:rPr>
              <w:t>[***]</w:t>
            </w:r>
          </w:p>
        </w:tc>
        <w:tc>
          <w:tcPr>
            <w:tcW w:w="18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17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shd w:val="clear" w:color="auto" w:fill="D9D9D9"/>
          </w:tcPr>
          <w:p>
            <w:pPr>
              <w:spacing w:after="0"/>
              <w:rPr>
                <w:sz w:val="13"/>
                <w:szCs w:val="13"/>
                <w:color w:val="auto"/>
              </w:rPr>
            </w:pPr>
          </w:p>
        </w:tc>
        <w:tc>
          <w:tcPr>
            <w:tcW w:w="174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D9D9D9"/>
            </w:tcBorders>
            <w:shd w:val="clear" w:color="auto" w:fill="D9D9D9"/>
          </w:tcPr>
          <w:p>
            <w:pPr>
              <w:spacing w:after="0"/>
              <w:rPr>
                <w:sz w:val="20"/>
                <w:szCs w:val="20"/>
                <w:color w:val="auto"/>
              </w:rPr>
            </w:pPr>
          </w:p>
        </w:tc>
        <w:tc>
          <w:tcPr>
            <w:tcW w:w="1340" w:type="dxa"/>
            <w:vAlign w:val="bottom"/>
            <w:shd w:val="clear" w:color="auto" w:fill="D9D9D9"/>
          </w:tcPr>
          <w:p>
            <w:pPr>
              <w:spacing w:after="0"/>
              <w:rPr>
                <w:sz w:val="20"/>
                <w:szCs w:val="20"/>
                <w:color w:val="auto"/>
              </w:rPr>
            </w:pPr>
          </w:p>
        </w:tc>
        <w:tc>
          <w:tcPr>
            <w:tcW w:w="5520" w:type="dxa"/>
            <w:vAlign w:val="bottom"/>
            <w:tcBorders>
              <w:right w:val="single" w:sz="8" w:color="auto"/>
            </w:tcBorders>
            <w:gridSpan w:val="3"/>
            <w:vMerge w:val="restart"/>
            <w:shd w:val="clear" w:color="auto" w:fill="D9D9D9"/>
          </w:tcPr>
          <w:p>
            <w:pPr>
              <w:jc w:val="right"/>
              <w:ind w:right="2056"/>
              <w:spacing w:after="0"/>
              <w:rPr>
                <w:sz w:val="20"/>
                <w:szCs w:val="20"/>
                <w:color w:val="auto"/>
              </w:rPr>
            </w:pPr>
            <w:r>
              <w:rPr>
                <w:rFonts w:ascii="Arial" w:cs="Arial" w:eastAsia="Arial" w:hAnsi="Arial"/>
                <w:sz w:val="17"/>
                <w:szCs w:val="17"/>
                <w:b w:val="1"/>
                <w:bCs w:val="1"/>
                <w:color w:val="auto"/>
              </w:rPr>
              <w:t>Amended Total Grant Amount</w:t>
            </w:r>
          </w:p>
        </w:tc>
        <w:tc>
          <w:tcPr>
            <w:tcW w:w="174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7"/>
                <w:szCs w:val="17"/>
                <w:b w:val="1"/>
                <w:bCs w:val="1"/>
                <w:color w:val="auto"/>
                <w:w w:val="98"/>
              </w:rPr>
              <w:t>Up to $48,945,928.00</w:t>
            </w:r>
          </w:p>
        </w:tc>
        <w:tc>
          <w:tcPr>
            <w:tcW w:w="0" w:type="dxa"/>
            <w:vAlign w:val="bottom"/>
          </w:tcPr>
          <w:p>
            <w:pPr>
              <w:spacing w:after="0"/>
              <w:rPr>
                <w:sz w:val="1"/>
                <w:szCs w:val="1"/>
                <w:color w:val="auto"/>
              </w:rPr>
            </w:pPr>
          </w:p>
        </w:tc>
      </w:tr>
      <w:tr>
        <w:trPr>
          <w:trHeight w:val="95"/>
        </w:trPr>
        <w:tc>
          <w:tcPr>
            <w:tcW w:w="2280" w:type="dxa"/>
            <w:vAlign w:val="bottom"/>
            <w:tcBorders>
              <w:left w:val="single" w:sz="8" w:color="auto"/>
              <w:bottom w:val="single" w:sz="8" w:color="auto"/>
              <w:right w:val="single" w:sz="8" w:color="D9D9D9"/>
            </w:tcBorders>
            <w:shd w:val="clear" w:color="auto" w:fill="D9D9D9"/>
          </w:tcPr>
          <w:p>
            <w:pPr>
              <w:spacing w:after="0"/>
              <w:rPr>
                <w:sz w:val="8"/>
                <w:szCs w:val="8"/>
                <w:color w:val="auto"/>
              </w:rPr>
            </w:pPr>
          </w:p>
        </w:tc>
        <w:tc>
          <w:tcPr>
            <w:tcW w:w="1340" w:type="dxa"/>
            <w:vAlign w:val="bottom"/>
            <w:tcBorders>
              <w:bottom w:val="single" w:sz="8" w:color="auto"/>
            </w:tcBorders>
            <w:shd w:val="clear" w:color="auto" w:fill="D9D9D9"/>
          </w:tcPr>
          <w:p>
            <w:pPr>
              <w:spacing w:after="0"/>
              <w:rPr>
                <w:sz w:val="8"/>
                <w:szCs w:val="8"/>
                <w:color w:val="auto"/>
              </w:rPr>
            </w:pPr>
          </w:p>
        </w:tc>
        <w:tc>
          <w:tcPr>
            <w:tcW w:w="5520" w:type="dxa"/>
            <w:vAlign w:val="bottom"/>
            <w:tcBorders>
              <w:bottom w:val="single" w:sz="8" w:color="auto"/>
              <w:right w:val="single" w:sz="8" w:color="auto"/>
            </w:tcBorders>
            <w:gridSpan w:val="3"/>
            <w:vMerge w:val="continue"/>
            <w:shd w:val="clear" w:color="auto" w:fill="D9D9D9"/>
          </w:tcPr>
          <w:p>
            <w:pPr>
              <w:spacing w:after="0"/>
              <w:rPr>
                <w:sz w:val="8"/>
                <w:szCs w:val="8"/>
                <w:color w:val="auto"/>
              </w:rPr>
            </w:pPr>
          </w:p>
        </w:tc>
        <w:tc>
          <w:tcPr>
            <w:tcW w:w="17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As provided in the Agreement, signatures are not required.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580" w:type="dxa"/>
            <w:vAlign w:val="bottom"/>
          </w:tcPr>
          <w:p>
            <w:pPr>
              <w:spacing w:after="0"/>
              <w:rPr>
                <w:sz w:val="20"/>
                <w:szCs w:val="20"/>
                <w:color w:val="auto"/>
              </w:rPr>
            </w:pPr>
            <w:r>
              <w:rPr>
                <w:rFonts w:ascii="Arial" w:cs="Arial" w:eastAsia="Arial" w:hAnsi="Arial"/>
                <w:sz w:val="15"/>
                <w:szCs w:val="15"/>
                <w:color w:val="auto"/>
              </w:rPr>
              <w:t>Investment ID INV-026060</w:t>
            </w:r>
          </w:p>
        </w:tc>
        <w:tc>
          <w:tcPr>
            <w:tcW w:w="2200" w:type="dxa"/>
            <w:vAlign w:val="bottom"/>
          </w:tcPr>
          <w:p>
            <w:pPr>
              <w:ind w:left="1820"/>
              <w:spacing w:after="0"/>
              <w:rPr>
                <w:sz w:val="20"/>
                <w:szCs w:val="20"/>
                <w:color w:val="auto"/>
              </w:rPr>
            </w:pPr>
            <w:r>
              <w:rPr>
                <w:rFonts w:ascii="Arial" w:cs="Arial" w:eastAsia="Arial" w:hAnsi="Arial"/>
                <w:sz w:val="15"/>
                <w:szCs w:val="15"/>
                <w:color w:val="auto"/>
                <w:w w:val="95"/>
              </w:rPr>
              <w:t>3 of 3</w:t>
            </w: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87" w:lineRule="exact"/>
        <w:rPr>
          <w:sz w:val="20"/>
          <w:szCs w:val="20"/>
          <w:color w:val="auto"/>
        </w:rPr>
      </w:pPr>
    </w:p>
    <w:tbl>
      <w:tblPr>
        <w:tblLayout w:type="fixed"/>
        <w:tblInd w:w="9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2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w w:val="99"/>
              </w:rPr>
              <w:t>AMENDMENT 4</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20" w:type="dxa"/>
            <w:vAlign w:val="bottom"/>
            <w:gridSpan w:val="2"/>
          </w:tcPr>
          <w:p>
            <w:pPr>
              <w:jc w:val="center"/>
              <w:ind w:right="3880"/>
              <w:spacing w:after="0" w:line="189" w:lineRule="exact"/>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20" w:type="dxa"/>
            <w:vAlign w:val="bottom"/>
            <w:gridSpan w:val="2"/>
          </w:tcPr>
          <w:p>
            <w:pPr>
              <w:jc w:val="center"/>
              <w:ind w:right="3900"/>
              <w:spacing w:after="0" w:line="189" w:lineRule="exact"/>
              <w:rPr>
                <w:sz w:val="20"/>
                <w:szCs w:val="20"/>
                <w:color w:val="auto"/>
              </w:rPr>
            </w:pPr>
            <w:r>
              <w:rPr>
                <w:rFonts w:ascii="Arial" w:cs="Arial" w:eastAsia="Arial" w:hAnsi="Arial"/>
                <w:sz w:val="17"/>
                <w:szCs w:val="17"/>
                <w:b w:val="1"/>
                <w:bCs w:val="1"/>
                <w:color w:val="auto"/>
                <w:w w:val="98"/>
              </w:rPr>
              <w:t>GRANT AGREEMENT</w:t>
            </w: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20" w:type="dxa"/>
            <w:vAlign w:val="bottom"/>
            <w:gridSpan w:val="2"/>
          </w:tcPr>
          <w:p>
            <w:pPr>
              <w:jc w:val="center"/>
              <w:ind w:right="388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50"/>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20" w:type="dxa"/>
            <w:vAlign w:val="bottom"/>
            <w:gridSpan w:val="2"/>
          </w:tcPr>
          <w:p>
            <w:pPr>
              <w:jc w:val="center"/>
              <w:ind w:right="390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83"/>
        </w:trPr>
        <w:tc>
          <w:tcPr>
            <w:tcW w:w="2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520" w:type="dxa"/>
            <w:vAlign w:val="bottom"/>
            <w:tcBorders>
              <w:top w:val="single" w:sz="8" w:color="auto"/>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00" w:type="dxa"/>
            <w:vAlign w:val="bottom"/>
            <w:tcBorders>
              <w:left w:val="single" w:sz="8" w:color="auto"/>
              <w:bottom w:val="single" w:sz="8" w:color="auto"/>
              <w:right w:val="single" w:sz="8" w:color="BEBEBE"/>
            </w:tcBorders>
            <w:shd w:val="clear" w:color="auto" w:fill="BEBEBE"/>
          </w:tcPr>
          <w:p>
            <w:pPr>
              <w:ind w:left="80"/>
              <w:spacing w:after="0"/>
              <w:rPr>
                <w:sz w:val="20"/>
                <w:szCs w:val="20"/>
                <w:color w:val="auto"/>
              </w:rPr>
            </w:pPr>
            <w:r>
              <w:rPr>
                <w:rFonts w:ascii="Arial" w:cs="Arial" w:eastAsia="Arial" w:hAnsi="Arial"/>
                <w:sz w:val="17"/>
                <w:szCs w:val="17"/>
                <w:b w:val="1"/>
                <w:bCs w:val="1"/>
                <w:color w:val="auto"/>
              </w:rPr>
              <w:t>AMENDMENT INFORMATION</w:t>
            </w:r>
          </w:p>
        </w:tc>
        <w:tc>
          <w:tcPr>
            <w:tcW w:w="1360" w:type="dxa"/>
            <w:vAlign w:val="bottom"/>
            <w:tcBorders>
              <w:bottom w:val="single" w:sz="8" w:color="auto"/>
            </w:tcBorders>
            <w:shd w:val="clear" w:color="auto" w:fill="BEBEBE"/>
          </w:tcPr>
          <w:p>
            <w:pPr>
              <w:spacing w:after="0"/>
              <w:rPr>
                <w:sz w:val="19"/>
                <w:szCs w:val="19"/>
                <w:color w:val="auto"/>
              </w:rPr>
            </w:pPr>
          </w:p>
        </w:tc>
        <w:tc>
          <w:tcPr>
            <w:tcW w:w="2520" w:type="dxa"/>
            <w:vAlign w:val="bottom"/>
            <w:tcBorders>
              <w:bottom w:val="single" w:sz="8" w:color="auto"/>
            </w:tcBorders>
            <w:shd w:val="clear" w:color="auto" w:fill="BEBEBE"/>
          </w:tcPr>
          <w:p>
            <w:pPr>
              <w:spacing w:after="0"/>
              <w:rPr>
                <w:sz w:val="19"/>
                <w:szCs w:val="19"/>
                <w:color w:val="auto"/>
              </w:rPr>
            </w:pPr>
          </w:p>
        </w:tc>
        <w:tc>
          <w:tcPr>
            <w:tcW w:w="3900" w:type="dxa"/>
            <w:vAlign w:val="bottom"/>
            <w:tcBorders>
              <w:bottom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Agreement to be Amended:</w:t>
            </w:r>
          </w:p>
        </w:tc>
        <w:tc>
          <w:tcPr>
            <w:tcW w:w="778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Grant agreement between the Bill &amp; Melinda Gates Foundation and Dare Bioscience, Inc., effective</w:t>
            </w:r>
          </w:p>
        </w:tc>
        <w:tc>
          <w:tcPr>
            <w:tcW w:w="0" w:type="dxa"/>
            <w:vAlign w:val="bottom"/>
          </w:tcPr>
          <w:p>
            <w:pPr>
              <w:spacing w:after="0"/>
              <w:rPr>
                <w:sz w:val="1"/>
                <w:szCs w:val="1"/>
                <w:color w:val="auto"/>
              </w:rPr>
            </w:pPr>
          </w:p>
        </w:tc>
      </w:tr>
      <w:tr>
        <w:trPr>
          <w:trHeight w:val="190"/>
        </w:trPr>
        <w:tc>
          <w:tcPr>
            <w:tcW w:w="2900" w:type="dxa"/>
            <w:vAlign w:val="bottom"/>
            <w:tcBorders>
              <w:left w:val="single" w:sz="8" w:color="auto"/>
              <w:right w:val="single" w:sz="8" w:color="auto"/>
            </w:tcBorders>
            <w:vMerge w:val="continue"/>
          </w:tcPr>
          <w:p>
            <w:pPr>
              <w:spacing w:after="0"/>
              <w:rPr>
                <w:sz w:val="16"/>
                <w:szCs w:val="16"/>
                <w:color w:val="auto"/>
              </w:rPr>
            </w:pPr>
          </w:p>
        </w:tc>
        <w:tc>
          <w:tcPr>
            <w:tcW w:w="7780" w:type="dxa"/>
            <w:vAlign w:val="bottom"/>
            <w:tcBorders>
              <w:right w:val="single" w:sz="8" w:color="auto"/>
            </w:tcBorders>
            <w:gridSpan w:val="3"/>
          </w:tcPr>
          <w:p>
            <w:pPr>
              <w:ind w:left="60"/>
              <w:spacing w:after="0" w:line="189" w:lineRule="exact"/>
              <w:rPr>
                <w:sz w:val="20"/>
                <w:szCs w:val="20"/>
                <w:color w:val="auto"/>
              </w:rPr>
            </w:pPr>
            <w:r>
              <w:rPr>
                <w:rFonts w:ascii="Arial" w:cs="Arial" w:eastAsia="Arial" w:hAnsi="Arial"/>
                <w:sz w:val="17"/>
                <w:szCs w:val="17"/>
                <w:color w:val="auto"/>
              </w:rPr>
              <w:t>June 30, 2021, as amended, and bearing Investment</w:t>
            </w:r>
          </w:p>
        </w:tc>
        <w:tc>
          <w:tcPr>
            <w:tcW w:w="0" w:type="dxa"/>
            <w:vAlign w:val="bottom"/>
          </w:tcPr>
          <w:p>
            <w:pPr>
              <w:spacing w:after="0"/>
              <w:rPr>
                <w:sz w:val="1"/>
                <w:szCs w:val="1"/>
                <w:color w:val="auto"/>
              </w:rPr>
            </w:pPr>
          </w:p>
        </w:tc>
      </w:tr>
      <w:tr>
        <w:trPr>
          <w:trHeight w:val="227"/>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ID INV-026060</w:t>
            </w: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Amendment Purpose:</w:t>
            </w: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Payment &amp; Reporting Schedule Change</w:t>
            </w:r>
          </w:p>
        </w:tc>
        <w:tc>
          <w:tcPr>
            <w:tcW w:w="0" w:type="dxa"/>
            <w:vAlign w:val="bottom"/>
          </w:tcPr>
          <w:p>
            <w:pPr>
              <w:spacing w:after="0"/>
              <w:rPr>
                <w:sz w:val="1"/>
                <w:szCs w:val="1"/>
                <w:color w:val="auto"/>
              </w:rPr>
            </w:pPr>
          </w:p>
        </w:tc>
      </w:tr>
      <w:tr>
        <w:trPr>
          <w:trHeight w:val="22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“Amendment Date”</w:t>
            </w:r>
            <w:r>
              <w:rPr>
                <w:rFonts w:ascii="Arial" w:cs="Arial" w:eastAsia="Arial" w:hAnsi="Arial"/>
                <w:sz w:val="17"/>
                <w:szCs w:val="17"/>
                <w:color w:val="auto"/>
              </w:rPr>
              <w:t>:</w:t>
            </w:r>
          </w:p>
        </w:tc>
        <w:tc>
          <w:tcPr>
            <w:tcW w:w="7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Date of this email</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left="80" w:right="300"/>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jc w:val="both"/>
        <w:ind w:left="80" w:right="300"/>
        <w:spacing w:after="0" w:line="261"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 w:type="dxa"/>
            <w:vAlign w:val="bottom"/>
            <w:tcBorders>
              <w:right w:val="single" w:sz="8" w:color="auto"/>
            </w:tcBorders>
          </w:tcPr>
          <w:p>
            <w:pPr>
              <w:spacing w:after="0"/>
              <w:rPr>
                <w:sz w:val="20"/>
                <w:szCs w:val="20"/>
                <w:color w:val="auto"/>
              </w:rPr>
            </w:pPr>
          </w:p>
        </w:tc>
        <w:tc>
          <w:tcPr>
            <w:tcW w:w="5280" w:type="dxa"/>
            <w:vAlign w:val="bottom"/>
            <w:tcBorders>
              <w:top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7"/>
                <w:szCs w:val="17"/>
                <w:b w:val="1"/>
                <w:bCs w:val="1"/>
                <w:color w:val="auto"/>
              </w:rPr>
              <w:t>REPORTING &amp; PAYMENT SCHEDULE</w:t>
            </w:r>
          </w:p>
        </w:tc>
        <w:tc>
          <w:tcPr>
            <w:tcW w:w="20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212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1360" w:type="dxa"/>
            <w:vAlign w:val="bottom"/>
            <w:tcBorders>
              <w:top w:val="single" w:sz="8" w:color="auto"/>
              <w:bottom w:val="single" w:sz="8" w:color="auto"/>
              <w:right w:val="single" w:sz="8" w:color="C0C0C0"/>
            </w:tcBorders>
            <w:shd w:val="clear" w:color="auto" w:fill="C0C0C0"/>
          </w:tcPr>
          <w:p>
            <w:pPr>
              <w:spacing w:after="0"/>
              <w:rPr>
                <w:sz w:val="20"/>
                <w:szCs w:val="20"/>
                <w:color w:val="auto"/>
              </w:rPr>
            </w:pPr>
          </w:p>
        </w:tc>
        <w:tc>
          <w:tcPr>
            <w:tcW w:w="220" w:type="dxa"/>
            <w:vAlign w:val="bottom"/>
            <w:tcBorders>
              <w:top w:val="single" w:sz="8" w:color="auto"/>
              <w:bottom w:val="single" w:sz="8" w:color="auto"/>
            </w:tcBorders>
            <w:shd w:val="clear" w:color="auto" w:fill="C0C0C0"/>
          </w:tcPr>
          <w:p>
            <w:pPr>
              <w:spacing w:after="0"/>
              <w:rPr>
                <w:sz w:val="20"/>
                <w:szCs w:val="20"/>
                <w:color w:val="auto"/>
              </w:rPr>
            </w:pPr>
          </w:p>
        </w:tc>
        <w:tc>
          <w:tcPr>
            <w:tcW w:w="1540" w:type="dxa"/>
            <w:vAlign w:val="bottom"/>
            <w:tcBorders>
              <w:top w:val="single" w:sz="8" w:color="auto"/>
              <w:bottom w:val="single" w:sz="8" w:color="auto"/>
              <w:right w:val="single" w:sz="8" w:color="auto"/>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vMerge w:val="restart"/>
          </w:tcPr>
          <w:p>
            <w:pPr>
              <w:jc w:val="right"/>
              <w:ind w:right="539"/>
              <w:spacing w:after="0"/>
              <w:rPr>
                <w:sz w:val="20"/>
                <w:szCs w:val="20"/>
                <w:color w:val="auto"/>
              </w:rPr>
            </w:pPr>
            <w:r>
              <w:rPr>
                <w:rFonts w:ascii="Arial" w:cs="Arial" w:eastAsia="Arial" w:hAnsi="Arial"/>
                <w:sz w:val="16"/>
                <w:szCs w:val="16"/>
                <w:i w:val="1"/>
                <w:iCs w:val="1"/>
                <w:color w:val="auto"/>
              </w:rPr>
              <w:t>Investment Period</w:t>
            </w:r>
          </w:p>
        </w:tc>
        <w:tc>
          <w:tcPr>
            <w:tcW w:w="3260" w:type="dxa"/>
            <w:vAlign w:val="bottom"/>
          </w:tcPr>
          <w:p>
            <w:pPr>
              <w:ind w:left="220"/>
              <w:spacing w:after="0"/>
              <w:rPr>
                <w:sz w:val="20"/>
                <w:szCs w:val="20"/>
                <w:color w:val="auto"/>
              </w:rPr>
            </w:pPr>
            <w:r>
              <w:rPr>
                <w:rFonts w:ascii="Arial" w:cs="Arial" w:eastAsia="Arial" w:hAnsi="Arial"/>
                <w:sz w:val="16"/>
                <w:szCs w:val="16"/>
                <w:i w:val="1"/>
                <w:iCs w:val="1"/>
                <w:color w:val="auto"/>
                <w:w w:val="99"/>
              </w:rPr>
              <w:t>Target, Milestone, or Reporting Deliverable</w:t>
            </w:r>
          </w:p>
        </w:tc>
        <w:tc>
          <w:tcPr>
            <w:tcW w:w="2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vMerge w:val="restart"/>
          </w:tcPr>
          <w:p>
            <w:pPr>
              <w:ind w:left="780"/>
              <w:spacing w:after="0"/>
              <w:rPr>
                <w:sz w:val="20"/>
                <w:szCs w:val="20"/>
                <w:color w:val="auto"/>
              </w:rPr>
            </w:pPr>
            <w:r>
              <w:rPr>
                <w:rFonts w:ascii="Arial" w:cs="Arial" w:eastAsia="Arial" w:hAnsi="Arial"/>
                <w:sz w:val="16"/>
                <w:szCs w:val="16"/>
                <w:i w:val="1"/>
                <w:iCs w:val="1"/>
                <w:color w:val="auto"/>
              </w:rPr>
              <w:t>Due By</w:t>
            </w:r>
          </w:p>
        </w:tc>
        <w:tc>
          <w:tcPr>
            <w:tcW w:w="1360" w:type="dxa"/>
            <w:vAlign w:val="bottom"/>
            <w:tcBorders>
              <w:right w:val="single" w:sz="8" w:color="auto"/>
            </w:tcBorders>
          </w:tcPr>
          <w:p>
            <w:pPr>
              <w:jc w:val="center"/>
              <w:ind w:right="300"/>
              <w:spacing w:after="0"/>
              <w:rPr>
                <w:sz w:val="20"/>
                <w:szCs w:val="20"/>
                <w:color w:val="auto"/>
              </w:rPr>
            </w:pPr>
            <w:r>
              <w:rPr>
                <w:rFonts w:ascii="Arial" w:cs="Arial" w:eastAsia="Arial" w:hAnsi="Arial"/>
                <w:sz w:val="16"/>
                <w:szCs w:val="16"/>
                <w:i w:val="1"/>
                <w:iCs w:val="1"/>
                <w:color w:val="auto"/>
                <w:w w:val="98"/>
              </w:rPr>
              <w:t>Payment</w:t>
            </w:r>
          </w:p>
        </w:tc>
        <w:tc>
          <w:tcPr>
            <w:tcW w:w="220" w:type="dxa"/>
            <w:vAlign w:val="bottom"/>
          </w:tcPr>
          <w:p>
            <w:pPr>
              <w:spacing w:after="0"/>
              <w:rPr>
                <w:sz w:val="19"/>
                <w:szCs w:val="19"/>
                <w:color w:val="auto"/>
              </w:rPr>
            </w:pPr>
          </w:p>
        </w:tc>
        <w:tc>
          <w:tcPr>
            <w:tcW w:w="154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i w:val="1"/>
                <w:iCs w:val="1"/>
                <w:color w:val="auto"/>
              </w:rPr>
              <w:t>Payment Amount</w:t>
            </w: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ind w:right="300"/>
              <w:spacing w:after="0"/>
              <w:rPr>
                <w:sz w:val="20"/>
                <w:szCs w:val="20"/>
                <w:color w:val="auto"/>
              </w:rPr>
            </w:pPr>
            <w:r>
              <w:rPr>
                <w:rFonts w:ascii="Arial" w:cs="Arial" w:eastAsia="Arial" w:hAnsi="Arial"/>
                <w:sz w:val="16"/>
                <w:szCs w:val="16"/>
                <w:i w:val="1"/>
                <w:iCs w:val="1"/>
                <w:color w:val="auto"/>
              </w:rPr>
              <w:t>Date</w:t>
            </w:r>
          </w:p>
        </w:tc>
        <w:tc>
          <w:tcPr>
            <w:tcW w:w="1760" w:type="dxa"/>
            <w:vAlign w:val="bottom"/>
            <w:tcBorders>
              <w:right w:val="single" w:sz="8" w:color="auto"/>
            </w:tcBorders>
            <w:gridSpan w:val="2"/>
            <w:vMerge w:val="restart"/>
          </w:tcPr>
          <w:p>
            <w:pPr>
              <w:jc w:val="right"/>
              <w:ind w:right="108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100" w:type="dxa"/>
            <w:vAlign w:val="bottom"/>
            <w:tcBorders>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shd w:val="clear" w:color="auto" w:fill="D9D9D9"/>
          </w:tcPr>
          <w:p>
            <w:pPr>
              <w:spacing w:after="0"/>
              <w:rPr>
                <w:sz w:val="21"/>
                <w:szCs w:val="21"/>
                <w:color w:val="auto"/>
              </w:rPr>
            </w:pP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Countersigned Agreement</w:t>
            </w:r>
          </w:p>
        </w:tc>
        <w:tc>
          <w:tcPr>
            <w:tcW w:w="2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shd w:val="clear" w:color="auto" w:fill="D9D9D9"/>
          </w:tcPr>
          <w:p>
            <w:pPr>
              <w:spacing w:after="0"/>
              <w:rPr>
                <w:sz w:val="21"/>
                <w:szCs w:val="21"/>
                <w:color w:val="auto"/>
              </w:rPr>
            </w:pPr>
          </w:p>
        </w:tc>
        <w:tc>
          <w:tcPr>
            <w:tcW w:w="1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rPr>
              <w:t>July 2021</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$11,453,099.00</w:t>
            </w:r>
          </w:p>
        </w:tc>
        <w:tc>
          <w:tcPr>
            <w:tcW w:w="0" w:type="dxa"/>
            <w:vAlign w:val="bottom"/>
          </w:tcPr>
          <w:p>
            <w:pPr>
              <w:spacing w:after="0"/>
              <w:rPr>
                <w:sz w:val="1"/>
                <w:szCs w:val="1"/>
                <w:color w:val="auto"/>
              </w:rPr>
            </w:pPr>
          </w:p>
        </w:tc>
      </w:tr>
      <w:tr>
        <w:trPr>
          <w:trHeight w:val="239"/>
        </w:trPr>
        <w:tc>
          <w:tcPr>
            <w:tcW w:w="100" w:type="dxa"/>
            <w:vAlign w:val="bottom"/>
            <w:tcBorders>
              <w:right w:val="single" w:sz="8" w:color="auto"/>
            </w:tcBorders>
          </w:tcPr>
          <w:p>
            <w:pPr>
              <w:spacing w:after="0"/>
              <w:rPr>
                <w:sz w:val="20"/>
                <w:szCs w:val="20"/>
                <w:color w:val="auto"/>
              </w:rPr>
            </w:pPr>
          </w:p>
        </w:tc>
        <w:tc>
          <w:tcPr>
            <w:tcW w:w="2020" w:type="dxa"/>
            <w:vAlign w:val="bottom"/>
            <w:tcBorders>
              <w:bottom w:val="single" w:sz="8" w:color="D9D9D9"/>
              <w:right w:val="single" w:sz="8" w:color="auto"/>
            </w:tcBorders>
            <w:shd w:val="clear" w:color="auto" w:fill="D9D9D9"/>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20"/>
                <w:szCs w:val="20"/>
                <w:color w:val="auto"/>
              </w:rPr>
            </w:pPr>
          </w:p>
        </w:tc>
        <w:tc>
          <w:tcPr>
            <w:tcW w:w="2120" w:type="dxa"/>
            <w:vAlign w:val="bottom"/>
            <w:tcBorders>
              <w:bottom w:val="single" w:sz="8" w:color="D9D9D9"/>
              <w:right w:val="single" w:sz="8" w:color="auto"/>
            </w:tcBorders>
            <w:shd w:val="clear" w:color="auto" w:fill="D9D9D9"/>
          </w:tcPr>
          <w:p>
            <w:pPr>
              <w:spacing w:after="0"/>
              <w:rPr>
                <w:sz w:val="20"/>
                <w:szCs w:val="20"/>
                <w:color w:val="auto"/>
              </w:rPr>
            </w:pPr>
          </w:p>
        </w:tc>
        <w:tc>
          <w:tcPr>
            <w:tcW w:w="1360" w:type="dxa"/>
            <w:vAlign w:val="bottom"/>
            <w:tcBorders>
              <w:bottom w:val="single" w:sz="8" w:color="D9D9D9"/>
              <w:right w:val="single" w:sz="8" w:color="auto"/>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1540" w:type="dxa"/>
            <w:vAlign w:val="bottom"/>
            <w:tcBorders>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202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p>
        </w:tc>
        <w:tc>
          <w:tcPr>
            <w:tcW w:w="3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p>
        </w:tc>
        <w:tc>
          <w:tcPr>
            <w:tcW w:w="136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p>
        </w:tc>
        <w:tc>
          <w:tcPr>
            <w:tcW w:w="220" w:type="dxa"/>
            <w:vAlign w:val="bottom"/>
            <w:tcBorders>
              <w:top w:val="single" w:sz="8" w:color="auto"/>
              <w:bottom w:val="single" w:sz="8" w:color="D9D9D9"/>
            </w:tcBorders>
            <w:shd w:val="clear" w:color="auto" w:fill="D9D9D9"/>
          </w:tcPr>
          <w:p>
            <w:pPr>
              <w:spacing w:after="0"/>
              <w:rPr>
                <w:sz w:val="20"/>
                <w:szCs w:val="20"/>
                <w:color w:val="auto"/>
              </w:rPr>
            </w:pPr>
          </w:p>
        </w:tc>
        <w:tc>
          <w:tcPr>
            <w:tcW w:w="154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top w:val="single" w:sz="8" w:color="auto"/>
              <w:right w:val="single" w:sz="8" w:color="auto"/>
            </w:tcBorders>
            <w:shd w:val="clear" w:color="auto" w:fill="D9D9D9"/>
          </w:tcPr>
          <w:p>
            <w:pPr>
              <w:spacing w:after="0"/>
              <w:rPr>
                <w:sz w:val="17"/>
                <w:szCs w:val="17"/>
                <w:color w:val="auto"/>
              </w:rPr>
            </w:pPr>
          </w:p>
        </w:tc>
        <w:tc>
          <w:tcPr>
            <w:tcW w:w="3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right w:val="single" w:sz="8" w:color="auto"/>
            </w:tcBorders>
          </w:tcPr>
          <w:p>
            <w:pPr>
              <w:spacing w:after="0"/>
              <w:rPr>
                <w:sz w:val="17"/>
                <w:szCs w:val="17"/>
                <w:color w:val="auto"/>
              </w:rPr>
            </w:pPr>
          </w:p>
        </w:tc>
        <w:tc>
          <w:tcPr>
            <w:tcW w:w="2120" w:type="dxa"/>
            <w:vAlign w:val="bottom"/>
            <w:tcBorders>
              <w:top w:val="single" w:sz="8" w:color="auto"/>
              <w:right w:val="single" w:sz="8" w:color="auto"/>
            </w:tcBorders>
            <w:shd w:val="clear" w:color="auto" w:fill="D9D9D9"/>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shd w:val="clear" w:color="auto" w:fill="D9D9D9"/>
          </w:tcPr>
          <w:p>
            <w:pPr>
              <w:spacing w:after="0"/>
              <w:rPr>
                <w:sz w:val="21"/>
                <w:szCs w:val="21"/>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shd w:val="clear" w:color="auto" w:fill="D9D9D9"/>
          </w:tcPr>
          <w:p>
            <w:pPr>
              <w:spacing w:after="0"/>
              <w:rPr>
                <w:sz w:val="21"/>
                <w:szCs w:val="21"/>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July 2022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7,960,608.00</w:t>
            </w:r>
          </w:p>
        </w:tc>
        <w:tc>
          <w:tcPr>
            <w:tcW w:w="0" w:type="dxa"/>
            <w:vAlign w:val="bottom"/>
          </w:tcPr>
          <w:p>
            <w:pPr>
              <w:spacing w:after="0"/>
              <w:rPr>
                <w:sz w:val="1"/>
                <w:szCs w:val="1"/>
                <w:color w:val="auto"/>
              </w:rPr>
            </w:pPr>
          </w:p>
        </w:tc>
      </w:tr>
      <w:tr>
        <w:trPr>
          <w:trHeight w:val="102"/>
        </w:trPr>
        <w:tc>
          <w:tcPr>
            <w:tcW w:w="10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shd w:val="clear" w:color="auto" w:fill="D9D9D9"/>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D9D9D9"/>
              <w:right w:val="single" w:sz="8" w:color="auto"/>
            </w:tcBorders>
            <w:shd w:val="clear" w:color="auto" w:fill="D9D9D9"/>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1599"/>
              <w:spacing w:after="0"/>
              <w:rPr>
                <w:sz w:val="20"/>
                <w:szCs w:val="20"/>
                <w:color w:val="auto"/>
              </w:rPr>
            </w:pPr>
            <w:r>
              <w:rPr>
                <w:rFonts w:ascii="Arial" w:cs="Arial" w:eastAsia="Arial" w:hAnsi="Arial"/>
                <w:sz w:val="16"/>
                <w:szCs w:val="16"/>
                <w:color w:val="auto"/>
              </w:rPr>
              <w:t>[***]</w:t>
            </w: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bottom w:val="single" w:sz="8" w:color="D9D9D9"/>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1599"/>
              <w:spacing w:after="0"/>
              <w:rPr>
                <w:sz w:val="20"/>
                <w:szCs w:val="20"/>
                <w:color w:val="auto"/>
              </w:rPr>
            </w:pPr>
            <w:r>
              <w:rPr>
                <w:rFonts w:ascii="Arial" w:cs="Arial" w:eastAsia="Arial" w:hAnsi="Arial"/>
                <w:sz w:val="16"/>
                <w:szCs w:val="16"/>
                <w:color w:val="auto"/>
              </w:rPr>
              <w:t>[***]</w:t>
            </w: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 w:type="dxa"/>
            <w:vAlign w:val="bottom"/>
            <w:tcBorders>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bottom w:val="single" w:sz="8" w:color="D9D9D9"/>
              <w:right w:val="single" w:sz="8" w:color="auto"/>
            </w:tcBorders>
            <w:shd w:val="clear" w:color="auto" w:fill="D9D9D9"/>
          </w:tcPr>
          <w:p>
            <w:pPr>
              <w:spacing w:after="0"/>
              <w:rPr>
                <w:sz w:val="2"/>
                <w:szCs w:val="2"/>
                <w:color w:val="auto"/>
              </w:rPr>
            </w:pPr>
          </w:p>
        </w:tc>
        <w:tc>
          <w:tcPr>
            <w:tcW w:w="220" w:type="dxa"/>
            <w:vAlign w:val="bottom"/>
            <w:tcBorders>
              <w:bottom w:val="single" w:sz="8" w:color="D9D9D9"/>
            </w:tcBorders>
            <w:shd w:val="clear" w:color="auto" w:fill="D9D9D9"/>
          </w:tcPr>
          <w:p>
            <w:pPr>
              <w:spacing w:after="0"/>
              <w:rPr>
                <w:sz w:val="2"/>
                <w:szCs w:val="2"/>
                <w:color w:val="auto"/>
              </w:rPr>
            </w:pPr>
          </w:p>
        </w:tc>
        <w:tc>
          <w:tcPr>
            <w:tcW w:w="1540" w:type="dxa"/>
            <w:vAlign w:val="bottom"/>
            <w:tcBorders>
              <w:bottom w:val="single" w:sz="8" w:color="D9D9D9"/>
              <w:right w:val="single" w:sz="8" w:color="auto"/>
            </w:tcBorders>
            <w:shd w:val="clear" w:color="auto" w:fill="D9D9D9"/>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bottom w:val="single" w:sz="8" w:color="D9D9D9"/>
              <w:right w:val="single" w:sz="8" w:color="auto"/>
            </w:tcBorders>
            <w:shd w:val="clear" w:color="auto" w:fill="D9D9D9"/>
          </w:tcPr>
          <w:p>
            <w:pPr>
              <w:spacing w:after="0"/>
              <w:rPr>
                <w:sz w:val="12"/>
                <w:szCs w:val="12"/>
                <w:color w:val="auto"/>
              </w:rPr>
            </w:pPr>
          </w:p>
        </w:tc>
        <w:tc>
          <w:tcPr>
            <w:tcW w:w="220" w:type="dxa"/>
            <w:vAlign w:val="bottom"/>
            <w:tcBorders>
              <w:bottom w:val="single" w:sz="8" w:color="D9D9D9"/>
            </w:tcBorders>
            <w:shd w:val="clear" w:color="auto" w:fill="D9D9D9"/>
          </w:tcPr>
          <w:p>
            <w:pPr>
              <w:spacing w:after="0"/>
              <w:rPr>
                <w:sz w:val="12"/>
                <w:szCs w:val="12"/>
                <w:color w:val="auto"/>
              </w:rPr>
            </w:pPr>
          </w:p>
        </w:tc>
        <w:tc>
          <w:tcPr>
            <w:tcW w:w="154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shd w:val="clear" w:color="auto" w:fill="D9D9D9"/>
          </w:tcPr>
          <w:p>
            <w:pPr>
              <w:spacing w:after="0"/>
              <w:rPr>
                <w:sz w:val="12"/>
                <w:szCs w:val="12"/>
                <w:color w:val="auto"/>
              </w:rPr>
            </w:pPr>
          </w:p>
        </w:tc>
        <w:tc>
          <w:tcPr>
            <w:tcW w:w="220" w:type="dxa"/>
            <w:vAlign w:val="bottom"/>
            <w:tcBorders>
              <w:bottom w:val="single" w:sz="8" w:color="auto"/>
            </w:tcBorders>
            <w:shd w:val="clear" w:color="auto" w:fill="D9D9D9"/>
          </w:tcPr>
          <w:p>
            <w:pPr>
              <w:spacing w:after="0"/>
              <w:rPr>
                <w:sz w:val="12"/>
                <w:szCs w:val="12"/>
                <w:color w:val="auto"/>
              </w:rPr>
            </w:pPr>
          </w:p>
        </w:tc>
        <w:tc>
          <w:tcPr>
            <w:tcW w:w="154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jc w:val="center"/>
              <w:ind w:right="300"/>
              <w:spacing w:after="0"/>
              <w:rPr>
                <w:sz w:val="20"/>
                <w:szCs w:val="20"/>
                <w:color w:val="auto"/>
              </w:rPr>
            </w:pPr>
            <w:r>
              <w:rPr>
                <w:rFonts w:ascii="Arial" w:cs="Arial" w:eastAsia="Arial" w:hAnsi="Arial"/>
                <w:sz w:val="16"/>
                <w:szCs w:val="16"/>
                <w:color w:val="auto"/>
              </w:rPr>
              <w:t>November</w:t>
            </w:r>
          </w:p>
        </w:tc>
        <w:tc>
          <w:tcPr>
            <w:tcW w:w="220" w:type="dxa"/>
            <w:vAlign w:val="bottom"/>
          </w:tcPr>
          <w:p>
            <w:pPr>
              <w:spacing w:after="0"/>
              <w:rPr>
                <w:sz w:val="17"/>
                <w:szCs w:val="17"/>
                <w:color w:val="auto"/>
              </w:rPr>
            </w:pP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$4,436,204.00</w:t>
            </w:r>
          </w:p>
        </w:tc>
        <w:tc>
          <w:tcPr>
            <w:tcW w:w="0" w:type="dxa"/>
            <w:vAlign w:val="bottom"/>
          </w:tcPr>
          <w:p>
            <w:pPr>
              <w:spacing w:after="0"/>
              <w:rPr>
                <w:sz w:val="1"/>
                <w:szCs w:val="1"/>
                <w:color w:val="auto"/>
              </w:rPr>
            </w:pPr>
          </w:p>
        </w:tc>
      </w:tr>
      <w:tr>
        <w:trPr>
          <w:trHeight w:val="217"/>
        </w:trPr>
        <w:tc>
          <w:tcPr>
            <w:tcW w:w="1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shd w:val="clear" w:color="auto" w:fill="D9D9D9"/>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2120" w:type="dxa"/>
            <w:vAlign w:val="bottom"/>
            <w:tcBorders>
              <w:right w:val="single" w:sz="8" w:color="auto"/>
            </w:tcBorders>
            <w:shd w:val="clear" w:color="auto" w:fill="D9D9D9"/>
          </w:tcPr>
          <w:p>
            <w:pPr>
              <w:spacing w:after="0"/>
              <w:rPr>
                <w:sz w:val="18"/>
                <w:szCs w:val="18"/>
                <w:color w:val="auto"/>
              </w:rPr>
            </w:pPr>
          </w:p>
        </w:tc>
        <w:tc>
          <w:tcPr>
            <w:tcW w:w="1360" w:type="dxa"/>
            <w:vAlign w:val="bottom"/>
            <w:tcBorders>
              <w:right w:val="single" w:sz="8" w:color="auto"/>
            </w:tcBorders>
          </w:tcPr>
          <w:p>
            <w:pPr>
              <w:jc w:val="center"/>
              <w:ind w:right="300"/>
              <w:spacing w:after="0"/>
              <w:rPr>
                <w:sz w:val="20"/>
                <w:szCs w:val="20"/>
                <w:color w:val="auto"/>
              </w:rPr>
            </w:pPr>
            <w:r>
              <w:rPr>
                <w:rFonts w:ascii="Arial" w:cs="Arial" w:eastAsia="Arial" w:hAnsi="Arial"/>
                <w:sz w:val="16"/>
                <w:szCs w:val="16"/>
                <w:color w:val="auto"/>
                <w:w w:val="95"/>
              </w:rPr>
              <w:t>2022</w:t>
            </w:r>
          </w:p>
        </w:tc>
        <w:tc>
          <w:tcPr>
            <w:tcW w:w="2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120" w:type="dxa"/>
            <w:vAlign w:val="bottom"/>
            <w:gridSpan w:val="2"/>
          </w:tcPr>
          <w:p>
            <w:pPr>
              <w:jc w:val="right"/>
              <w:ind w:right="259"/>
              <w:spacing w:after="0"/>
              <w:rPr>
                <w:sz w:val="20"/>
                <w:szCs w:val="20"/>
                <w:color w:val="auto"/>
              </w:rPr>
            </w:pPr>
            <w:r>
              <w:rPr>
                <w:rFonts w:ascii="Arial" w:cs="Arial" w:eastAsia="Arial" w:hAnsi="Arial"/>
                <w:sz w:val="15"/>
                <w:szCs w:val="15"/>
                <w:color w:val="auto"/>
                <w:w w:val="99"/>
              </w:rPr>
              <w:t>Investment ID INV-026060</w:t>
            </w:r>
          </w:p>
        </w:tc>
        <w:tc>
          <w:tcPr>
            <w:tcW w:w="326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Arial" w:cs="Arial" w:eastAsia="Arial" w:hAnsi="Arial"/>
                <w:sz w:val="15"/>
                <w:szCs w:val="15"/>
                <w:color w:val="auto"/>
              </w:rPr>
              <w:t>1 of 3</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440" w:right="339" w:bottom="1440" w:gutter="0" w:footer="0" w:header="0"/>
        </w:sectPr>
      </w:pPr>
    </w:p>
    <w:bookmarkStart w:id="213" w:name="page214"/>
    <w:bookmarkEnd w:id="213"/>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Borders>
              <w:right w:val="single" w:sz="8" w:color="auto"/>
            </w:tcBorders>
          </w:tcPr>
          <w:p>
            <w:pPr>
              <w:spacing w:after="0"/>
              <w:rPr>
                <w:sz w:val="19"/>
                <w:szCs w:val="19"/>
                <w:color w:val="auto"/>
              </w:rPr>
            </w:pPr>
          </w:p>
        </w:tc>
        <w:tc>
          <w:tcPr>
            <w:tcW w:w="2020" w:type="dxa"/>
            <w:vAlign w:val="bottom"/>
            <w:tcBorders>
              <w:top w:val="single" w:sz="8" w:color="auto"/>
              <w:right w:val="single" w:sz="8" w:color="auto"/>
            </w:tcBorders>
            <w:shd w:val="clear" w:color="auto" w:fill="D9D9D9"/>
          </w:tcPr>
          <w:p>
            <w:pPr>
              <w:spacing w:after="0"/>
              <w:rPr>
                <w:sz w:val="19"/>
                <w:szCs w:val="19"/>
                <w:color w:val="auto"/>
              </w:rPr>
            </w:pPr>
          </w:p>
        </w:tc>
        <w:tc>
          <w:tcPr>
            <w:tcW w:w="1800" w:type="dxa"/>
            <w:vAlign w:val="bottom"/>
            <w:tcBorders>
              <w:top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shd w:val="clear" w:color="auto" w:fill="D9D9D9"/>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vMerge w:val="restart"/>
          </w:tcPr>
          <w:p>
            <w:pPr>
              <w:jc w:val="center"/>
              <w:ind w:right="140"/>
              <w:spacing w:after="0"/>
              <w:rPr>
                <w:sz w:val="20"/>
                <w:szCs w:val="20"/>
                <w:color w:val="auto"/>
              </w:rPr>
            </w:pPr>
            <w:r>
              <w:rPr>
                <w:rFonts w:ascii="Arial" w:cs="Arial" w:eastAsia="Arial" w:hAnsi="Arial"/>
                <w:sz w:val="16"/>
                <w:szCs w:val="16"/>
                <w:color w:val="auto"/>
                <w:w w:val="99"/>
              </w:rPr>
              <w:t>September</w:t>
            </w:r>
          </w:p>
        </w:tc>
        <w:tc>
          <w:tcPr>
            <w:tcW w:w="4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shd w:val="clear" w:color="auto" w:fill="D9D9D9"/>
          </w:tcPr>
          <w:p>
            <w:pPr>
              <w:spacing w:after="0"/>
              <w:rPr>
                <w:sz w:val="12"/>
                <w:szCs w:val="12"/>
                <w:color w:val="auto"/>
              </w:rPr>
            </w:pPr>
          </w:p>
        </w:tc>
        <w:tc>
          <w:tcPr>
            <w:tcW w:w="1800" w:type="dxa"/>
            <w:vAlign w:val="bottom"/>
          </w:tcPr>
          <w:p>
            <w:pPr>
              <w:jc w:val="right"/>
              <w:ind w:right="1400"/>
              <w:spacing w:after="0" w:line="145" w:lineRule="exact"/>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420" w:type="dxa"/>
            <w:vAlign w:val="bottom"/>
            <w:vMerge w:val="restart"/>
          </w:tcPr>
          <w:p>
            <w:pPr>
              <w:jc w:val="right"/>
              <w:ind w:right="240"/>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4,500,000.00</w:t>
            </w:r>
          </w:p>
        </w:tc>
        <w:tc>
          <w:tcPr>
            <w:tcW w:w="0" w:type="dxa"/>
            <w:vAlign w:val="bottom"/>
          </w:tcPr>
          <w:p>
            <w:pPr>
              <w:spacing w:after="0"/>
              <w:rPr>
                <w:sz w:val="1"/>
                <w:szCs w:val="1"/>
                <w:color w:val="auto"/>
              </w:rPr>
            </w:pPr>
          </w:p>
        </w:tc>
      </w:tr>
      <w:tr>
        <w:trPr>
          <w:trHeight w:val="113"/>
        </w:trPr>
        <w:tc>
          <w:tcPr>
            <w:tcW w:w="1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shd w:val="clear" w:color="auto" w:fill="D9D9D9"/>
          </w:tcPr>
          <w:p>
            <w:pPr>
              <w:spacing w:after="0"/>
              <w:rPr>
                <w:sz w:val="9"/>
                <w:szCs w:val="9"/>
                <w:color w:val="auto"/>
              </w:rPr>
            </w:pPr>
          </w:p>
        </w:tc>
        <w:tc>
          <w:tcPr>
            <w:tcW w:w="1800" w:type="dxa"/>
            <w:vAlign w:val="bottom"/>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shd w:val="clear" w:color="auto" w:fill="D9D9D9"/>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2023</w:t>
            </w:r>
          </w:p>
        </w:tc>
        <w:tc>
          <w:tcPr>
            <w:tcW w:w="42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00" w:type="dxa"/>
            <w:vAlign w:val="bottom"/>
            <w:tcBorders>
              <w:right w:val="single" w:sz="8" w:color="auto"/>
            </w:tcBorders>
          </w:tcPr>
          <w:p>
            <w:pPr>
              <w:spacing w:after="0"/>
              <w:rPr>
                <w:sz w:val="7"/>
                <w:szCs w:val="7"/>
                <w:color w:val="auto"/>
              </w:rPr>
            </w:pPr>
          </w:p>
        </w:tc>
        <w:tc>
          <w:tcPr>
            <w:tcW w:w="2020" w:type="dxa"/>
            <w:vAlign w:val="bottom"/>
            <w:tcBorders>
              <w:bottom w:val="single" w:sz="8" w:color="D9D9D9"/>
              <w:right w:val="single" w:sz="8" w:color="auto"/>
            </w:tcBorders>
            <w:shd w:val="clear" w:color="auto" w:fill="D9D9D9"/>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D9D9D9"/>
              <w:right w:val="single" w:sz="8" w:color="auto"/>
            </w:tcBorders>
            <w:shd w:val="clear" w:color="auto" w:fill="D9D9D9"/>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shd w:val="clear" w:color="auto" w:fill="D9D9D9"/>
          </w:tcPr>
          <w:p>
            <w:pPr>
              <w:spacing w:after="0"/>
              <w:rPr>
                <w:sz w:val="17"/>
                <w:szCs w:val="17"/>
                <w:color w:val="auto"/>
              </w:rPr>
            </w:pP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shd w:val="clear" w:color="auto" w:fill="D9D9D9"/>
          </w:tcPr>
          <w:p>
            <w:pPr>
              <w:spacing w:after="0"/>
              <w:rPr>
                <w:sz w:val="17"/>
                <w:szCs w:val="17"/>
                <w:color w:val="auto"/>
              </w:rPr>
            </w:pPr>
          </w:p>
        </w:tc>
        <w:tc>
          <w:tcPr>
            <w:tcW w:w="1360" w:type="dxa"/>
            <w:vAlign w:val="bottom"/>
            <w:tcBorders>
              <w:bottom w:val="single" w:sz="8" w:color="auto"/>
              <w:right w:val="single" w:sz="8" w:color="auto"/>
            </w:tcBorders>
            <w:shd w:val="clear" w:color="auto" w:fill="D9D9D9"/>
          </w:tcPr>
          <w:p>
            <w:pPr>
              <w:spacing w:after="0"/>
              <w:rPr>
                <w:sz w:val="17"/>
                <w:szCs w:val="17"/>
                <w:color w:val="auto"/>
              </w:rPr>
            </w:pPr>
          </w:p>
        </w:tc>
        <w:tc>
          <w:tcPr>
            <w:tcW w:w="420" w:type="dxa"/>
            <w:vAlign w:val="bottom"/>
            <w:tcBorders>
              <w:bottom w:val="single" w:sz="8" w:color="auto"/>
            </w:tcBorders>
            <w:shd w:val="clear" w:color="auto" w:fill="D9D9D9"/>
          </w:tcPr>
          <w:p>
            <w:pPr>
              <w:spacing w:after="0"/>
              <w:rPr>
                <w:sz w:val="17"/>
                <w:szCs w:val="17"/>
                <w:color w:val="auto"/>
              </w:rPr>
            </w:pPr>
          </w:p>
        </w:tc>
        <w:tc>
          <w:tcPr>
            <w:tcW w:w="134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shd w:val="clear" w:color="auto" w:fill="D9D9D9"/>
          </w:tcPr>
          <w:p>
            <w:pPr>
              <w:spacing w:after="0"/>
              <w:rPr>
                <w:sz w:val="18"/>
                <w:szCs w:val="18"/>
                <w:color w:val="auto"/>
              </w:rPr>
            </w:pP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c>
          <w:tcPr>
            <w:tcW w:w="42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spacing w:after="0"/>
              <w:rPr>
                <w:sz w:val="18"/>
                <w:szCs w:val="18"/>
                <w:color w:val="auto"/>
              </w:rPr>
            </w:pP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shd w:val="clear" w:color="auto" w:fill="D9D9D9"/>
          </w:tcPr>
          <w:p>
            <w:pPr>
              <w:spacing w:after="0"/>
              <w:rPr>
                <w:sz w:val="18"/>
                <w:szCs w:val="18"/>
                <w:color w:val="auto"/>
              </w:rPr>
            </w:pP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c>
          <w:tcPr>
            <w:tcW w:w="42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color w:val="auto"/>
              </w:rPr>
              <w:t>April 2024</w:t>
            </w:r>
          </w:p>
        </w:tc>
        <w:tc>
          <w:tcPr>
            <w:tcW w:w="420" w:type="dxa"/>
            <w:vAlign w:val="bottom"/>
            <w:vMerge w:val="restart"/>
          </w:tcPr>
          <w:p>
            <w:pPr>
              <w:jc w:val="right"/>
              <w:ind w:right="240"/>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D9D9D9"/>
              <w:right w:val="single" w:sz="8" w:color="auto"/>
            </w:tcBorders>
            <w:shd w:val="clear" w:color="auto" w:fill="D9D9D9"/>
          </w:tcPr>
          <w:p>
            <w:pPr>
              <w:spacing w:after="0"/>
              <w:rPr>
                <w:sz w:val="2"/>
                <w:szCs w:val="2"/>
                <w:color w:val="auto"/>
              </w:rPr>
            </w:pPr>
          </w:p>
        </w:tc>
        <w:tc>
          <w:tcPr>
            <w:tcW w:w="1360" w:type="dxa"/>
            <w:vAlign w:val="bottom"/>
            <w:tcBorders>
              <w:right w:val="single" w:sz="8" w:color="auto"/>
            </w:tcBorders>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34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D9D9D9"/>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D9D9D9"/>
              <w:right w:val="single" w:sz="8" w:color="auto"/>
            </w:tcBorders>
            <w:shd w:val="clear" w:color="auto" w:fill="D9D9D9"/>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shd w:val="clear" w:color="auto" w:fill="D9D9D9"/>
          </w:tcPr>
          <w:p>
            <w:pPr>
              <w:spacing w:after="0"/>
              <w:rPr>
                <w:sz w:val="17"/>
                <w:szCs w:val="17"/>
                <w:color w:val="auto"/>
              </w:rPr>
            </w:pP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shd w:val="clear" w:color="auto" w:fill="D9D9D9"/>
          </w:tcPr>
          <w:p>
            <w:pPr>
              <w:spacing w:after="0"/>
              <w:rPr>
                <w:sz w:val="17"/>
                <w:szCs w:val="17"/>
                <w:color w:val="auto"/>
              </w:rPr>
            </w:pPr>
          </w:p>
        </w:tc>
        <w:tc>
          <w:tcPr>
            <w:tcW w:w="1360" w:type="dxa"/>
            <w:vAlign w:val="bottom"/>
            <w:tcBorders>
              <w:bottom w:val="single" w:sz="8" w:color="auto"/>
              <w:right w:val="single" w:sz="8" w:color="auto"/>
            </w:tcBorders>
            <w:shd w:val="clear" w:color="auto" w:fill="D9D9D9"/>
          </w:tcPr>
          <w:p>
            <w:pPr>
              <w:spacing w:after="0"/>
              <w:rPr>
                <w:sz w:val="17"/>
                <w:szCs w:val="17"/>
                <w:color w:val="auto"/>
              </w:rPr>
            </w:pPr>
          </w:p>
        </w:tc>
        <w:tc>
          <w:tcPr>
            <w:tcW w:w="420" w:type="dxa"/>
            <w:vAlign w:val="bottom"/>
            <w:tcBorders>
              <w:bottom w:val="single" w:sz="8" w:color="auto"/>
            </w:tcBorders>
            <w:shd w:val="clear" w:color="auto" w:fill="D9D9D9"/>
          </w:tcPr>
          <w:p>
            <w:pPr>
              <w:spacing w:after="0"/>
              <w:rPr>
                <w:sz w:val="17"/>
                <w:szCs w:val="17"/>
                <w:color w:val="auto"/>
              </w:rPr>
            </w:pPr>
          </w:p>
        </w:tc>
        <w:tc>
          <w:tcPr>
            <w:tcW w:w="134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shd w:val="clear" w:color="auto" w:fill="D9D9D9"/>
          </w:tcPr>
          <w:p>
            <w:pPr>
              <w:spacing w:after="0"/>
              <w:rPr>
                <w:sz w:val="16"/>
                <w:szCs w:val="16"/>
                <w:color w:val="auto"/>
              </w:rPr>
            </w:pPr>
          </w:p>
        </w:tc>
        <w:tc>
          <w:tcPr>
            <w:tcW w:w="1360" w:type="dxa"/>
            <w:vAlign w:val="bottom"/>
            <w:tcBorders>
              <w:right w:val="single" w:sz="8" w:color="auto"/>
            </w:tcBorders>
          </w:tcPr>
          <w:p>
            <w:pPr>
              <w:jc w:val="center"/>
              <w:ind w:right="140"/>
              <w:spacing w:after="0"/>
              <w:rPr>
                <w:sz w:val="20"/>
                <w:szCs w:val="20"/>
                <w:color w:val="auto"/>
              </w:rPr>
            </w:pPr>
            <w:r>
              <w:rPr>
                <w:rFonts w:ascii="Arial" w:cs="Arial" w:eastAsia="Arial" w:hAnsi="Arial"/>
                <w:sz w:val="16"/>
                <w:szCs w:val="16"/>
                <w:color w:val="auto"/>
              </w:rPr>
              <w:t>November</w:t>
            </w:r>
          </w:p>
        </w:tc>
        <w:tc>
          <w:tcPr>
            <w:tcW w:w="420" w:type="dxa"/>
            <w:vAlign w:val="bottom"/>
            <w:vMerge w:val="restart"/>
          </w:tcPr>
          <w:p>
            <w:pPr>
              <w:jc w:val="right"/>
              <w:ind w:right="240"/>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2,500,000.00</w:t>
            </w:r>
          </w:p>
        </w:tc>
        <w:tc>
          <w:tcPr>
            <w:tcW w:w="0" w:type="dxa"/>
            <w:vAlign w:val="bottom"/>
          </w:tcPr>
          <w:p>
            <w:pPr>
              <w:spacing w:after="0"/>
              <w:rPr>
                <w:sz w:val="1"/>
                <w:szCs w:val="1"/>
                <w:color w:val="auto"/>
              </w:rPr>
            </w:pPr>
          </w:p>
        </w:tc>
      </w:tr>
      <w:tr>
        <w:trPr>
          <w:trHeight w:val="110"/>
        </w:trPr>
        <w:tc>
          <w:tcPr>
            <w:tcW w:w="1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shd w:val="clear" w:color="auto" w:fill="D9D9D9"/>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2024</w:t>
            </w:r>
          </w:p>
        </w:tc>
        <w:tc>
          <w:tcPr>
            <w:tcW w:w="42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shd w:val="clear" w:color="auto" w:fill="D9D9D9"/>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right w:val="single" w:sz="8" w:color="auto"/>
            </w:tcBorders>
            <w:vMerge w:val="restart"/>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w:t>
            </w:r>
          </w:p>
        </w:tc>
        <w:tc>
          <w:tcPr>
            <w:tcW w:w="420" w:type="dxa"/>
            <w:vAlign w:val="bottom"/>
          </w:tcPr>
          <w:p>
            <w:pPr>
              <w:spacing w:after="0"/>
              <w:rPr>
                <w:sz w:val="17"/>
                <w:szCs w:val="17"/>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D9D9D9"/>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2020" w:type="dxa"/>
            <w:vAlign w:val="bottom"/>
            <w:tcBorders>
              <w:bottom w:val="single" w:sz="8" w:color="D9D9D9"/>
              <w:right w:val="single" w:sz="8" w:color="auto"/>
            </w:tcBorders>
            <w:shd w:val="clear" w:color="auto" w:fill="D9D9D9"/>
          </w:tcPr>
          <w:p>
            <w:pPr>
              <w:spacing w:after="0"/>
              <w:rPr>
                <w:sz w:val="20"/>
                <w:szCs w:val="20"/>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top w:val="single" w:sz="8" w:color="auto"/>
              <w:right w:val="single" w:sz="8" w:color="auto"/>
            </w:tcBorders>
            <w:shd w:val="clear" w:color="auto" w:fill="D9D9D9"/>
          </w:tcPr>
          <w:p>
            <w:pPr>
              <w:spacing w:after="0"/>
              <w:rPr>
                <w:sz w:val="17"/>
                <w:szCs w:val="17"/>
                <w:color w:val="auto"/>
              </w:rPr>
            </w:pPr>
          </w:p>
        </w:tc>
        <w:tc>
          <w:tcPr>
            <w:tcW w:w="1800" w:type="dxa"/>
            <w:vAlign w:val="bottom"/>
            <w:tcBorders>
              <w:top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right w:val="single" w:sz="8" w:color="auto"/>
            </w:tcBorders>
          </w:tcPr>
          <w:p>
            <w:pPr>
              <w:spacing w:after="0"/>
              <w:rPr>
                <w:sz w:val="17"/>
                <w:szCs w:val="17"/>
                <w:color w:val="auto"/>
              </w:rPr>
            </w:pPr>
          </w:p>
        </w:tc>
        <w:tc>
          <w:tcPr>
            <w:tcW w:w="2120" w:type="dxa"/>
            <w:vAlign w:val="bottom"/>
            <w:tcBorders>
              <w:top w:val="single" w:sz="8" w:color="auto"/>
              <w:right w:val="single" w:sz="8" w:color="auto"/>
            </w:tcBorders>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shd w:val="clear" w:color="auto" w:fill="D9D9D9"/>
          </w:tcPr>
          <w:p>
            <w:pPr>
              <w:spacing w:after="0"/>
              <w:rPr>
                <w:sz w:val="17"/>
                <w:szCs w:val="17"/>
                <w:color w:val="auto"/>
              </w:rPr>
            </w:pPr>
          </w:p>
        </w:tc>
        <w:tc>
          <w:tcPr>
            <w:tcW w:w="420" w:type="dxa"/>
            <w:vAlign w:val="bottom"/>
            <w:tcBorders>
              <w:bottom w:val="single" w:sz="8" w:color="auto"/>
            </w:tcBorders>
            <w:shd w:val="clear" w:color="auto" w:fill="D9D9D9"/>
          </w:tcPr>
          <w:p>
            <w:pPr>
              <w:spacing w:after="0"/>
              <w:rPr>
                <w:sz w:val="17"/>
                <w:szCs w:val="17"/>
                <w:color w:val="auto"/>
              </w:rPr>
            </w:pPr>
          </w:p>
        </w:tc>
        <w:tc>
          <w:tcPr>
            <w:tcW w:w="134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spacing w:after="0"/>
              <w:rPr>
                <w:sz w:val="18"/>
                <w:szCs w:val="18"/>
                <w:color w:val="auto"/>
              </w:rPr>
            </w:pPr>
          </w:p>
        </w:tc>
        <w:tc>
          <w:tcPr>
            <w:tcW w:w="18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c>
          <w:tcPr>
            <w:tcW w:w="42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vMerge w:val="restart"/>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right w:val="single" w:sz="8" w:color="auto"/>
            </w:tcBorders>
            <w:vMerge w:val="continue"/>
          </w:tcPr>
          <w:p>
            <w:pPr>
              <w:spacing w:after="0"/>
              <w:rPr>
                <w:sz w:val="2"/>
                <w:szCs w:val="2"/>
                <w:color w:val="auto"/>
              </w:rPr>
            </w:pPr>
          </w:p>
        </w:tc>
        <w:tc>
          <w:tcPr>
            <w:tcW w:w="1360" w:type="dxa"/>
            <w:vAlign w:val="bottom"/>
            <w:tcBorders>
              <w:bottom w:val="single" w:sz="8" w:color="D9D9D9"/>
              <w:right w:val="single" w:sz="8" w:color="auto"/>
            </w:tcBorders>
            <w:shd w:val="clear" w:color="auto" w:fill="D9D9D9"/>
          </w:tcPr>
          <w:p>
            <w:pPr>
              <w:spacing w:after="0"/>
              <w:rPr>
                <w:sz w:val="2"/>
                <w:szCs w:val="2"/>
                <w:color w:val="auto"/>
              </w:rPr>
            </w:pPr>
          </w:p>
        </w:tc>
        <w:tc>
          <w:tcPr>
            <w:tcW w:w="420" w:type="dxa"/>
            <w:vAlign w:val="bottom"/>
            <w:tcBorders>
              <w:bottom w:val="single" w:sz="8" w:color="D9D9D9"/>
            </w:tcBorders>
            <w:shd w:val="clear" w:color="auto" w:fill="D9D9D9"/>
          </w:tcPr>
          <w:p>
            <w:pPr>
              <w:spacing w:after="0"/>
              <w:rPr>
                <w:sz w:val="2"/>
                <w:szCs w:val="2"/>
                <w:color w:val="auto"/>
              </w:rPr>
            </w:pPr>
          </w:p>
        </w:tc>
        <w:tc>
          <w:tcPr>
            <w:tcW w:w="1340" w:type="dxa"/>
            <w:vAlign w:val="bottom"/>
            <w:tcBorders>
              <w:bottom w:val="single" w:sz="8" w:color="D9D9D9"/>
              <w:right w:val="single" w:sz="8" w:color="auto"/>
            </w:tcBorders>
            <w:shd w:val="clear" w:color="auto" w:fill="D9D9D9"/>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shd w:val="clear" w:color="auto" w:fill="D9D9D9"/>
          </w:tcPr>
          <w:p>
            <w:pPr>
              <w:spacing w:after="0"/>
              <w:rPr>
                <w:sz w:val="11"/>
                <w:szCs w:val="11"/>
                <w:color w:val="auto"/>
              </w:rPr>
            </w:pPr>
          </w:p>
        </w:tc>
        <w:tc>
          <w:tcPr>
            <w:tcW w:w="1800" w:type="dxa"/>
            <w:vAlign w:val="bottom"/>
            <w:vMerge w:val="restart"/>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shd w:val="clear" w:color="auto" w:fill="D9D9D9"/>
          </w:tcPr>
          <w:p>
            <w:pPr>
              <w:spacing w:after="0"/>
              <w:rPr>
                <w:sz w:val="11"/>
                <w:szCs w:val="11"/>
                <w:color w:val="auto"/>
              </w:rPr>
            </w:pPr>
          </w:p>
        </w:tc>
        <w:tc>
          <w:tcPr>
            <w:tcW w:w="420" w:type="dxa"/>
            <w:vAlign w:val="bottom"/>
            <w:shd w:val="clear" w:color="auto" w:fill="D9D9D9"/>
          </w:tcPr>
          <w:p>
            <w:pPr>
              <w:spacing w:after="0"/>
              <w:rPr>
                <w:sz w:val="11"/>
                <w:szCs w:val="11"/>
                <w:color w:val="auto"/>
              </w:rPr>
            </w:pPr>
          </w:p>
        </w:tc>
        <w:tc>
          <w:tcPr>
            <w:tcW w:w="134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0" w:type="dxa"/>
            <w:vAlign w:val="bottom"/>
            <w:tcBorders>
              <w:right w:val="single" w:sz="8" w:color="auto"/>
            </w:tcBorders>
          </w:tcPr>
          <w:p>
            <w:pPr>
              <w:spacing w:after="0"/>
              <w:rPr>
                <w:sz w:val="6"/>
                <w:szCs w:val="6"/>
                <w:color w:val="auto"/>
              </w:rPr>
            </w:pPr>
          </w:p>
        </w:tc>
        <w:tc>
          <w:tcPr>
            <w:tcW w:w="2020" w:type="dxa"/>
            <w:vAlign w:val="bottom"/>
            <w:tcBorders>
              <w:right w:val="single" w:sz="8" w:color="auto"/>
            </w:tcBorders>
            <w:shd w:val="clear" w:color="auto" w:fill="D9D9D9"/>
          </w:tcPr>
          <w:p>
            <w:pPr>
              <w:spacing w:after="0"/>
              <w:rPr>
                <w:sz w:val="6"/>
                <w:szCs w:val="6"/>
                <w:color w:val="auto"/>
              </w:rPr>
            </w:pPr>
          </w:p>
        </w:tc>
        <w:tc>
          <w:tcPr>
            <w:tcW w:w="1800" w:type="dxa"/>
            <w:vAlign w:val="bottom"/>
            <w:vMerge w:val="continue"/>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shd w:val="clear" w:color="auto" w:fill="D9D9D9"/>
          </w:tcPr>
          <w:p>
            <w:pPr>
              <w:spacing w:after="0"/>
              <w:rPr>
                <w:sz w:val="6"/>
                <w:szCs w:val="6"/>
                <w:color w:val="auto"/>
              </w:rPr>
            </w:pPr>
          </w:p>
        </w:tc>
        <w:tc>
          <w:tcPr>
            <w:tcW w:w="420" w:type="dxa"/>
            <w:vAlign w:val="bottom"/>
            <w:shd w:val="clear" w:color="auto" w:fill="D9D9D9"/>
          </w:tcPr>
          <w:p>
            <w:pPr>
              <w:spacing w:after="0"/>
              <w:rPr>
                <w:sz w:val="6"/>
                <w:szCs w:val="6"/>
                <w:color w:val="auto"/>
              </w:rPr>
            </w:pPr>
          </w:p>
        </w:tc>
        <w:tc>
          <w:tcPr>
            <w:tcW w:w="1340" w:type="dxa"/>
            <w:vAlign w:val="bottom"/>
            <w:tcBorders>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360" w:type="dxa"/>
            <w:vAlign w:val="bottom"/>
            <w:tcBorders>
              <w:right w:val="single" w:sz="8" w:color="auto"/>
            </w:tcBorders>
            <w:shd w:val="clear" w:color="auto" w:fill="D9D9D9"/>
          </w:tcPr>
          <w:p>
            <w:pPr>
              <w:spacing w:after="0"/>
              <w:rPr>
                <w:sz w:val="12"/>
                <w:szCs w:val="12"/>
                <w:color w:val="auto"/>
              </w:rPr>
            </w:pPr>
          </w:p>
        </w:tc>
        <w:tc>
          <w:tcPr>
            <w:tcW w:w="420" w:type="dxa"/>
            <w:vAlign w:val="bottom"/>
            <w:tcBorders>
              <w:bottom w:val="single" w:sz="8" w:color="auto"/>
            </w:tcBorders>
            <w:shd w:val="clear" w:color="auto" w:fill="D9D9D9"/>
          </w:tcPr>
          <w:p>
            <w:pPr>
              <w:spacing w:after="0"/>
              <w:rPr>
                <w:sz w:val="12"/>
                <w:szCs w:val="12"/>
                <w:color w:val="auto"/>
              </w:rPr>
            </w:pPr>
          </w:p>
        </w:tc>
        <w:tc>
          <w:tcPr>
            <w:tcW w:w="134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2020" w:type="dxa"/>
            <w:vAlign w:val="bottom"/>
            <w:tcBorders>
              <w:bottom w:val="single" w:sz="8" w:color="D9D9D9"/>
              <w:right w:val="single" w:sz="8" w:color="auto"/>
            </w:tcBorders>
            <w:shd w:val="clear" w:color="auto" w:fill="D9D9D9"/>
          </w:tcPr>
          <w:p>
            <w:pPr>
              <w:spacing w:after="0"/>
              <w:rPr>
                <w:sz w:val="20"/>
                <w:szCs w:val="20"/>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top w:val="single" w:sz="8" w:color="auto"/>
              <w:right w:val="single" w:sz="8" w:color="auto"/>
            </w:tcBorders>
            <w:shd w:val="clear" w:color="auto" w:fill="D9D9D9"/>
          </w:tcPr>
          <w:p>
            <w:pPr>
              <w:spacing w:after="0"/>
              <w:rPr>
                <w:sz w:val="17"/>
                <w:szCs w:val="17"/>
                <w:color w:val="auto"/>
              </w:rPr>
            </w:pPr>
          </w:p>
        </w:tc>
        <w:tc>
          <w:tcPr>
            <w:tcW w:w="1800" w:type="dxa"/>
            <w:vAlign w:val="bottom"/>
            <w:tcBorders>
              <w:top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right w:val="single" w:sz="8" w:color="auto"/>
            </w:tcBorders>
          </w:tcPr>
          <w:p>
            <w:pPr>
              <w:spacing w:after="0"/>
              <w:rPr>
                <w:sz w:val="17"/>
                <w:szCs w:val="17"/>
                <w:color w:val="auto"/>
              </w:rPr>
            </w:pPr>
          </w:p>
        </w:tc>
        <w:tc>
          <w:tcPr>
            <w:tcW w:w="2120" w:type="dxa"/>
            <w:vAlign w:val="bottom"/>
            <w:tcBorders>
              <w:top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right w:val="single" w:sz="8" w:color="auto"/>
            </w:tcBorders>
          </w:tcPr>
          <w:p>
            <w:pPr>
              <w:spacing w:after="0"/>
              <w:rPr>
                <w:sz w:val="2"/>
                <w:szCs w:val="2"/>
                <w:color w:val="auto"/>
              </w:rPr>
            </w:pPr>
          </w:p>
        </w:tc>
        <w:tc>
          <w:tcPr>
            <w:tcW w:w="2020" w:type="dxa"/>
            <w:vAlign w:val="bottom"/>
            <w:tcBorders>
              <w:bottom w:val="single" w:sz="8" w:color="D9D9D9"/>
              <w:right w:val="single" w:sz="8" w:color="auto"/>
            </w:tcBorders>
            <w:shd w:val="clear" w:color="auto" w:fill="D9D9D9"/>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020" w:type="dxa"/>
            <w:vAlign w:val="bottom"/>
            <w:tcBorders>
              <w:bottom w:val="single" w:sz="8" w:color="D9D9D9"/>
              <w:right w:val="single" w:sz="8" w:color="auto"/>
            </w:tcBorders>
            <w:shd w:val="clear" w:color="auto" w:fill="D9D9D9"/>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w:t>
            </w:r>
          </w:p>
        </w:tc>
        <w:tc>
          <w:tcPr>
            <w:tcW w:w="420" w:type="dxa"/>
            <w:vAlign w:val="bottom"/>
          </w:tcPr>
          <w:p>
            <w:pPr>
              <w:spacing w:after="0"/>
              <w:rPr>
                <w:sz w:val="12"/>
                <w:szCs w:val="12"/>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shd w:val="clear" w:color="auto" w:fill="D9D9D9"/>
          </w:tcPr>
          <w:p>
            <w:pPr>
              <w:spacing w:after="0"/>
              <w:rPr>
                <w:sz w:val="17"/>
                <w:szCs w:val="17"/>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vMerge w:val="restart"/>
          </w:tcPr>
          <w:p>
            <w:pPr>
              <w:jc w:val="right"/>
              <w:ind w:right="8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0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shd w:val="clear" w:color="auto" w:fill="D9D9D9"/>
          </w:tcPr>
          <w:p>
            <w:pPr>
              <w:spacing w:after="0"/>
              <w:rPr>
                <w:sz w:val="5"/>
                <w:szCs w:val="5"/>
                <w:color w:val="auto"/>
              </w:rPr>
            </w:pPr>
          </w:p>
        </w:tc>
        <w:tc>
          <w:tcPr>
            <w:tcW w:w="180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212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00" w:type="dxa"/>
            <w:vAlign w:val="bottom"/>
            <w:tcBorders>
              <w:right w:val="single" w:sz="8" w:color="auto"/>
            </w:tcBorders>
          </w:tcPr>
          <w:p>
            <w:pPr>
              <w:spacing w:after="0"/>
              <w:rPr>
                <w:sz w:val="6"/>
                <w:szCs w:val="6"/>
                <w:color w:val="auto"/>
              </w:rPr>
            </w:pPr>
          </w:p>
        </w:tc>
        <w:tc>
          <w:tcPr>
            <w:tcW w:w="2020" w:type="dxa"/>
            <w:vAlign w:val="bottom"/>
            <w:tcBorders>
              <w:bottom w:val="single" w:sz="8" w:color="D9D9D9"/>
              <w:right w:val="single" w:sz="8" w:color="auto"/>
            </w:tcBorders>
            <w:shd w:val="clear" w:color="auto" w:fill="D9D9D9"/>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2020" w:type="dxa"/>
            <w:vAlign w:val="bottom"/>
            <w:tcBorders>
              <w:bottom w:val="single" w:sz="8" w:color="D9D9D9"/>
              <w:right w:val="single" w:sz="8" w:color="auto"/>
            </w:tcBorders>
            <w:shd w:val="clear" w:color="auto" w:fill="D9D9D9"/>
          </w:tcPr>
          <w:p>
            <w:pPr>
              <w:spacing w:after="0"/>
              <w:rPr>
                <w:sz w:val="20"/>
                <w:szCs w:val="20"/>
                <w:color w:val="auto"/>
              </w:rPr>
            </w:pPr>
          </w:p>
        </w:tc>
        <w:tc>
          <w:tcPr>
            <w:tcW w:w="1800" w:type="dxa"/>
            <w:vAlign w:val="bottom"/>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ind w:right="140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0" w:type="dxa"/>
            <w:vAlign w:val="bottom"/>
            <w:tcBorders>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2120" w:type="dxa"/>
            <w:vAlign w:val="bottom"/>
            <w:gridSpan w:val="2"/>
          </w:tcPr>
          <w:p>
            <w:pPr>
              <w:jc w:val="right"/>
              <w:ind w:right="260"/>
              <w:spacing w:after="0"/>
              <w:rPr>
                <w:sz w:val="20"/>
                <w:szCs w:val="20"/>
                <w:color w:val="auto"/>
              </w:rPr>
            </w:pPr>
            <w:r>
              <w:rPr>
                <w:rFonts w:ascii="Arial" w:cs="Arial" w:eastAsia="Arial" w:hAnsi="Arial"/>
                <w:sz w:val="15"/>
                <w:szCs w:val="15"/>
                <w:color w:val="auto"/>
                <w:w w:val="99"/>
              </w:rPr>
              <w:t>Investment ID INV-026060</w:t>
            </w:r>
          </w:p>
        </w:tc>
        <w:tc>
          <w:tcPr>
            <w:tcW w:w="1800" w:type="dxa"/>
            <w:vAlign w:val="bottom"/>
          </w:tcPr>
          <w:p>
            <w:pPr>
              <w:spacing w:after="0"/>
              <w:rPr>
                <w:sz w:val="24"/>
                <w:szCs w:val="24"/>
                <w:color w:val="auto"/>
              </w:rPr>
            </w:pPr>
          </w:p>
        </w:tc>
        <w:tc>
          <w:tcPr>
            <w:tcW w:w="3780" w:type="dxa"/>
            <w:vAlign w:val="bottom"/>
            <w:gridSpan w:val="2"/>
          </w:tcPr>
          <w:p>
            <w:pPr>
              <w:jc w:val="right"/>
              <w:ind w:right="1840"/>
              <w:spacing w:after="0"/>
              <w:rPr>
                <w:sz w:val="20"/>
                <w:szCs w:val="20"/>
                <w:color w:val="auto"/>
              </w:rPr>
            </w:pPr>
            <w:r>
              <w:rPr>
                <w:rFonts w:ascii="Arial" w:cs="Arial" w:eastAsia="Arial" w:hAnsi="Arial"/>
                <w:sz w:val="15"/>
                <w:szCs w:val="15"/>
                <w:color w:val="auto"/>
              </w:rPr>
              <w:t>2 of 3</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1">
            <w:col w:w="11220"/>
          </w:cols>
          <w:pgMar w:left="340" w:top="1440" w:right="339" w:bottom="1440" w:gutter="0" w:footer="0" w:header="0"/>
        </w:sectPr>
      </w:pPr>
    </w:p>
    <w:bookmarkStart w:id="214" w:name="page215"/>
    <w:bookmarkEnd w:id="214"/>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1019810</wp:posOffset>
            </wp:positionV>
            <wp:extent cx="6812280" cy="17494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6812280" cy="174942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27"/>
        </w:trPr>
        <w:tc>
          <w:tcPr>
            <w:tcW w:w="204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shd w:val="clear" w:color="auto" w:fill="D9D9D9"/>
          </w:tcPr>
          <w:p>
            <w:pPr>
              <w:spacing w:after="0"/>
              <w:rPr>
                <w:sz w:val="18"/>
                <w:szCs w:val="18"/>
                <w:color w:val="auto"/>
              </w:rPr>
            </w:pP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
        </w:trPr>
        <w:tc>
          <w:tcPr>
            <w:tcW w:w="2040" w:type="dxa"/>
            <w:vAlign w:val="bottom"/>
            <w:tcBorders>
              <w:bottom w:val="single" w:sz="8" w:color="D9D9D9"/>
              <w:right w:val="single" w:sz="8" w:color="auto"/>
            </w:tcBorders>
            <w:shd w:val="clear" w:color="auto" w:fill="D9D9D9"/>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40" w:type="dxa"/>
            <w:vAlign w:val="bottom"/>
            <w:tcBorders>
              <w:right w:val="single" w:sz="8" w:color="auto"/>
            </w:tcBorders>
            <w:shd w:val="clear" w:color="auto" w:fill="D9D9D9"/>
          </w:tcPr>
          <w:p>
            <w:pPr>
              <w:spacing w:after="0"/>
              <w:rPr>
                <w:sz w:val="9"/>
                <w:szCs w:val="9"/>
                <w:color w:val="auto"/>
              </w:rPr>
            </w:pPr>
          </w:p>
        </w:tc>
        <w:tc>
          <w:tcPr>
            <w:tcW w:w="3460" w:type="dxa"/>
            <w:vAlign w:val="bottom"/>
            <w:tcBorders>
              <w:right w:val="single" w:sz="8" w:color="auto"/>
            </w:tcBorders>
            <w:vMerge w:val="restart"/>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40" w:type="dxa"/>
            <w:vAlign w:val="bottom"/>
            <w:tcBorders>
              <w:right w:val="single" w:sz="8" w:color="auto"/>
            </w:tcBorders>
            <w:shd w:val="clear" w:color="auto" w:fill="D9D9D9"/>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040" w:type="dxa"/>
            <w:vAlign w:val="bottom"/>
            <w:tcBorders>
              <w:right w:val="single" w:sz="8" w:color="auto"/>
            </w:tcBorders>
            <w:shd w:val="clear" w:color="auto" w:fill="D9D9D9"/>
          </w:tcPr>
          <w:p>
            <w:pPr>
              <w:spacing w:after="0"/>
              <w:rPr>
                <w:sz w:val="21"/>
                <w:szCs w:val="21"/>
                <w:color w:val="auto"/>
              </w:rPr>
            </w:pP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2040" w:type="dxa"/>
            <w:vAlign w:val="bottom"/>
            <w:tcBorders>
              <w:right w:val="single" w:sz="8" w:color="auto"/>
            </w:tcBorders>
            <w:shd w:val="clear" w:color="auto" w:fill="D9D9D9"/>
          </w:tcPr>
          <w:p>
            <w:pPr>
              <w:spacing w:after="0"/>
              <w:rPr>
                <w:sz w:val="19"/>
                <w:szCs w:val="19"/>
                <w:color w:val="auto"/>
              </w:rPr>
            </w:pP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40" w:type="dxa"/>
            <w:vAlign w:val="bottom"/>
            <w:tcBorders>
              <w:bottom w:val="single" w:sz="8" w:color="D9D9D9"/>
              <w:right w:val="single" w:sz="8" w:color="auto"/>
            </w:tcBorders>
            <w:shd w:val="clear" w:color="auto" w:fill="D9D9D9"/>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40" w:type="dxa"/>
            <w:vAlign w:val="bottom"/>
            <w:tcBorders>
              <w:right w:val="single" w:sz="8" w:color="auto"/>
            </w:tcBorders>
            <w:shd w:val="clear" w:color="auto" w:fill="D9D9D9"/>
          </w:tcPr>
          <w:p>
            <w:pPr>
              <w:spacing w:after="0"/>
              <w:rPr>
                <w:sz w:val="17"/>
                <w:szCs w:val="17"/>
                <w:color w:val="auto"/>
              </w:rPr>
            </w:pP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40" w:type="dxa"/>
            <w:vAlign w:val="bottom"/>
            <w:tcBorders>
              <w:bottom w:val="single" w:sz="8" w:color="D9D9D9"/>
              <w:right w:val="single" w:sz="8" w:color="auto"/>
            </w:tcBorders>
            <w:shd w:val="clear" w:color="auto" w:fill="D9D9D9"/>
          </w:tcPr>
          <w:p>
            <w:pPr>
              <w:spacing w:after="0"/>
              <w:rPr>
                <w:sz w:val="12"/>
                <w:szCs w:val="12"/>
                <w:color w:val="auto"/>
              </w:rPr>
            </w:pPr>
          </w:p>
        </w:tc>
        <w:tc>
          <w:tcPr>
            <w:tcW w:w="3460" w:type="dxa"/>
            <w:vAlign w:val="bottom"/>
            <w:tcBorders>
              <w:bottom w:val="single" w:sz="8" w:color="auto"/>
              <w:right w:val="single" w:sz="8" w:color="auto"/>
            </w:tcBorders>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1"/>
        </w:trPr>
        <w:tc>
          <w:tcPr>
            <w:tcW w:w="2040" w:type="dxa"/>
            <w:vAlign w:val="bottom"/>
            <w:tcBorders>
              <w:right w:val="single" w:sz="8" w:color="auto"/>
            </w:tcBorders>
            <w:shd w:val="clear" w:color="auto" w:fill="D9D9D9"/>
          </w:tcPr>
          <w:p>
            <w:pPr>
              <w:spacing w:after="0"/>
              <w:rPr>
                <w:sz w:val="11"/>
                <w:szCs w:val="11"/>
                <w:color w:val="auto"/>
              </w:rPr>
            </w:pPr>
          </w:p>
        </w:tc>
        <w:tc>
          <w:tcPr>
            <w:tcW w:w="3460" w:type="dxa"/>
            <w:vAlign w:val="bottom"/>
            <w:tcBorders>
              <w:right w:val="single" w:sz="8" w:color="auto"/>
            </w:tcBorders>
            <w:vMerge w:val="restart"/>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40" w:type="dxa"/>
            <w:vAlign w:val="bottom"/>
            <w:tcBorders>
              <w:right w:val="single" w:sz="8" w:color="auto"/>
            </w:tcBorders>
            <w:shd w:val="clear" w:color="auto" w:fill="D9D9D9"/>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40" w:type="dxa"/>
            <w:vAlign w:val="bottom"/>
            <w:tcBorders>
              <w:bottom w:val="single" w:sz="8" w:color="auto"/>
              <w:right w:val="single" w:sz="8" w:color="auto"/>
            </w:tcBorders>
            <w:shd w:val="clear" w:color="auto" w:fill="D9D9D9"/>
          </w:tcPr>
          <w:p>
            <w:pPr>
              <w:spacing w:after="0"/>
              <w:rPr>
                <w:sz w:val="12"/>
                <w:szCs w:val="12"/>
                <w:color w:val="auto"/>
              </w:rPr>
            </w:pPr>
          </w:p>
        </w:tc>
        <w:tc>
          <w:tcPr>
            <w:tcW w:w="3460" w:type="dxa"/>
            <w:vAlign w:val="bottom"/>
            <w:tcBorders>
              <w:bottom w:val="single" w:sz="8" w:color="auto"/>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40" w:type="dxa"/>
            <w:vAlign w:val="bottom"/>
            <w:tcBorders>
              <w:right w:val="single" w:sz="8" w:color="auto"/>
            </w:tcBorders>
          </w:tcPr>
          <w:p>
            <w:pPr>
              <w:jc w:val="right"/>
              <w:ind w:right="160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jc w:val="right"/>
              <w:ind w:right="304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4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right"/>
        <w:ind w:right="1840"/>
        <w:spacing w:after="0"/>
        <w:rPr>
          <w:sz w:val="20"/>
          <w:szCs w:val="20"/>
          <w:color w:val="auto"/>
        </w:rPr>
      </w:pPr>
      <w:r>
        <w:rPr>
          <w:rFonts w:ascii="Arial" w:cs="Arial" w:eastAsia="Arial" w:hAnsi="Arial"/>
          <w:sz w:val="17"/>
          <w:szCs w:val="17"/>
          <w:b w:val="1"/>
          <w:bCs w:val="1"/>
          <w:color w:val="auto"/>
        </w:rPr>
        <w:t>Amended Total Grant Amount</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 provided in the Agreement, signatures are not required.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80" w:type="dxa"/>
            <w:vAlign w:val="bottom"/>
          </w:tcPr>
          <w:p>
            <w:pPr>
              <w:spacing w:after="0"/>
              <w:rPr>
                <w:sz w:val="20"/>
                <w:szCs w:val="20"/>
                <w:color w:val="auto"/>
              </w:rPr>
            </w:pPr>
            <w:r>
              <w:rPr>
                <w:rFonts w:ascii="Arial" w:cs="Arial" w:eastAsia="Arial" w:hAnsi="Arial"/>
                <w:sz w:val="15"/>
                <w:szCs w:val="15"/>
                <w:color w:val="auto"/>
              </w:rPr>
              <w:t>Investment ID INV-026060</w:t>
            </w:r>
          </w:p>
        </w:tc>
        <w:tc>
          <w:tcPr>
            <w:tcW w:w="2200" w:type="dxa"/>
            <w:vAlign w:val="bottom"/>
          </w:tcPr>
          <w:p>
            <w:pPr>
              <w:ind w:left="1820"/>
              <w:spacing w:after="0"/>
              <w:rPr>
                <w:sz w:val="20"/>
                <w:szCs w:val="20"/>
                <w:color w:val="auto"/>
              </w:rPr>
            </w:pPr>
            <w:r>
              <w:rPr>
                <w:rFonts w:ascii="Arial" w:cs="Arial" w:eastAsia="Arial" w:hAnsi="Arial"/>
                <w:sz w:val="15"/>
                <w:szCs w:val="15"/>
                <w:color w:val="auto"/>
                <w:w w:val="95"/>
              </w:rPr>
              <w:t>3 of 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80"/>
        <w:spacing w:after="0"/>
        <w:rPr>
          <w:sz w:val="20"/>
          <w:szCs w:val="20"/>
          <w:color w:val="auto"/>
        </w:rPr>
      </w:pPr>
      <w:r>
        <w:rPr>
          <w:rFonts w:ascii="Arial" w:cs="Arial" w:eastAsia="Arial" w:hAnsi="Arial"/>
          <w:sz w:val="17"/>
          <w:szCs w:val="17"/>
          <w:b w:val="1"/>
          <w:bCs w:val="1"/>
          <w:color w:val="auto"/>
        </w:rPr>
        <w:t>Up to</w:t>
      </w:r>
    </w:p>
    <w:p>
      <w:pPr>
        <w:jc w:val="right"/>
        <w:ind w:right="480"/>
        <w:spacing w:after="0"/>
        <w:rPr>
          <w:sz w:val="20"/>
          <w:szCs w:val="20"/>
          <w:color w:val="auto"/>
        </w:rPr>
      </w:pPr>
      <w:r>
        <w:rPr>
          <w:rFonts w:ascii="Arial" w:cs="Arial" w:eastAsia="Arial" w:hAnsi="Arial"/>
          <w:sz w:val="16"/>
          <w:szCs w:val="16"/>
          <w:b w:val="1"/>
          <w:bCs w:val="1"/>
          <w:color w:val="auto"/>
        </w:rPr>
        <w:t>$48,945,928.00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Version: August 2022</w:t>
      </w:r>
    </w:p>
    <w:p>
      <w:pPr>
        <w:sectPr>
          <w:pgSz w:w="11900" w:h="16838" w:orient="portrait"/>
          <w:cols w:equalWidth="0" w:num="2">
            <w:col w:w="8860" w:space="720"/>
            <w:col w:w="1640"/>
          </w:cols>
          <w:pgMar w:left="340" w:top="1440" w:right="339" w:bottom="1440" w:gutter="0" w:footer="0" w:header="0"/>
        </w:sectPr>
      </w:pPr>
    </w:p>
    <w:bookmarkStart w:id="215" w:name="page216"/>
    <w:bookmarkEnd w:id="215"/>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00" w:type="dxa"/>
            <w:vAlign w:val="bottom"/>
            <w:gridSpan w:val="2"/>
          </w:tcPr>
          <w:p>
            <w:pPr>
              <w:jc w:val="center"/>
              <w:ind w:right="4380"/>
              <w:spacing w:after="0"/>
              <w:rPr>
                <w:sz w:val="20"/>
                <w:szCs w:val="20"/>
                <w:color w:val="auto"/>
              </w:rPr>
            </w:pPr>
            <w:r>
              <w:rPr>
                <w:rFonts w:ascii="Arial" w:cs="Arial" w:eastAsia="Arial" w:hAnsi="Arial"/>
                <w:sz w:val="17"/>
                <w:szCs w:val="17"/>
                <w:b w:val="1"/>
                <w:bCs w:val="1"/>
                <w:color w:val="auto"/>
                <w:w w:val="99"/>
              </w:rPr>
              <w:t>AMENDMENT 5</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00" w:type="dxa"/>
            <w:vAlign w:val="bottom"/>
            <w:gridSpan w:val="2"/>
          </w:tcPr>
          <w:p>
            <w:pPr>
              <w:jc w:val="center"/>
              <w:ind w:right="4360"/>
              <w:spacing w:after="0"/>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900" w:type="dxa"/>
            <w:vAlign w:val="bottom"/>
            <w:gridSpan w:val="2"/>
          </w:tcPr>
          <w:p>
            <w:pPr>
              <w:jc w:val="center"/>
              <w:ind w:right="4380"/>
              <w:spacing w:after="0"/>
              <w:rPr>
                <w:sz w:val="20"/>
                <w:szCs w:val="20"/>
                <w:color w:val="auto"/>
              </w:rPr>
            </w:pPr>
            <w:r>
              <w:rPr>
                <w:rFonts w:ascii="Arial" w:cs="Arial" w:eastAsia="Arial" w:hAnsi="Arial"/>
                <w:sz w:val="17"/>
                <w:szCs w:val="17"/>
                <w:b w:val="1"/>
                <w:bCs w:val="1"/>
                <w:color w:val="auto"/>
                <w:w w:val="98"/>
              </w:rPr>
              <w:t>GRANT AGREEMENT</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00" w:type="dxa"/>
            <w:vAlign w:val="bottom"/>
            <w:gridSpan w:val="2"/>
          </w:tcPr>
          <w:p>
            <w:pPr>
              <w:jc w:val="center"/>
              <w:ind w:right="436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63"/>
        </w:trPr>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gridSpan w:val="2"/>
          </w:tcPr>
          <w:p>
            <w:pPr>
              <w:jc w:val="center"/>
              <w:ind w:right="438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45"/>
        </w:trPr>
        <w:tc>
          <w:tcPr>
            <w:tcW w:w="3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tcPr>
          <w:p>
            <w:pPr>
              <w:spacing w:after="0"/>
              <w:rPr>
                <w:sz w:val="21"/>
                <w:szCs w:val="21"/>
                <w:color w:val="auto"/>
              </w:rPr>
            </w:pPr>
          </w:p>
        </w:tc>
        <w:tc>
          <w:tcPr>
            <w:tcW w:w="4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AMENDMENT INFORMATION</w:t>
            </w:r>
          </w:p>
        </w:tc>
        <w:tc>
          <w:tcPr>
            <w:tcW w:w="1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bottom w:val="single" w:sz="8" w:color="auto"/>
            </w:tcBorders>
          </w:tcPr>
          <w:p>
            <w:pPr>
              <w:spacing w:after="0"/>
              <w:rPr>
                <w:sz w:val="12"/>
                <w:szCs w:val="12"/>
                <w:color w:val="auto"/>
              </w:rPr>
            </w:pPr>
          </w:p>
        </w:tc>
        <w:tc>
          <w:tcPr>
            <w:tcW w:w="802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color w:val="auto"/>
              </w:rPr>
              <w:t>Agreement to be Amended:</w:t>
            </w:r>
          </w:p>
        </w:tc>
        <w:tc>
          <w:tcPr>
            <w:tcW w:w="802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Grant agreement between the Gates Foundation, formerly known as the Bill &amp; Melinda Gates Foundation,</w:t>
            </w:r>
          </w:p>
        </w:tc>
        <w:tc>
          <w:tcPr>
            <w:tcW w:w="0" w:type="dxa"/>
            <w:vAlign w:val="bottom"/>
          </w:tcPr>
          <w:p>
            <w:pPr>
              <w:spacing w:after="0"/>
              <w:rPr>
                <w:sz w:val="1"/>
                <w:szCs w:val="1"/>
                <w:color w:val="auto"/>
              </w:rPr>
            </w:pPr>
          </w:p>
        </w:tc>
      </w:tr>
      <w:tr>
        <w:trPr>
          <w:trHeight w:val="109"/>
        </w:trPr>
        <w:tc>
          <w:tcPr>
            <w:tcW w:w="3240" w:type="dxa"/>
            <w:vAlign w:val="bottom"/>
            <w:tcBorders>
              <w:left w:val="single" w:sz="8" w:color="auto"/>
              <w:right w:val="single" w:sz="8" w:color="auto"/>
            </w:tcBorders>
            <w:vMerge w:val="continue"/>
          </w:tcPr>
          <w:p>
            <w:pPr>
              <w:spacing w:after="0"/>
              <w:rPr>
                <w:sz w:val="9"/>
                <w:szCs w:val="9"/>
                <w:color w:val="auto"/>
              </w:rPr>
            </w:pPr>
          </w:p>
        </w:tc>
        <w:tc>
          <w:tcPr>
            <w:tcW w:w="80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7"/>
                <w:szCs w:val="17"/>
                <w:color w:val="auto"/>
              </w:rPr>
              <w:t>and Dare Bioscience, Inc., effective June 30, 2021, as amended, and bearing Investment ID INV-026060</w:t>
            </w:r>
          </w:p>
        </w:tc>
        <w:tc>
          <w:tcPr>
            <w:tcW w:w="0" w:type="dxa"/>
            <w:vAlign w:val="bottom"/>
          </w:tcPr>
          <w:p>
            <w:pPr>
              <w:spacing w:after="0"/>
              <w:rPr>
                <w:sz w:val="1"/>
                <w:szCs w:val="1"/>
                <w:color w:val="auto"/>
              </w:rPr>
            </w:pPr>
          </w:p>
        </w:tc>
      </w:tr>
      <w:tr>
        <w:trPr>
          <w:trHeight w:val="114"/>
        </w:trPr>
        <w:tc>
          <w:tcPr>
            <w:tcW w:w="3240" w:type="dxa"/>
            <w:vAlign w:val="bottom"/>
            <w:tcBorders>
              <w:left w:val="single" w:sz="8" w:color="auto"/>
              <w:right w:val="single" w:sz="8" w:color="auto"/>
            </w:tcBorders>
          </w:tcPr>
          <w:p>
            <w:pPr>
              <w:spacing w:after="0"/>
              <w:rPr>
                <w:sz w:val="9"/>
                <w:szCs w:val="9"/>
                <w:color w:val="auto"/>
              </w:rPr>
            </w:pPr>
          </w:p>
        </w:tc>
        <w:tc>
          <w:tcPr>
            <w:tcW w:w="80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240" w:type="dxa"/>
            <w:vAlign w:val="bottom"/>
            <w:tcBorders>
              <w:left w:val="single" w:sz="8" w:color="auto"/>
              <w:bottom w:val="single" w:sz="8" w:color="auto"/>
              <w:right w:val="single" w:sz="8" w:color="auto"/>
            </w:tcBorders>
          </w:tcPr>
          <w:p>
            <w:pPr>
              <w:spacing w:after="0"/>
              <w:rPr>
                <w:sz w:val="13"/>
                <w:szCs w:val="13"/>
                <w:color w:val="auto"/>
              </w:rPr>
            </w:pPr>
          </w:p>
        </w:tc>
        <w:tc>
          <w:tcPr>
            <w:tcW w:w="802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Amendment Purpose:</w:t>
            </w:r>
          </w:p>
        </w:tc>
        <w:tc>
          <w:tcPr>
            <w:tcW w:w="802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Payment &amp; Reporting Schedule Change</w:t>
            </w:r>
          </w:p>
        </w:tc>
        <w:tc>
          <w:tcPr>
            <w:tcW w:w="0" w:type="dxa"/>
            <w:vAlign w:val="bottom"/>
          </w:tcPr>
          <w:p>
            <w:pPr>
              <w:spacing w:after="0"/>
              <w:rPr>
                <w:sz w:val="1"/>
                <w:szCs w:val="1"/>
                <w:color w:val="auto"/>
              </w:rPr>
            </w:pPr>
          </w:p>
        </w:tc>
      </w:tr>
      <w:tr>
        <w:trPr>
          <w:trHeight w:val="161"/>
        </w:trPr>
        <w:tc>
          <w:tcPr>
            <w:tcW w:w="3240" w:type="dxa"/>
            <w:vAlign w:val="bottom"/>
            <w:tcBorders>
              <w:left w:val="single" w:sz="8" w:color="auto"/>
              <w:bottom w:val="single" w:sz="8" w:color="auto"/>
              <w:right w:val="single" w:sz="8" w:color="auto"/>
            </w:tcBorders>
          </w:tcPr>
          <w:p>
            <w:pPr>
              <w:spacing w:after="0"/>
              <w:rPr>
                <w:sz w:val="13"/>
                <w:szCs w:val="13"/>
                <w:color w:val="auto"/>
              </w:rPr>
            </w:pPr>
          </w:p>
        </w:tc>
        <w:tc>
          <w:tcPr>
            <w:tcW w:w="802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“Amendment Date”</w:t>
            </w:r>
            <w:r>
              <w:rPr>
                <w:rFonts w:ascii="Arial" w:cs="Arial" w:eastAsia="Arial" w:hAnsi="Arial"/>
                <w:sz w:val="17"/>
                <w:szCs w:val="17"/>
                <w:color w:val="auto"/>
              </w:rPr>
              <w:t>:</w:t>
            </w:r>
          </w:p>
        </w:tc>
        <w:tc>
          <w:tcPr>
            <w:tcW w:w="802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July 2, 2025</w:t>
            </w:r>
          </w:p>
        </w:tc>
        <w:tc>
          <w:tcPr>
            <w:tcW w:w="0" w:type="dxa"/>
            <w:vAlign w:val="bottom"/>
          </w:tcPr>
          <w:p>
            <w:pPr>
              <w:spacing w:after="0"/>
              <w:rPr>
                <w:sz w:val="1"/>
                <w:szCs w:val="1"/>
                <w:color w:val="auto"/>
              </w:rPr>
            </w:pPr>
          </w:p>
        </w:tc>
      </w:tr>
      <w:tr>
        <w:trPr>
          <w:trHeight w:val="161"/>
        </w:trPr>
        <w:tc>
          <w:tcPr>
            <w:tcW w:w="3240" w:type="dxa"/>
            <w:vAlign w:val="bottom"/>
            <w:tcBorders>
              <w:left w:val="single" w:sz="8" w:color="auto"/>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43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 terms not</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148830" cy="3008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48830" cy="300863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REPORTING &amp; PAYMENT SCHEDULE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40" w:type="dxa"/>
            <w:vAlign w:val="bottom"/>
            <w:tcBorders>
              <w:top w:val="single" w:sz="8" w:color="auto"/>
              <w:right w:val="single" w:sz="8" w:color="auto"/>
            </w:tcBorders>
          </w:tcPr>
          <w:p>
            <w:pPr>
              <w:jc w:val="right"/>
              <w:ind w:right="556"/>
              <w:spacing w:after="0"/>
              <w:rPr>
                <w:sz w:val="20"/>
                <w:szCs w:val="20"/>
                <w:color w:val="auto"/>
              </w:rPr>
            </w:pPr>
            <w:r>
              <w:rPr>
                <w:rFonts w:ascii="Arial" w:cs="Arial" w:eastAsia="Arial" w:hAnsi="Arial"/>
                <w:sz w:val="17"/>
                <w:szCs w:val="17"/>
                <w:i w:val="1"/>
                <w:iCs w:val="1"/>
                <w:color w:val="auto"/>
              </w:rPr>
              <w:t>Investment</w:t>
            </w:r>
          </w:p>
        </w:tc>
        <w:tc>
          <w:tcPr>
            <w:tcW w:w="31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7"/>
                <w:szCs w:val="17"/>
                <w:i w:val="1"/>
                <w:iCs w:val="1"/>
                <w:color w:val="auto"/>
              </w:rPr>
              <w:t>Target, Milestone, or Reporting</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i w:val="1"/>
                <w:iCs w:val="1"/>
                <w:color w:val="auto"/>
              </w:rPr>
              <w:t>Due By</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i w:val="1"/>
                <w:iCs w:val="1"/>
                <w:color w:val="auto"/>
                <w:w w:val="98"/>
              </w:rPr>
              <w:t>Payment Date</w:t>
            </w: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7"/>
                <w:szCs w:val="17"/>
                <w:i w:val="1"/>
                <w:iCs w:val="1"/>
                <w:color w:val="auto"/>
                <w:w w:val="98"/>
              </w:rPr>
              <w:t>Payment Amount</w:t>
            </w:r>
          </w:p>
        </w:tc>
      </w:tr>
      <w:tr>
        <w:trPr>
          <w:trHeight w:val="220"/>
        </w:trPr>
        <w:tc>
          <w:tcPr>
            <w:tcW w:w="2040" w:type="dxa"/>
            <w:vAlign w:val="bottom"/>
            <w:tcBorders>
              <w:right w:val="single" w:sz="8" w:color="auto"/>
            </w:tcBorders>
          </w:tcPr>
          <w:p>
            <w:pPr>
              <w:jc w:val="right"/>
              <w:ind w:right="696"/>
              <w:spacing w:after="0"/>
              <w:rPr>
                <w:sz w:val="20"/>
                <w:szCs w:val="20"/>
                <w:color w:val="auto"/>
              </w:rPr>
            </w:pPr>
            <w:r>
              <w:rPr>
                <w:rFonts w:ascii="Arial" w:cs="Arial" w:eastAsia="Arial" w:hAnsi="Arial"/>
                <w:sz w:val="17"/>
                <w:szCs w:val="17"/>
                <w:i w:val="1"/>
                <w:iCs w:val="1"/>
                <w:color w:val="auto"/>
              </w:rPr>
              <w:t>Period</w:t>
            </w:r>
          </w:p>
        </w:tc>
        <w:tc>
          <w:tcPr>
            <w:tcW w:w="3120" w:type="dxa"/>
            <w:vAlign w:val="bottom"/>
            <w:tcBorders>
              <w:right w:val="single" w:sz="8" w:color="auto"/>
            </w:tcBorders>
          </w:tcPr>
          <w:p>
            <w:pPr>
              <w:ind w:left="1120"/>
              <w:spacing w:after="0"/>
              <w:rPr>
                <w:sz w:val="20"/>
                <w:szCs w:val="20"/>
                <w:color w:val="auto"/>
              </w:rPr>
            </w:pPr>
            <w:r>
              <w:rPr>
                <w:rFonts w:ascii="Arial" w:cs="Arial" w:eastAsia="Arial" w:hAnsi="Arial"/>
                <w:sz w:val="17"/>
                <w:szCs w:val="17"/>
                <w:i w:val="1"/>
                <w:iCs w:val="1"/>
                <w:color w:val="auto"/>
              </w:rPr>
              <w:t>Deliverable</w:t>
            </w:r>
          </w:p>
        </w:tc>
        <w:tc>
          <w:tcPr>
            <w:tcW w:w="198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i w:val="1"/>
                <w:iCs w:val="1"/>
                <w:color w:val="auto"/>
              </w:rPr>
              <w:t>(U.S.$)</w:t>
            </w:r>
          </w:p>
        </w:tc>
      </w:tr>
      <w:tr>
        <w:trPr>
          <w:trHeight w:val="22"/>
        </w:trPr>
        <w:tc>
          <w:tcPr>
            <w:tcW w:w="2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Countersigned Agreement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2021</w:t>
            </w:r>
          </w:p>
        </w:tc>
        <w:tc>
          <w:tcPr>
            <w:tcW w:w="2100" w:type="dxa"/>
            <w:vAlign w:val="bottom"/>
          </w:tcPr>
          <w:p>
            <w:pPr>
              <w:jc w:val="right"/>
              <w:ind w:right="296"/>
              <w:spacing w:after="0"/>
              <w:rPr>
                <w:sz w:val="20"/>
                <w:szCs w:val="20"/>
                <w:color w:val="auto"/>
              </w:rPr>
            </w:pPr>
            <w:r>
              <w:rPr>
                <w:rFonts w:ascii="Arial" w:cs="Arial" w:eastAsia="Arial" w:hAnsi="Arial"/>
                <w:sz w:val="17"/>
                <w:szCs w:val="17"/>
                <w:color w:val="auto"/>
              </w:rPr>
              <w:t>$11,453,099.00</w:t>
            </w:r>
          </w:p>
        </w:tc>
      </w:tr>
      <w:tr>
        <w:trPr>
          <w:trHeight w:val="22"/>
        </w:trPr>
        <w:tc>
          <w:tcPr>
            <w:tcW w:w="2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2022</w:t>
            </w:r>
          </w:p>
        </w:tc>
        <w:tc>
          <w:tcPr>
            <w:tcW w:w="2100" w:type="dxa"/>
            <w:vAlign w:val="bottom"/>
          </w:tcPr>
          <w:p>
            <w:pPr>
              <w:jc w:val="right"/>
              <w:ind w:right="336"/>
              <w:spacing w:after="0"/>
              <w:rPr>
                <w:sz w:val="20"/>
                <w:szCs w:val="20"/>
                <w:color w:val="auto"/>
              </w:rPr>
            </w:pPr>
            <w:r>
              <w:rPr>
                <w:rFonts w:ascii="Arial" w:cs="Arial" w:eastAsia="Arial" w:hAnsi="Arial"/>
                <w:sz w:val="17"/>
                <w:szCs w:val="17"/>
                <w:color w:val="auto"/>
              </w:rPr>
              <w:t>$7,960,608.00</w:t>
            </w:r>
          </w:p>
        </w:tc>
      </w:tr>
      <w:tr>
        <w:trPr>
          <w:trHeight w:val="262"/>
        </w:trPr>
        <w:tc>
          <w:tcPr>
            <w:tcW w:w="2040" w:type="dxa"/>
            <w:vAlign w:val="bottom"/>
            <w:tcBorders>
              <w:bottom w:val="single" w:sz="8" w:color="auto"/>
              <w:right w:val="single" w:sz="8" w:color="auto"/>
            </w:tcBorders>
          </w:tcPr>
          <w:p>
            <w:pPr>
              <w:spacing w:after="0"/>
              <w:rPr>
                <w:sz w:val="22"/>
                <w:szCs w:val="22"/>
                <w:color w:val="auto"/>
              </w:rPr>
            </w:pPr>
          </w:p>
        </w:tc>
        <w:tc>
          <w:tcPr>
            <w:tcW w:w="3120" w:type="dxa"/>
            <w:vAlign w:val="bottom"/>
            <w:tcBorders>
              <w:bottom w:val="single" w:sz="8" w:color="auto"/>
              <w:right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2100" w:type="dxa"/>
            <w:vAlign w:val="bottom"/>
          </w:tcPr>
          <w:p>
            <w:pPr>
              <w:spacing w:after="0"/>
              <w:rPr>
                <w:sz w:val="22"/>
                <w:szCs w:val="22"/>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148"/>
        </w:trPr>
        <w:tc>
          <w:tcPr>
            <w:tcW w:w="204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2100" w:type="dxa"/>
            <w:vAlign w:val="bottom"/>
          </w:tcPr>
          <w:p>
            <w:pPr>
              <w:spacing w:after="0"/>
              <w:rPr>
                <w:sz w:val="12"/>
                <w:szCs w:val="12"/>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211"/>
        </w:trPr>
        <w:tc>
          <w:tcPr>
            <w:tcW w:w="204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464"/>
        </w:trPr>
        <w:tc>
          <w:tcPr>
            <w:tcW w:w="204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r>
      <w:tr>
        <w:trPr>
          <w:trHeight w:val="224"/>
        </w:trPr>
        <w:tc>
          <w:tcPr>
            <w:tcW w:w="2040" w:type="dxa"/>
            <w:vAlign w:val="bottom"/>
            <w:tcBorders>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477"/>
        </w:trPr>
        <w:tc>
          <w:tcPr>
            <w:tcW w:w="204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22"/>
        </w:trPr>
        <w:tc>
          <w:tcPr>
            <w:tcW w:w="2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4"/>
        </w:trPr>
        <w:tc>
          <w:tcPr>
            <w:tcW w:w="20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22"/>
        </w:trPr>
        <w:tc>
          <w:tcPr>
            <w:tcW w:w="2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4"/>
        </w:trPr>
        <w:tc>
          <w:tcPr>
            <w:tcW w:w="2040" w:type="dxa"/>
            <w:vAlign w:val="bottom"/>
            <w:tcBorders>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w:t>
            </w:r>
          </w:p>
        </w:tc>
        <w:tc>
          <w:tcPr>
            <w:tcW w:w="20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22"/>
        </w:trPr>
        <w:tc>
          <w:tcPr>
            <w:tcW w:w="2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720" w:val="left"/>
          <w:tab w:leader="none" w:pos="230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1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1260"/>
          </w:cols>
          <w:pgMar w:left="320" w:top="1440" w:right="319" w:bottom="1440" w:gutter="0" w:footer="0" w:header="0"/>
        </w:sectPr>
      </w:pPr>
    </w:p>
    <w:bookmarkStart w:id="216" w:name="page217"/>
    <w:bookmarkEnd w:id="216"/>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660" w:type="dxa"/>
            <w:vAlign w:val="bottom"/>
            <w:tcBorders>
              <w:top w:val="single" w:sz="8" w:color="auto"/>
              <w:left w:val="single" w:sz="8" w:color="auto"/>
            </w:tcBorders>
          </w:tcPr>
          <w:p>
            <w:pPr>
              <w:jc w:val="right"/>
              <w:ind w:right="1159"/>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right w:val="single" w:sz="8" w:color="auto"/>
            </w:tcBorders>
          </w:tcPr>
          <w:p>
            <w:pPr>
              <w:spacing w:after="0"/>
              <w:rPr>
                <w:sz w:val="21"/>
                <w:szCs w:val="21"/>
                <w:color w:val="auto"/>
              </w:rPr>
            </w:pPr>
          </w:p>
        </w:tc>
        <w:tc>
          <w:tcPr>
            <w:tcW w:w="3120" w:type="dxa"/>
            <w:vAlign w:val="bottom"/>
            <w:tcBorders>
              <w:top w:val="single" w:sz="8" w:color="auto"/>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top w:val="single" w:sz="8" w:color="auto"/>
              <w:right w:val="single" w:sz="8" w:color="auto"/>
            </w:tcBorders>
          </w:tcPr>
          <w:p>
            <w:pPr>
              <w:spacing w:after="0"/>
              <w:rPr>
                <w:sz w:val="21"/>
                <w:szCs w:val="21"/>
                <w:color w:val="auto"/>
              </w:rPr>
            </w:pPr>
          </w:p>
        </w:tc>
        <w:tc>
          <w:tcPr>
            <w:tcW w:w="21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660" w:type="dxa"/>
            <w:vAlign w:val="bottom"/>
            <w:tcBorders>
              <w:left w:val="single" w:sz="8" w:color="auto"/>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jc w:val="right"/>
              <w:ind w:right="1219"/>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November 2022</w:t>
            </w:r>
          </w:p>
        </w:tc>
        <w:tc>
          <w:tcPr>
            <w:tcW w:w="2100" w:type="dxa"/>
            <w:vAlign w:val="bottom"/>
            <w:tcBorders>
              <w:right w:val="single" w:sz="8" w:color="auto"/>
            </w:tcBorders>
          </w:tcPr>
          <w:p>
            <w:pPr>
              <w:jc w:val="right"/>
              <w:ind w:right="336"/>
              <w:spacing w:after="0"/>
              <w:rPr>
                <w:sz w:val="20"/>
                <w:szCs w:val="20"/>
                <w:color w:val="auto"/>
              </w:rPr>
            </w:pPr>
            <w:r>
              <w:rPr>
                <w:rFonts w:ascii="Arial" w:cs="Arial" w:eastAsia="Arial" w:hAnsi="Arial"/>
                <w:sz w:val="17"/>
                <w:szCs w:val="17"/>
                <w:color w:val="auto"/>
              </w:rPr>
              <w:t>$4,436,204.00</w:t>
            </w:r>
          </w:p>
        </w:tc>
        <w:tc>
          <w:tcPr>
            <w:tcW w:w="0" w:type="dxa"/>
            <w:vAlign w:val="bottom"/>
          </w:tcPr>
          <w:p>
            <w:pPr>
              <w:spacing w:after="0"/>
              <w:rPr>
                <w:sz w:val="1"/>
                <w:szCs w:val="1"/>
                <w:color w:val="auto"/>
              </w:rPr>
            </w:pPr>
          </w:p>
        </w:tc>
      </w:tr>
      <w:tr>
        <w:trPr>
          <w:trHeight w:val="1892"/>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September 2023</w:t>
            </w: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jc w:val="right"/>
              <w:ind w:right="1219"/>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vMerge w:val="continue"/>
          </w:tcPr>
          <w:p>
            <w:pPr>
              <w:spacing w:after="0"/>
              <w:rPr>
                <w:sz w:val="19"/>
                <w:szCs w:val="19"/>
                <w:color w:val="auto"/>
              </w:rPr>
            </w:pPr>
          </w:p>
        </w:tc>
        <w:tc>
          <w:tcPr>
            <w:tcW w:w="2100" w:type="dxa"/>
            <w:vAlign w:val="bottom"/>
            <w:tcBorders>
              <w:right w:val="single" w:sz="8" w:color="auto"/>
            </w:tcBorders>
          </w:tcPr>
          <w:p>
            <w:pPr>
              <w:jc w:val="right"/>
              <w:ind w:right="336"/>
              <w:spacing w:after="0"/>
              <w:rPr>
                <w:sz w:val="20"/>
                <w:szCs w:val="20"/>
                <w:color w:val="auto"/>
              </w:rPr>
            </w:pPr>
            <w:r>
              <w:rPr>
                <w:rFonts w:ascii="Arial" w:cs="Arial" w:eastAsia="Arial" w:hAnsi="Arial"/>
                <w:sz w:val="17"/>
                <w:szCs w:val="17"/>
                <w:color w:val="auto"/>
              </w:rPr>
              <w:t>$4,500,000.00</w:t>
            </w:r>
          </w:p>
        </w:tc>
        <w:tc>
          <w:tcPr>
            <w:tcW w:w="0" w:type="dxa"/>
            <w:vAlign w:val="bottom"/>
          </w:tcPr>
          <w:p>
            <w:pPr>
              <w:spacing w:after="0"/>
              <w:rPr>
                <w:sz w:val="1"/>
                <w:szCs w:val="1"/>
                <w:color w:val="auto"/>
              </w:rPr>
            </w:pPr>
          </w:p>
        </w:tc>
      </w:tr>
      <w:tr>
        <w:trPr>
          <w:trHeight w:val="464"/>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6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660" w:type="dxa"/>
            <w:vAlign w:val="bottom"/>
            <w:tcBorders>
              <w:left w:val="single" w:sz="8" w:color="auto"/>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3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jc w:val="right"/>
              <w:ind w:right="1219"/>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jc w:val="right"/>
              <w:ind w:right="1159"/>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April 2024</w:t>
            </w:r>
          </w:p>
        </w:tc>
        <w:tc>
          <w:tcPr>
            <w:tcW w:w="2100" w:type="dxa"/>
            <w:vAlign w:val="bottom"/>
            <w:tcBorders>
              <w:right w:val="single" w:sz="8" w:color="auto"/>
            </w:tcBorders>
          </w:tcPr>
          <w:p>
            <w:pPr>
              <w:jc w:val="right"/>
              <w:ind w:right="336"/>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464"/>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6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8"/>
        </w:trPr>
        <w:tc>
          <w:tcPr>
            <w:tcW w:w="1660" w:type="dxa"/>
            <w:vAlign w:val="bottom"/>
          </w:tcPr>
          <w:p>
            <w:pPr>
              <w:jc w:val="right"/>
              <w:spacing w:after="0"/>
              <w:rPr>
                <w:sz w:val="20"/>
                <w:szCs w:val="20"/>
                <w:color w:val="auto"/>
              </w:rPr>
            </w:pPr>
            <w:r>
              <w:rPr>
                <w:rFonts w:ascii="Arial" w:cs="Arial" w:eastAsia="Arial" w:hAnsi="Arial"/>
                <w:sz w:val="13"/>
                <w:szCs w:val="13"/>
                <w:color w:val="auto"/>
              </w:rPr>
              <w:t>Investment ID INV-026060</w:t>
            </w:r>
          </w:p>
        </w:tc>
        <w:tc>
          <w:tcPr>
            <w:tcW w:w="3500" w:type="dxa"/>
            <w:vAlign w:val="bottom"/>
            <w:gridSpan w:val="2"/>
          </w:tcPr>
          <w:p>
            <w:pPr>
              <w:jc w:val="right"/>
              <w:ind w:right="1476"/>
              <w:spacing w:after="0"/>
              <w:rPr>
                <w:sz w:val="20"/>
                <w:szCs w:val="20"/>
                <w:color w:val="auto"/>
              </w:rPr>
            </w:pPr>
            <w:r>
              <w:rPr>
                <w:rFonts w:ascii="Arial" w:cs="Arial" w:eastAsia="Arial" w:hAnsi="Arial"/>
                <w:sz w:val="15"/>
                <w:szCs w:val="15"/>
                <w:color w:val="auto"/>
              </w:rPr>
              <w:t xml:space="preserve">2 of 4   </w:t>
            </w:r>
            <w:r>
              <w:rPr>
                <w:rFonts w:ascii="Arial" w:cs="Arial" w:eastAsia="Arial" w:hAnsi="Arial"/>
                <w:sz w:val="13"/>
                <w:szCs w:val="13"/>
                <w:color w:val="auto"/>
              </w:rPr>
              <w:t>Version: August 2022</w:t>
            </w: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17" w:name="page218"/>
    <w:bookmarkEnd w:id="217"/>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040" w:type="dxa"/>
            <w:vAlign w:val="bottom"/>
            <w:tcBorders>
              <w:top w:val="single" w:sz="8" w:color="auto"/>
              <w:left w:val="single" w:sz="8" w:color="auto"/>
              <w:right w:val="single" w:sz="8" w:color="auto"/>
            </w:tcBorders>
          </w:tcPr>
          <w:p>
            <w:pPr>
              <w:spacing w:after="0"/>
              <w:rPr>
                <w:sz w:val="21"/>
                <w:szCs w:val="21"/>
                <w:color w:val="auto"/>
              </w:rPr>
            </w:pPr>
          </w:p>
        </w:tc>
        <w:tc>
          <w:tcPr>
            <w:tcW w:w="3120" w:type="dxa"/>
            <w:vAlign w:val="bottom"/>
            <w:tcBorders>
              <w:top w:val="single" w:sz="8" w:color="auto"/>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November 2024</w:t>
            </w:r>
          </w:p>
        </w:tc>
        <w:tc>
          <w:tcPr>
            <w:tcW w:w="2100" w:type="dxa"/>
            <w:vAlign w:val="bottom"/>
            <w:tcBorders>
              <w:right w:val="single" w:sz="8" w:color="auto"/>
            </w:tcBorders>
          </w:tcPr>
          <w:p>
            <w:pPr>
              <w:jc w:val="center"/>
              <w:ind w:left="96"/>
              <w:spacing w:after="0"/>
              <w:rPr>
                <w:sz w:val="20"/>
                <w:szCs w:val="20"/>
                <w:color w:val="auto"/>
              </w:rPr>
            </w:pPr>
            <w:r>
              <w:rPr>
                <w:rFonts w:ascii="Arial" w:cs="Arial" w:eastAsia="Arial" w:hAnsi="Arial"/>
                <w:sz w:val="17"/>
                <w:szCs w:val="17"/>
                <w:color w:val="auto"/>
                <w:w w:val="99"/>
              </w:rPr>
              <w:t>$2,500,000.00</w:t>
            </w:r>
          </w:p>
        </w:tc>
        <w:tc>
          <w:tcPr>
            <w:tcW w:w="0" w:type="dxa"/>
            <w:vAlign w:val="bottom"/>
          </w:tcPr>
          <w:p>
            <w:pPr>
              <w:spacing w:after="0"/>
              <w:rPr>
                <w:sz w:val="1"/>
                <w:szCs w:val="1"/>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2025</w:t>
            </w:r>
          </w:p>
        </w:tc>
        <w:tc>
          <w:tcPr>
            <w:tcW w:w="2100" w:type="dxa"/>
            <w:vAlign w:val="bottom"/>
            <w:tcBorders>
              <w:right w:val="single" w:sz="8" w:color="auto"/>
            </w:tcBorders>
          </w:tcPr>
          <w:p>
            <w:pPr>
              <w:jc w:val="center"/>
              <w:ind w:left="96"/>
              <w:spacing w:after="0"/>
              <w:rPr>
                <w:sz w:val="20"/>
                <w:szCs w:val="20"/>
                <w:color w:val="auto"/>
              </w:rPr>
            </w:pPr>
            <w:r>
              <w:rPr>
                <w:rFonts w:ascii="Arial" w:cs="Arial" w:eastAsia="Arial" w:hAnsi="Arial"/>
                <w:sz w:val="17"/>
                <w:szCs w:val="17"/>
                <w:color w:val="auto"/>
                <w:w w:val="99"/>
              </w:rPr>
              <w:t>$6,000,000.00</w:t>
            </w:r>
          </w:p>
        </w:tc>
        <w:tc>
          <w:tcPr>
            <w:tcW w:w="0" w:type="dxa"/>
            <w:vAlign w:val="bottom"/>
          </w:tcPr>
          <w:p>
            <w:pPr>
              <w:spacing w:after="0"/>
              <w:rPr>
                <w:sz w:val="1"/>
                <w:szCs w:val="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October 2025</w:t>
            </w: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vMerge w:val="continue"/>
          </w:tcPr>
          <w:p>
            <w:pPr>
              <w:spacing w:after="0"/>
              <w:rPr>
                <w:sz w:val="19"/>
                <w:szCs w:val="19"/>
                <w:color w:val="auto"/>
              </w:rPr>
            </w:pPr>
          </w:p>
        </w:tc>
        <w:tc>
          <w:tcPr>
            <w:tcW w:w="2100" w:type="dxa"/>
            <w:vAlign w:val="bottom"/>
            <w:tcBorders>
              <w:right w:val="single" w:sz="8" w:color="auto"/>
            </w:tcBorders>
          </w:tcPr>
          <w:p>
            <w:pPr>
              <w:jc w:val="center"/>
              <w:ind w:left="96"/>
              <w:spacing w:after="0"/>
              <w:rPr>
                <w:sz w:val="20"/>
                <w:szCs w:val="20"/>
                <w:color w:val="auto"/>
              </w:rPr>
            </w:pPr>
            <w:r>
              <w:rPr>
                <w:rFonts w:ascii="Arial" w:cs="Arial" w:eastAsia="Arial" w:hAnsi="Arial"/>
                <w:sz w:val="17"/>
                <w:szCs w:val="17"/>
                <w:color w:val="auto"/>
                <w:w w:val="99"/>
              </w:rPr>
              <w:t>$4,000,000.00</w:t>
            </w:r>
          </w:p>
        </w:tc>
        <w:tc>
          <w:tcPr>
            <w:tcW w:w="0" w:type="dxa"/>
            <w:vAlign w:val="bottom"/>
          </w:tcPr>
          <w:p>
            <w:pPr>
              <w:spacing w:after="0"/>
              <w:rPr>
                <w:sz w:val="1"/>
                <w:szCs w:val="1"/>
                <w:color w:val="auto"/>
              </w:rPr>
            </w:pPr>
          </w:p>
        </w:tc>
      </w:tr>
      <w:tr>
        <w:trPr>
          <w:trHeight w:val="312"/>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auto"/>
            </w:tcBorders>
          </w:tcPr>
          <w:p>
            <w:pPr>
              <w:jc w:val="center"/>
              <w:ind w:left="96"/>
              <w:spacing w:after="0"/>
              <w:rPr>
                <w:sz w:val="20"/>
                <w:szCs w:val="20"/>
                <w:color w:val="auto"/>
              </w:rPr>
            </w:pPr>
            <w:r>
              <w:rPr>
                <w:rFonts w:ascii="Arial" w:cs="Arial" w:eastAsia="Arial" w:hAnsi="Arial"/>
                <w:sz w:val="17"/>
                <w:szCs w:val="17"/>
                <w:color w:val="auto"/>
                <w:w w:val="95"/>
              </w:rPr>
              <w:t>[***]</w:t>
            </w:r>
          </w:p>
        </w:tc>
        <w:tc>
          <w:tcPr>
            <w:tcW w:w="0" w:type="dxa"/>
            <w:vAlign w:val="bottom"/>
          </w:tcPr>
          <w:p>
            <w:pPr>
              <w:spacing w:after="0"/>
              <w:rPr>
                <w:sz w:val="1"/>
                <w:szCs w:val="1"/>
                <w:color w:val="auto"/>
              </w:rPr>
            </w:pPr>
          </w:p>
        </w:tc>
      </w:tr>
      <w:tr>
        <w:trPr>
          <w:trHeight w:val="312"/>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bottom w:val="single" w:sz="8" w:color="auto"/>
              <w:right w:val="single" w:sz="8" w:color="auto"/>
            </w:tcBorders>
          </w:tcPr>
          <w:p>
            <w:pPr>
              <w:spacing w:after="0"/>
              <w:rPr>
                <w:sz w:val="21"/>
                <w:szCs w:val="21"/>
                <w:color w:val="auto"/>
              </w:rPr>
            </w:pPr>
          </w:p>
        </w:tc>
        <w:tc>
          <w:tcPr>
            <w:tcW w:w="3120" w:type="dxa"/>
            <w:vAlign w:val="bottom"/>
            <w:tcBorders>
              <w:bottom w:val="single" w:sz="8" w:color="auto"/>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720" w:val="left"/>
          <w:tab w:leader="none" w:pos="230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3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1260"/>
          </w:cols>
          <w:pgMar w:left="320" w:top="1440" w:right="319" w:bottom="1440" w:gutter="0" w:footer="0" w:header="0"/>
        </w:sectPr>
      </w:pPr>
    </w:p>
    <w:bookmarkStart w:id="218" w:name="page219"/>
    <w:bookmarkEnd w:id="218"/>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040" w:type="dxa"/>
            <w:vAlign w:val="bottom"/>
            <w:tcBorders>
              <w:top w:val="single" w:sz="8" w:color="auto"/>
              <w:left w:val="single" w:sz="8" w:color="auto"/>
              <w:right w:val="single" w:sz="8" w:color="auto"/>
            </w:tcBorders>
          </w:tcPr>
          <w:p>
            <w:pPr>
              <w:spacing w:after="0"/>
              <w:rPr>
                <w:sz w:val="21"/>
                <w:szCs w:val="21"/>
                <w:color w:val="auto"/>
              </w:rPr>
            </w:pPr>
          </w:p>
        </w:tc>
        <w:tc>
          <w:tcPr>
            <w:tcW w:w="3120" w:type="dxa"/>
            <w:vAlign w:val="bottom"/>
            <w:tcBorders>
              <w:top w:val="single" w:sz="8" w:color="auto"/>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477"/>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464"/>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jc w:val="right"/>
              <w:ind w:right="1556"/>
              <w:spacing w:after="0"/>
              <w:rPr>
                <w:sz w:val="20"/>
                <w:szCs w:val="20"/>
                <w:color w:val="auto"/>
              </w:rPr>
            </w:pPr>
            <w:r>
              <w:rPr>
                <w:rFonts w:ascii="Arial" w:cs="Arial" w:eastAsia="Arial" w:hAnsi="Arial"/>
                <w:sz w:val="17"/>
                <w:szCs w:val="17"/>
                <w:color w:val="auto"/>
              </w:rPr>
              <w:t>[***]</w:t>
            </w: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2040" w:type="dxa"/>
            <w:vAlign w:val="bottom"/>
            <w:tcBorders>
              <w:left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jc w:val="right"/>
              <w:ind w:right="2656"/>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20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r>
      <w:tr>
        <w:trPr>
          <w:trHeight w:val="22"/>
        </w:trPr>
        <w:tc>
          <w:tcPr>
            <w:tcW w:w="2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8"/>
        </w:trPr>
        <w:tc>
          <w:tcPr>
            <w:tcW w:w="2040" w:type="dxa"/>
            <w:vAlign w:val="bottom"/>
            <w:tcBorders>
              <w:left w:val="single" w:sz="8" w:color="auto"/>
              <w:bottom w:val="single" w:sz="8" w:color="auto"/>
              <w:right w:val="single" w:sz="8" w:color="C0C0C0"/>
            </w:tcBorders>
            <w:shd w:val="clear" w:color="auto" w:fill="C0C0C0"/>
          </w:tcPr>
          <w:p>
            <w:pPr>
              <w:spacing w:after="0"/>
              <w:rPr>
                <w:sz w:val="20"/>
                <w:szCs w:val="20"/>
                <w:color w:val="auto"/>
              </w:rPr>
            </w:pPr>
          </w:p>
        </w:tc>
        <w:tc>
          <w:tcPr>
            <w:tcW w:w="3120" w:type="dxa"/>
            <w:vAlign w:val="bottom"/>
            <w:tcBorders>
              <w:bottom w:val="single" w:sz="8" w:color="auto"/>
              <w:right w:val="single" w:sz="8" w:color="C0C0C0"/>
            </w:tcBorders>
            <w:shd w:val="clear" w:color="auto" w:fill="C0C0C0"/>
          </w:tcPr>
          <w:p>
            <w:pPr>
              <w:spacing w:after="0"/>
              <w:rPr>
                <w:sz w:val="20"/>
                <w:szCs w:val="20"/>
                <w:color w:val="auto"/>
              </w:rPr>
            </w:pPr>
          </w:p>
        </w:tc>
        <w:tc>
          <w:tcPr>
            <w:tcW w:w="4000" w:type="dxa"/>
            <w:vAlign w:val="bottom"/>
            <w:tcBorders>
              <w:bottom w:val="single" w:sz="8" w:color="auto"/>
              <w:right w:val="single" w:sz="8" w:color="auto"/>
            </w:tcBorders>
            <w:gridSpan w:val="2"/>
            <w:shd w:val="clear" w:color="auto" w:fill="C0C0C0"/>
          </w:tcPr>
          <w:p>
            <w:pPr>
              <w:ind w:left="1520"/>
              <w:spacing w:after="0"/>
              <w:rPr>
                <w:sz w:val="20"/>
                <w:szCs w:val="20"/>
                <w:color w:val="auto"/>
              </w:rPr>
            </w:pPr>
            <w:r>
              <w:rPr>
                <w:rFonts w:ascii="Arial" w:cs="Arial" w:eastAsia="Arial" w:hAnsi="Arial"/>
                <w:sz w:val="17"/>
                <w:szCs w:val="17"/>
                <w:b w:val="1"/>
                <w:bCs w:val="1"/>
                <w:color w:val="auto"/>
              </w:rPr>
              <w:t>Amended Total Grant Amount</w:t>
            </w:r>
          </w:p>
        </w:tc>
        <w:tc>
          <w:tcPr>
            <w:tcW w:w="2100" w:type="dxa"/>
            <w:vAlign w:val="bottom"/>
            <w:tcBorders>
              <w:bottom w:val="single" w:sz="8" w:color="auto"/>
              <w:right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$48,945,928.00</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provided in the Agreement, signatures are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720" w:val="left"/>
          <w:tab w:leader="none" w:pos="230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4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1260"/>
          </w:cols>
          <w:pgMar w:left="320" w:top="1440" w:right="319" w:bottom="1440" w:gutter="0" w:footer="0" w:header="0"/>
        </w:sectPr>
      </w:pPr>
    </w:p>
    <w:bookmarkStart w:id="219" w:name="page220"/>
    <w:bookmarkEnd w:id="219"/>
    <w:tbl>
      <w:tblPr>
        <w:tblLayout w:type="fixed"/>
        <w:tblInd w:w="310" w:type="dxa"/>
        <w:tblCellMar>
          <w:top w:w="0" w:type="dxa"/>
          <w:left w:w="0" w:type="dxa"/>
          <w:bottom w:w="0" w:type="dxa"/>
          <w:right w:w="0" w:type="dxa"/>
        </w:tblCellMar>
      </w:tblPr>
      <w:tr>
        <w:trPr>
          <w:trHeight w:val="202"/>
        </w:trPr>
        <w:tc>
          <w:tcPr>
            <w:tcW w:w="2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40" w:type="dxa"/>
            <w:vAlign w:val="bottom"/>
            <w:gridSpan w:val="2"/>
          </w:tcPr>
          <w:p>
            <w:pPr>
              <w:jc w:val="center"/>
              <w:ind w:right="3920"/>
              <w:spacing w:after="0"/>
              <w:rPr>
                <w:sz w:val="20"/>
                <w:szCs w:val="20"/>
                <w:color w:val="auto"/>
              </w:rPr>
            </w:pPr>
            <w:r>
              <w:rPr>
                <w:rFonts w:ascii="Arial" w:cs="Arial" w:eastAsia="Arial" w:hAnsi="Arial"/>
                <w:sz w:val="17"/>
                <w:szCs w:val="17"/>
                <w:b w:val="1"/>
                <w:bCs w:val="1"/>
                <w:color w:val="auto"/>
                <w:w w:val="99"/>
              </w:rPr>
              <w:t>AMENDMENT 6</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40" w:type="dxa"/>
            <w:vAlign w:val="bottom"/>
            <w:gridSpan w:val="2"/>
          </w:tcPr>
          <w:p>
            <w:pPr>
              <w:jc w:val="center"/>
              <w:ind w:right="3900"/>
              <w:spacing w:after="0"/>
              <w:rPr>
                <w:sz w:val="20"/>
                <w:szCs w:val="20"/>
                <w:color w:val="auto"/>
              </w:rPr>
            </w:pPr>
            <w:r>
              <w:rPr>
                <w:rFonts w:ascii="Arial" w:cs="Arial" w:eastAsia="Arial" w:hAnsi="Arial"/>
                <w:sz w:val="17"/>
                <w:szCs w:val="17"/>
                <w:color w:val="auto"/>
                <w:w w:val="98"/>
              </w:rPr>
              <w:t>to</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40" w:type="dxa"/>
            <w:vAlign w:val="bottom"/>
            <w:gridSpan w:val="2"/>
          </w:tcPr>
          <w:p>
            <w:pPr>
              <w:jc w:val="center"/>
              <w:ind w:right="3920"/>
              <w:spacing w:after="0"/>
              <w:rPr>
                <w:sz w:val="20"/>
                <w:szCs w:val="20"/>
                <w:color w:val="auto"/>
              </w:rPr>
            </w:pPr>
            <w:r>
              <w:rPr>
                <w:rFonts w:ascii="Arial" w:cs="Arial" w:eastAsia="Arial" w:hAnsi="Arial"/>
                <w:sz w:val="17"/>
                <w:szCs w:val="17"/>
                <w:b w:val="1"/>
                <w:bCs w:val="1"/>
                <w:color w:val="auto"/>
                <w:w w:val="98"/>
              </w:rPr>
              <w:t>GRANT AGREEMENT</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40" w:type="dxa"/>
            <w:vAlign w:val="bottom"/>
            <w:gridSpan w:val="2"/>
          </w:tcPr>
          <w:p>
            <w:pPr>
              <w:jc w:val="center"/>
              <w:ind w:right="3900"/>
              <w:spacing w:after="0"/>
              <w:rPr>
                <w:sz w:val="20"/>
                <w:szCs w:val="20"/>
                <w:color w:val="auto"/>
              </w:rPr>
            </w:pPr>
            <w:r>
              <w:rPr>
                <w:rFonts w:ascii="Arial" w:cs="Arial" w:eastAsia="Arial" w:hAnsi="Arial"/>
                <w:sz w:val="17"/>
                <w:szCs w:val="17"/>
                <w:color w:val="auto"/>
                <w:w w:val="98"/>
              </w:rPr>
              <w:t>Investment ID INV-026060</w:t>
            </w:r>
          </w:p>
        </w:tc>
        <w:tc>
          <w:tcPr>
            <w:tcW w:w="0" w:type="dxa"/>
            <w:vAlign w:val="bottom"/>
          </w:tcPr>
          <w:p>
            <w:pPr>
              <w:spacing w:after="0"/>
              <w:rPr>
                <w:sz w:val="1"/>
                <w:szCs w:val="1"/>
                <w:color w:val="auto"/>
              </w:rPr>
            </w:pPr>
          </w:p>
        </w:tc>
      </w:tr>
      <w:tr>
        <w:trPr>
          <w:trHeight w:val="350"/>
        </w:trPr>
        <w:tc>
          <w:tcPr>
            <w:tcW w:w="2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40" w:type="dxa"/>
            <w:vAlign w:val="bottom"/>
            <w:gridSpan w:val="2"/>
          </w:tcPr>
          <w:p>
            <w:pPr>
              <w:jc w:val="center"/>
              <w:ind w:right="3920"/>
              <w:spacing w:after="0"/>
              <w:rPr>
                <w:sz w:val="20"/>
                <w:szCs w:val="20"/>
                <w:color w:val="auto"/>
              </w:rPr>
            </w:pPr>
            <w:r>
              <w:rPr>
                <w:rFonts w:ascii="Arial" w:cs="Arial" w:eastAsia="Arial" w:hAnsi="Arial"/>
                <w:sz w:val="17"/>
                <w:szCs w:val="17"/>
                <w:b w:val="1"/>
                <w:bCs w:val="1"/>
                <w:color w:val="auto"/>
                <w:w w:val="98"/>
              </w:rPr>
              <w:t>AMENDMENT SUMMARY PAGE</w:t>
            </w:r>
          </w:p>
        </w:tc>
        <w:tc>
          <w:tcPr>
            <w:tcW w:w="0" w:type="dxa"/>
            <w:vAlign w:val="bottom"/>
          </w:tcPr>
          <w:p>
            <w:pPr>
              <w:spacing w:after="0"/>
              <w:rPr>
                <w:sz w:val="1"/>
                <w:szCs w:val="1"/>
                <w:color w:val="auto"/>
              </w:rPr>
            </w:pPr>
          </w:p>
        </w:tc>
      </w:tr>
      <w:tr>
        <w:trPr>
          <w:trHeight w:val="271"/>
        </w:trPr>
        <w:tc>
          <w:tcPr>
            <w:tcW w:w="28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520" w:type="dxa"/>
            <w:vAlign w:val="bottom"/>
            <w:tcBorders>
              <w:top w:val="single" w:sz="8" w:color="auto"/>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bottom w:val="single" w:sz="8" w:color="auto"/>
              <w:right w:val="single" w:sz="8" w:color="BEBEBE"/>
            </w:tcBorders>
            <w:shd w:val="clear" w:color="auto" w:fill="BEBEBE"/>
          </w:tcPr>
          <w:p>
            <w:pPr>
              <w:ind w:left="80"/>
              <w:spacing w:after="0"/>
              <w:rPr>
                <w:sz w:val="20"/>
                <w:szCs w:val="20"/>
                <w:color w:val="auto"/>
              </w:rPr>
            </w:pPr>
            <w:r>
              <w:rPr>
                <w:rFonts w:ascii="Arial" w:cs="Arial" w:eastAsia="Arial" w:hAnsi="Arial"/>
                <w:sz w:val="17"/>
                <w:szCs w:val="17"/>
                <w:b w:val="1"/>
                <w:bCs w:val="1"/>
                <w:color w:val="auto"/>
              </w:rPr>
              <w:t>AMENDMENT INFORMATION</w:t>
            </w:r>
          </w:p>
        </w:tc>
        <w:tc>
          <w:tcPr>
            <w:tcW w:w="1220" w:type="dxa"/>
            <w:vAlign w:val="bottom"/>
            <w:tcBorders>
              <w:bottom w:val="single" w:sz="8" w:color="auto"/>
            </w:tcBorders>
            <w:shd w:val="clear" w:color="auto" w:fill="BEBEBE"/>
          </w:tcPr>
          <w:p>
            <w:pPr>
              <w:spacing w:after="0"/>
              <w:rPr>
                <w:sz w:val="19"/>
                <w:szCs w:val="19"/>
                <w:color w:val="auto"/>
              </w:rPr>
            </w:pPr>
          </w:p>
        </w:tc>
        <w:tc>
          <w:tcPr>
            <w:tcW w:w="2520" w:type="dxa"/>
            <w:vAlign w:val="bottom"/>
            <w:tcBorders>
              <w:bottom w:val="single" w:sz="8" w:color="auto"/>
            </w:tcBorders>
            <w:shd w:val="clear" w:color="auto" w:fill="BEBEBE"/>
          </w:tcPr>
          <w:p>
            <w:pPr>
              <w:spacing w:after="0"/>
              <w:rPr>
                <w:sz w:val="19"/>
                <w:szCs w:val="19"/>
                <w:color w:val="auto"/>
              </w:rPr>
            </w:pPr>
          </w:p>
        </w:tc>
        <w:tc>
          <w:tcPr>
            <w:tcW w:w="3920" w:type="dxa"/>
            <w:vAlign w:val="bottom"/>
            <w:tcBorders>
              <w:bottom w:val="single" w:sz="8" w:color="auto"/>
              <w:right w:val="single" w:sz="8" w:color="auto"/>
            </w:tcBorders>
            <w:shd w:val="clear" w:color="auto" w:fill="BEBEB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76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Grant agreement between the Gates Foundation, formerly known as the Bill &amp; Melinda Gates</w:t>
            </w: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Agreement to be Amended:</w:t>
            </w:r>
          </w:p>
        </w:tc>
        <w:tc>
          <w:tcPr>
            <w:tcW w:w="7660" w:type="dxa"/>
            <w:vAlign w:val="bottom"/>
            <w:tcBorders>
              <w:right w:val="single" w:sz="8" w:color="auto"/>
            </w:tcBorders>
            <w:gridSpan w:val="3"/>
          </w:tcPr>
          <w:p>
            <w:pPr>
              <w:ind w:left="60"/>
              <w:spacing w:after="0" w:line="189" w:lineRule="exact"/>
              <w:rPr>
                <w:sz w:val="20"/>
                <w:szCs w:val="20"/>
                <w:color w:val="auto"/>
              </w:rPr>
            </w:pPr>
            <w:r>
              <w:rPr>
                <w:rFonts w:ascii="Arial" w:cs="Arial" w:eastAsia="Arial" w:hAnsi="Arial"/>
                <w:sz w:val="17"/>
                <w:szCs w:val="17"/>
                <w:color w:val="auto"/>
                <w:w w:val="99"/>
              </w:rPr>
              <w:t>Foundation, and Dare Bioscience, Inc., effective June 30, 2021, as amended, and bearing Investment</w:t>
            </w: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76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ID INV-026060</w:t>
            </w:r>
          </w:p>
        </w:tc>
        <w:tc>
          <w:tcPr>
            <w:tcW w:w="0" w:type="dxa"/>
            <w:vAlign w:val="bottom"/>
          </w:tcPr>
          <w:p>
            <w:pPr>
              <w:spacing w:after="0"/>
              <w:rPr>
                <w:sz w:val="1"/>
                <w:szCs w:val="1"/>
                <w:color w:val="auto"/>
              </w:rPr>
            </w:pPr>
          </w:p>
        </w:tc>
      </w:tr>
      <w:tr>
        <w:trPr>
          <w:trHeight w:val="222"/>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Amendment Purpose:</w:t>
            </w:r>
          </w:p>
        </w:tc>
        <w:tc>
          <w:tcPr>
            <w:tcW w:w="76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No Cost Extension</w:t>
            </w: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“Amendment Date”</w:t>
            </w:r>
            <w:r>
              <w:rPr>
                <w:rFonts w:ascii="Arial" w:cs="Arial" w:eastAsia="Arial" w:hAnsi="Arial"/>
                <w:sz w:val="17"/>
                <w:szCs w:val="17"/>
                <w:color w:val="auto"/>
              </w:rPr>
              <w:t>:</w:t>
            </w:r>
          </w:p>
        </w:tc>
        <w:tc>
          <w:tcPr>
            <w:tcW w:w="76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Date of this email</w:t>
            </w:r>
          </w:p>
        </w:tc>
        <w:tc>
          <w:tcPr>
            <w:tcW w:w="0" w:type="dxa"/>
            <w:vAlign w:val="bottom"/>
          </w:tcPr>
          <w:p>
            <w:pPr>
              <w:spacing w:after="0"/>
              <w:rPr>
                <w:sz w:val="1"/>
                <w:szCs w:val="1"/>
                <w:color w:val="auto"/>
              </w:rPr>
            </w:pPr>
          </w:p>
        </w:tc>
      </w:tr>
      <w:tr>
        <w:trPr>
          <w:trHeight w:val="226"/>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color w:val="auto"/>
              </w:rPr>
              <w:t>Amended “End Date”:</w:t>
            </w:r>
          </w:p>
        </w:tc>
        <w:tc>
          <w:tcPr>
            <w:tcW w:w="76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The term of the Agreement is extended by changing the End Date to December 31, 2027</w:t>
            </w: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left="300"/>
        <w:spacing w:after="0" w:line="259"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Date.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REPORTING &amp; PAYMENT SCHEDULE</w:t>
      </w:r>
    </w:p>
    <w:p>
      <w:pPr>
        <w:spacing w:after="0" w:line="23" w:lineRule="exact"/>
        <w:rPr>
          <w:sz w:val="20"/>
          <w:szCs w:val="20"/>
          <w:color w:val="auto"/>
        </w:rPr>
      </w:pPr>
    </w:p>
    <w:p>
      <w:pPr>
        <w:ind w:left="300" w:right="360"/>
        <w:spacing w:after="0" w:line="261" w:lineRule="auto"/>
        <w:rPr>
          <w:sz w:val="20"/>
          <w:szCs w:val="20"/>
          <w:color w:val="auto"/>
        </w:rPr>
      </w:pPr>
      <w:r>
        <w:rPr>
          <w:rFonts w:ascii="Arial" w:cs="Arial" w:eastAsia="Arial" w:hAnsi="Arial"/>
          <w:sz w:val="17"/>
          <w:szCs w:val="17"/>
          <w:color w:val="auto"/>
        </w:rPr>
        <w:t>This Amendment notifies You that the reporting and/or payment schedule for Your grant has changed. Your Reporting &amp; Payment Schedule is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6795770" cy="257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6795770" cy="2575560"/>
                    </a:xfrm>
                    <a:prstGeom prst="rect">
                      <a:avLst/>
                    </a:prstGeom>
                    <a:noFill/>
                  </pic:spPr>
                </pic:pic>
              </a:graphicData>
            </a:graphic>
          </wp:anchor>
        </w:drawing>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REPORTING &amp; PAYMENT SCHEDULE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Borders>
              <w:top w:val="single" w:sz="8" w:color="auto"/>
              <w:right w:val="single" w:sz="8" w:color="auto"/>
            </w:tcBorders>
          </w:tcPr>
          <w:p>
            <w:pPr>
              <w:jc w:val="center"/>
              <w:ind w:right="373"/>
              <w:spacing w:after="0" w:line="194" w:lineRule="exact"/>
              <w:rPr>
                <w:sz w:val="20"/>
                <w:szCs w:val="20"/>
                <w:color w:val="auto"/>
              </w:rPr>
            </w:pPr>
            <w:r>
              <w:rPr>
                <w:rFonts w:ascii="Arial" w:cs="Arial" w:eastAsia="Arial" w:hAnsi="Arial"/>
                <w:sz w:val="17"/>
                <w:szCs w:val="17"/>
                <w:i w:val="1"/>
                <w:iCs w:val="1"/>
                <w:color w:val="auto"/>
              </w:rPr>
              <w:t>Investment</w:t>
            </w:r>
          </w:p>
        </w:tc>
        <w:tc>
          <w:tcPr>
            <w:tcW w:w="2920" w:type="dxa"/>
            <w:vAlign w:val="bottom"/>
            <w:tcBorders>
              <w:top w:val="single" w:sz="8" w:color="auto"/>
              <w:right w:val="single" w:sz="8" w:color="auto"/>
            </w:tcBorders>
          </w:tcPr>
          <w:p>
            <w:pPr>
              <w:jc w:val="right"/>
              <w:ind w:right="979"/>
              <w:spacing w:after="0" w:line="194" w:lineRule="exact"/>
              <w:rPr>
                <w:sz w:val="20"/>
                <w:szCs w:val="20"/>
                <w:color w:val="auto"/>
              </w:rPr>
            </w:pPr>
            <w:r>
              <w:rPr>
                <w:rFonts w:ascii="Arial" w:cs="Arial" w:eastAsia="Arial" w:hAnsi="Arial"/>
                <w:sz w:val="17"/>
                <w:szCs w:val="17"/>
                <w:i w:val="1"/>
                <w:iCs w:val="1"/>
                <w:color w:val="auto"/>
              </w:rPr>
              <w:t>Target, Milestone, or</w:t>
            </w:r>
          </w:p>
        </w:tc>
        <w:tc>
          <w:tcPr>
            <w:tcW w:w="18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7"/>
                <w:szCs w:val="17"/>
                <w:i w:val="1"/>
                <w:iCs w:val="1"/>
                <w:color w:val="auto"/>
              </w:rPr>
              <w:t>Due By</w:t>
            </w:r>
          </w:p>
        </w:tc>
        <w:tc>
          <w:tcPr>
            <w:tcW w:w="18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7"/>
                <w:szCs w:val="17"/>
                <w:i w:val="1"/>
                <w:iCs w:val="1"/>
                <w:color w:val="auto"/>
                <w:w w:val="98"/>
              </w:rPr>
              <w:t>Payment Date</w:t>
            </w:r>
          </w:p>
        </w:tc>
        <w:tc>
          <w:tcPr>
            <w:tcW w:w="2240" w:type="dxa"/>
            <w:vAlign w:val="bottom"/>
            <w:tcBorders>
              <w:top w:val="single" w:sz="8" w:color="auto"/>
            </w:tcBorders>
          </w:tcPr>
          <w:p>
            <w:pPr>
              <w:jc w:val="right"/>
              <w:ind w:right="676"/>
              <w:spacing w:after="0" w:line="194" w:lineRule="exact"/>
              <w:rPr>
                <w:sz w:val="20"/>
                <w:szCs w:val="20"/>
                <w:color w:val="auto"/>
              </w:rPr>
            </w:pPr>
            <w:r>
              <w:rPr>
                <w:rFonts w:ascii="Arial" w:cs="Arial" w:eastAsia="Arial" w:hAnsi="Arial"/>
                <w:sz w:val="17"/>
                <w:szCs w:val="17"/>
                <w:i w:val="1"/>
                <w:iCs w:val="1"/>
                <w:color w:val="auto"/>
              </w:rPr>
              <w:t>Payment Amount</w:t>
            </w:r>
          </w:p>
        </w:tc>
      </w:tr>
      <w:tr>
        <w:trPr>
          <w:trHeight w:val="220"/>
        </w:trPr>
        <w:tc>
          <w:tcPr>
            <w:tcW w:w="1860" w:type="dxa"/>
            <w:vAlign w:val="bottom"/>
            <w:tcBorders>
              <w:right w:val="single" w:sz="8" w:color="auto"/>
            </w:tcBorders>
          </w:tcPr>
          <w:p>
            <w:pPr>
              <w:jc w:val="center"/>
              <w:ind w:right="373"/>
              <w:spacing w:after="0"/>
              <w:rPr>
                <w:sz w:val="20"/>
                <w:szCs w:val="20"/>
                <w:color w:val="auto"/>
              </w:rPr>
            </w:pPr>
            <w:r>
              <w:rPr>
                <w:rFonts w:ascii="Arial" w:cs="Arial" w:eastAsia="Arial" w:hAnsi="Arial"/>
                <w:sz w:val="17"/>
                <w:szCs w:val="17"/>
                <w:i w:val="1"/>
                <w:iCs w:val="1"/>
                <w:color w:val="auto"/>
                <w:w w:val="97"/>
              </w:rPr>
              <w:t>Period</w:t>
            </w:r>
          </w:p>
        </w:tc>
        <w:tc>
          <w:tcPr>
            <w:tcW w:w="2920" w:type="dxa"/>
            <w:vAlign w:val="bottom"/>
            <w:tcBorders>
              <w:right w:val="single" w:sz="8" w:color="auto"/>
            </w:tcBorders>
          </w:tcPr>
          <w:p>
            <w:pPr>
              <w:jc w:val="right"/>
              <w:ind w:right="939"/>
              <w:spacing w:after="0"/>
              <w:rPr>
                <w:sz w:val="20"/>
                <w:szCs w:val="20"/>
                <w:color w:val="auto"/>
              </w:rPr>
            </w:pPr>
            <w:r>
              <w:rPr>
                <w:rFonts w:ascii="Arial" w:cs="Arial" w:eastAsia="Arial" w:hAnsi="Arial"/>
                <w:sz w:val="17"/>
                <w:szCs w:val="17"/>
                <w:i w:val="1"/>
                <w:iCs w:val="1"/>
                <w:color w:val="auto"/>
              </w:rPr>
              <w:t>Reporting Deliverable</w:t>
            </w:r>
          </w:p>
        </w:tc>
        <w:tc>
          <w:tcPr>
            <w:tcW w:w="18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2240" w:type="dxa"/>
            <w:vAlign w:val="bottom"/>
          </w:tcPr>
          <w:p>
            <w:pPr>
              <w:jc w:val="right"/>
              <w:ind w:right="1056"/>
              <w:spacing w:after="0"/>
              <w:rPr>
                <w:sz w:val="20"/>
                <w:szCs w:val="20"/>
                <w:color w:val="auto"/>
              </w:rPr>
            </w:pPr>
            <w:r>
              <w:rPr>
                <w:rFonts w:ascii="Arial" w:cs="Arial" w:eastAsia="Arial" w:hAnsi="Arial"/>
                <w:sz w:val="17"/>
                <w:szCs w:val="17"/>
                <w:i w:val="1"/>
                <w:iCs w:val="1"/>
                <w:color w:val="auto"/>
              </w:rPr>
              <w:t>(U.S.$)</w:t>
            </w:r>
          </w:p>
        </w:tc>
      </w:tr>
      <w:tr>
        <w:trPr>
          <w:trHeight w:val="22"/>
        </w:trPr>
        <w:tc>
          <w:tcPr>
            <w:tcW w:w="1860" w:type="dxa"/>
            <w:vAlign w:val="bottom"/>
            <w:tcBorders>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419"/>
              <w:spacing w:after="0"/>
              <w:rPr>
                <w:sz w:val="20"/>
                <w:szCs w:val="20"/>
                <w:color w:val="auto"/>
              </w:rPr>
            </w:pPr>
            <w:r>
              <w:rPr>
                <w:rFonts w:ascii="Arial" w:cs="Arial" w:eastAsia="Arial" w:hAnsi="Arial"/>
                <w:sz w:val="17"/>
                <w:szCs w:val="17"/>
                <w:color w:val="auto"/>
              </w:rPr>
              <w:t>Countersigned Agreement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July 2021</w:t>
            </w:r>
          </w:p>
        </w:tc>
        <w:tc>
          <w:tcPr>
            <w:tcW w:w="2240" w:type="dxa"/>
            <w:vAlign w:val="bottom"/>
          </w:tcPr>
          <w:p>
            <w:pPr>
              <w:jc w:val="right"/>
              <w:ind w:right="556"/>
              <w:spacing w:after="0"/>
              <w:rPr>
                <w:sz w:val="20"/>
                <w:szCs w:val="20"/>
                <w:color w:val="auto"/>
              </w:rPr>
            </w:pPr>
            <w:r>
              <w:rPr>
                <w:rFonts w:ascii="Arial" w:cs="Arial" w:eastAsia="Arial" w:hAnsi="Arial"/>
                <w:sz w:val="17"/>
                <w:szCs w:val="17"/>
                <w:color w:val="auto"/>
              </w:rPr>
              <w:t>$11,453,099.00</w:t>
            </w:r>
          </w:p>
        </w:tc>
      </w:tr>
      <w:tr>
        <w:trPr>
          <w:trHeight w:val="28"/>
        </w:trPr>
        <w:tc>
          <w:tcPr>
            <w:tcW w:w="186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July 2022</w:t>
            </w:r>
          </w:p>
        </w:tc>
        <w:tc>
          <w:tcPr>
            <w:tcW w:w="2240" w:type="dxa"/>
            <w:vAlign w:val="bottom"/>
          </w:tcPr>
          <w:p>
            <w:pPr>
              <w:jc w:val="right"/>
              <w:ind w:right="536"/>
              <w:spacing w:after="0"/>
              <w:rPr>
                <w:sz w:val="20"/>
                <w:szCs w:val="20"/>
                <w:color w:val="auto"/>
              </w:rPr>
            </w:pPr>
            <w:r>
              <w:rPr>
                <w:rFonts w:ascii="Arial" w:cs="Arial" w:eastAsia="Arial" w:hAnsi="Arial"/>
                <w:sz w:val="17"/>
                <w:szCs w:val="17"/>
                <w:color w:val="auto"/>
              </w:rPr>
              <w:t>$7,960,608.00</w:t>
            </w:r>
          </w:p>
        </w:tc>
      </w:tr>
      <w:tr>
        <w:trPr>
          <w:trHeight w:val="243"/>
        </w:trPr>
        <w:tc>
          <w:tcPr>
            <w:tcW w:w="186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130"/>
        </w:trPr>
        <w:tc>
          <w:tcPr>
            <w:tcW w:w="1860" w:type="dxa"/>
            <w:vAlign w:val="bottom"/>
            <w:tcBorders>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2240" w:type="dxa"/>
            <w:vAlign w:val="bottom"/>
          </w:tcPr>
          <w:p>
            <w:pPr>
              <w:spacing w:after="0"/>
              <w:rPr>
                <w:sz w:val="11"/>
                <w:szCs w:val="11"/>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193"/>
        </w:trPr>
        <w:tc>
          <w:tcPr>
            <w:tcW w:w="186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445"/>
        </w:trPr>
        <w:tc>
          <w:tcPr>
            <w:tcW w:w="186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42"/>
        </w:trPr>
        <w:tc>
          <w:tcPr>
            <w:tcW w:w="1860" w:type="dxa"/>
            <w:vAlign w:val="bottom"/>
            <w:tcBorders>
              <w:right w:val="single" w:sz="8" w:color="auto"/>
            </w:tcBorders>
          </w:tcPr>
          <w:p>
            <w:pPr>
              <w:jc w:val="right"/>
              <w:ind w:right="1373"/>
              <w:spacing w:after="0"/>
              <w:rPr>
                <w:sz w:val="20"/>
                <w:szCs w:val="20"/>
                <w:color w:val="auto"/>
              </w:rPr>
            </w:pPr>
            <w:r>
              <w:rPr>
                <w:rFonts w:ascii="Arial" w:cs="Arial" w:eastAsia="Arial" w:hAnsi="Arial"/>
                <w:sz w:val="19"/>
                <w:szCs w:val="19"/>
                <w:color w:val="auto"/>
              </w:rPr>
              <w:t>[***]</w:t>
            </w: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445"/>
        </w:trPr>
        <w:tc>
          <w:tcPr>
            <w:tcW w:w="186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42"/>
        </w:trPr>
        <w:tc>
          <w:tcPr>
            <w:tcW w:w="18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right"/>
              <w:ind w:right="2519"/>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18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28"/>
        </w:trPr>
        <w:tc>
          <w:tcPr>
            <w:tcW w:w="186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1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1180"/>
          </w:cols>
          <w:pgMar w:left="320" w:top="1323" w:right="399" w:bottom="1440" w:gutter="0" w:footer="0" w:header="0"/>
        </w:sectPr>
      </w:pPr>
    </w:p>
    <w:bookmarkStart w:id="220" w:name="page221"/>
    <w:bookmarkEnd w:id="220"/>
    <w:tbl>
      <w:tblPr>
        <w:tblLayout w:type="fixed"/>
        <w:tblInd w:w="10" w:type="dxa"/>
        <w:tblCellMar>
          <w:top w:w="0" w:type="dxa"/>
          <w:left w:w="0" w:type="dxa"/>
          <w:bottom w:w="0" w:type="dxa"/>
          <w:right w:w="0" w:type="dxa"/>
        </w:tblCellMar>
      </w:tblPr>
      <w:tr>
        <w:trPr>
          <w:trHeight w:val="262"/>
        </w:trPr>
        <w:tc>
          <w:tcPr>
            <w:tcW w:w="1860" w:type="dxa"/>
            <w:vAlign w:val="bottom"/>
            <w:tcBorders>
              <w:top w:val="single" w:sz="8" w:color="auto"/>
              <w:left w:val="single" w:sz="8" w:color="auto"/>
              <w:right w:val="single" w:sz="8" w:color="auto"/>
            </w:tcBorders>
          </w:tcPr>
          <w:p>
            <w:pPr>
              <w:spacing w:after="0"/>
              <w:rPr>
                <w:sz w:val="22"/>
                <w:szCs w:val="22"/>
                <w:color w:val="auto"/>
              </w:rPr>
            </w:pPr>
          </w:p>
        </w:tc>
        <w:tc>
          <w:tcPr>
            <w:tcW w:w="2920" w:type="dxa"/>
            <w:vAlign w:val="bottom"/>
            <w:tcBorders>
              <w:top w:val="single" w:sz="8" w:color="auto"/>
              <w:right w:val="single" w:sz="8" w:color="auto"/>
            </w:tcBorders>
          </w:tcPr>
          <w:p>
            <w:pPr>
              <w:jc w:val="right"/>
              <w:ind w:right="25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right"/>
              <w:ind w:right="687"/>
              <w:spacing w:after="0"/>
              <w:rPr>
                <w:sz w:val="20"/>
                <w:szCs w:val="20"/>
                <w:color w:val="auto"/>
              </w:rPr>
            </w:pPr>
            <w:r>
              <w:rPr>
                <w:rFonts w:ascii="Arial" w:cs="Arial" w:eastAsia="Arial" w:hAnsi="Arial"/>
                <w:sz w:val="19"/>
                <w:szCs w:val="19"/>
                <w:color w:val="auto"/>
              </w:rPr>
              <w:t>[***]</w:t>
            </w:r>
          </w:p>
        </w:tc>
        <w:tc>
          <w:tcPr>
            <w:tcW w:w="1840" w:type="dxa"/>
            <w:vAlign w:val="bottom"/>
            <w:tcBorders>
              <w:top w:val="single" w:sz="8" w:color="auto"/>
              <w:right w:val="single" w:sz="8" w:color="auto"/>
            </w:tcBorders>
          </w:tcPr>
          <w:p>
            <w:pPr>
              <w:spacing w:after="0"/>
              <w:rPr>
                <w:sz w:val="22"/>
                <w:szCs w:val="22"/>
                <w:color w:val="auto"/>
              </w:rPr>
            </w:pPr>
          </w:p>
        </w:tc>
        <w:tc>
          <w:tcPr>
            <w:tcW w:w="2260" w:type="dxa"/>
            <w:vAlign w:val="bottom"/>
            <w:tcBorders>
              <w:top w:val="single" w:sz="8" w:color="auto"/>
              <w:right w:val="single" w:sz="8" w:color="auto"/>
            </w:tcBorders>
          </w:tcPr>
          <w:p>
            <w:pPr>
              <w:spacing w:after="0"/>
              <w:rPr>
                <w:sz w:val="22"/>
                <w:szCs w:val="22"/>
                <w:color w:val="auto"/>
              </w:rPr>
            </w:pPr>
          </w:p>
        </w:tc>
      </w:tr>
      <w:tr>
        <w:trPr>
          <w:trHeight w:val="28"/>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2"/>
        </w:trPr>
        <w:tc>
          <w:tcPr>
            <w:tcW w:w="1860" w:type="dxa"/>
            <w:vAlign w:val="bottom"/>
            <w:tcBorders>
              <w:left w:val="single" w:sz="8" w:color="auto"/>
              <w:right w:val="single" w:sz="8" w:color="auto"/>
            </w:tcBorders>
          </w:tcPr>
          <w:p>
            <w:pPr>
              <w:jc w:val="right"/>
              <w:ind w:right="1367"/>
              <w:spacing w:after="0"/>
              <w:rPr>
                <w:sz w:val="20"/>
                <w:szCs w:val="20"/>
                <w:color w:val="auto"/>
              </w:rPr>
            </w:pPr>
            <w:r>
              <w:rPr>
                <w:rFonts w:ascii="Arial" w:cs="Arial" w:eastAsia="Arial" w:hAnsi="Arial"/>
                <w:sz w:val="19"/>
                <w:szCs w:val="19"/>
                <w:color w:val="auto"/>
              </w:rPr>
              <w:t>[***]</w:t>
            </w:r>
          </w:p>
        </w:tc>
        <w:tc>
          <w:tcPr>
            <w:tcW w:w="2920" w:type="dxa"/>
            <w:vAlign w:val="bottom"/>
            <w:tcBorders>
              <w:right w:val="single" w:sz="8" w:color="auto"/>
            </w:tcBorders>
          </w:tcPr>
          <w:p>
            <w:pPr>
              <w:jc w:val="right"/>
              <w:ind w:right="2520"/>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right"/>
              <w:ind w:right="687"/>
              <w:spacing w:after="0"/>
              <w:rPr>
                <w:sz w:val="20"/>
                <w:szCs w:val="20"/>
                <w:color w:val="auto"/>
              </w:rPr>
            </w:pPr>
            <w:r>
              <w:rPr>
                <w:rFonts w:ascii="Arial" w:cs="Arial" w:eastAsia="Arial" w:hAnsi="Arial"/>
                <w:sz w:val="19"/>
                <w:szCs w:val="19"/>
                <w:color w:val="auto"/>
              </w:rPr>
              <w:t>[***]</w:t>
            </w:r>
          </w:p>
        </w:tc>
        <w:tc>
          <w:tcPr>
            <w:tcW w:w="18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8"/>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20"/>
        <w:spacing w:after="0"/>
        <w:tabs>
          <w:tab w:leader="none" w:pos="5560" w:val="left"/>
          <w:tab w:leader="none" w:pos="612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2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0700"/>
          </w:cols>
          <w:pgMar w:left="320" w:top="1270" w:right="879" w:bottom="1440" w:gutter="0" w:footer="0" w:header="0"/>
        </w:sectPr>
      </w:pPr>
    </w:p>
    <w:bookmarkStart w:id="221" w:name="page222"/>
    <w:bookmarkEnd w:id="221"/>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1116330</wp:posOffset>
            </wp:positionV>
            <wp:extent cx="6795770" cy="5495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6795770" cy="5495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8"/>
        </w:trPr>
        <w:tc>
          <w:tcPr>
            <w:tcW w:w="1140" w:type="dxa"/>
            <w:vAlign w:val="bottom"/>
          </w:tcPr>
          <w:p>
            <w:pPr>
              <w:jc w:val="right"/>
              <w:ind w:right="647"/>
              <w:spacing w:after="0"/>
              <w:rPr>
                <w:sz w:val="20"/>
                <w:szCs w:val="20"/>
                <w:color w:val="auto"/>
              </w:rPr>
            </w:pPr>
            <w:r>
              <w:rPr>
                <w:rFonts w:ascii="Arial" w:cs="Arial" w:eastAsia="Arial" w:hAnsi="Arial"/>
                <w:sz w:val="19"/>
                <w:szCs w:val="19"/>
                <w:color w:val="auto"/>
              </w:rPr>
              <w:t>[***]</w:t>
            </w:r>
          </w:p>
        </w:tc>
        <w:tc>
          <w:tcPr>
            <w:tcW w:w="2900" w:type="dxa"/>
            <w:vAlign w:val="bottom"/>
          </w:tcPr>
          <w:p>
            <w:pPr>
              <w:jc w:val="right"/>
              <w:ind w:right="1749"/>
              <w:spacing w:after="0"/>
              <w:rPr>
                <w:sz w:val="20"/>
                <w:szCs w:val="20"/>
                <w:color w:val="auto"/>
              </w:rPr>
            </w:pPr>
            <w:r>
              <w:rPr>
                <w:rFonts w:ascii="Arial" w:cs="Arial" w:eastAsia="Arial" w:hAnsi="Arial"/>
                <w:sz w:val="19"/>
                <w:szCs w:val="19"/>
                <w:color w:val="auto"/>
              </w:rPr>
              <w:t>[***]</w:t>
            </w:r>
          </w:p>
        </w:tc>
        <w:tc>
          <w:tcPr>
            <w:tcW w:w="2240" w:type="dxa"/>
            <w:vAlign w:val="bottom"/>
          </w:tcPr>
          <w:p>
            <w:pPr>
              <w:jc w:val="right"/>
              <w:ind w:right="347"/>
              <w:spacing w:after="0"/>
              <w:rPr>
                <w:sz w:val="20"/>
                <w:szCs w:val="20"/>
                <w:color w:val="auto"/>
              </w:rPr>
            </w:pPr>
            <w:r>
              <w:rPr>
                <w:rFonts w:ascii="Arial" w:cs="Arial" w:eastAsia="Arial" w:hAnsi="Arial"/>
                <w:sz w:val="19"/>
                <w:szCs w:val="19"/>
                <w:color w:val="auto"/>
              </w:rPr>
              <w:t>[***]</w:t>
            </w:r>
          </w:p>
        </w:tc>
        <w:tc>
          <w:tcPr>
            <w:tcW w:w="21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2"/>
        </w:trPr>
        <w:tc>
          <w:tcPr>
            <w:tcW w:w="1140" w:type="dxa"/>
            <w:vAlign w:val="bottom"/>
          </w:tcPr>
          <w:p>
            <w:pPr>
              <w:jc w:val="right"/>
              <w:ind w:right="647"/>
              <w:spacing w:after="0"/>
              <w:rPr>
                <w:sz w:val="20"/>
                <w:szCs w:val="20"/>
                <w:color w:val="auto"/>
              </w:rPr>
            </w:pPr>
            <w:r>
              <w:rPr>
                <w:rFonts w:ascii="Arial" w:cs="Arial" w:eastAsia="Arial" w:hAnsi="Arial"/>
                <w:sz w:val="19"/>
                <w:szCs w:val="19"/>
                <w:color w:val="auto"/>
              </w:rPr>
              <w:t>[***]</w:t>
            </w:r>
          </w:p>
        </w:tc>
        <w:tc>
          <w:tcPr>
            <w:tcW w:w="2900" w:type="dxa"/>
            <w:vAlign w:val="bottom"/>
          </w:tcPr>
          <w:p>
            <w:pPr>
              <w:jc w:val="right"/>
              <w:ind w:right="1749"/>
              <w:spacing w:after="0"/>
              <w:rPr>
                <w:sz w:val="20"/>
                <w:szCs w:val="20"/>
                <w:color w:val="auto"/>
              </w:rPr>
            </w:pPr>
            <w:r>
              <w:rPr>
                <w:rFonts w:ascii="Arial" w:cs="Arial" w:eastAsia="Arial" w:hAnsi="Arial"/>
                <w:sz w:val="19"/>
                <w:szCs w:val="19"/>
                <w:color w:val="auto"/>
              </w:rPr>
              <w:t>[***]</w:t>
            </w:r>
          </w:p>
        </w:tc>
        <w:tc>
          <w:tcPr>
            <w:tcW w:w="2240" w:type="dxa"/>
            <w:vAlign w:val="bottom"/>
          </w:tcPr>
          <w:p>
            <w:pPr>
              <w:jc w:val="right"/>
              <w:ind w:right="347"/>
              <w:spacing w:after="0"/>
              <w:rPr>
                <w:sz w:val="20"/>
                <w:szCs w:val="20"/>
                <w:color w:val="auto"/>
              </w:rPr>
            </w:pPr>
            <w:r>
              <w:rPr>
                <w:rFonts w:ascii="Arial" w:cs="Arial" w:eastAsia="Arial" w:hAnsi="Arial"/>
                <w:sz w:val="19"/>
                <w:szCs w:val="19"/>
                <w:color w:val="auto"/>
              </w:rPr>
              <w:t>[***]</w:t>
            </w:r>
          </w:p>
        </w:tc>
        <w:tc>
          <w:tcPr>
            <w:tcW w:w="21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2"/>
        </w:trPr>
        <w:tc>
          <w:tcPr>
            <w:tcW w:w="1140" w:type="dxa"/>
            <w:vAlign w:val="bottom"/>
          </w:tcPr>
          <w:p>
            <w:pPr>
              <w:spacing w:after="0"/>
              <w:rPr>
                <w:sz w:val="21"/>
                <w:szCs w:val="21"/>
                <w:color w:val="auto"/>
              </w:rPr>
            </w:pPr>
          </w:p>
        </w:tc>
        <w:tc>
          <w:tcPr>
            <w:tcW w:w="2900" w:type="dxa"/>
            <w:vAlign w:val="bottom"/>
          </w:tcPr>
          <w:p>
            <w:pPr>
              <w:jc w:val="right"/>
              <w:ind w:right="1369"/>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47"/>
              <w:spacing w:after="0"/>
              <w:rPr>
                <w:sz w:val="20"/>
                <w:szCs w:val="20"/>
                <w:color w:val="auto"/>
              </w:rPr>
            </w:pPr>
            <w:r>
              <w:rPr>
                <w:rFonts w:ascii="Arial" w:cs="Arial" w:eastAsia="Arial" w:hAnsi="Arial"/>
                <w:sz w:val="19"/>
                <w:szCs w:val="19"/>
                <w:color w:val="auto"/>
              </w:rPr>
              <w:t>[***]</w:t>
            </w:r>
          </w:p>
        </w:tc>
        <w:tc>
          <w:tcPr>
            <w:tcW w:w="2180" w:type="dxa"/>
            <w:vAlign w:val="bottom"/>
          </w:tcPr>
          <w:p>
            <w:pPr>
              <w:ind w:left="420"/>
              <w:spacing w:after="0"/>
              <w:rPr>
                <w:sz w:val="20"/>
                <w:szCs w:val="20"/>
                <w:color w:val="auto"/>
              </w:rPr>
            </w:pPr>
            <w:r>
              <w:rPr>
                <w:rFonts w:ascii="Arial" w:cs="Arial" w:eastAsia="Arial" w:hAnsi="Arial"/>
                <w:sz w:val="17"/>
                <w:szCs w:val="17"/>
                <w:color w:val="auto"/>
              </w:rPr>
              <w:t>November 2022</w:t>
            </w:r>
          </w:p>
        </w:tc>
        <w:tc>
          <w:tcPr>
            <w:tcW w:w="2240" w:type="dxa"/>
            <w:vAlign w:val="bottom"/>
          </w:tcPr>
          <w:p>
            <w:pPr>
              <w:jc w:val="right"/>
              <w:ind w:right="536"/>
              <w:spacing w:after="0"/>
              <w:rPr>
                <w:sz w:val="20"/>
                <w:szCs w:val="20"/>
                <w:color w:val="auto"/>
              </w:rPr>
            </w:pPr>
            <w:r>
              <w:rPr>
                <w:rFonts w:ascii="Arial" w:cs="Arial" w:eastAsia="Arial" w:hAnsi="Arial"/>
                <w:sz w:val="17"/>
                <w:szCs w:val="17"/>
                <w:color w:val="auto"/>
              </w:rPr>
              <w:t>$4,436,204.00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2"/>
                <w:szCs w:val="22"/>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40" w:type="dxa"/>
            <w:vAlign w:val="bottom"/>
            <w:vMerge w:val="restart"/>
          </w:tcPr>
          <w:p>
            <w:pPr>
              <w:jc w:val="center"/>
              <w:ind w:right="356"/>
              <w:spacing w:after="0"/>
              <w:rPr>
                <w:sz w:val="20"/>
                <w:szCs w:val="20"/>
                <w:color w:val="auto"/>
              </w:rPr>
            </w:pPr>
            <w:r>
              <w:rPr>
                <w:rFonts w:ascii="Arial" w:cs="Arial" w:eastAsia="Arial" w:hAnsi="Arial"/>
                <w:sz w:val="17"/>
                <w:szCs w:val="17"/>
                <w:color w:val="auto"/>
                <w:w w:val="98"/>
              </w:rPr>
              <w:t>September 2023</w:t>
            </w: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jc w:val="right"/>
              <w:ind w:right="647"/>
              <w:spacing w:after="0"/>
              <w:rPr>
                <w:sz w:val="20"/>
                <w:szCs w:val="20"/>
                <w:color w:val="auto"/>
              </w:rPr>
            </w:pPr>
            <w:r>
              <w:rPr>
                <w:rFonts w:ascii="Arial" w:cs="Arial" w:eastAsia="Arial" w:hAnsi="Arial"/>
                <w:sz w:val="19"/>
                <w:szCs w:val="19"/>
                <w:color w:val="auto"/>
              </w:rPr>
              <w:t>[***]</w:t>
            </w:r>
          </w:p>
        </w:tc>
        <w:tc>
          <w:tcPr>
            <w:tcW w:w="2980" w:type="dxa"/>
            <w:vAlign w:val="bottom"/>
          </w:tcPr>
          <w:p>
            <w:pPr>
              <w:jc w:val="right"/>
              <w:ind w:right="150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vMerge w:val="continue"/>
          </w:tcPr>
          <w:p>
            <w:pPr>
              <w:spacing w:after="0"/>
              <w:rPr>
                <w:sz w:val="21"/>
                <w:szCs w:val="21"/>
                <w:color w:val="auto"/>
              </w:rPr>
            </w:pPr>
          </w:p>
        </w:tc>
        <w:tc>
          <w:tcPr>
            <w:tcW w:w="2260" w:type="dxa"/>
            <w:vAlign w:val="bottom"/>
          </w:tcPr>
          <w:p>
            <w:pPr>
              <w:jc w:val="right"/>
              <w:ind w:right="536"/>
              <w:spacing w:after="0"/>
              <w:rPr>
                <w:sz w:val="20"/>
                <w:szCs w:val="20"/>
                <w:color w:val="auto"/>
              </w:rPr>
            </w:pPr>
            <w:r>
              <w:rPr>
                <w:rFonts w:ascii="Arial" w:cs="Arial" w:eastAsia="Arial" w:hAnsi="Arial"/>
                <w:sz w:val="17"/>
                <w:szCs w:val="17"/>
                <w:color w:val="auto"/>
              </w:rPr>
              <w:t>$4,500,000.00</w:t>
            </w:r>
          </w:p>
        </w:tc>
        <w:tc>
          <w:tcPr>
            <w:tcW w:w="0" w:type="dxa"/>
            <w:vAlign w:val="bottom"/>
          </w:tcPr>
          <w:p>
            <w:pPr>
              <w:spacing w:after="0"/>
              <w:rPr>
                <w:sz w:val="1"/>
                <w:szCs w:val="1"/>
                <w:color w:val="auto"/>
              </w:rPr>
            </w:pPr>
          </w:p>
        </w:tc>
      </w:tr>
      <w:tr>
        <w:trPr>
          <w:trHeight w:val="458"/>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48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140" w:type="dxa"/>
            <w:vAlign w:val="bottom"/>
          </w:tcPr>
          <w:p>
            <w:pPr>
              <w:jc w:val="right"/>
              <w:ind w:right="647"/>
              <w:spacing w:after="0"/>
              <w:rPr>
                <w:sz w:val="20"/>
                <w:szCs w:val="20"/>
                <w:color w:val="auto"/>
              </w:rPr>
            </w:pPr>
            <w:r>
              <w:rPr>
                <w:rFonts w:ascii="Arial" w:cs="Arial" w:eastAsia="Arial" w:hAnsi="Arial"/>
                <w:sz w:val="19"/>
                <w:szCs w:val="19"/>
                <w:color w:val="auto"/>
              </w:rPr>
              <w:t>[***]</w:t>
            </w:r>
          </w:p>
        </w:tc>
        <w:tc>
          <w:tcPr>
            <w:tcW w:w="2980" w:type="dxa"/>
            <w:vAlign w:val="bottom"/>
          </w:tcPr>
          <w:p>
            <w:pPr>
              <w:jc w:val="right"/>
              <w:ind w:right="13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82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140" w:type="dxa"/>
            <w:vAlign w:val="bottom"/>
          </w:tcPr>
          <w:p>
            <w:pPr>
              <w:jc w:val="right"/>
              <w:ind w:right="647"/>
              <w:spacing w:after="0"/>
              <w:rPr>
                <w:sz w:val="20"/>
                <w:szCs w:val="20"/>
                <w:color w:val="auto"/>
              </w:rPr>
            </w:pPr>
            <w:r>
              <w:rPr>
                <w:rFonts w:ascii="Arial" w:cs="Arial" w:eastAsia="Arial" w:hAnsi="Arial"/>
                <w:sz w:val="19"/>
                <w:szCs w:val="19"/>
                <w:color w:val="auto"/>
              </w:rPr>
              <w:t>[***]</w:t>
            </w:r>
          </w:p>
        </w:tc>
        <w:tc>
          <w:tcPr>
            <w:tcW w:w="2980" w:type="dxa"/>
            <w:vAlign w:val="bottom"/>
          </w:tcPr>
          <w:p>
            <w:pPr>
              <w:jc w:val="right"/>
              <w:ind w:right="148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jc w:val="center"/>
              <w:ind w:right="356"/>
              <w:spacing w:after="0"/>
              <w:rPr>
                <w:sz w:val="20"/>
                <w:szCs w:val="20"/>
                <w:color w:val="auto"/>
              </w:rPr>
            </w:pPr>
            <w:r>
              <w:rPr>
                <w:rFonts w:ascii="Arial" w:cs="Arial" w:eastAsia="Arial" w:hAnsi="Arial"/>
                <w:sz w:val="17"/>
                <w:szCs w:val="17"/>
                <w:color w:val="auto"/>
                <w:w w:val="99"/>
              </w:rPr>
              <w:t>April 2024</w:t>
            </w:r>
          </w:p>
        </w:tc>
        <w:tc>
          <w:tcPr>
            <w:tcW w:w="2260" w:type="dxa"/>
            <w:vAlign w:val="bottom"/>
          </w:tcPr>
          <w:p>
            <w:pPr>
              <w:jc w:val="right"/>
              <w:ind w:right="536"/>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445"/>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80" w:type="dxa"/>
            <w:vAlign w:val="bottom"/>
          </w:tcPr>
          <w:p>
            <w:pPr>
              <w:jc w:val="right"/>
              <w:ind w:right="1487"/>
              <w:spacing w:after="0"/>
              <w:rPr>
                <w:sz w:val="20"/>
                <w:szCs w:val="20"/>
                <w:color w:val="auto"/>
              </w:rPr>
            </w:pPr>
            <w:r>
              <w:rPr>
                <w:rFonts w:ascii="Arial" w:cs="Arial" w:eastAsia="Arial" w:hAnsi="Arial"/>
                <w:sz w:val="19"/>
                <w:szCs w:val="19"/>
                <w:color w:val="auto"/>
              </w:rPr>
              <w:t>[***]</w:t>
            </w:r>
          </w:p>
        </w:tc>
        <w:tc>
          <w:tcPr>
            <w:tcW w:w="2480" w:type="dxa"/>
            <w:vAlign w:val="bottom"/>
          </w:tcPr>
          <w:p>
            <w:pPr>
              <w:jc w:val="right"/>
              <w:ind w:right="667"/>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20"/>
        <w:spacing w:after="0"/>
        <w:tabs>
          <w:tab w:leader="none" w:pos="5560" w:val="left"/>
          <w:tab w:leader="none" w:pos="612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3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0700"/>
          </w:cols>
          <w:pgMar w:left="320" w:top="1440" w:right="879" w:bottom="1440" w:gutter="0" w:footer="0" w:header="0"/>
        </w:sectPr>
      </w:pPr>
    </w:p>
    <w:bookmarkStart w:id="222" w:name="page223"/>
    <w:bookmarkEnd w:id="222"/>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800" w:type="dxa"/>
            <w:vAlign w:val="bottom"/>
            <w:tcBorders>
              <w:top w:val="single" w:sz="8" w:color="auto"/>
              <w:left w:val="single" w:sz="8" w:color="auto"/>
              <w:right w:val="single" w:sz="8" w:color="auto"/>
            </w:tcBorders>
          </w:tcPr>
          <w:p>
            <w:pPr>
              <w:spacing w:after="0"/>
              <w:rPr>
                <w:sz w:val="22"/>
                <w:szCs w:val="22"/>
                <w:color w:val="auto"/>
              </w:rPr>
            </w:pPr>
          </w:p>
        </w:tc>
        <w:tc>
          <w:tcPr>
            <w:tcW w:w="2840" w:type="dxa"/>
            <w:vAlign w:val="bottom"/>
            <w:tcBorders>
              <w:top w:val="single" w:sz="8" w:color="auto"/>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top w:val="single" w:sz="8" w:color="auto"/>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center"/>
              <w:ind w:right="334"/>
              <w:spacing w:after="0"/>
              <w:rPr>
                <w:sz w:val="20"/>
                <w:szCs w:val="20"/>
                <w:color w:val="auto"/>
              </w:rPr>
            </w:pPr>
            <w:r>
              <w:rPr>
                <w:rFonts w:ascii="Arial" w:cs="Arial" w:eastAsia="Arial" w:hAnsi="Arial"/>
                <w:sz w:val="17"/>
                <w:szCs w:val="17"/>
                <w:color w:val="auto"/>
                <w:w w:val="97"/>
              </w:rPr>
              <w:t>November 2024</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$2,500,000.00</w:t>
            </w:r>
          </w:p>
        </w:tc>
        <w:tc>
          <w:tcPr>
            <w:tcW w:w="0" w:type="dxa"/>
            <w:vAlign w:val="bottom"/>
          </w:tcPr>
          <w:p>
            <w:pPr>
              <w:spacing w:after="0"/>
              <w:rPr>
                <w:sz w:val="1"/>
                <w:szCs w:val="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center"/>
              <w:ind w:right="354"/>
              <w:spacing w:after="0"/>
              <w:rPr>
                <w:sz w:val="20"/>
                <w:szCs w:val="20"/>
                <w:color w:val="auto"/>
              </w:rPr>
            </w:pPr>
            <w:r>
              <w:rPr>
                <w:rFonts w:ascii="Arial" w:cs="Arial" w:eastAsia="Arial" w:hAnsi="Arial"/>
                <w:sz w:val="17"/>
                <w:szCs w:val="17"/>
                <w:color w:val="auto"/>
                <w:w w:val="98"/>
              </w:rPr>
              <w:t>July 2025</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$6,000,000.00</w:t>
            </w: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vMerge w:val="restart"/>
          </w:tcPr>
          <w:p>
            <w:pPr>
              <w:jc w:val="center"/>
              <w:ind w:right="334"/>
              <w:spacing w:after="0"/>
              <w:rPr>
                <w:sz w:val="20"/>
                <w:szCs w:val="20"/>
                <w:color w:val="auto"/>
              </w:rPr>
            </w:pPr>
            <w:r>
              <w:rPr>
                <w:rFonts w:ascii="Arial" w:cs="Arial" w:eastAsia="Arial" w:hAnsi="Arial"/>
                <w:sz w:val="17"/>
                <w:szCs w:val="17"/>
                <w:color w:val="auto"/>
                <w:w w:val="98"/>
              </w:rPr>
              <w:t>October 2025</w:t>
            </w: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vMerge w:val="continue"/>
          </w:tcPr>
          <w:p>
            <w:pPr>
              <w:spacing w:after="0"/>
              <w:rPr>
                <w:sz w:val="21"/>
                <w:szCs w:val="21"/>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$4,000,000.00</w:t>
            </w:r>
          </w:p>
        </w:tc>
        <w:tc>
          <w:tcPr>
            <w:tcW w:w="0" w:type="dxa"/>
            <w:vAlign w:val="bottom"/>
          </w:tcPr>
          <w:p>
            <w:pPr>
              <w:spacing w:after="0"/>
              <w:rPr>
                <w:sz w:val="1"/>
                <w:szCs w:val="1"/>
                <w:color w:val="auto"/>
              </w:rPr>
            </w:pPr>
          </w:p>
        </w:tc>
      </w:tr>
      <w:tr>
        <w:trPr>
          <w:trHeight w:val="294"/>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vMerge w:val="restart"/>
          </w:tcPr>
          <w:p>
            <w:pPr>
              <w:jc w:val="right"/>
              <w:ind w:right="654"/>
              <w:spacing w:after="0"/>
              <w:rPr>
                <w:sz w:val="20"/>
                <w:szCs w:val="20"/>
                <w:color w:val="auto"/>
              </w:rPr>
            </w:pPr>
            <w:r>
              <w:rPr>
                <w:rFonts w:ascii="Arial" w:cs="Arial" w:eastAsia="Arial" w:hAnsi="Arial"/>
                <w:sz w:val="19"/>
                <w:szCs w:val="19"/>
                <w:color w:val="auto"/>
              </w:rPr>
              <w:t>[***]</w:t>
            </w: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vMerge w:val="continue"/>
          </w:tcPr>
          <w:p>
            <w:pPr>
              <w:spacing w:after="0"/>
              <w:rPr>
                <w:sz w:val="21"/>
                <w:szCs w:val="21"/>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94"/>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2840" w:type="dxa"/>
            <w:vAlign w:val="bottom"/>
            <w:tcBorders>
              <w:right w:val="single" w:sz="8" w:color="auto"/>
            </w:tcBorders>
          </w:tcPr>
          <w:p>
            <w:pPr>
              <w:jc w:val="right"/>
              <w:ind w:right="238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tabs>
          <w:tab w:leader="none" w:pos="160" w:val="left"/>
          <w:tab w:leader="none" w:pos="16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4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0420"/>
          </w:cols>
          <w:pgMar w:left="620" w:top="1440" w:right="859" w:bottom="1440" w:gutter="0" w:footer="0" w:header="0"/>
        </w:sectPr>
      </w:pPr>
    </w:p>
    <w:bookmarkStart w:id="223" w:name="page224"/>
    <w:bookmarkEnd w:id="223"/>
    <w:tbl>
      <w:tblPr>
        <w:tblLayout w:type="fixed"/>
        <w:tblInd w:w="10" w:type="dxa"/>
        <w:tblCellMar>
          <w:top w:w="0" w:type="dxa"/>
          <w:left w:w="0" w:type="dxa"/>
          <w:bottom w:w="0" w:type="dxa"/>
          <w:right w:w="0" w:type="dxa"/>
        </w:tblCellMar>
      </w:tblPr>
      <w:tr>
        <w:trPr>
          <w:trHeight w:val="262"/>
        </w:trPr>
        <w:tc>
          <w:tcPr>
            <w:tcW w:w="1800" w:type="dxa"/>
            <w:vAlign w:val="bottom"/>
            <w:tcBorders>
              <w:top w:val="single" w:sz="8" w:color="auto"/>
              <w:left w:val="single" w:sz="8" w:color="auto"/>
              <w:right w:val="single" w:sz="8" w:color="auto"/>
            </w:tcBorders>
          </w:tcPr>
          <w:p>
            <w:pPr>
              <w:spacing w:after="0"/>
              <w:rPr>
                <w:sz w:val="22"/>
                <w:szCs w:val="22"/>
                <w:color w:val="auto"/>
              </w:rPr>
            </w:pPr>
          </w:p>
        </w:tc>
        <w:tc>
          <w:tcPr>
            <w:tcW w:w="1340" w:type="dxa"/>
            <w:vAlign w:val="bottom"/>
            <w:tcBorders>
              <w:top w:val="single" w:sz="8" w:color="auto"/>
            </w:tcBorders>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top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Borders>
              <w:top w:val="single" w:sz="8" w:color="auto"/>
            </w:tcBorders>
          </w:tcPr>
          <w:p>
            <w:pPr>
              <w:spacing w:after="0"/>
              <w:rPr>
                <w:sz w:val="22"/>
                <w:szCs w:val="22"/>
                <w:color w:val="auto"/>
              </w:rPr>
            </w:pPr>
          </w:p>
        </w:tc>
        <w:tc>
          <w:tcPr>
            <w:tcW w:w="1420" w:type="dxa"/>
            <w:vAlign w:val="bottom"/>
            <w:tcBorders>
              <w:top w:val="single" w:sz="8" w:color="auto"/>
              <w:right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spacing w:after="0"/>
              <w:rPr>
                <w:sz w:val="22"/>
                <w:szCs w:val="22"/>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jc w:val="right"/>
              <w:ind w:right="647"/>
              <w:spacing w:after="0"/>
              <w:rPr>
                <w:sz w:val="20"/>
                <w:szCs w:val="20"/>
                <w:color w:val="auto"/>
              </w:rPr>
            </w:pPr>
            <w:r>
              <w:rPr>
                <w:rFonts w:ascii="Arial" w:cs="Arial" w:eastAsia="Arial" w:hAnsi="Arial"/>
                <w:sz w:val="19"/>
                <w:szCs w:val="19"/>
                <w:color w:val="auto"/>
              </w:rPr>
              <w:t>[***]</w:t>
            </w:r>
          </w:p>
        </w:tc>
        <w:tc>
          <w:tcPr>
            <w:tcW w:w="2180" w:type="dxa"/>
            <w:vAlign w:val="bottom"/>
            <w:tcBorders>
              <w:right w:val="single" w:sz="8" w:color="auto"/>
            </w:tcBorders>
          </w:tcPr>
          <w:p>
            <w:pPr>
              <w:jc w:val="right"/>
              <w:ind w:right="952"/>
              <w:spacing w:after="0"/>
              <w:rPr>
                <w:sz w:val="20"/>
                <w:szCs w:val="20"/>
                <w:color w:val="auto"/>
              </w:rPr>
            </w:pPr>
            <w:r>
              <w:rPr>
                <w:rFonts w:ascii="Arial" w:cs="Arial" w:eastAsia="Arial" w:hAnsi="Arial"/>
                <w:sz w:val="19"/>
                <w:szCs w:val="19"/>
                <w:color w:val="auto"/>
              </w:rPr>
              <w:t>[***]</w:t>
            </w: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8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445"/>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8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8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8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8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88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4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2"/>
        </w:trPr>
        <w:tc>
          <w:tcPr>
            <w:tcW w:w="1800" w:type="dxa"/>
            <w:vAlign w:val="bottom"/>
            <w:tcBorders>
              <w:left w:val="single" w:sz="8" w:color="auto"/>
              <w:right w:val="single" w:sz="8" w:color="auto"/>
            </w:tcBorders>
          </w:tcPr>
          <w:p>
            <w:pPr>
              <w:jc w:val="right"/>
              <w:ind w:right="1307"/>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867"/>
              <w:spacing w:after="0"/>
              <w:rPr>
                <w:sz w:val="20"/>
                <w:szCs w:val="20"/>
                <w:color w:val="auto"/>
              </w:rPr>
            </w:pPr>
            <w:r>
              <w:rPr>
                <w:rFonts w:ascii="Arial" w:cs="Arial" w:eastAsia="Arial" w:hAnsi="Arial"/>
                <w:sz w:val="19"/>
                <w:szCs w:val="19"/>
                <w:color w:val="auto"/>
              </w:rPr>
              <w:t>[***]</w:t>
            </w: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887"/>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20"/>
        </w:trPr>
        <w:tc>
          <w:tcPr>
            <w:tcW w:w="1800" w:type="dxa"/>
            <w:vAlign w:val="bottom"/>
            <w:tcBorders>
              <w:left w:val="single" w:sz="8" w:color="auto"/>
              <w:bottom w:val="single" w:sz="8" w:color="auto"/>
              <w:right w:val="single" w:sz="8" w:color="C0C0C0"/>
            </w:tcBorders>
            <w:shd w:val="clear" w:color="auto" w:fill="C0C0C0"/>
          </w:tcPr>
          <w:p>
            <w:pPr>
              <w:spacing w:after="0"/>
              <w:rPr>
                <w:sz w:val="19"/>
                <w:szCs w:val="19"/>
                <w:color w:val="auto"/>
              </w:rPr>
            </w:pPr>
          </w:p>
        </w:tc>
        <w:tc>
          <w:tcPr>
            <w:tcW w:w="1340" w:type="dxa"/>
            <w:vAlign w:val="bottom"/>
            <w:tcBorders>
              <w:bottom w:val="single" w:sz="8" w:color="auto"/>
            </w:tcBorders>
            <w:shd w:val="clear" w:color="auto" w:fill="C0C0C0"/>
          </w:tcPr>
          <w:p>
            <w:pPr>
              <w:spacing w:after="0"/>
              <w:rPr>
                <w:sz w:val="19"/>
                <w:szCs w:val="19"/>
                <w:color w:val="auto"/>
              </w:rPr>
            </w:pPr>
          </w:p>
        </w:tc>
        <w:tc>
          <w:tcPr>
            <w:tcW w:w="3680" w:type="dxa"/>
            <w:vAlign w:val="bottom"/>
            <w:tcBorders>
              <w:bottom w:val="single" w:sz="8" w:color="auto"/>
            </w:tcBorders>
            <w:gridSpan w:val="3"/>
            <w:shd w:val="clear" w:color="auto" w:fill="C0C0C0"/>
          </w:tcPr>
          <w:p>
            <w:pPr>
              <w:ind w:left="960"/>
              <w:spacing w:after="0"/>
              <w:rPr>
                <w:sz w:val="20"/>
                <w:szCs w:val="20"/>
                <w:color w:val="auto"/>
              </w:rPr>
            </w:pPr>
            <w:r>
              <w:rPr>
                <w:rFonts w:ascii="Arial" w:cs="Arial" w:eastAsia="Arial" w:hAnsi="Arial"/>
                <w:sz w:val="17"/>
                <w:szCs w:val="17"/>
                <w:b w:val="1"/>
                <w:bCs w:val="1"/>
                <w:color w:val="auto"/>
              </w:rPr>
              <w:t>Amended Total Grant Amount</w:t>
            </w:r>
          </w:p>
        </w:tc>
        <w:tc>
          <w:tcPr>
            <w:tcW w:w="1420" w:type="dxa"/>
            <w:vAlign w:val="bottom"/>
            <w:tcBorders>
              <w:bottom w:val="single" w:sz="8" w:color="auto"/>
              <w:right w:val="single" w:sz="8" w:color="auto"/>
            </w:tcBorders>
            <w:shd w:val="clear" w:color="auto" w:fill="C0C0C0"/>
          </w:tcPr>
          <w:p>
            <w:pPr>
              <w:spacing w:after="0"/>
              <w:rPr>
                <w:sz w:val="19"/>
                <w:szCs w:val="19"/>
                <w:color w:val="auto"/>
              </w:rPr>
            </w:pPr>
          </w:p>
        </w:tc>
        <w:tc>
          <w:tcPr>
            <w:tcW w:w="218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7"/>
                <w:szCs w:val="17"/>
                <w:b w:val="1"/>
                <w:bCs w:val="1"/>
                <w:color w:val="auto"/>
              </w:rPr>
              <w:t>$48,945,928.00</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provided in the Agreement, signatures are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tabs>
          <w:tab w:leader="none" w:pos="160" w:val="left"/>
          <w:tab w:leader="none" w:pos="160" w:val="left"/>
        </w:tabs>
        <w:rPr>
          <w:sz w:val="20"/>
          <w:szCs w:val="20"/>
          <w:color w:val="auto"/>
        </w:rPr>
      </w:pPr>
      <w:r>
        <w:rPr>
          <w:rFonts w:ascii="Arial" w:cs="Arial" w:eastAsia="Arial" w:hAnsi="Arial"/>
          <w:sz w:val="13"/>
          <w:szCs w:val="13"/>
          <w:color w:val="auto"/>
        </w:rPr>
        <w:t>Investment ID INV-026060</w:t>
      </w:r>
      <w:r>
        <w:rPr>
          <w:sz w:val="20"/>
          <w:szCs w:val="20"/>
          <w:color w:val="auto"/>
        </w:rPr>
        <w:tab/>
      </w:r>
      <w:r>
        <w:rPr>
          <w:rFonts w:ascii="Arial" w:cs="Arial" w:eastAsia="Arial" w:hAnsi="Arial"/>
          <w:sz w:val="15"/>
          <w:szCs w:val="15"/>
          <w:color w:val="auto"/>
        </w:rPr>
        <w:t>5 of 4</w:t>
      </w:r>
      <w:r>
        <w:rPr>
          <w:sz w:val="20"/>
          <w:szCs w:val="20"/>
          <w:color w:val="auto"/>
        </w:rPr>
        <w:tab/>
      </w:r>
      <w:r>
        <w:rPr>
          <w:rFonts w:ascii="Arial" w:cs="Arial" w:eastAsia="Arial" w:hAnsi="Arial"/>
          <w:sz w:val="13"/>
          <w:szCs w:val="13"/>
          <w:color w:val="auto"/>
        </w:rPr>
        <w:t>Version: August 2022</w:t>
      </w:r>
    </w:p>
    <w:p>
      <w:pPr>
        <w:sectPr>
          <w:pgSz w:w="11900" w:h="16838" w:orient="portrait"/>
          <w:cols w:equalWidth="0" w:num="1">
            <w:col w:w="10420"/>
          </w:cols>
          <w:pgMar w:left="620" w:top="1269" w:right="859" w:bottom="1440" w:gutter="0" w:footer="0" w:header="0"/>
        </w:sectPr>
      </w:pPr>
    </w:p>
    <w:bookmarkStart w:id="224" w:name="page225"/>
    <w:bookmarkEnd w:id="224"/>
    <w:p>
      <w:pPr>
        <w:jc w:val="right"/>
        <w:spacing w:after="0"/>
        <w:rPr>
          <w:sz w:val="20"/>
          <w:szCs w:val="20"/>
          <w:color w:val="auto"/>
        </w:rPr>
      </w:pPr>
      <w:r>
        <w:rPr>
          <w:rFonts w:ascii="Arial" w:cs="Arial" w:eastAsia="Arial" w:hAnsi="Arial"/>
          <w:sz w:val="17"/>
          <w:szCs w:val="17"/>
          <w:b w:val="1"/>
          <w:bCs w:val="1"/>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gridSpan w:val="2"/>
          </w:tcPr>
          <w:p>
            <w:pPr>
              <w:ind w:left="800"/>
              <w:spacing w:after="0"/>
              <w:rPr>
                <w:sz w:val="20"/>
                <w:szCs w:val="20"/>
                <w:color w:val="auto"/>
              </w:rPr>
            </w:pPr>
            <w:r>
              <w:rPr>
                <w:rFonts w:ascii="Arial" w:cs="Arial" w:eastAsia="Arial" w:hAnsi="Arial"/>
                <w:sz w:val="17"/>
                <w:szCs w:val="17"/>
                <w:b w:val="1"/>
                <w:bCs w:val="1"/>
                <w:color w:val="auto"/>
              </w:rPr>
              <w:t>SUBSIDIARIES OF THE REGISTRANT</w:t>
            </w:r>
          </w:p>
        </w:tc>
      </w:tr>
      <w:tr>
        <w:trPr>
          <w:trHeight w:val="465"/>
        </w:trPr>
        <w:tc>
          <w:tcPr>
            <w:tcW w:w="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Name</w:t>
            </w:r>
          </w:p>
        </w:tc>
        <w:tc>
          <w:tcPr>
            <w:tcW w:w="2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8"/>
              </w:rPr>
              <w:t>Jurisdiction of Organization</w:t>
            </w:r>
          </w:p>
        </w:tc>
      </w:tr>
      <w:tr>
        <w:trPr>
          <w:trHeight w:val="489"/>
        </w:trPr>
        <w:tc>
          <w:tcPr>
            <w:tcW w:w="3300" w:type="dxa"/>
            <w:vAlign w:val="bottom"/>
            <w:gridSpan w:val="2"/>
          </w:tcPr>
          <w:p>
            <w:pPr>
              <w:spacing w:after="0"/>
              <w:rPr>
                <w:sz w:val="20"/>
                <w:szCs w:val="20"/>
                <w:color w:val="auto"/>
              </w:rPr>
            </w:pPr>
            <w:r>
              <w:rPr>
                <w:rFonts w:ascii="Arial" w:cs="Arial" w:eastAsia="Arial" w:hAnsi="Arial"/>
                <w:sz w:val="17"/>
                <w:szCs w:val="17"/>
                <w:color w:val="auto"/>
              </w:rPr>
              <w:t>Daré Bioscience Operations, Inc.</w:t>
            </w:r>
          </w:p>
        </w:tc>
        <w:tc>
          <w:tcPr>
            <w:tcW w:w="216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Delaware</w:t>
            </w:r>
          </w:p>
        </w:tc>
      </w:tr>
      <w:tr>
        <w:trPr>
          <w:trHeight w:val="468"/>
        </w:trPr>
        <w:tc>
          <w:tcPr>
            <w:tcW w:w="3300" w:type="dxa"/>
            <w:vAlign w:val="bottom"/>
            <w:gridSpan w:val="2"/>
          </w:tcPr>
          <w:p>
            <w:pPr>
              <w:spacing w:after="0"/>
              <w:rPr>
                <w:sz w:val="20"/>
                <w:szCs w:val="20"/>
                <w:color w:val="auto"/>
              </w:rPr>
            </w:pPr>
            <w:r>
              <w:rPr>
                <w:rFonts w:ascii="Arial" w:cs="Arial" w:eastAsia="Arial" w:hAnsi="Arial"/>
                <w:sz w:val="17"/>
                <w:szCs w:val="17"/>
                <w:color w:val="auto"/>
              </w:rPr>
              <w:t>Daré Bioscience Australia Pty Ltd</w:t>
            </w:r>
          </w:p>
        </w:tc>
        <w:tc>
          <w:tcPr>
            <w:tcW w:w="216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Australia</w:t>
            </w:r>
          </w:p>
        </w:tc>
      </w:tr>
      <w:tr>
        <w:trPr>
          <w:trHeight w:val="468"/>
        </w:trPr>
        <w:tc>
          <w:tcPr>
            <w:tcW w:w="3300" w:type="dxa"/>
            <w:vAlign w:val="bottom"/>
            <w:gridSpan w:val="2"/>
          </w:tcPr>
          <w:p>
            <w:pPr>
              <w:spacing w:after="0"/>
              <w:rPr>
                <w:sz w:val="20"/>
                <w:szCs w:val="20"/>
                <w:color w:val="auto"/>
              </w:rPr>
            </w:pPr>
            <w:r>
              <w:rPr>
                <w:rFonts w:ascii="Arial" w:cs="Arial" w:eastAsia="Arial" w:hAnsi="Arial"/>
                <w:sz w:val="17"/>
                <w:szCs w:val="17"/>
                <w:color w:val="auto"/>
              </w:rPr>
              <w:t>Pear Tree Pharmaceuticals, Inc.</w:t>
            </w:r>
          </w:p>
        </w:tc>
        <w:tc>
          <w:tcPr>
            <w:tcW w:w="216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Delaware</w:t>
            </w:r>
          </w:p>
        </w:tc>
      </w:tr>
      <w:tr>
        <w:trPr>
          <w:trHeight w:val="468"/>
        </w:trPr>
        <w:tc>
          <w:tcPr>
            <w:tcW w:w="3300" w:type="dxa"/>
            <w:vAlign w:val="bottom"/>
            <w:gridSpan w:val="2"/>
          </w:tcPr>
          <w:p>
            <w:pPr>
              <w:spacing w:after="0"/>
              <w:rPr>
                <w:sz w:val="20"/>
                <w:szCs w:val="20"/>
                <w:color w:val="auto"/>
              </w:rPr>
            </w:pPr>
            <w:r>
              <w:rPr>
                <w:rFonts w:ascii="Arial" w:cs="Arial" w:eastAsia="Arial" w:hAnsi="Arial"/>
                <w:sz w:val="17"/>
                <w:szCs w:val="17"/>
                <w:color w:val="auto"/>
              </w:rPr>
              <w:t>Daré MBI Inc.</w:t>
            </w:r>
          </w:p>
        </w:tc>
        <w:tc>
          <w:tcPr>
            <w:tcW w:w="216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220"/>
          </w:cols>
          <w:pgMar w:left="340" w:top="843"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7"/>
          <w:szCs w:val="17"/>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8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consent to the incorporation by reference in the Registration Statement on Form S-1 (333-283280), the Registration Statements on Form S-3 (File Nos. 333-278380, 333-278378, 333-254862 and 333-238299) and the Registration Statements on Form S-8 (File Nos. 333-289607, 333-264020, 333-266699, 333-254864, 333-237473, 333-230802, 333-226904, 333-211697, 333-204007, and 333-198126) of Daré Bioscience, Inc. (the “Company”) of our report dated March 26, 2026, relating to the consolidated financial statements as of December 31, 2025 and 2024 and for each of the years in the two-year period then ended (which includes an explanatory paragraph expressing substantial doubt regarding the Company’s ability to continue as a going concern), which appear in the Company’s Annual Report on Form 10-K for the fiscal year ended December 31, 2025.</w:t>
      </w: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Arial" w:cs="Arial" w:eastAsia="Arial" w:hAnsi="Arial"/>
          <w:sz w:val="17"/>
          <w:szCs w:val="17"/>
          <w:i w:val="1"/>
          <w:iCs w:val="1"/>
          <w:color w:val="auto"/>
        </w:rPr>
        <w:t>/s/ Haskell &amp; White LLP</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HASKELL &amp; WHITE LLP</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26, 2026</w:t>
      </w:r>
    </w:p>
    <w:p>
      <w:pPr>
        <w:sectPr>
          <w:pgSz w:w="11900" w:h="16838" w:orient="portrait"/>
          <w:cols w:equalWidth="0" w:num="1">
            <w:col w:w="11240"/>
          </w:cols>
          <w:pgMar w:left="320" w:top="843"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7"/>
          <w:szCs w:val="17"/>
          <w:b w:val="1"/>
          <w:bCs w:val="1"/>
          <w:color w:val="000033"/>
        </w:rPr>
        <w:t>Exhibit 23.2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0033"/>
        </w:rPr>
        <w:t>CONSENT OF INDEPENDENT REGISTERED PUBLIC ACCOUNTING FIRM</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consent to the incorporation by reference in the Offering Statement of Daré Bioscience, Inc. (the “Company”) on Form 1-A (File No. 024-12688) of our report dated March 26, 2026, relating to the consolidated financial statements as of December 31, 2025 and 2024 and for each of the years in the two-year period then ended (which includes an explanatory paragraph expressing substantial doubt regarding the Company’s ability to continue as a going concern), which appear in the Company’s Annual Report on Form 10-K for the fiscal year ended December 31, 2025.</w:t>
      </w:r>
    </w:p>
    <w:p>
      <w:pPr>
        <w:spacing w:after="0" w:line="200" w:lineRule="exact"/>
        <w:rPr>
          <w:sz w:val="20"/>
          <w:szCs w:val="20"/>
          <w:color w:val="auto"/>
        </w:rPr>
      </w:pP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7"/>
          <w:szCs w:val="17"/>
          <w:i w:val="1"/>
          <w:iCs w:val="1"/>
          <w:color w:val="auto"/>
        </w:rPr>
        <w:t>/s/ Haskell &amp; White LLP</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HASKELL &amp; WHITE LLP</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26, 2026</w:t>
      </w:r>
    </w:p>
    <w:p>
      <w:pPr>
        <w:sectPr>
          <w:pgSz w:w="11900" w:h="16838" w:orient="portrait"/>
          <w:cols w:equalWidth="0" w:num="1">
            <w:col w:w="11240"/>
          </w:cols>
          <w:pgMar w:left="320" w:top="830"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Sabrina Martucci Johnson, certify that:</w:t>
      </w:r>
    </w:p>
    <w:p>
      <w:pPr>
        <w:spacing w:after="0" w:line="209" w:lineRule="exact"/>
        <w:rPr>
          <w:sz w:val="20"/>
          <w:szCs w:val="20"/>
          <w:color w:val="auto"/>
        </w:rPr>
      </w:pPr>
    </w:p>
    <w:p>
      <w:pPr>
        <w:ind w:left="1040" w:hanging="243"/>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Daré Bioscience, Inc.;</w:t>
      </w:r>
    </w:p>
    <w:p>
      <w:pPr>
        <w:spacing w:after="0" w:line="208" w:lineRule="exact"/>
        <w:rPr>
          <w:rFonts w:ascii="Arial" w:cs="Arial" w:eastAsia="Arial" w:hAnsi="Arial"/>
          <w:sz w:val="17"/>
          <w:szCs w:val="17"/>
          <w:color w:val="auto"/>
        </w:rPr>
      </w:pPr>
    </w:p>
    <w:p>
      <w:pPr>
        <w:jc w:val="both"/>
        <w:ind w:firstLine="797"/>
        <w:spacing w:after="0" w:line="264" w:lineRule="auto"/>
        <w:tabs>
          <w:tab w:leader="none" w:pos="1035"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7"/>
          <w:szCs w:val="17"/>
          <w:color w:val="auto"/>
        </w:rPr>
      </w:pPr>
    </w:p>
    <w:p>
      <w:pPr>
        <w:ind w:firstLine="797"/>
        <w:spacing w:after="0" w:line="281" w:lineRule="auto"/>
        <w:tabs>
          <w:tab w:leader="none" w:pos="107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1040" w:hanging="243"/>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w:t>
      </w:r>
    </w:p>
    <w:p>
      <w:pPr>
        <w:spacing w:after="0" w:line="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firstLine="1593"/>
        <w:spacing w:after="0" w:line="264" w:lineRule="auto"/>
        <w:tabs>
          <w:tab w:leader="none" w:pos="1848"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jc w:val="both"/>
        <w:ind w:firstLine="1593"/>
        <w:spacing w:after="0" w:line="264" w:lineRule="auto"/>
        <w:tabs>
          <w:tab w:leader="none" w:pos="1846"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7"/>
          <w:szCs w:val="17"/>
          <w:color w:val="auto"/>
        </w:rPr>
      </w:pPr>
    </w:p>
    <w:p>
      <w:pPr>
        <w:ind w:firstLine="1593"/>
        <w:spacing w:after="0" w:line="281" w:lineRule="auto"/>
        <w:tabs>
          <w:tab w:leader="none" w:pos="1786"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firstLine="1593"/>
        <w:spacing w:after="0" w:line="264" w:lineRule="auto"/>
        <w:tabs>
          <w:tab w:leader="none" w:pos="1832" w:val="left"/>
        </w:tabs>
        <w:numPr>
          <w:ilvl w:val="1"/>
          <w:numId w:val="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7"/>
          <w:szCs w:val="17"/>
          <w:color w:val="auto"/>
        </w:rPr>
      </w:pPr>
    </w:p>
    <w:p>
      <w:pPr>
        <w:ind w:firstLine="797"/>
        <w:spacing w:after="0" w:line="281" w:lineRule="auto"/>
        <w:tabs>
          <w:tab w:leader="none" w:pos="1035" w:val="left"/>
        </w:tabs>
        <w:numPr>
          <w:ilvl w:val="0"/>
          <w:numId w:val="97"/>
        </w:numPr>
        <w:rPr>
          <w:rFonts w:ascii="Arial" w:cs="Arial" w:eastAsia="Arial" w:hAnsi="Arial"/>
          <w:sz w:val="17"/>
          <w:szCs w:val="17"/>
          <w:color w:val="auto"/>
        </w:rPr>
      </w:pPr>
      <w:r>
        <w:rPr>
          <w:rFonts w:ascii="Arial" w:cs="Arial" w:eastAsia="Arial" w:hAnsi="Arial"/>
          <w:sz w:val="17"/>
          <w:szCs w:val="17"/>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firstLine="1593"/>
        <w:spacing w:after="0" w:line="281" w:lineRule="auto"/>
        <w:tabs>
          <w:tab w:leader="none" w:pos="183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7"/>
          <w:szCs w:val="17"/>
          <w:color w:val="auto"/>
        </w:rPr>
      </w:pPr>
    </w:p>
    <w:p>
      <w:pPr>
        <w:ind w:firstLine="1593"/>
        <w:spacing w:after="0" w:line="281" w:lineRule="auto"/>
        <w:tabs>
          <w:tab w:leader="none" w:pos="191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Date: March 26, 2026</w:t>
      </w:r>
    </w:p>
    <w:p>
      <w:pPr>
        <w:spacing w:after="0" w:line="108" w:lineRule="exact"/>
        <w:rPr>
          <w:sz w:val="20"/>
          <w:szCs w:val="20"/>
          <w:color w:val="auto"/>
        </w:rPr>
      </w:pPr>
    </w:p>
    <w:p>
      <w:pPr>
        <w:ind w:left="4860"/>
        <w:spacing w:after="0"/>
        <w:rPr>
          <w:sz w:val="20"/>
          <w:szCs w:val="20"/>
          <w:color w:val="auto"/>
        </w:rPr>
      </w:pPr>
      <w:r>
        <w:rPr>
          <w:rFonts w:ascii="Arial" w:cs="Arial" w:eastAsia="Arial" w:hAnsi="Arial"/>
          <w:sz w:val="17"/>
          <w:szCs w:val="17"/>
          <w:u w:val="single" w:color="auto"/>
          <w:color w:val="auto"/>
        </w:rPr>
        <w:t>/s/ Sabrina Martucci Johnson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Sabrina Martucci Johnson</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(Principal executive officer and principal financial officer)</w:t>
      </w:r>
    </w:p>
    <w:p>
      <w:pPr>
        <w:sectPr>
          <w:pgSz w:w="11900" w:h="16838" w:orient="portrait"/>
          <w:cols w:equalWidth="0" w:num="1">
            <w:col w:w="11240"/>
          </w:cols>
          <w:pgMar w:left="320" w:top="843"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7"/>
          <w:szCs w:val="17"/>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19" w:lineRule="exact"/>
        <w:rPr>
          <w:sz w:val="20"/>
          <w:szCs w:val="20"/>
          <w:color w:val="auto"/>
        </w:rPr>
      </w:pPr>
    </w:p>
    <w:p>
      <w:pPr>
        <w:jc w:val="both"/>
        <w:ind w:firstLine="796"/>
        <w:spacing w:after="0" w:line="264" w:lineRule="auto"/>
        <w:rPr>
          <w:sz w:val="20"/>
          <w:szCs w:val="20"/>
          <w:color w:val="auto"/>
        </w:rPr>
      </w:pPr>
      <w:r>
        <w:rPr>
          <w:rFonts w:ascii="Arial" w:cs="Arial" w:eastAsia="Arial" w:hAnsi="Arial"/>
          <w:sz w:val="17"/>
          <w:szCs w:val="17"/>
          <w:color w:val="auto"/>
        </w:rPr>
        <w:t>In connection with the Annual Report on Form 10-K of Daré Bioscience, Inc. (the “Company”) for the fiscal year ended December 31, 2025,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63" w:lineRule="exact"/>
        <w:rPr>
          <w:sz w:val="20"/>
          <w:szCs w:val="20"/>
          <w:color w:val="auto"/>
        </w:rPr>
      </w:pPr>
    </w:p>
    <w:p>
      <w:pPr>
        <w:ind w:left="600" w:hanging="296"/>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7" w:lineRule="exact"/>
        <w:rPr>
          <w:rFonts w:ascii="Arial" w:cs="Arial" w:eastAsia="Arial" w:hAnsi="Arial"/>
          <w:sz w:val="17"/>
          <w:szCs w:val="17"/>
          <w:color w:val="auto"/>
        </w:rPr>
      </w:pPr>
    </w:p>
    <w:p>
      <w:pPr>
        <w:ind w:left="600" w:hanging="296"/>
        <w:spacing w:after="0" w:line="281" w:lineRule="auto"/>
        <w:tabs>
          <w:tab w:leader="none" w:pos="5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Date: March 26, 2026</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7"/>
          <w:szCs w:val="17"/>
          <w:u w:val="single" w:color="auto"/>
          <w:color w:val="auto"/>
        </w:rPr>
        <w:t>/s/ Sabrina Martucci Johnson</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Sabrina Martucci Johnson</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7"/>
          <w:szCs w:val="17"/>
          <w:i w:val="1"/>
          <w:iCs w:val="1"/>
          <w:color w:val="auto"/>
        </w:rPr>
        <w:t>(principal executive officer and principal financial officer)</w:t>
      </w:r>
    </w:p>
    <w:sectPr>
      <w:pgSz w:w="11900" w:h="16838" w:orient="portrait"/>
      <w:cols w:equalWidth="0" w:num="1">
        <w:col w:w="11240"/>
      </w:cols>
      <w:pgMar w:left="320" w:top="8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70"/>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lowerLetter"/>
      <w:start w:val="2"/>
    </w:lvl>
  </w:abstractNum>
  <w:abstractNum w:abstractNumId="11">
    <w:nsid w:val="23F9C13C"/>
    <w:multiLevelType w:val="hybridMultilevel"/>
    <w:lvl w:ilvl="0">
      <w:lvlJc w:val="left"/>
      <w:lvlText w:val="&amp;"/>
      <w:numFmt w:val="bullet"/>
      <w:start w:val="1"/>
    </w:lvl>
  </w:abstractNum>
  <w:abstractNum w:abstractNumId="12">
    <w:nsid w:val="649BB77C"/>
    <w:multiLevelType w:val="hybridMultilevel"/>
    <w:lvl w:ilvl="0">
      <w:lvlJc w:val="left"/>
      <w:lvlText w:val="(%1)"/>
      <w:numFmt w:val="lowerLetter"/>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upperLetter"/>
      <w:start w:val="35"/>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lvl w:ilvl="1">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lowerRoman"/>
      <w:start w:val="4"/>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decimal"/>
      <w:start w:val="1"/>
    </w:lvl>
    <w:lvl w:ilvl="1">
      <w:lvlJc w:val="left"/>
      <w:lvlText w:val="(%2)"/>
      <w:numFmt w:val="lowerLetter"/>
      <w:start w:val="1"/>
    </w:lvl>
  </w:abstractNum>
  <w:abstractNum w:abstractNumId="58">
    <w:nsid w:val="8F2B15E"/>
    <w:multiLevelType w:val="hybridMultilevel"/>
    <w:lvl w:ilvl="0">
      <w:lvlJc w:val="left"/>
      <w:lvlText w:val="(%1)"/>
      <w:numFmt w:val="decimal"/>
      <w:start w:val="1"/>
    </w:lvl>
    <w:lvl w:ilvl="1">
      <w:lvlJc w:val="left"/>
      <w:lvlText w:val="%2"/>
      <w:numFmt w:val="lowerLetter"/>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2"/>
    </w:lvl>
  </w:abstractNum>
  <w:abstractNum w:abstractNumId="65">
    <w:nsid w:val="14330624"/>
    <w:multiLevelType w:val="hybridMultilevel"/>
    <w:lvl w:ilvl="0">
      <w:lvlJc w:val="left"/>
      <w:lvlText w:val="(%1)"/>
      <w:numFmt w:val="lowerRoman"/>
      <w:start w:val="2"/>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3"/>
    </w:lvl>
  </w:abstractNum>
  <w:abstractNum w:abstractNumId="69">
    <w:nsid w:val="100F59DC"/>
    <w:multiLevelType w:val="hybridMultilevel"/>
    <w:lvl w:ilvl="0">
      <w:lvlJc w:val="left"/>
      <w:lvlText w:val="%1."/>
      <w:numFmt w:val="decimal"/>
      <w:start w:val="4"/>
    </w:lvl>
  </w:abstractNum>
  <w:abstractNum w:abstractNumId="70">
    <w:nsid w:val="7FB7E0AA"/>
    <w:multiLevelType w:val="hybridMultilevel"/>
    <w:lvl w:ilvl="0">
      <w:lvlJc w:val="left"/>
      <w:lvlText w:val="%1."/>
      <w:numFmt w:val="decimal"/>
      <w:start w:val="5"/>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6"/>
    </w:lvl>
  </w:abstractNum>
  <w:abstractNum w:abstractNumId="76">
    <w:nsid w:val="4C04A8AF"/>
    <w:multiLevelType w:val="hybridMultilevel"/>
    <w:lvl w:ilvl="0">
      <w:lvlJc w:val="left"/>
      <w:lvlText w:val="%1."/>
      <w:numFmt w:val="decimal"/>
      <w:start w:val="7"/>
    </w:lvl>
  </w:abstractNum>
  <w:abstractNum w:abstractNumId="77">
    <w:nsid w:val="1716703B"/>
    <w:multiLevelType w:val="hybridMultilevel"/>
    <w:lvl w:ilvl="0">
      <w:lvlJc w:val="left"/>
      <w:lvlText w:val="%1."/>
      <w:numFmt w:val="decimal"/>
      <w:start w:val="8"/>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9"/>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0"/>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decimal"/>
      <w:start w:val="11"/>
    </w:lvl>
  </w:abstractNum>
  <w:abstractNum w:abstractNumId="85">
    <w:nsid w:val="39EE015C"/>
    <w:multiLevelType w:val="hybridMultilevel"/>
    <w:lvl w:ilvl="0">
      <w:lvlJc w:val="left"/>
      <w:lvlText w:val="%1."/>
      <w:numFmt w:val="decimal"/>
      <w:start w:val="12"/>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decimal"/>
      <w:start w:val="13"/>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14"/>
    </w:lvl>
  </w:abstractNum>
  <w:abstractNum w:abstractNumId="90">
    <w:nsid w:val="26F324BA"/>
    <w:multiLevelType w:val="hybridMultilevel"/>
    <w:lvl w:ilvl="0">
      <w:lvlJc w:val="left"/>
      <w:lvlText w:val="%1."/>
      <w:numFmt w:val="decimal"/>
      <w:start w:val="15"/>
    </w:lvl>
  </w:abstractNum>
  <w:abstractNum w:abstractNumId="91">
    <w:nsid w:val="7F01579B"/>
    <w:multiLevelType w:val="hybridMultilevel"/>
    <w:lvl w:ilvl="0">
      <w:lvlJc w:val="left"/>
      <w:lvlText w:val="%1."/>
      <w:numFmt w:val="decimal"/>
      <w:start w:val="16"/>
    </w:lvl>
  </w:abstractNum>
  <w:abstractNum w:abstractNumId="92">
    <w:nsid w:val="49DA307D"/>
    <w:multiLevelType w:val="hybridMultilevel"/>
    <w:lvl w:ilvl="0">
      <w:lvlJc w:val="left"/>
      <w:lvlText w:val="%1"/>
      <w:numFmt w:val="decimal"/>
      <w:start w:val="1"/>
    </w:lvl>
    <w:lvl w:ilvl="1">
      <w:lvlJc w:val="left"/>
      <w:lvlText w:val="(%2)"/>
      <w:numFmt w:val="decimal"/>
      <w:start w:val="1"/>
    </w:lvl>
  </w:abstractNum>
  <w:abstractNum w:abstractNumId="93">
    <w:nsid w:val="7055A5F5"/>
    <w:multiLevelType w:val="hybridMultilevel"/>
    <w:lvl w:ilvl="0">
      <w:lvlJc w:val="left"/>
      <w:lvlText w:val="%1."/>
      <w:numFmt w:val="decimal"/>
      <w:start w:val="17"/>
    </w:lvl>
    <w:lvl w:ilvl="1">
      <w:lvlJc w:val="left"/>
      <w:lvlText w:val="%2"/>
      <w:numFmt w:val="decimal"/>
      <w:start w:val="1"/>
    </w:lvl>
  </w:abstractNum>
  <w:abstractNum w:abstractNumId="94">
    <w:nsid w:val="5FB8370B"/>
    <w:multiLevelType w:val="hybridMultilevel"/>
    <w:lvl w:ilvl="0">
      <w:lvlJc w:val="left"/>
      <w:lvlText w:val="(%1)"/>
      <w:numFmt w:val="lowerLetter"/>
      <w:start w:val="3"/>
    </w:lvl>
  </w:abstractNum>
  <w:abstractNum w:abstractNumId="95">
    <w:nsid w:val="50801EE1"/>
    <w:multiLevelType w:val="hybridMultilevel"/>
    <w:lvl w:ilvl="0">
      <w:lvlJc w:val="left"/>
      <w:lvlText w:val="(%1)"/>
      <w:numFmt w:val="lowerRoman"/>
      <w:start w:val="2"/>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9" Type="http://schemas.openxmlformats.org/officeDocument/2006/relationships/image" Target="media/image147.png"/><Relationship Id="rId179"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204"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152" Type="http://schemas.openxmlformats.org/officeDocument/2006/relationships/hyperlink" Target="https://www.sec.gov/Archives/edgar/data/1401914/000156459018021487/dare-ex1010_233.htm" TargetMode="External"/><Relationship Id="rId153" Type="http://schemas.openxmlformats.org/officeDocument/2006/relationships/hyperlink" Target="https://www.sec.gov/Archives/edgar/data/1401914/000140191419000088/exhibit21.htm" TargetMode="External"/><Relationship Id="rId154" Type="http://schemas.openxmlformats.org/officeDocument/2006/relationships/hyperlink" Target="https://www.sec.gov/Archives/edgar/data/1401914/000140191424000038/exhibit31_amendedandrestat.htm" TargetMode="External"/><Relationship Id="rId155" Type="http://schemas.openxmlformats.org/officeDocument/2006/relationships/hyperlink" Target="https://www.sec.gov/Archives/edgar/data/1401914/000140191424000033/dare-arbylawsjan20234856.htm" TargetMode="External"/><Relationship Id="rId156" Type="http://schemas.openxmlformats.org/officeDocument/2006/relationships/hyperlink" Target="https://www.sec.gov/Archives/edgar/data/1401914/000156459018006989/dare-ex41_433.htm" TargetMode="External"/><Relationship Id="rId157" Type="http://schemas.openxmlformats.org/officeDocument/2006/relationships/hyperlink" Target="https://www.sec.gov/Archives/edgar/data/1401914/000140191422000032/ex42_10kx2021.htm" TargetMode="External"/><Relationship Id="rId160" Type="http://schemas.openxmlformats.org/officeDocument/2006/relationships/hyperlink" Target="https://www.sec.gov/Archives/edgar/data/1401914/000149315223030659/ex4-1.htm" TargetMode="External"/><Relationship Id="rId161" Type="http://schemas.openxmlformats.org/officeDocument/2006/relationships/hyperlink" Target="https://www.sec.gov/Archives/edgar/data/1401914/000140191424000016/dare-20231231xex44.htm" TargetMode="External"/><Relationship Id="rId162" Type="http://schemas.openxmlformats.org/officeDocument/2006/relationships/hyperlink" Target="https://www.sec.gov/Archives/edgar/data/1401914/000140191422000051/ex101_10q033122.htm" TargetMode="External"/><Relationship Id="rId163" Type="http://schemas.openxmlformats.org/officeDocument/2006/relationships/hyperlink" Target="https://www.sec.gov/Archives/edgar/data/1401914/000140191423000048/exhibit102_10q20230930.htm" TargetMode="External"/><Relationship Id="rId164" Type="http://schemas.openxmlformats.org/officeDocument/2006/relationships/hyperlink" Target="https://www.sec.gov/Archives/edgar/data/1401914/000140191422000051/ex102_10q033122.htm" TargetMode="External"/><Relationship Id="rId165" Type="http://schemas.openxmlformats.org/officeDocument/2006/relationships/hyperlink" Target="https://www.sec.gov/Archives/edgar/data/1401914/000119312518143344/d575362dex101.htm" TargetMode="External"/><Relationship Id="rId166" Type="http://schemas.openxmlformats.org/officeDocument/2006/relationships/hyperlink" Target="https://www.sec.gov/Archives/edgar/data/1401914/000156459017023408/dare-ex101_371.htm" TargetMode="External"/><Relationship Id="rId167" Type="http://schemas.openxmlformats.org/officeDocument/2006/relationships/hyperlink" Target="https://www.sec.gov/Archives/edgar/data/1401914/000156459018021487/dare-ex101_230.htm" TargetMode="External"/><Relationship Id="rId168" Type="http://schemas.openxmlformats.org/officeDocument/2006/relationships/hyperlink" Target="https://www.sec.gov/Archives/edgar/data/1401914/000156459018021487/dare-ex105_237.htm" TargetMode="External"/><Relationship Id="rId170" Type="http://schemas.openxmlformats.org/officeDocument/2006/relationships/hyperlink" Target="https://www.sec.gov/Archives/edgar/data/1401914/000156459018021487/dare-ex106_236.htm" TargetMode="External"/><Relationship Id="rId171" Type="http://schemas.openxmlformats.org/officeDocument/2006/relationships/hyperlink" Target="https://www.sec.gov/Archives/edgar/data/1401914/000156459018021487/dare-ex107_234.htm" TargetMode="External"/><Relationship Id="rId172" Type="http://schemas.openxmlformats.org/officeDocument/2006/relationships/hyperlink" Target="https://www.sec.gov/Archives/edgar/data/1401914/000140191423000013/dare-20221231xex106d.htm" TargetMode="External"/><Relationship Id="rId173" Type="http://schemas.openxmlformats.org/officeDocument/2006/relationships/hyperlink" Target="https://www.sec.gov/Archives/edgar/data/1401914/000156459018021487/dare-ex108_235.htm" TargetMode="External"/><Relationship Id="rId174" Type="http://schemas.openxmlformats.org/officeDocument/2006/relationships/hyperlink" Target="https://www.sec.gov/Archives/edgar/data/1401914/000156459018021487/dare-ex109_232.htm" TargetMode="External"/><Relationship Id="rId175" Type="http://schemas.openxmlformats.org/officeDocument/2006/relationships/hyperlink" Target="https://www.sec.gov/Archives/edgar/data/1401914/000140191419000015/a1010ahammockassignment.htm" TargetMode="External"/><Relationship Id="rId176" Type="http://schemas.openxmlformats.org/officeDocument/2006/relationships/hyperlink" Target="https://www.sec.gov/Archives/edgar/data/1401914/000140191419000015/a1010b1stamtohamcklicnsagr.htm" TargetMode="External"/><Relationship Id="rId177" Type="http://schemas.openxmlformats.org/officeDocument/2006/relationships/hyperlink" Target="https://www.sec.gov/Archives/edgar/data/1401914/000140191420000042/exhibit1010c.htm" TargetMode="External"/><Relationship Id="rId178" Type="http://schemas.openxmlformats.org/officeDocument/2006/relationships/hyperlink" Target="https://www.sec.gov/Archives/edgar/data/1401914/000140191420000042/exhibit1010d.htm" TargetMode="External"/><Relationship Id="rId180" Type="http://schemas.openxmlformats.org/officeDocument/2006/relationships/hyperlink" Target="https://www.sec.gov/Archives/edgar/data/1401914/000140191421000137/ex101.htm" TargetMode="External"/><Relationship Id="rId181" Type="http://schemas.openxmlformats.org/officeDocument/2006/relationships/hyperlink" Target="https://www.sec.gov/Archives/edgar/data/1401914/000140191421000137/exhibit311_20210930.htm" TargetMode="External"/><Relationship Id="rId182" Type="http://schemas.openxmlformats.org/officeDocument/2006/relationships/hyperlink" Target="https://www.sec.gov/Archives/edgar/data/1401914/000140191425000012/ex1010douglaslicenseagre.htm" TargetMode="External"/><Relationship Id="rId183" Type="http://schemas.openxmlformats.org/officeDocument/2006/relationships/hyperlink" Target="https://www.sec.gov/Archives/edgar/data/1401914/000140191425000012/ex1012_nov2024grant.htm" TargetMode="External"/><Relationship Id="rId184" Type="http://schemas.openxmlformats.org/officeDocument/2006/relationships/hyperlink" Target="https://www.sec.gov/Archives/edgar/data/1401914/000140191425000012/ex_1013xarpa-h.htm" TargetMode="External"/><Relationship Id="rId185" Type="http://schemas.openxmlformats.org/officeDocument/2006/relationships/hyperlink" Target="https://www.sec.gov/Archives/edgar/data/1401914/000140191424000016/dare-20231231xex1012.htm" TargetMode="External"/><Relationship Id="rId186" Type="http://schemas.openxmlformats.org/officeDocument/2006/relationships/hyperlink" Target="https://www.sec.gov/Archives/edgar/data/1401914/000149315224041796/ex10-1.htm" TargetMode="External"/><Relationship Id="rId187" Type="http://schemas.openxmlformats.org/officeDocument/2006/relationships/hyperlink" Target="https://www.sec.gov/Archives/edgar/data/1401914/000149315224041796/ex10-2.htm" TargetMode="External"/><Relationship Id="rId188" Type="http://schemas.openxmlformats.org/officeDocument/2006/relationships/hyperlink" Target="https://www.sec.gov/Archives/edgar/data/1401914/000140191424000038/exhibit101xoma-daretradi.htm" TargetMode="External"/><Relationship Id="rId191" Type="http://schemas.openxmlformats.org/officeDocument/2006/relationships/hyperlink" Target="https://www.sec.gov/Archives/edgar/data/1401914/000140191424000038/xoma-daresyntheticroyalt.htm" TargetMode="External"/><Relationship Id="rId192" Type="http://schemas.openxmlformats.org/officeDocument/2006/relationships/hyperlink" Target="https://www.sec.gov/Archives/edgar/data/1401914/000119312518216324/d458206dex101.htm" TargetMode="External"/><Relationship Id="rId193" Type="http://schemas.openxmlformats.org/officeDocument/2006/relationships/hyperlink" Target="https://www.sec.gov/Archives/edgar/data/1401914/000156459018021487/dare-ex103_157.htm" TargetMode="External"/><Relationship Id="rId194" Type="http://schemas.openxmlformats.org/officeDocument/2006/relationships/hyperlink" Target="https://www.sec.gov/Archives/edgar/data/1401914/000156459018021487/dare-ex104_158.htm" TargetMode="External"/><Relationship Id="rId195" Type="http://schemas.openxmlformats.org/officeDocument/2006/relationships/hyperlink" Target="https://www.sec.gov/Archives/edgar/data/1401914/000140191424000038/exhibit107dare-2022stockin.htm" TargetMode="External"/><Relationship Id="rId196" Type="http://schemas.openxmlformats.org/officeDocument/2006/relationships/hyperlink" Target="https://www.sec.gov/Archives/edgar/data/1401914/000164117225018393/ex10-1.htm" TargetMode="External"/><Relationship Id="rId197" Type="http://schemas.openxmlformats.org/officeDocument/2006/relationships/hyperlink" Target="https://www.sec.gov/Archives/edgar/data/1401914/000149315222017652/ex10-1b.htm" TargetMode="External"/><Relationship Id="rId198" Type="http://schemas.openxmlformats.org/officeDocument/2006/relationships/hyperlink" Target="https://www.sec.gov/Archives/edgar/data/1401914/000149315222017652/ex10-1c.htm" TargetMode="External"/><Relationship Id="rId199" Type="http://schemas.openxmlformats.org/officeDocument/2006/relationships/hyperlink" Target="https://www.sec.gov/Archives/edgar/data/1401914/000140191423000048/ex_103performancebonusplan.htm" TargetMode="External"/><Relationship Id="rId200" Type="http://schemas.openxmlformats.org/officeDocument/2006/relationships/hyperlink" Target="https://www.sec.gov/Archives/edgar/data/1401914/000119312514090300/d657877dex1016.htm" TargetMode="External"/><Relationship Id="rId201" Type="http://schemas.openxmlformats.org/officeDocument/2006/relationships/hyperlink" Target="https://www.sec.gov/Archives/edgar/data/1401914/000140191425000022/ex101_noneedircomp.htm" TargetMode="External"/><Relationship Id="rId202" Type="http://schemas.openxmlformats.org/officeDocument/2006/relationships/hyperlink" Target="https://www.sec.gov/Archives/edgar/data/1401914/000119312517262263/d425695dex101.htm" TargetMode="External"/><Relationship Id="rId203" Type="http://schemas.openxmlformats.org/officeDocument/2006/relationships/hyperlink" Target="https://www.sec.gov/Archives/edgar/data/1401914/000140191420000068/ex1013b.htm" TargetMode="External"/><Relationship Id="rId205" Type="http://schemas.openxmlformats.org/officeDocument/2006/relationships/hyperlink" Target="https://www.sec.gov/Archives/edgar/data/1401914/000140191424000038/exhibit105amendmentno2toem.htm" TargetMode="External"/><Relationship Id="rId206" Type="http://schemas.openxmlformats.org/officeDocument/2006/relationships/hyperlink" Target="https://www.sec.gov/Archives/edgar/data/1401914/000140191424000038/exhibit106darebiosciencein.htm" TargetMode="External"/><Relationship Id="rId207" Type="http://schemas.openxmlformats.org/officeDocument/2006/relationships/hyperlink" Target="https://www.sec.gov/Archives/edgar/data/1401914/000140191425000012/ex191amendedandrestatedi.htm" TargetMode="External"/><Relationship Id="rId208" Type="http://schemas.openxmlformats.org/officeDocument/2006/relationships/hyperlink" Target="https://www.sec.gov/Archives/edgar/data/1401914/000140191424000016/dare-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2026-03-26T15:24:24Z</dcterms:created>
  <dcterms:modified xsi:type="dcterms:W3CDTF">2026-03-26T15:24:24Z</dcterms:modified>
</cp:coreProperties>
</file>