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9"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6080" w:type="dxa"/>
            <w:vAlign w:val="bottom"/>
          </w:tcPr>
          <w:p>
            <w:pPr>
              <w:jc w:val="center"/>
              <w:ind w:right="35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35 Gatehouse Drive</w:t>
            </w:r>
          </w:p>
        </w:tc>
        <w:tc>
          <w:tcPr>
            <w:tcW w:w="1480" w:type="dxa"/>
            <w:vAlign w:val="bottom"/>
          </w:tcPr>
          <w:p>
            <w:pPr>
              <w:spacing w:after="0"/>
              <w:rPr>
                <w:sz w:val="22"/>
                <w:szCs w:val="22"/>
                <w:color w:val="auto"/>
              </w:rPr>
            </w:pPr>
          </w:p>
        </w:tc>
      </w:tr>
      <w:tr>
        <w:trPr>
          <w:trHeight w:val="214"/>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608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(781) 996-4300</w:t>
            </w:r>
          </w:p>
        </w:tc>
        <w:tc>
          <w:tcPr>
            <w:tcW w:w="1480" w:type="dxa"/>
            <w:vAlign w:val="bottom"/>
          </w:tcPr>
          <w:p>
            <w:pPr>
              <w:spacing w:after="0"/>
              <w:rPr>
                <w:sz w:val="21"/>
                <w:szCs w:val="21"/>
                <w:color w:val="auto"/>
              </w:rPr>
            </w:pPr>
          </w:p>
        </w:tc>
      </w:tr>
      <w:tr>
        <w:trPr>
          <w:trHeight w:val="190"/>
        </w:trPr>
        <w:tc>
          <w:tcPr>
            <w:tcW w:w="608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127635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8"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3" w:lineRule="exact"/>
        <w:rPr>
          <w:sz w:val="24"/>
          <w:szCs w:val="24"/>
          <w:color w:val="auto"/>
        </w:rPr>
      </w:pPr>
    </w:p>
    <w:p>
      <w:pPr>
        <w:ind w:right="220" w:firstLine="456"/>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ind w:left="460" w:right="144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the registrant’s Common Stock, $ 0.0001 par value, outstanding on May 1, 2017: 29,021,455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64"/>
        </w:trPr>
        <w:tc>
          <w:tcPr>
            <w:tcW w:w="308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740" w:type="dxa"/>
            <w:vAlign w:val="bottom"/>
            <w:gridSpan w:val="7"/>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820" w:type="dxa"/>
            <w:vAlign w:val="bottom"/>
            <w:gridSpan w:val="14"/>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720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March 31, 2017 and December 31, 2016 (unaudited)</w:t>
              </w:r>
            </w:hyperlink>
          </w:p>
        </w:tc>
        <w:tc>
          <w:tcPr>
            <w:tcW w:w="26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00" w:type="dxa"/>
            <w:vAlign w:val="bottom"/>
          </w:tcPr>
          <w:p>
            <w:pPr>
              <w:spacing w:after="0"/>
              <w:rPr>
                <w:sz w:val="24"/>
                <w:szCs w:val="24"/>
                <w:color w:val="auto"/>
              </w:rPr>
            </w:pPr>
          </w:p>
        </w:tc>
        <w:tc>
          <w:tcPr>
            <w:tcW w:w="8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Months Ended March 31, 2017 and 2016 (unaudited)</w:t>
              </w:r>
            </w:hyperlink>
          </w:p>
        </w:tc>
        <w:tc>
          <w:tcPr>
            <w:tcW w:w="1300" w:type="dxa"/>
            <w:vAlign w:val="bottom"/>
            <w:gridSpan w:val="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1000" w:type="dxa"/>
            <w:vAlign w:val="bottom"/>
          </w:tcPr>
          <w:p>
            <w:pPr>
              <w:spacing w:after="0"/>
              <w:rPr>
                <w:sz w:val="24"/>
                <w:szCs w:val="24"/>
                <w:color w:val="auto"/>
              </w:rPr>
            </w:pPr>
          </w:p>
        </w:tc>
        <w:tc>
          <w:tcPr>
            <w:tcW w:w="9820" w:type="dxa"/>
            <w:vAlign w:val="bottom"/>
            <w:gridSpan w:val="1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2017 and 2016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000" w:type="dxa"/>
            <w:vAlign w:val="bottom"/>
          </w:tcPr>
          <w:p>
            <w:pPr>
              <w:spacing w:after="0"/>
              <w:rPr>
                <w:sz w:val="24"/>
                <w:szCs w:val="24"/>
                <w:color w:val="auto"/>
              </w:rPr>
            </w:pPr>
          </w:p>
        </w:tc>
        <w:tc>
          <w:tcPr>
            <w:tcW w:w="85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1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820" w:type="dxa"/>
            <w:vAlign w:val="bottom"/>
            <w:gridSpan w:val="14"/>
          </w:tcPr>
          <w:p>
            <w:pPr>
              <w:spacing w:after="0"/>
              <w:rPr>
                <w:rFonts w:ascii="Times New Roman" w:cs="Times New Roman" w:eastAsia="Times New Roman" w:hAnsi="Times New Roman"/>
                <w:sz w:val="18"/>
                <w:szCs w:val="18"/>
                <w:b w:val="1"/>
                <w:bCs w:val="1"/>
                <w:color w:val="0000EE"/>
              </w:rPr>
            </w:pPr>
            <w:hyperlink w:anchor="page12">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tcBorders>
              <w:top w:val="single" w:sz="8" w:color="0000EE"/>
            </w:tcBorders>
            <w:gridSpan w:val="10"/>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Quantitative and Qualitative Disclosures About Market Risk</w:t>
              </w:r>
            </w:hyperlink>
          </w:p>
        </w:tc>
        <w:tc>
          <w:tcPr>
            <w:tcW w:w="300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tcBorders>
              <w:top w:val="single" w:sz="8" w:color="0000EE"/>
            </w:tcBorders>
            <w:gridSpan w:val="8"/>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Controls and Procedures</w:t>
              </w:r>
            </w:hyperlink>
          </w:p>
        </w:tc>
        <w:tc>
          <w:tcPr>
            <w:tcW w:w="516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92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PART II. OTHER INFORMATION</w:t>
              </w:r>
            </w:hyperlink>
          </w:p>
        </w:tc>
        <w:tc>
          <w:tcPr>
            <w:tcW w:w="804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20" w:type="dxa"/>
            <w:vAlign w:val="bottom"/>
            <w:gridSpan w:val="14"/>
          </w:tcPr>
          <w:p>
            <w:pPr>
              <w:spacing w:after="0"/>
              <w:rPr>
                <w:rFonts w:ascii="Times New Roman" w:cs="Times New Roman" w:eastAsia="Times New Roman" w:hAnsi="Times New Roman"/>
                <w:sz w:val="18"/>
                <w:szCs w:val="18"/>
                <w:b w:val="1"/>
                <w:bCs w:val="1"/>
                <w:color w:val="0000EE"/>
              </w:rPr>
            </w:pPr>
            <w:hyperlink w:anchor="page22">
              <w:r>
                <w:rPr>
                  <w:rFonts w:ascii="Times New Roman" w:cs="Times New Roman" w:eastAsia="Times New Roman" w:hAnsi="Times New Roman"/>
                  <w:sz w:val="18"/>
                  <w:szCs w:val="18"/>
                  <w:b w:val="1"/>
                  <w:bCs w:val="1"/>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b w:val="1"/>
                <w:bCs w:val="1"/>
                <w:color w:val="0000EE"/>
                <w:w w:val="96"/>
              </w:rPr>
            </w:pPr>
            <w:hyperlink w:anchor="page59">
              <w:r>
                <w:rPr>
                  <w:rFonts w:ascii="Times New Roman" w:cs="Times New Roman" w:eastAsia="Times New Roman" w:hAnsi="Times New Roman"/>
                  <w:sz w:val="18"/>
                  <w:szCs w:val="18"/>
                  <w:b w:val="1"/>
                  <w:bCs w:val="1"/>
                  <w:color w:val="0000EE"/>
                  <w:w w:val="96"/>
                </w:rPr>
                <w:t>Exhibits</w:t>
              </w:r>
            </w:hyperlink>
          </w:p>
        </w:tc>
        <w:tc>
          <w:tcPr>
            <w:tcW w:w="320" w:type="dxa"/>
            <w:vAlign w:val="bottom"/>
            <w:tcBorders>
              <w:top w:val="single" w:sz="8" w:color="0000EE"/>
            </w:tcBorders>
            <w:gridSpan w:val="2"/>
          </w:tcPr>
          <w:p>
            <w:pPr>
              <w:spacing w:after="0"/>
              <w:rPr>
                <w:sz w:val="24"/>
                <w:szCs w:val="24"/>
                <w:color w:val="auto"/>
              </w:rPr>
            </w:pPr>
          </w:p>
        </w:tc>
        <w:tc>
          <w:tcPr>
            <w:tcW w:w="8860" w:type="dxa"/>
            <w:vAlign w:val="bottom"/>
            <w:gridSpan w:val="11"/>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4"/>
        </w:trPr>
        <w:tc>
          <w:tcPr>
            <w:tcW w:w="100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60">
              <w:r>
                <w:rPr>
                  <w:rFonts w:ascii="Times New Roman" w:cs="Times New Roman" w:eastAsia="Times New Roman" w:hAnsi="Times New Roman"/>
                  <w:sz w:val="18"/>
                  <w:szCs w:val="18"/>
                  <w:b w:val="1"/>
                  <w:bCs w:val="1"/>
                  <w:color w:val="0000EE"/>
                  <w:w w:val="97"/>
                </w:rPr>
                <w:t>Signatures</w:t>
              </w:r>
            </w:hyperlink>
          </w:p>
        </w:tc>
        <w:tc>
          <w:tcPr>
            <w:tcW w:w="900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ectPr>
          <w:pgSz w:w="11900" w:h="16838" w:orient="portrait"/>
          <w:cols w:equalWidth="0" w:num="1">
            <w:col w:w="11360"/>
          </w:cols>
          <w:pgMar w:left="240" w:top="455"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52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160" w:type="dxa"/>
            <w:vAlign w:val="bottom"/>
          </w:tcPr>
          <w:p>
            <w:pPr>
              <w:ind w:left="282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79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thousands except share data and par value)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tcBorders>
              <w:top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12,028</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Property and equipment held for sale</w:t>
            </w: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386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Prepaid retention payments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987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15,953</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0"/>
        </w:trPr>
        <w:tc>
          <w:tcPr>
            <w:tcW w:w="8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deferred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Loan payable, net of current portion</w:t>
            </w: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23"/>
        </w:trPr>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20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120,000,000 shares authorized, 29,021,455 and 28,937,185 shares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at March 31, 2017 and December 31, 2016, respectively</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214,757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(207,019)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15,953</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9,770</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3,118</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asset sale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88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6,738</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8"/>
                <w:szCs w:val="18"/>
                <w:color w:val="auto"/>
              </w:rPr>
            </w:pP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3"/>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29,019,582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27,362,643</w:t>
            </w: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80" w:type="dxa"/>
            <w:vAlign w:val="bottom"/>
          </w:tcPr>
          <w:p>
            <w:pPr>
              <w:spacing w:after="0"/>
              <w:rPr>
                <w:sz w:val="15"/>
                <w:szCs w:val="15"/>
                <w:color w:val="auto"/>
              </w:rPr>
            </w:pPr>
          </w:p>
        </w:tc>
        <w:tc>
          <w:tcPr>
            <w:tcW w:w="222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9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(6,339)</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(13,542)</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Noncash rent expense</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Impairment of property and equipment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Gain on asset sale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9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0" w:type="dxa"/>
            <w:vAlign w:val="bottom"/>
          </w:tcPr>
          <w:p>
            <w:pPr>
              <w:spacing w:after="0"/>
              <w:rPr>
                <w:sz w:val="18"/>
                <w:szCs w:val="18"/>
                <w:color w:val="auto"/>
              </w:rPr>
            </w:pPr>
          </w:p>
        </w:tc>
        <w:tc>
          <w:tcPr>
            <w:tcW w:w="91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(13,260)</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restricted cash</w:t>
            </w: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91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Payments on loan payable</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(13,077)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end of term charge on loan payable</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75,908</w:t>
            </w:r>
          </w:p>
        </w:tc>
      </w:tr>
      <w:tr>
        <w:trPr>
          <w:trHeight w:val="223"/>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Nature of Business — Cerulean Pharma Inc. (the “Company”) was incorporated on November 28, 2005, as a Delaware corporation and is located in Waltham, Massachusetts. The Company was formed to develop novel, nanotechnology-based therapeutics in the areas of oncology and other diseases. In 2013, the Company formed a wholly owned subsidiary, Cerulean Pharma Australia Pty Ltd as an Australian-based proprietary limited company to perform clinical activities in Australia.</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operations have consisted primarily of raising capital, product research and development, and initial market development.</w:t>
      </w:r>
    </w:p>
    <w:p>
      <w:pPr>
        <w:spacing w:after="0" w:line="225"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Company has not generated any revenue related to its primary business purpose to date and is subject to a number of risks common to other development stage life science companies, including dependence on key individuals, competition from other companies, the need for development of commercially viable products, and the need to obtain adequate additional financing to fund the development of product candidates. The Company is also subject to a number of risks similar to other companies in the industry, including rapid technological change, regulatory approval of products,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w:t>
      </w:r>
    </w:p>
    <w:p>
      <w:pPr>
        <w:spacing w:after="0" w:line="18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On February 1, 2017, the Company announced that its board of directors had initiated a review of strategic alternatives that could result in changes to the Company’s business strategy and future operations. As part of this process, the board determined to review alternatives with the goal of maximizing stockholder value, including a potential sale of the Company, a reverse merger, a business combination or a sale, license or other disposition of company assets.</w:t>
      </w:r>
    </w:p>
    <w:p>
      <w:pPr>
        <w:spacing w:after="0" w:line="180" w:lineRule="exact"/>
        <w:rPr>
          <w:sz w:val="20"/>
          <w:szCs w:val="20"/>
          <w:color w:val="auto"/>
        </w:rPr>
      </w:pPr>
    </w:p>
    <w:p>
      <w:pPr>
        <w:jc w:val="both"/>
        <w:ind w:right="500" w:firstLine="456"/>
        <w:spacing w:after="0" w:line="261" w:lineRule="auto"/>
        <w:rPr>
          <w:sz w:val="20"/>
          <w:szCs w:val="20"/>
          <w:color w:val="auto"/>
        </w:rPr>
      </w:pPr>
      <w:r>
        <w:rPr>
          <w:rFonts w:ascii="Times New Roman" w:cs="Times New Roman" w:eastAsia="Times New Roman" w:hAnsi="Times New Roman"/>
          <w:sz w:val="18"/>
          <w:szCs w:val="18"/>
          <w:color w:val="auto"/>
        </w:rPr>
        <w:t>On March 17, 2017, the Company entered into a payoff letter with Hercules Technology Growth Capital, Inc. (“Hercules”) pursuant to which the Company agreed to pay off and thereby terminate its loan with Hercules. Pursuant to the payoff letter, the Company paid, on March 20, 2017, a total of $12.4 million to Hercules, representing the principal, accrued and unpaid interest, fees, costs and expenses outstanding in repayment of its outstanding obligations under the loan agreement (see Note 6 – Loan Agreements).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On March 19, 2017, the Company entered into an asset purchase agreement (the “Novartis Asset Purchase Agreement”) with Novartis. Under the Novartis Asset Purchase Agreement the Company agreed to sell and assign to Novartis all of the Company’s right, title and interest in and to the patent rights, know-how and third-party license agreements relating to the Company’s proprietary Dynamic Tumor Targeting Platform (the “Platform”). At the closing of the Novartis transaction, Novartis will be obligated to pay a purchase price of $6.0 million. Consummation of the Novartis transaction is subject to the Company obtaining, pursuant to Delaware law, the approval of the holders of at least a majority of its common stock for the sale of substantially all of its assets in the Novartis transaction. Each party’s obligation to consummate the Novartis transaction is also subject to other customary closing conditions.</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March 19, 2017, the Company also entered into an asset purchase agreement (the “BlueLink Asset Purchase Agreement) with BlueLink Pharmaceuticals, Inc. (“BlueLink”). Under the BlueLink Asset Purchase Agreement the Company sold and assigned to BlueLink all of the Company’s right, title and interest in and to its clinical product candidates CRLX101 and CRLX301 (the “Products”). The Company also transferred and assigned to BlueLink the accompanying intellectual property rights and know-how to the Products. On March 21, 2017, BlueLink paid the purchase price of $1.5 million. Also in connection with the BlueLink Asset Purchase Agreement, the Company and BlueLink entered into a license agreement in favor of BlueLink, pursuant to which the Company agreed to grant to BlueLink an exclusive, worldwide, perpetual, sublicensable right and license, under the Platform, to research, develop and commercialize the Products. Pursuant to the Novartis Asset Purchase Agreement between the Company and Novartis, Novartis will assume the BlueLink License upon the closing of the Novartis transaction.</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March 19, 2017, the Company also entered into a stock purchase agreement (the “Stock Purchase Agreement”) with Daré Bioscience, Inc. (“Daré”), and the holders of capital stock and securities convertible into capital stock of Daré named therein (“Selling Stockholders”), pursuant to which, among other things, the Selling Stockholders agreed to sell to the Company, and the Company agreed to purchase from the Selling Stockholders, all of the outstanding shares of capital stock, including those issuable upon conversion of convertible securities, of Daré (the “Daré Transaction”). Immediately following the closing of the Daré Transaction, the Selling Stockholders are expected to own between approximately 51% and 70% (depending on the respective net cash (as defined in the Stock Purchase Agreement) of the Company and Daré five business days prior to the closing) of the outstanding equity securities of Cerulean Pharma Inc. on a fully-diluted basis immediately following consummation of the Daré Transaction. Consummation of the Daré Transaction is subject to certain closing conditions, including, among other things, approval by the Company’s stockholders. The exchange ratio, and therefore fair value of exchange consideration, are indeterminable at this time, and as such the full disclosures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required under Accounting Standards Codification 805, Business Combinations, are impracticable. The Stock Purchase Agreement contains certain termination rights for both the Company and Daré, and further provides that, upon termination of the Stock Purchase Agreement under specified circumstances, the Company may be required to pay Daré a termination fee of $0.3 million, or Daré may be required to pay the Company a termination fee of $0.45 million. There can be no assurances that the Daré Transaction will be consummated.</w:t>
      </w:r>
    </w:p>
    <w:p>
      <w:pPr>
        <w:spacing w:after="0" w:line="180"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With exception of the payoff letter with Hercules and the sale of the clinical product candidates, these transactions are subject to certain closing conditions. There can be no assurances that these transactions will be consummated prior to the exhaustion of the Company’s cash and cash equivalent resources, if at all.</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Company has an accumulated deficit of $207.0 million at March 31, 2017. The Company has financed its operations primarily through private placements of its preferred stock, proceeds from borrowings, an initial public offering completed in 2014 and a follow-on offering completed in 2015. As of March 31, 2017, the Company had cash and cash equivalents of $12.0 million. With the sale of its two clinical product candidates, the proposed sale of its Platform, and the reduction of staff to eight full-time employees, the Company has effectively ceased prior clinical research and is focused on maintaining its assets until they are either sold or its corporate business strategy with Daré, as described above, is executed, it completes any other strategic transaction, it determines to continue to operate the Platform or it otherwise decides to liquidate its assets or dissolve. The Company has no other sources of significant liquidity in place as of March 31, 2017.</w:t>
      </w:r>
    </w:p>
    <w:p>
      <w:pPr>
        <w:spacing w:after="0" w:line="189" w:lineRule="exact"/>
        <w:rPr>
          <w:sz w:val="20"/>
          <w:szCs w:val="20"/>
          <w:color w:val="auto"/>
        </w:rPr>
      </w:pPr>
    </w:p>
    <w:p>
      <w:pPr>
        <w:ind w:right="760" w:firstLine="456"/>
        <w:spacing w:after="0" w:line="282" w:lineRule="auto"/>
        <w:rPr>
          <w:sz w:val="20"/>
          <w:szCs w:val="20"/>
          <w:color w:val="auto"/>
        </w:rPr>
      </w:pPr>
      <w:r>
        <w:rPr>
          <w:rFonts w:ascii="Times New Roman" w:cs="Times New Roman" w:eastAsia="Times New Roman" w:hAnsi="Times New Roman"/>
          <w:sz w:val="18"/>
          <w:szCs w:val="18"/>
          <w:color w:val="auto"/>
        </w:rPr>
        <w:t>The foregoing matters give rise to substantial doubt about the Company’s ability to continue as a going concern. The accompanying financial statements do not include any adjustments that might result from the outcome of this uncertainty.</w:t>
      </w:r>
    </w:p>
    <w:p>
      <w:pPr>
        <w:spacing w:after="0" w:line="306"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2016 10-K.</w:t>
      </w:r>
    </w:p>
    <w:p>
      <w:pPr>
        <w:spacing w:after="0" w:line="221" w:lineRule="exact"/>
        <w:rPr>
          <w:sz w:val="20"/>
          <w:szCs w:val="20"/>
          <w:color w:val="auto"/>
        </w:rPr>
      </w:pPr>
    </w:p>
    <w:p>
      <w:pPr>
        <w:ind w:firstLine="456"/>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Recent Accounting Pronouncements </w:t>
      </w:r>
      <w:r>
        <w:rPr>
          <w:rFonts w:ascii="Times New Roman" w:cs="Times New Roman" w:eastAsia="Times New Roman" w:hAnsi="Times New Roman"/>
          <w:sz w:val="17"/>
          <w:szCs w:val="17"/>
          <w:color w:val="auto"/>
        </w:rPr>
        <w:t>— In November 2016, the Financial Accounting Standards Board (the “FASB”) issued Accounting Standards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Update 2016-18, “Statement of Cash Flows - Restricted Cash (Topic 230)”. This new standard requires companies to include amounts generally described as restricted cash and restricted cash equivalents in cash and cash equivalents when reconciling beginning-of-period and end-of-period total amounts shown on the statement of cash flows. This guidance is effective for annual and interim reporting periods beginning after December 15, 2017, and required retrospective application. The Company is currently evaluating the effect this standard will have on its consolidated financial statements and related disclosures.</w:t>
      </w:r>
    </w:p>
    <w:p>
      <w:pPr>
        <w:spacing w:after="0" w:line="16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Accounting Standards Update 2016-02, “Leases (Topic 842)” (“ASU 2016-02”), which provides new accounting guidance on leases. ASU 2016-02 requires lessees to recognize leases on their balance sheets, and leaves lessor accounting largely unchanged. The amendments in ASU 2016-02 are effective for fiscal years beginning after December 15, 2018 and interim periods within those fiscal years. Early application is permitted for all entities. ASU 2016-02 requires a modified retrospective approach for all leases existing at, or entered into after, the date of initial application, with an option to elect to use certain transition relief. The Company is currently evaluating the impact of this new standard on its consolidated financial statements and related disclosures.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Accounting Standards Update 2014-15, “Presentation of Financial Statements – Going Concern (Subtopic 205-40): Disclosure of Uncertainties About an Entity’s Ability to Continue as a Going Concern” (“ASU 2014-15”). ASU 2014-15 requires management to evaluate, at each annual and interim reporting period, whether there are conditions or events that raise substantial doubt about the entity’s ability to continue as a going concern and provide related disclosures. ASU 2014-15 is effective for annual periods ending after December 15, 2016, and interim periods within annual periods beginning after December 15, 2016. The Company has performed its own assessment of the entity’s ability to continue as a going concern for at least one year from the issuance date and provided increased disclosure around this matter as reflected in Note 1 – Nature of Business and Operations.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Company computes diluted loss per common share after giving effect to the dilutive effect of stock options, warrants and shares of unvested restricted stock that are outstanding during the period, except where the inclusion of such securities would be antidilutive.</w:t>
      </w:r>
    </w:p>
    <w:p>
      <w:pPr>
        <w:spacing w:after="0" w:line="162"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162" w:lineRule="exact"/>
        <w:rPr>
          <w:sz w:val="20"/>
          <w:szCs w:val="20"/>
          <w:color w:val="auto"/>
        </w:rPr>
      </w:pPr>
    </w:p>
    <w:p>
      <w:pPr>
        <w:ind w:right="420" w:firstLine="456"/>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that were outstanding prior to the use of the treasury stock method have been excluded from the computation of diluted weighted-average shares outstanding, because the inclusion of such securities would have an antidilutive impact due to the losses reported (in common stock equivalent shares):</w:t>
      </w:r>
    </w:p>
    <w:p>
      <w:pPr>
        <w:spacing w:after="0" w:line="197"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7620</wp:posOffset>
            </wp:positionV>
            <wp:extent cx="1191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ind w:left="8360"/>
        <w:spacing w:after="0"/>
        <w:tabs>
          <w:tab w:leader="none" w:pos="94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tbl>
      <w:tblPr>
        <w:tblLayout w:type="fixed"/>
        <w:tblInd w:w="1380" w:type="dxa"/>
        <w:tblCellMar>
          <w:top w:w="0" w:type="dxa"/>
          <w:left w:w="0" w:type="dxa"/>
          <w:bottom w:w="0" w:type="dxa"/>
          <w:right w:w="0" w:type="dxa"/>
        </w:tblCellMar>
      </w:tblP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5,441,105</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3,991,586</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365,564</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60" w:type="dxa"/>
            <w:vAlign w:val="bottom"/>
          </w:tcPr>
          <w:p>
            <w:pPr>
              <w:spacing w:after="0"/>
              <w:rPr>
                <w:sz w:val="20"/>
                <w:szCs w:val="20"/>
                <w:color w:val="auto"/>
              </w:rPr>
            </w:pPr>
          </w:p>
        </w:tc>
      </w:tr>
    </w:tbl>
    <w:p>
      <w:pPr>
        <w:spacing w:after="0" w:line="324"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AVAILABLE FOR SALE</w:t>
      </w:r>
    </w:p>
    <w:p>
      <w:pPr>
        <w:spacing w:after="0" w:line="121" w:lineRule="exact"/>
        <w:rPr>
          <w:sz w:val="20"/>
          <w:szCs w:val="20"/>
          <w:color w:val="auto"/>
        </w:rPr>
      </w:pPr>
    </w:p>
    <w:p>
      <w:pPr>
        <w:ind w:right="20" w:firstLine="456"/>
        <w:spacing w:after="0" w:line="274" w:lineRule="auto"/>
        <w:rPr>
          <w:sz w:val="20"/>
          <w:szCs w:val="20"/>
          <w:color w:val="auto"/>
        </w:rPr>
      </w:pPr>
      <w:r>
        <w:rPr>
          <w:rFonts w:ascii="Times New Roman" w:cs="Times New Roman" w:eastAsia="Times New Roman" w:hAnsi="Times New Roman"/>
          <w:sz w:val="17"/>
          <w:szCs w:val="17"/>
          <w:color w:val="auto"/>
        </w:rPr>
        <w:t>On March 19, 2017, the Company entered into the Novartis Asset Purchase Agreement under which the Company agreed to sell and assign all of its right, title and interest in and to the patent rights, know-how and third-party license agreements relating to the Platform. In anticipation of the sale of such assets under the Novartis Asset Purchase Agreement, substantially all of the Company’s lab research activities have terminated. As a result, the Company determined to dispose of all of its lab equipment and initiated a program in March 2017 to locate a buyer and offer such equipment for sale at a current market price. The Company reclassified $386,000 of such equipment as available for sale on the balance sheet. The Company recorded an impairment charge in March 2017 of $102,000 based on the quoted market price from the sale of the assets, completed in early April 2017, which is included in operating expenses.</w:t>
      </w:r>
    </w:p>
    <w:p>
      <w:pPr>
        <w:spacing w:after="0" w:line="318"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 (in thousands):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1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5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CEEFF"/>
            </w:tcBorders>
          </w:tcPr>
          <w:p>
            <w:pPr>
              <w:spacing w:after="0"/>
              <w:rPr>
                <w:sz w:val="15"/>
                <w:szCs w:val="15"/>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shd w:val="clear" w:color="auto" w:fill="CCEEFF"/>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90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w:t>
            </w:r>
          </w:p>
        </w:tc>
        <w:tc>
          <w:tcPr>
            <w:tcW w:w="6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January 8, 2015, the Company entered into a loan and security agreement with Hercules to borrow up to $26.0 million (the “Hercules Loan Agreement”). The proceeds were used to repay the Company’s then-existing term loan facility and for general corporate and working capital purposes. On March 17, 2017, the Company entered into a payoff letter with Hercules pursuant to which the Company agreed to pay off and thereby terminate the Hercules Loan Agreement. Pursuant to the payoff letter, the Company paid, on March 20, 2017, a total of $12.4 million to Hercules, representing the principal, accrued and unpaid interest, fees, costs and expenses outstanding under the Hercules Loan Agreement in repayment of its outstanding obligations under the Hercules Loan Agreement. This payoff amount included a final end of term charge to Hercules in the amount of $1.4 million, representing 6.7% of the aggregate original principal amount advanced by Hercules. Upon the payment of $12.4 million pursuant to the payoff letter, all outstanding indebtedness and obligations owed to Hercules under the Loan Agreement were deemed paid in full, and the Loan Agreement was terminated. At December 31, 2016, the Company had $12.8 million outstanding under the Hercules Loan Agreement and had accrued $1.1 million of the end of term charge.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 at an exercise price of $6.05 per share. The warrant is exercisable for 171,901 shares of common stock. The warrant is exercisable until January 8, 2020. The Company estimated the fair value of the warrant for shares exercisable on the issue date in January 2015 to be $824,000. The value of the warrant was recorded as a discount to the loan and was being amortized to interest expense using the effective interest method over the term of the loan. The unamortized discount relating to the warrants, or $0.2 million, was expensed as interest expense upon repayment of the loan.</w:t>
      </w:r>
    </w:p>
    <w:p>
      <w:pPr>
        <w:spacing w:after="0" w:line="329"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In March 2014, the Company’s board of directors adopted and its stockholders approved the 2014 Stock Incentive Plan (the “2014 Plan”) and the 2014 Employee Stock Purchase Plan (the “ESPP”), which became effective in April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2014 Plan provides for the grant of incentive stock options, nonstatutory stock options, stock appreciation rights, restricted stock, restricted stock units and other stock-based awards. A summary of stock option activity for employee, director and nonemployee awards under all stock option plans during the three months ended March 31, 2017 is presented below (Aggregate Intrinsic Value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6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4,020,288</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1,479,450</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0.82</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(58,633)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4.21</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5,441,105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3.36</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March 31, 2017</w:t>
            </w: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color w:val="auto"/>
              </w:rPr>
              <w:t>5.03</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7"/>
              </w:rPr>
              <w:t>1,913,734</w:t>
            </w:r>
          </w:p>
        </w:tc>
        <w:tc>
          <w:tcPr>
            <w:tcW w:w="5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2017</w:t>
            </w:r>
          </w:p>
        </w:tc>
        <w:tc>
          <w:tcPr>
            <w:tcW w:w="7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7"/>
              </w:rPr>
              <w:t>4,956,695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3.56</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three months ended March 31, 2017 and 2016 was $0.61 and $1.70, respectively.</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and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the issuance of stock option awards to employees of $877,000 and $691,000 for the three months ended March 31, 2017 and 2016, respectively. The assumptions used in the Black-Scholes option-pricing model for stock options granted to employees and to directors in respect of board services during the three ended March 31, 2017 and 2016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29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98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r>
      <w:tr>
        <w:trPr>
          <w:trHeight w:val="21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years</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5.9-6.1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1.3%-1.9%</w:t>
            </w: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34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2980" w:type="dxa"/>
            <w:vAlign w:val="bottom"/>
          </w:tcPr>
          <w:p>
            <w:pPr>
              <w:spacing w:after="0"/>
              <w:rPr>
                <w:sz w:val="24"/>
                <w:szCs w:val="24"/>
                <w:color w:val="auto"/>
              </w:rPr>
            </w:pPr>
          </w:p>
        </w:tc>
        <w:tc>
          <w:tcPr>
            <w:tcW w:w="34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$29,000 and $38,000 for the three months ended March 31, 2017 and 2016, respectively. The compensation expense related to nonemployee awards is included in the total stock-based compensation each year and is subject to re-measurement until the options vest. The fair value of the grants is being expensed over the vesting period of the options on a straight-line basis as the services are being provided. The Black-Scholes assumptions used to estimate fair value for the three months ended March 31, 2017 and 2016 were as follows:</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4.6-9.8 years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6.9-9.7 years</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1.8%-2.4%</w:t>
            </w:r>
          </w:p>
        </w:tc>
        <w:tc>
          <w:tcPr>
            <w:tcW w:w="2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1.7%-2.0%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67%-117%</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60%-61%</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the Company granted nonemployee stock options to purchase 151,000 and of the Company’s common stock. The weighted-average exercise price and the weighted-average grant date fair value of nonemployee stock options granted for the three months ended March 31, 2017 was $0.82 per share and $0.75 per share, respectively. The Company did not grant any nonemployee stock options during the three months ended March 31, 2016.</w:t>
      </w:r>
    </w:p>
    <w:p>
      <w:pPr>
        <w:spacing w:after="0" w:line="180"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the Company extended the exercise period for all continuing employees’ stock options to two years beyond their termination date. These option modifications were accounted for in the quarter ended March 31, 2017, which resulted in an approximate $267,000 increase of stock-based compensation expense recognized for the quarter ended March 31, 2017.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the last day of the offering period, whichever is lower. Purchase dates under the ESPP occur on or about June 30 and December 31 of each year. The board of directors determined not to initiate a new offering period beginning January 1, 2017. The stock-based compensation expense related to the ESPP was $0 and $12,000 for the three months ended March 31, 2017 and 2016, respectively.</w:t>
      </w:r>
    </w:p>
    <w:p>
      <w:pPr>
        <w:spacing w:after="0" w:line="32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and debt obligations. The carrying amount of accounts payable and accrued expenses are considered a reasonable estimate of their fair value, due to the short-term maturity of these instruments. The carrying amount of debt is also considered to be a reasonable estimate of its fair value based on the short term nature of the debt and because the debt bears interest at the prevailing market rate for instruments with similar characteristics.</w:t>
      </w:r>
    </w:p>
    <w:p>
      <w:pPr>
        <w:spacing w:after="0" w:line="180"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(unadjusted) in active markets that are accessible at the market date for identical unrestricted assets or liabilities.</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jc w:val="center"/>
        <w:ind w:left="300" w:right="400"/>
        <w:spacing w:after="0" w:line="454"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 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March 31, 2017 and December 31, 2016, is as follows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4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620" w:type="dxa"/>
            <w:vAlign w:val="bottom"/>
          </w:tcPr>
          <w:p>
            <w:pPr>
              <w:spacing w:after="0"/>
              <w:rPr>
                <w:sz w:val="10"/>
                <w:szCs w:val="10"/>
                <w:color w:val="auto"/>
              </w:rPr>
            </w:pPr>
          </w:p>
        </w:tc>
        <w:tc>
          <w:tcPr>
            <w:tcW w:w="1360" w:type="dxa"/>
            <w:vAlign w:val="bottom"/>
            <w:gridSpan w:val="3"/>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620" w:type="dxa"/>
            <w:vAlign w:val="bottom"/>
          </w:tcPr>
          <w:p>
            <w:pPr>
              <w:spacing w:after="0"/>
              <w:rPr>
                <w:sz w:val="12"/>
                <w:szCs w:val="12"/>
                <w:color w:val="auto"/>
              </w:rPr>
            </w:pPr>
          </w:p>
        </w:tc>
        <w:tc>
          <w:tcPr>
            <w:tcW w:w="1360" w:type="dxa"/>
            <w:vAlign w:val="bottom"/>
            <w:gridSpan w:val="3"/>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March 31, 2017</w:t>
            </w:r>
          </w:p>
        </w:tc>
        <w:tc>
          <w:tcPr>
            <w:tcW w:w="19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$12,022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12,022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20" w:type="dxa"/>
            <w:vAlign w:val="bottom"/>
            <w:gridSpan w:val="3"/>
          </w:tcPr>
          <w:p>
            <w:pPr>
              <w:jc w:val="center"/>
              <w:ind w:left="1510"/>
              <w:spacing w:after="0"/>
              <w:rPr>
                <w:sz w:val="20"/>
                <w:szCs w:val="20"/>
                <w:color w:val="auto"/>
              </w:rPr>
            </w:pPr>
            <w:r>
              <w:rPr>
                <w:rFonts w:ascii="Times New Roman" w:cs="Times New Roman" w:eastAsia="Times New Roman" w:hAnsi="Times New Roman"/>
                <w:sz w:val="18"/>
                <w:szCs w:val="18"/>
                <w:color w:val="auto"/>
                <w:w w:val="99"/>
              </w:rPr>
              <w:t>$34,950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34,950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Company’s debt obligations are Level 2 measurements in the fair value hierarchy.</w:t>
      </w:r>
    </w:p>
    <w:p>
      <w:pPr>
        <w:spacing w:after="0" w:line="10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transfers between levels occurred during the periods presented.</w:t>
      </w:r>
    </w:p>
    <w:p>
      <w:pPr>
        <w:spacing w:after="0" w:line="248"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In October 2016, the Company entered into a research collaboration agreement with Novartis pursuant to which the Company granted to Novartis certain exclusive, world-wide licenses to the Company’s intellectual property relating to its platform technology and know-how. Under the collaboration, the Company and Novartis agreed to collaborate, over an initial research term of two years, with respect to the pre-clinical development of nanoparticle drug conjugates comprised of the Company’s proprietary polymer covalently linked to Novartis-selected active pharmaceutical ingredients for up to five targets to be agreed upon by the Company and Novartis. Novartis may extend the initial research term by up to two additional one-year periods. In October 2016, the Company received a $5.0 million upfront payment under the collaboration which it recognizes on a straight-line basis over the initial term of the collaboration. The Company also receives funding from Novartis for up to five full-time employees of the Company engaged in activities under the collaboration during the research term. For the three months ended March 31, 2017, the Company recognized revenue of $625,000 in connection with the upfront fee and $567,000 in connection with the funding for activities performed under the collaboration during the research term.</w:t>
      </w:r>
    </w:p>
    <w:p>
      <w:pPr>
        <w:spacing w:after="0" w:line="212"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March 19, 2017, the Company entered into retention agreements with certain key employees. These retention agreements supersede the provisions of such employees’ employment agreements and retention letters with the Company. The retention agreements provide for certain lump sum payments ranging from three to 18 months of salary, plus health and dental insurance coverage, while also providing the covered employees with a cash payment upon completion of a change in control. The Company paid $1.1 million in retention payments under the terms of the retention agreements on March 31, 2017, which is included in prepaid expense at March 31, 2017. Under the terms of the retention agreements, the retention payments are earned upon continued employment with the Company for the retention period of three or six months as specified in the retention agreements unless earlier released by the Company. In addition, under the terms of the retention agreements, the Company may be required to pay up to an additional $1.6 million of change in control and severance payments.</w:t>
      </w:r>
    </w:p>
    <w:p>
      <w:pPr>
        <w:spacing w:after="0" w:line="104"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On March 20, 2017, the Company announced a restructuring including the termination of approximately 58% of its workforce, from 19 full-time equivalent employees to a total of eight full-time equivalent employees, under a plan expected to be completed during the second quarter of 2017.</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We are an oncology-focused company applying our proprietary Dynamic Tumor Targeting™ Platform, or the Platform, to develop differentiated therapies. We were incorporated under the laws of the State of Delaware on November 28, 2005, under the name Tempo Pharmaceuticals, Inc. In October 2008, we changed our name to Cerulean Pharma Inc.</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February 1, 2017, we announced that our board of directors had initiated a review of strategic alternatives that could result in changes to our business strategy and future operations. As part of this process, our board determined to review alternatives with the goal of maximizing stockholder value, including a potential sale of the company, a reverse merger, a business combination or a sale, license or other disposition of company assets.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March 19, 2017, we entered into a stock purchase agreement, or the Stock Purchase Agreement, with Daré Bioscience, Inc., or Daré, and the holders of capital stock and securities convertible into capital stock of Daré named therein, or the Selling Stockholders, pursuant to which, among other things, the Selling Stockholders agreed to sell to us, and we agreed to purchase from the Selling Stockholders, all of the outstanding shares of capital stock, including those issuable upon conversion of convertible securities, of Daré. We refer to this transaction as the Daré Transaction. Immediately following the closing of the Daré Transaction, we expect that the Selling Stockholders will own between approximately 51% and 70% (depending on the respective net cash (as defined in the Stock Purchase Agreement) of us and Daré five business days prior to the closing) of the outstanding equity securities of Cerulean Pharma Inc. on a fully-diluted basis immediately following consummation of the Daré Transaction.</w:t>
      </w:r>
    </w:p>
    <w:p>
      <w:pPr>
        <w:spacing w:after="0" w:line="189"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Consummation of the Daré Transaction is subject to certain closing conditions, including, among others, (1) approval of the issuance of the shares of our common stock in the Daré Transaction by our stockholders in accordance with applicable NASDAQ Stock Market, Inc., or NASDAQ, rules, which (assuming a quorum is present) require the affirmative vote of a majority of the shares of our common stock, present in person or represented by proxy and entitled to vote on the subject matter (excluding broker non-votes and abstentions), (2) the absence of any order, executive order, stay, decree, judgment or injunction or statute, rule or regulation that makes the consummation of the Daré Transaction illegal, or otherwise prohibits the consummation of the Daré Transaction, and (3) the approval of the NASDAQ Initial Listing Application—For Companies Conducting a Business Combination that Results in a Change of Control with respect to the shares of our common stock to be issued in connection with the Daré Transaction. Each party’s obligation to consummate the Daré Transaction is also subject to other specified customary conditions, including (1) the representations and warranties of the other party (with Daré and the Selling Stockholders being considered together for such purposes) being true and correct as of the date of the Stock Purchase Agreement and as of the closing date of the Daré Transaction, generally subject to an overall material adverse effect qualification, and (2) the performance in all material respects by the other party (with Daré and the Selling Stockholders being considered together for such purposes) of its obligations under the Stock Purchase Agreement. The Stock Purchase Agreement contains certain termination rights for both us and Daré, and further provides that, upon termination of the Stock Purchase Agreement under specified circumstances, we may be required to pay Daré a termination fee of $0.3 million, or Daré may be required to pay us a termination fee of $0.45 million. There can be no assurances that the Daré Transaction will be consummated.</w:t>
      </w:r>
    </w:p>
    <w:p>
      <w:pPr>
        <w:spacing w:after="0" w:line="199" w:lineRule="exact"/>
        <w:rPr>
          <w:sz w:val="20"/>
          <w:szCs w:val="20"/>
          <w:color w:val="auto"/>
        </w:rPr>
      </w:pPr>
    </w:p>
    <w:p>
      <w:pPr>
        <w:ind w:right="420" w:firstLine="456"/>
        <w:spacing w:after="0" w:line="261" w:lineRule="auto"/>
        <w:rPr>
          <w:sz w:val="20"/>
          <w:szCs w:val="20"/>
          <w:color w:val="auto"/>
        </w:rPr>
      </w:pPr>
      <w:r>
        <w:rPr>
          <w:rFonts w:ascii="Times New Roman" w:cs="Times New Roman" w:eastAsia="Times New Roman" w:hAnsi="Times New Roman"/>
          <w:sz w:val="18"/>
          <w:szCs w:val="18"/>
          <w:color w:val="auto"/>
        </w:rPr>
        <w:t>On March 19, 2017, we also entered into an asset purchase agreement, or the Novartis Asset Purchase Agreement, with Novartis Institutes for BioMedical Research, Inc., or Novartis. Under the Novartis Asset Purchase Agreement, we agreed to sell and assign to Novartis all of our right, title and interest in and to the patent rights, know-how and third-party license agreements relating to the Platform. We refer to this transaction as the Novartis Transaction. At the closing of the Novartis Transaction, Novartis will be obligated to pay us a purchase price of $6.0 million.</w:t>
      </w:r>
    </w:p>
    <w:p>
      <w:pPr>
        <w:spacing w:after="0" w:line="180" w:lineRule="exact"/>
        <w:rPr>
          <w:sz w:val="20"/>
          <w:szCs w:val="20"/>
          <w:color w:val="auto"/>
        </w:rPr>
      </w:pPr>
    </w:p>
    <w:p>
      <w:pPr>
        <w:ind w:right="40" w:firstLine="456"/>
        <w:spacing w:after="0" w:line="270" w:lineRule="auto"/>
        <w:rPr>
          <w:sz w:val="20"/>
          <w:szCs w:val="20"/>
          <w:color w:val="auto"/>
        </w:rPr>
      </w:pPr>
      <w:r>
        <w:rPr>
          <w:rFonts w:ascii="Times New Roman" w:cs="Times New Roman" w:eastAsia="Times New Roman" w:hAnsi="Times New Roman"/>
          <w:sz w:val="17"/>
          <w:szCs w:val="17"/>
          <w:color w:val="auto"/>
        </w:rPr>
        <w:t>Consummation of the Novartis Transaction is subject to us obtaining, pursuant to Delaware law, the approval of the holders of at least a majority of our common stock for the sale of substantially all of our assets in the Novartis Transaction. Each party’s obligation to consummate the Novartis Transaction is also subject to other specified customary closing conditions, including (1) the representations and warranties of the other party being true and correct as of the closing date of the Novartis Transaction, generally subject in the case of Novartis’ representations and warranties to an overall materiality qualification, and</w:t>
      </w:r>
    </w:p>
    <w:p>
      <w:pPr>
        <w:spacing w:after="0" w:line="3" w:lineRule="exact"/>
        <w:rPr>
          <w:sz w:val="20"/>
          <w:szCs w:val="20"/>
          <w:color w:val="auto"/>
        </w:rPr>
      </w:pPr>
    </w:p>
    <w:p>
      <w:pPr>
        <w:ind w:right="560" w:firstLine="8"/>
        <w:spacing w:after="0" w:line="261"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by the other party of its obligations under the Novartis Asset Purchase Agreement, including in our case by obtaining all necessary corporate and third-party consents. There can be no assurances that the Novartis Transaction will be consummated.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March 19, 2017, we also entered into an Asset Purchase Agreement with BlueLink Pharmaceuticals, Inc., or BlueLink, a subsidiary of NewLink Genetics Corporation. We refer to this as the BlueLink Asset Purchase Agreement. Under the BlueLink Asset Purchase Agreement we sold and assigned to BlueLink all of our right, title and interest in and to our clinical product candidates CRLX101 and CRLX301, or the Products. We also transferred and assigned to BlueLink the accompanying intellectual property rights and know-how to the Products. On March 21, 2017, BlueLink paid the purchase price of $1.5 million. Also in connection with the BlueLink Asset Purchase Agreement, we and BlueLink entered into a license agreement in favor of BlueLink, pursuant to which we agreed to grant to BlueLink an exclusive, worldwide, perpetual, sublicensable right and license, under the Platform, to research, develop and commercialize the Products. Pursuant to the Novartis Asset Purchase Agreement, Novartis will assume this license agreement upon the closing of the Novartis Transaction.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refer to the Daré Transaction, the Novartis Transaction and the BlueLink Asset Purchase Agreement as the 2017 Strategic Transactions.</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On March 17, 2017, we entered into a payoff letter with Hercules Capital, Inc. (formerly known as Hercules Technology Growth Capital, Inc.), or Hercules, pursuant to which we agreed to pay off and thereby terminate our Loan and Security Agreement dated as of January 8, 2015, or the Hercules Loan Agreement, with Hercules as lender. Pursuant to the payoff letter, we paid, on March 20, 2017, a total of $12.4 million to Hercules, representing the principal, accrued and unpaid interest, fees, costs and expenses outstanding under the Hercules Loan Agreement in repayment of our outstanding obligations under the Hercules Loan Agreement. This payoff amount included a final end of term charge to Hercules in the amount of $1.4 million, representing 6.7% of the aggregate original principal amount advanced by Hercules. Upon the payment of the $12.4 million pursuant to the payoff letter, all outstanding indebtedness and obligations to Hercules under the Hercules Loan Agreement were deemed paid in full, and the Hercules Loan Agreement was terminated.</w:t>
      </w:r>
    </w:p>
    <w:p>
      <w:pPr>
        <w:spacing w:after="0" w:line="189"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On March 20, 2017, we announced a restructuring including the elimination of approximately 58% of our workforce, from 19 full-time equivalent employees to a total of eight full-time equivalent employees, under a plan expected to be completed during the second quarter of 2017.</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Platform is designed to create nanoparticle-drug conjugates, or NDCs, with the aim of providing safer and more effective therapies for patients living with cancer. NDCs consist of anti-cancer therapeutics, or payloads, covalently linked to a proprietary polymer. An important goal for all drugs is to maximize the net clinical benefit by increasing the desired therapeutic effect while reducing adverse effects. This is especially difficult with drugs used to treat cancer, where the goal is to destroy or inhibit growth of cancer cells without damaging healthy cells. We believe NDCs concentrate their anti-cancer payloads inside tumor cells while sparing normal tissue because they are small enough to pass through the leaky pores of new blood vessels in tumors as an entry portal into tumor tissue, but are too large to pass through the pores of healthy blood vessels. Once inside tumors, we believe NDCs are actively taken up into tumor cells where they slowly release their anti-cancer payloads, providing a durable inhibition of their targets.</w:t>
      </w:r>
    </w:p>
    <w:p>
      <w:pPr>
        <w:spacing w:after="0" w:line="18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Based on their properties and design, NDCs have the potential to enable synergistic combination therapies that can offer better tolerability and efficacy. We believe that better tolerability can be achieved through the preferential accumulation of the NDC in the tumor cells while better efficacy can be achieved by combining drugs that have different and complementary mechanisms of action. Cancer is a multi-faceted disease that is rarely adequately addressed by one therapy. Tumor cells are genetically diverse and can rapidly resist and ultimately overcome a single-agent therapy by modulating various adaptive pathways; however, if multiple drugs simultaneously shut down multiple adaptive pathways, there is a greater chance of achieving favorable disease responses for an extended period of time.</w:t>
      </w:r>
    </w:p>
    <w:p>
      <w:pPr>
        <w:spacing w:after="0" w:line="188"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 Platform generated two clinical-stage NDCs. The first clinical candidate generated by the Platform, CRLX101, is an NDC with a camptothecin payload. Camptothecin is a potent topoisomerase 1, or topo 1, inhibitor that was too toxic to develop in the clinic; however, CRLX101 reduces the toxicities associated with this highly potent agent, while increasing the payload concentration in tumors. The second clinical candidate generated by the Platform, CRLX301, is an NDC with a docetaxel payload. Docetaxel is a commercially successful oncology drug that suffers from significant toxicities. We sold both clinical candidates to BlueLink on March 19, 2017.</w:t>
      </w:r>
    </w:p>
    <w:p>
      <w:pPr>
        <w:spacing w:after="0" w:line="184"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In August 2016, we announced top-line results from our Phase 2, randomized, multi-center clinical trial of CRLX101 in combination with Avastin in the treatment of patients with advanced renal cell carcinoma, or RCC. We refer to this trial as the RCC Trial. The RCC Trial was conducted at 43 sites in the United States and South Korea, and enrolled 115 patients with RCC who progressed through two or three prior lines of therapy. Patients were randomized to receive CRLX101 in combination with Avastin or investigator’s choice standard of care, or SOC, therapy. The primary endpoint was progression free survival, or PFS, in the clear cell population assessed by independent radiological review. Secondary endpoints included overall response rate, duration of response and overall survival. The study demonstrated no statistically significant difference in median PFS and objective response rate for the CRLX101 and Avastin combination compared to SOC. The CRLX101 and Avastin combination appeared to be safe and well-tolerated and the safety and tolerability profile of the combination was consistent with that observed in previous studies. We presented the full data set from the RCC Trial at the Fifteenth International Kidney Cancer Symposium in November 2016. Based on these top-line results, we submitted a letter to the United States Food and Drug Administration, or FDA, voluntarily surrendering the Fast Track Designation in metastatic RCC we received in April 2015. We discontinued development of CRLX101 in this indication.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Following the announcement of the RCC Trial data we announced in August 2016 that our board of directors approved a plan to reduce the size of our workforce by approximately 48% to a total of 23 full-time equivalent employees. The workforce reduction, which was substantially completed in December 2016, was designed to reduce our operating expenses while we conducted a review of development options for CRLX101. As of March 31, 2017, we had 18 full-time employees.</w:t>
      </w:r>
    </w:p>
    <w:p>
      <w:pPr>
        <w:spacing w:after="0" w:line="99"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In October 2016, we entered into a research collaboration agreement with Novartis. Under the collaboration agreement, we agreed to create NDC candidates using the Platform and Novartis-selected active pharmaceutical ingredients, and Novartis agreed to be responsible for the development and commercialization of NDC products resulting from the collaborative research efforts. The initial research term of the collaboration agreement is two years which may be extended for up to two additional one-year terms. We received a $5.0 million upfront payment under the collaboration agreement, and are entitled to receive additional research, development, regulatory and sales milestone payments, as well as royalties on net sales of any NDC product commercialized by Novartis. In addition, we are entitled to receive funding for up to five full-time employees to be engaged in activities under the collaboration during the research term. If the Novartis Transaction is consummated, this collaboration agreement will be superseded by the Novartis Asset Purchase Agreement.</w:t>
      </w:r>
    </w:p>
    <w:p>
      <w:pPr>
        <w:spacing w:after="0" w:line="91"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To date, we have devoted substantially all of our resources to our drug discovery and development efforts, including conducting clinical trials of the Products (which we sold in March 2017 to BlueLink), protecting our intellectual property and the general and administrative support of our operations. We have generated no revenue from product sales and do not expect to generate any revenue from product sales for the next several years, if ever. Through March 31, 2017, we have funded our operations primarily through $84.2 million in proceeds from the sale of shares of our convertible preferred stock in private placements, net proceeds of $59.9 million from sales of shares of our common stock in our initial public offering, or IPO, net proceeds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$37.2 million from the sale of shares of our common stock in April 2015 in an underwritten public offering, $17.3 million in proceeds from our sale of convertible promissory notes, $10.0 million in proceeds from a loan and security agreement with Lighthouse Capital Partners VI, L.P., or Lighthouse Capital, and $21.0 million in proceeds from the Hercules Loan Agreement. We refer to our loan and security agreement with Lighthouse Capital as the Lighthouse Loan Agreement. In October 2016, we entered into a common stock purchase agreement with Aspire Capital Fund, LLC, or Aspire, for a $20.0 million firm commitment at-the-market equity facility, which we refer to as the ATM. In connection with entry into the ATM, Aspire made an initial $1.0 million investment and we have not made any other sales to date under the ATM.</w:t>
      </w:r>
    </w:p>
    <w:p>
      <w:pPr>
        <w:spacing w:after="0" w:line="9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March 31, 2017, we had an accumulated deficit of $207.0 million. We incurred net losses of $6.3 million and $13.5 million for the three months ended March 31, 2017 and 2016, respectively. With the sale of our two clinical product candidates, the proposed sale of our Platform, and the reduction of staff to eight full-time employees, we have effectively ceased prior clinical research and are focused on maintaining our assets until they are either sold or our corporate business strategy with Daré, as described above, is executed, we complete any other strategic transactions, we determine to continue to operate the Platform or we otherwise decide to liquidate our assets or dissolve.</w:t>
      </w:r>
    </w:p>
    <w:p>
      <w:pPr>
        <w:spacing w:after="0" w:line="107"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Our net losses may fluctuate significantly from quarter to quarter and from year to year. Based on our 2017 operating plan and our estimates as of the date of this Quarterly Report on Form 10-Q regarding our rate of cash expenditures, we estimate that our cash and cash equivalents as of June 30, 2017, assuming we have not consummated either the Novartis Transaction or the Daré Transaction, will be between $4 million and $6 million. If we do not consummate the Novartis Transaction and/or the Daré Transaction, we will need to raise additional capital in the future to support our expenses and operating activities. If we are unable to obtain additional funding on a timely basis, we may be required to curtail or terminate research activities under our collaboration agreement with Novartis, or to scale back, suspend or terminate our business operations. In the event that the Daré Transaction does not close, our board of directors may elect to, among other things, dissolve the company and liquidate its assets whether under Title 7 or Title 11 of the United States Code or otherwise. If our board of directors decides to dissolve and liquidate our assets, we would be required to pay all of our debts and contractual obligations, and to set aside certain reserves for potential future claims, prior to any distribution to stockholders. There can be no assurances as to the amount or timing of available cash left to distribute to our stockholders, if any, after we pay our debts and other obligations and set aside funds for reserves. We expect that the amount of cash left, if any, to distribute to our stockholders would be materially less than the expected cash and cash equivalents amounts set forth herein as of June 30, 2017.</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8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Beginning in the fourth quarter of 2016 we have generated revenue from research and development payments under our collaboration agreement with Novartis. Prior to the fourth quarter of 2016, our only revenue was attributable to a government tax credit that we received in 2010 and payments in each of the years from 2011 through 2014 from four material transfer agreements and a research agreement.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45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product candidates. If we fail to complete the development of product candidates in a timely manner or to obtain regulatory approval for such product candidates, our ability to generate future revenue and our results of operations and financial position would be materially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reflected on our financial statements consists of costs incurred in connection with the discovery and development of the Platform and the NDCs. These expenses consist primarily of:</w:t>
      </w:r>
    </w:p>
    <w:p>
      <w:pPr>
        <w:spacing w:after="0" w:line="67"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30" w:lineRule="exact"/>
        <w:rPr>
          <w:rFonts w:ascii="Times New Roman" w:cs="Times New Roman" w:eastAsia="Times New Roman" w:hAnsi="Times New Roman"/>
          <w:sz w:val="18"/>
          <w:szCs w:val="18"/>
          <w:color w:val="auto"/>
        </w:rPr>
      </w:pPr>
    </w:p>
    <w:p>
      <w:pPr>
        <w:ind w:left="900" w:right="64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scientific and medical consultants and advisors;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manufacturing and distributing clinical trial materials;</w:t>
      </w:r>
    </w:p>
    <w:p>
      <w:pPr>
        <w:spacing w:after="0" w:line="130"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and clinical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products and technology;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regulatory approvals.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has been central to our business model for the periods covered by this Quarterly Report on Form 10-Q. Product candidates in late stages of clinical development generally have higher development costs than those in earlier stages of clinical development primarily due to the increased size and duration of late-stage clinical trials. We expect our research and development expenses will decrease for 2017 compared to prior years.</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have used our employee and infrastructure resources across multiple research and development programs. The following summarizes the programs for which we have incurred the most significant research and development expense.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 and CRLX301</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CRLX101 was our lead product candidate until March 2017. There are two ongoing clinical trials of CRLX101 in this indication: (1) a Phase 1b/2 company-sponsored trial of CRLX101 in combination with weekly paclitaxel in patients with relapsed ovarian cancer in collaboration with GOG Foundation, Inc. (formerly known as the Gynecologic Oncology Group); and (2) a Phase 2 Investigator Sponsored Trial, or IST, exploring CRLX101 as monotherapy and in combination with Avastin in patients with relapsed ovarian cancer, conducted by Massachusetts General Hospital and affiliated Harvard University teaching hospitals.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Additional trials involving CRLX101 are also ongoing, including (1) a Phase 1/2 clinical trial sponsored by the National Cancer Institute, evaluating the combination of CRLX101 and LYNPARZA™ (olaparib) in patients with advanced solid tumors, and (2) a Phase 1b company-sponsored trial exploring a dose-intensive schedule for CRLX101 in patients with solid tumors, which includes an arm exploring weekly CRLX101 in combination with a chemotherapy regimen known as FOLFOX in solid tumor patients.</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CRLX301 was our second product candidate until March 2017. CRLX301 is currently being evaluated in a Phase 1/2a trial in patients with advanced solid tumor malignancies in order to establish the safety of the drug and the maximum tolerated dose for two dosing schedules.</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March 2017, we sold and assigned to BlueLink all of our right, title and interest in and to CRLX101 and CRLX301. As a result, we will not incur additional research and development expenses with respect to these programs in future periods.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Platform</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If the Novartis Transaction is not consummated, our board of directors decides to continue to operate the Platform, and if we are able to raise additional funds, we would expect that the expenses related to our NDCs and the development of the Platform would increase in 2017 as compared to 2016 as we would focus on research, development and strategic collaborations with new partners and we would need additional staffing to operate the Platform. We cannot accurately predict future research and development expenses for NDCs because such costs are dependent on a number of variables, including the success of potential future collaborations and preclinical studies of any such NDC. If the Novartis Transaction is consummated, we expect that we would not incur any significant expenses related to the Platform in future periods.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we continue operating the Platform, the successful development of any NDC, whether by us or a future collaborator, would be highly uncertain. As such, at this time, we cannot reasonably predict with certainty the duration and costs of the current or future preclinical studies or clinical trials of any NDC or if, when or to what extent we will generate revenues from any commercialization and sale of any of NDCs that obtain marketing approval. We or any potential collaborator may never succeed in achieving regulatory approval for any NDCs. The duration, costs and timing of development of NDCs will depend on a variety of factors, including:</w:t>
      </w:r>
    </w:p>
    <w:p>
      <w:pPr>
        <w:spacing w:after="0" w:line="89" w:lineRule="exact"/>
        <w:rPr>
          <w:sz w:val="20"/>
          <w:szCs w:val="20"/>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future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any product candidate once approved;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NDCs and conducting preclinical and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any future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in the United States and abroad;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or approval of NDCs in the United States and abroad;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as and when needed;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suppliers of raw materials and third party manufacturers of finished drug product;</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any collaborator, to manufacture, market, commercialize and achieve market acceptance for any NDCs that we or such collaborator may develop in the future;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30"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and maintaining, enforcing and defending intellectual property-related claims.</w:t>
      </w:r>
    </w:p>
    <w:p>
      <w:pPr>
        <w:spacing w:after="0" w:line="162"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an NDC could mean a significant change in the cost and timing associated with the development of that NDC. For example, if the FDA, or a comparable non-U.S. regulatory authority were to require us or a collaborator to conduct clinical trials beyond those anticipated to be required for the marketing authorization of an NDC, or if significant delays in enrollment in any clinical trial occur, significant additional financial resources and time may be necessary to obtain marketing authorization.</w:t>
      </w:r>
    </w:p>
    <w:p>
      <w:pPr>
        <w:spacing w:after="0" w:line="180" w:lineRule="exact"/>
        <w:rPr>
          <w:sz w:val="20"/>
          <w:szCs w:val="20"/>
          <w:color w:val="auto"/>
        </w:rPr>
      </w:pPr>
    </w:p>
    <w:p>
      <w:pPr>
        <w:ind w:right="220" w:firstLine="456"/>
        <w:spacing w:after="0" w:line="277" w:lineRule="auto"/>
        <w:rPr>
          <w:sz w:val="20"/>
          <w:szCs w:val="20"/>
          <w:color w:val="auto"/>
        </w:rPr>
      </w:pPr>
      <w:r>
        <w:rPr>
          <w:rFonts w:ascii="Times New Roman" w:cs="Times New Roman" w:eastAsia="Times New Roman" w:hAnsi="Times New Roman"/>
          <w:sz w:val="17"/>
          <w:szCs w:val="17"/>
          <w:color w:val="auto"/>
        </w:rPr>
        <w:t>As a result of the uncertainties discussed above, we are unable to determine when, or to what extent, we will generate revenues from the commercialization and sale of any NDC either on our own or as part of a collaboration. We anticipate that, if the Novartis Transaction is not consummated, we will make determinations as to which additional programs to pursue, if any, and how much funding to direct to each program on an ongoing basis in response to the scientific and clinical data with respect to each NDC, our then-current financial condition, agreements with collaborators, and ongoing assessment of the NDCs’ commercial potential. We will need to raise additional capital in the future in order to fund the development of any NDCs.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 We expect that our general and administrative expenses will decrease for 2017 as compared to 2016 as a result of our reduction in force and other cost control measures.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the Hercules Loan Agreement. Interest expense also includes the write off of debt discount and deferred financing costs associated with the repayment of the Hercules Loan Agreement in March 2017. We expect that our interest expense will decrease for 2017 as compared to 2016 as a result of our repayment in full of all amounts outstanding under, and termination of, the Hercules Loan Agreement in March 2017.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2017 and 2016 (Unaudited)</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March 31, 2017 and 2016, together with the changes in those items in dollars and as a percentage (in thousands, except percentages):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20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202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8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$ 1,192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$ 1,192</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9,770</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(5,119)</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3,118</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469</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(1,500)</w:t>
            </w:r>
          </w:p>
        </w:tc>
        <w:tc>
          <w:tcPr>
            <w:tcW w:w="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(12,888)</w:t>
            </w:r>
          </w:p>
        </w:tc>
        <w:tc>
          <w:tcPr>
            <w:tcW w:w="4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4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(654)</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(139)</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(6,339</w:t>
            </w:r>
          </w:p>
        </w:tc>
        <w:tc>
          <w:tcPr>
            <w:tcW w:w="3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(13,542</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$ 7,203</w:t>
            </w:r>
          </w:p>
        </w:tc>
        <w:tc>
          <w:tcPr>
            <w:tcW w:w="4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three months ended March 31, 2017 was $4.7 million compared to $9.8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three months ended March 31, 2016, a decrease of $5.1 million, or 52%. The decrease in research and development expenses is primarily attributable to a decrease of $3.9 million in external expenses, $0.9 million in salary and benefits expenses, and $0.3 million in operating supplies and expense. The decrease in external expenses is primarily attributable to a decrease of $2.7 million in chemistry, manufacturing, and controls, or CMC, expenses combined with a decrease of $1.1 million associated with ongoing clinical trials. The decrease in CMC expenses is attributable to the absence of manufacturing activities in the first quarter of 2017 compared to increased activity in the first quarter of 2016 to support then-ongoing and future clinical development. The decrease in clinical trials expenses reflects the decrease in clinical activity as we wind down clinical operations.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three months ended March 31, 2017, was $3.6 million compared to</w:t>
      </w:r>
    </w:p>
    <w:p>
      <w:pPr>
        <w:spacing w:after="0" w:line="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$3.1 million for the three months ended March 31, 2016, an increase of $0.5 million, or 15%. The increase in general and administrative costs was attributable to an increase in legal expenses of $1.1 million primarily associated with the 2017 Strategic Transactions. The increase in legal expenses was partially offset by a decrease in salary and benefits expenses of $0.4 million, and a decrease in other general and administrative costs of $0.2 million reflecting a reduction in head count and general cost cutting measures.</w:t>
      </w:r>
    </w:p>
    <w:p>
      <w:pPr>
        <w:spacing w:after="0" w:line="182"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Gain on sale of asset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 on asset sale reflects the proceeds from the sale of the Products to BlueLink for which there was no corresponding value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balance sheet. Under the BlueLink Asset Purchase Agreement we sold and assigned to BlueLink all of our right, title and interest in and to the Products. We also transferred and assigned to BlueLink the accompanying intellectual property rights and know-how to the Products.</w:t>
      </w:r>
    </w:p>
    <w:p>
      <w:pPr>
        <w:spacing w:after="0" w:line="171"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net. </w:t>
      </w:r>
      <w:r>
        <w:rPr>
          <w:rFonts w:ascii="Times New Roman" w:cs="Times New Roman" w:eastAsia="Times New Roman" w:hAnsi="Times New Roman"/>
          <w:sz w:val="18"/>
          <w:szCs w:val="18"/>
          <w:color w:val="auto"/>
        </w:rPr>
        <w:t>Other expense, net was $0.8 million for the three months ended March 31, 2017 compared to $0.7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2016, an increase of $0.1 million or 21%. For the three months ended March 31, 2017 other expense, net, was primarily interest expense associated with repayment of the Hercules Loan Agreement. Interest expense associated with the repayment of the Hercules Loan Agreement includes $0.2 million interest paid, $0.4 million for the remaining balance accrued for the end of term charge and $0.2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million for the write-off of the unamortized balance of debt discount and deferred financing charges. For the three months ended March 31, 2016 other expense, net, was primarily interest expense associated with the Hercules Loan Agreement, including $0.3 million for the amortization of debt discount and deferred financing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From our incorporation through March 31, 2017, we raised an aggregate of $236.6 million to fund our operations, of which $84.2 million was from the sale of preferred stock in private placements, $59.9 million was from the IPO, $37.2 million was from our follow-on offering in April 2015, $17.3 million was from the sale of convertible promissory notes, $31.0 million was from borrowings under loan and security agreements, $1.0 million was from the private placement of our common stock to Hercules, $1.0 million was from the initial purchase by Aspire under the ATM and $5.0 million was from the upfront payment under the collaboration agreement with Novartis. As of March 31, 2017, we had cash and cash equivalents of $12.0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19"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Hercules Loan Agreement. </w:t>
      </w:r>
      <w:r>
        <w:rPr>
          <w:rFonts w:ascii="Times New Roman" w:cs="Times New Roman" w:eastAsia="Times New Roman" w:hAnsi="Times New Roman"/>
          <w:sz w:val="18"/>
          <w:szCs w:val="18"/>
          <w:color w:val="auto"/>
        </w:rPr>
        <w:t>On January 8, 2015, we entered into the Hercules Loan Agreement and borrowed $15.0 million from Hercules. We 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those proceeds to repay our outstanding indebtedness under the Lighthouse Loan Agreement. The Hercules Loan Agreement provided for up to three separate tranches of borrowings, the first of which was funded in the amount of $15.0 million on January 8, 2015. On November 24, 2015, we drew a second tranche in the amount of $6.0 million.</w:t>
      </w:r>
    </w:p>
    <w:p>
      <w:pPr>
        <w:spacing w:after="0" w:line="18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indebtedness under the Hercules Loan Agreement was scheduled to mature on July 1, 2018. Each advance under the Hercules Loan Agreement accrued interest at a floating per annum rate equal to the greater of (i) 7.30% or (ii) the sum of 7.30% plus the prime rate minus 5.75%. The Hercules Loan Agreement provided for interest-only payments on a monthly basis until December 31, 2015. Thereafter, payments were payable monthly in equal installments of principal and interest to fully amortize the outstanding principal over the remaining term of the loan, subject to recalculation upon a change in the prime rate. At the end of the loan term (whether at maturity, by prepayment in full or otherwise), we were required to pay a final end-of-term charge to Hercules in the amount of 6.7% of the aggregate original principal amount advanced by Hercules.</w:t>
      </w:r>
    </w:p>
    <w:p>
      <w:pPr>
        <w:spacing w:after="0" w:line="18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On March 17, 2017, we agreed with Hercules that Hercules would consent to the sale of assets to BlueLink, pursuant to the BlueLink Asset Purchase Agreement, and that Cerulean would repay Hercules in full. On March 20, 2017, we paid $12.4 million to Hercules, representing the principal, accrued and unpaid interest, fees, costs and expenses outstanding under the Hercules Loan Agreement in full repayment of our outstanding obligations under the Hercules Loan Agreement which was terminated. There were no prepayment charges associated with the early repayment of the loan.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primary uses of capital are compensation and related expenses, clinical trial costs, contract manufacturing services, third-party clinical research and development services, laboratory and related supplies, legal and other regulatory expenses and general overhead costs.</w:t>
      </w:r>
    </w:p>
    <w:p>
      <w:pPr>
        <w:spacing w:after="0" w:line="162" w:lineRule="exact"/>
        <w:rPr>
          <w:sz w:val="20"/>
          <w:szCs w:val="20"/>
          <w:color w:val="auto"/>
        </w:rPr>
      </w:pPr>
    </w:p>
    <w:p>
      <w:pPr>
        <w:ind w:right="60" w:firstLine="456"/>
        <w:spacing w:after="0" w:line="269" w:lineRule="auto"/>
        <w:rPr>
          <w:sz w:val="20"/>
          <w:szCs w:val="20"/>
          <w:color w:val="auto"/>
        </w:rPr>
      </w:pPr>
      <w:r>
        <w:rPr>
          <w:rFonts w:ascii="Times New Roman" w:cs="Times New Roman" w:eastAsia="Times New Roman" w:hAnsi="Times New Roman"/>
          <w:sz w:val="17"/>
          <w:szCs w:val="17"/>
          <w:color w:val="auto"/>
        </w:rPr>
        <w:t>As of March 31, 2017, we had cash and cash equivalents of $12.0 million. We have no other sources of significant liquidity in place as of March 31, 2017. Based on our 2017 operating plan and our estimates as of the date of this Quarterly Report on Form 10-Q regarding our rate of cash expenditures, we estimate that our cash and cash equivalents as of June 30, 2017, assuming we have not consummated the transactions contemplated under either the Novartis Transaction or the Daré Transaction, will be between $4 million and $6 million. If we are unable to obtain additional funding on a timely basis, we may be required to curtail or terminate research activities under our collaboration agreement with Novartis, or to scale back, suspend or terminate our business operations. In the event that the Daré Transaction does not close, our board of directors may elect to, among other things, dissolve the company and liquidate its assets whether under Title 7 or Title 11 of the United States Code or otherwise. If our board of directors decides to dissolve and liquidate our assets, we would be required to pay all of our debts and contractual obligations, and to set aside certain reserves for potential future claims, prior to any distribution to stockholders. There can be no assurances as to the amount or timing of available cash left to distribute to our stockholders, if any, after we pay our debts and other obligations and set aside funds for reserves. Based on our 2017 operating plan and its estimates as of the date of filing of this periodic report on Form 10-Q regarding our rate of cash expenditures and the closing date of the Daré Transaction, we estimate that our Net Cash (as defined in the Stock Purchase Agreement) at the time of closing the Daré Transaction, which will be used to calculate the ownership interest of our stockholders, will be between $2.5 million and $4 million if the Novartis Transaction is not consummated and between $8.5 million and $10 million if the Novartis Transaction is consummated.</w:t>
      </w:r>
    </w:p>
    <w:p>
      <w:pPr>
        <w:spacing w:after="0" w:line="177"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May 5, 2017, NASDAQ notified us that we were not in compliance with the $1.00 minimum bid price because the minimum bid price of our common stock fell below $1.00 for 30 consecutive business days. We have been provided an initial period of 180 calendar days, or until November 1, 2017, to regain compliance with the listing requirements. If, at any time before November 1, 2017, the bid price for our common stock closes at $1.00 or more for a minimum of 10 consecutive business days we may be eligible to regain compliance with the minimum bid requirement. There is no guarantee that we will be able to continue complying with the minimum bid price rule or other NASDAQ Global Market requirements. Delisting from the NASDAQ Global Market could reduce the visibility, liquidity and price of our common stock, and make it more difficult for us to raise additional capital.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we are able to consummate the Daré Transaction and/or the Novartis Transaction;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NDCs we or any collaborators pursue;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NDCs, and conducting preclinical studies and clinical trials;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NDCs in the United States and abroad;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NDCs for which we or a collaborator receive marketing approval;</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NDCs for which we or a collaborator receive marketing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Identifying potential NDCs and conducting preclinical testing and clinical trials is a time-consuming, expensive and uncertain process that takes years to complete, and we may never generate the necessary data or results required to obtain regulatory approval and achieve product sales. In addition, our NDCs,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any product development or future commercialization efforts or grant rights to develop and market product candidates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1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(14,422)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460" w:type="dxa"/>
            <w:vAlign w:val="bottom"/>
          </w:tcPr>
          <w:p>
            <w:pPr>
              <w:jc w:val="right"/>
              <w:ind w:right="38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use of cash in each period resulted primarily from our net losses adjusted for non-cash charges and changes in components of working capital.</w:t>
      </w:r>
    </w:p>
    <w:p>
      <w:pPr>
        <w:spacing w:after="0" w:line="22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2017, cash used in operating activities consisted of our net loss of $6.3 million, net cash used in changes in our operating assets and liabilities of $3.2 million and the non-cash adjustment for the gain on sale of asset of $1.5 million, partially offset by net non-cash charges of $1.0 million. Our net non-cash charges during the period consisted primarily of stock-based compensation expense and amortization of debt discount and deferred financing costs offset by deferred revenue. Cash used in changes in our operating assets and liabilities consisted of a decrease in accounts payable and accrued expenses of $1.9 million and an increase in accounts receivable and prepaid expenses of $1.3 million.</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2016, cash used in operating activities consisted of our net loss of $13.5 million and net cash used in changes in our operating assets and liabilities of $0.8 million. Our net non-cash charges during the period consisted primarily of stock-based compensation expense. Cash used in changes in our operating assets and liabilities consisted of a net decrease in accounts payable and accrued expenses of $0.6 million, and an increase in accounts receivable, prepaid expenses and other current assets of $0.2 million.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net cash provided by investing activities was attributable to proceeds of $1.5 million from the sale of assets under the BlueLink Asset Purchase Agreement.</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2016, net cash used in investing activities was primarily attributable to purchases of property and equipment of $0.4 million partially offset by cash proceeds of $0.1 million from a decrease in restricted cash used to collateralize a stand-by letter of credit issued as a security deposit on our former facility lease.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net cash used in financing activities was primarily attributable to principal payments of $13.1 million reflecting payment in full of the principal balance and $1.4 million for the end of term charge due under the Hercules loan Agreement.</w:t>
      </w:r>
    </w:p>
    <w:p>
      <w:pPr>
        <w:spacing w:after="0" w:line="162"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net cash used in financing activities was primarily attributable to principal payments of $1.9 million under the Hercules Loan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2017, there were no material changes, outside of the ordinary course of business, in our outstanding contractual obligations from those disclosed in our Annual Report on Form 10-K for the fiscal year ended December 31, 2016.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2017, we had cash and cash equivalents, including restricted cash, of $12.0 million, consisting primarily of investments in money market funds and certificates of deposit. Our primary exposure to market risk is interest rate sensitivity, which is affected by changes in the general level of U.S.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disclosures.</w:t>
      </w:r>
    </w:p>
    <w:p>
      <w:pPr>
        <w:spacing w:after="0" w:line="185"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March 31, 2017.</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2017, that has materially affected, or is reasonably likely to materially affect, our internal control over financial reporting.</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240" w:top="455"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Proposed Transaction with Novartis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transaction with Novartis may not be consummated or may not deliver the anticipated benefits we expect.</w:t>
      </w:r>
    </w:p>
    <w:p>
      <w:pPr>
        <w:spacing w:after="0" w:line="22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 part of our board of directors’ review of strategic alternatives, in March 2017, we entered into an asset purchase agreement, or the Novartis Asset Purchase Agreement, with Novartis, pursuant to which, among other things, we agreed to sell the Platform to Novartis. We refer to this transaction as the Novartis Transaction. Consummation of the Novartis Transaction is subject to us obtaining, pursuant to Delaware law, the approval of the holders of at least a majority of our common stock for the sale of substantially all of our assets in the Novartis Transaction. At the closing of the Novartis Transaction Novartis will be obligated to pay a purchase price of $6.0 million</w:t>
      </w:r>
    </w:p>
    <w:p>
      <w:pPr>
        <w:spacing w:after="0" w:line="18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devoting a significant proportion of our time and resources to consummating the Novartis Transaction, however, there can be no assurance that such activities will result in the consummation of this transaction. Consummation of the Novartis Transaction is subject to us obtaining, pursuant to Delaware law, the approval of the holders of at least a majority of our common stock for the sale of substantially all of our assets in the Novartis Transaction. Each party’s obligation to consummate the Novartis Transaction is also subject to other specified customary conditions, including (1) the representations and warranties of the other party being true and correct as of the closing date of the Novartis Transaction, generally subject in the case of Novartis’ representations and warranties to an overall materiality qualification, and (2) the performance in all material respects by the other party of its obligations under the Novartis Asset Purchase Agreement, including in our case by obtaining all necessary corporate and third-party consents. In the event that any of these closing conditions is not satisfied, we may not be able to consummate the Novartis Transaction. In addition, even if we are able to consummate the Novartis Transaction, such transaction may not deliver the benefits we anticipate or enhance stockholder value.</w:t>
      </w:r>
    </w:p>
    <w:p>
      <w:pPr>
        <w:spacing w:after="0" w:line="185"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litigation filed against us could prevent or delay the completion of the Novartis Transaction or result in the payment of damages following completion of the Novartis Transaction.</w:t>
      </w:r>
    </w:p>
    <w:p>
      <w:pPr>
        <w:spacing w:after="0" w:line="15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and members of our board of directors or executive officers may in the future be parties, among others, to claims and litigation related to the Novartis Transaction, including putative stockholder class actions. Among other remedies, the plaintiffs in such matters could seek to enjoin the Novartis Transaction. The results of complex legal proceedings are difficult to predict, and could delay or prevent the Novartis Transaction from being completed in a timely manner or at all. In addition, the existence or threat of litigation relating to the Novartis Transaction could impact the likelihood of obtaining approval from our stockholders of the Novartis Transaction. Moreover, any future litigation could be time consuming and expensive, could divert our attention away from regular business, and, if any potential lawsuit is adversely resolved, could have a material adverse effect on our results of operations and financial condition.</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One of the conditions to the closing of the Novartis Transaction is that the consummation of the Novartis Transaction not violate any applicable national, supranational, federal, state, local, or foreign law, statute, ordinance, principle of common law, or any rule, regulation, standard, judgment, order, writ, injunction, decree, arbitration award, agency requirement, license, or permit of any governmental authority. Consequently, if a settlement or other resolution is not reached in any potential lawsuit and the plaintiffs secure injunctive or other relief prohibiting, delaying or otherwise adversely affecting Novartis’ and/or our ability to complete the Novartis Transaction, such injunctive or other relief may prevent the Novartis Transaction from being completed in a timely manner, or at all.</w:t>
      </w:r>
    </w:p>
    <w:p>
      <w:pPr>
        <w:spacing w:after="0" w:line="184"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Novartis Transaction, whether or not consummated, may adversely affect the trading price of our common stock and our business prospects.</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announcement and pendency of the Novartis Transaction, whether or not consummated, may adversely affect the trading price of our common stock and our business prospects. For example, the closing price of our common stock as reported by NASDAQ Global Market on March 17, 2017, prior to our announcement of the Daré Transaction, was $3.32 per share, and the closing price of our common stock as reported by the NASDAQ Global Market on May 8, 2017 was $0.46 per share. This decline may be attributable in part to such announcement. In the event that the Novartis Transaction is not completed, the announcement of the termination of the Novartis Asset Purchase Agreement may also adversely affect the trading price of our common stock and our business prospects.</w:t>
      </w:r>
    </w:p>
    <w:p>
      <w:pPr>
        <w:sectPr>
          <w:pgSz w:w="11900" w:h="16838" w:orient="portrait"/>
          <w:cols w:equalWidth="0" w:num="1">
            <w:col w:w="11400"/>
          </w:cols>
          <w:pgMar w:left="240" w:top="455" w:right="25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consummate the Novartis Transaction could harm our common stock price and our future business and operations.</w:t>
      </w:r>
    </w:p>
    <w:p>
      <w:pPr>
        <w:spacing w:after="0" w:line="22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Novartis Transaction will not be consummated if the conditions precedent to the consummation of the transaction are not satisfied or waived, or if the Novartis Asset Purchase Agreement is terminated in accordance with its terms. If the Novartis Transaction is not consummated, the price of our common stock may decline and remain volatile. Additionally, if the Novartis Transaction is not consummated, our ability to consummate the Daré Transaction could be put at risk or, in the event we are nonetheless able to consummate the Daré Transaction, our stockholders may own less of the resulting company after consummation of the Daré Transaction.</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Furthermore, if the Novartis Transaction does not close for any reason, our board of directors may elect to, among other things, attempt to complete another strategic transaction, attempt to sell or otherwise dispose of the Platform, attempt to continue the currently existing research collaboration with Novartis, seek to continue to operate the Platform or dissolve our company and liquidate our assets. If we seek another strategic transaction or attempt to sell or otherwise dispose of the Platform, there is no assurance that we will be able to do so, that the terms would be equal to or superior to the terms of the Novartis Transaction or as to the timing of such transaction. If we attempt to continue the currently existing research collaboration with Novartis, Novartis may elect to exercise its termination rights thereunder. If we decide to dissolve and liquidate our assets, we would be required to pay all of our debts and contractual obligations, and to set aside certain reserves for potential future claims, and there can be no assurance as to the amount or timing of available cash left to distribute to stockholders after paying our debts and other obligations and setting aside funds for reserves.</w:t>
      </w:r>
    </w:p>
    <w:p>
      <w:pPr>
        <w:spacing w:after="0" w:line="18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were to seek to continue to operate the Platform, we would need to determine whether and how to continue discovery and research programs. We would also need to raise funds to support continued operations, which we may be unable to do in a timely fashion, upon attractive terms, or at all, and re-assess our workforce requirements in consideration of our previously announced reduction in force.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Proposed Transaction with Daré</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transaction with Daré may not be consummated or may not deliver the anticipated benefits we expect.</w:t>
      </w:r>
    </w:p>
    <w:p>
      <w:pPr>
        <w:spacing w:after="0" w:line="22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February 1, 2017, we announced that our board of directors had initiated a review of strategic alternatives that could result in changes to our business strategy and future operations. As part of this process, our board determined to review alternatives with the goal of maximizing stockholder value, including potentially a sale of the company, a reverse merger, a business combination or a sale, license or other disposition of company assets, and liquidation of our company. As part of this process, in March 2017, we entered into a stock purchase agreement, or the Stock Purchase Agreement, with Daré Bioscience, Inc., or Daré, and the holders of capital stock and securities convertible into capital stock of Daré named therein, or the Selling Stockholders, pursuant to which, among other things, the Selling Stockholders agreed to sell to us, and we agreed to purchase from the Selling Stockholders, all of the outstanding shares of capital stock, including those issuable upon conversion of convertible securities, of Daré. We refer to this transaction as the Daré Transaction. Subject to the terms and conditions of the Stock Purchase Agreement, at the closing of the Daré Transaction, the Selling Stockholders will collectively receive a number of shares of Cerulean common stock equal to the product of the number of shares of Daré stock held by such Selling Stockholder multiplied by an exchange ratio calculated based on the relative valuations of each of Daré and Cerulean at the closing of the Daré Transaction. Also in connection with the Daré Transaction, Cerulean will assume the (i) outstanding stock option awards of Daré, and (ii) outstanding warrants of Daré, each of which will be adjusted to reflect the exchange ratio for the Daré Transaction. Immediately following the closing of the Daré Transaction, we expect that the Selling Stockholders will own between approximately 51% and 70% (depending on the respective net cash (as defined in the Stock Purchase Agreement) of us and Daré five business days prior to the closing) of the outstanding equity securities of Cerulean Pharma Inc. on a fully-diluted basis immediately following consummation of the Daré Transaction.</w:t>
      </w:r>
    </w:p>
    <w:p>
      <w:pPr>
        <w:spacing w:after="0" w:line="197" w:lineRule="exact"/>
        <w:rPr>
          <w:sz w:val="20"/>
          <w:szCs w:val="20"/>
          <w:color w:val="auto"/>
        </w:rPr>
      </w:pPr>
    </w:p>
    <w:p>
      <w:pPr>
        <w:ind w:right="420" w:firstLine="456"/>
        <w:spacing w:after="0" w:line="276" w:lineRule="auto"/>
        <w:rPr>
          <w:sz w:val="20"/>
          <w:szCs w:val="20"/>
          <w:color w:val="auto"/>
        </w:rPr>
      </w:pPr>
      <w:r>
        <w:rPr>
          <w:rFonts w:ascii="Times New Roman" w:cs="Times New Roman" w:eastAsia="Times New Roman" w:hAnsi="Times New Roman"/>
          <w:sz w:val="17"/>
          <w:szCs w:val="17"/>
          <w:color w:val="auto"/>
        </w:rPr>
        <w:t>We are devoting a significant proportion of our time and resources to consummating this transaction, however, there can be no assurance that such activities will result in such consummation. Consummation of the Daré Transaction is subject to certain closing conditions, including, among others,</w:t>
      </w:r>
    </w:p>
    <w:p>
      <w:pPr>
        <w:spacing w:after="0" w:line="1" w:lineRule="exact"/>
        <w:rPr>
          <w:sz w:val="20"/>
          <w:szCs w:val="20"/>
          <w:color w:val="auto"/>
        </w:rPr>
      </w:pPr>
    </w:p>
    <w:p>
      <w:pPr>
        <w:ind w:right="80" w:firstLine="8"/>
        <w:spacing w:after="0" w:line="252"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issuance of the shares of our common stock in the Daré Transaction by our stockholders in accordance with applicable NASDAQ Stock Market, Inc., or NASDAQ, rules, which (assuming a quorum is present) require the affirmative vote of a majority of the shares of our common stock, present in person or represented by proxy and entitled to vote on the subject matter (excluding broker non-votes and abstentions); (2) the absence of any order, executive order, stay, decree, judgment or injunction or statute, rule or regulation that makes the consummation of the Daré Transaction illegal, or otherwise prohibits the consummation of the Daré Transaction, and (3) the approval of the NASDAQ Initial Listing Application—For Companies Conducting a Business Combination that Results in a Change of Control with respect to the shares of our common stock to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 issued in connection with the Daré Transaction. Approval of the NASDAQ Initial Listing Application in particular will require the company, on a combined basis post-Daré Transaction, to meet certain listing criteria, including a minimum market value of publicly held shares, a minimum bid price and a minimum amount of public held shares, some of which are outside our control. Each party’s obligation to consummate the Daré Transaction is also subject to other specified customary conditions, including (1) the representations and warranties of the other party (with Daré and the Selling Stockholders being considered together for such purposes) being true and correct as of the date of the Stock Purchase Agreement and as of the closing date of the Daré Transaction, generally subject to an overall material adverse effect qualification, and (2) the performance in all material respects by the other party (with Daré and the Selling Stockholders being considered together for such purposes) of its obligations under the Stock Purchase Agreement. In the event that any of these closing conditions is not satisfied or waived, we may not be able to consummate the Daré Transaction. In addition, even if we are able to consummate the Daré Transaction, such transaction may not deliver the benefits we anticipate or enhance stockholder value. If the Daré Transaction is consummated following the waiver by Daré or us of any of these closing conditions, the Daré Transaction may not deliver the benefits satisfaction of such closing condition would have for our stockholders.</w:t>
      </w:r>
    </w:p>
    <w:p>
      <w:pPr>
        <w:spacing w:after="0" w:line="189"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Stock Purchase Agreement may discourage third parties from submitting alternative acquisition proposals, including proposals that may be superior to the arrangements contemplated by the Stock Purchase Agreement.</w:t>
      </w:r>
    </w:p>
    <w:p>
      <w:pPr>
        <w:spacing w:after="0" w:line="159"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terms of the Stock Purchase Agreement prohibit each of us and Daré from soliciting alternative takeover proposals or cooperating with persons making unsolicited takeover proposals, except in limited circumstances, including when such party’s board of directors determines in good faith that an unsolicited alternative takeover proposal is a superior takeover proposal and is reasonably capable of being consummated. In addition, if the Stock Purchase Agreement is terminated by us or Daré under certain circumstances, including because of a decision of our board of directors to recommend a superior proposal, we would be required to pay a termination fee of $300,000 to Daré. This termination fee may discourage third parties from submitting alternative takeover proposals to us or our stockholders, and may cause our board of directors to be less inclined to recommend an alternative proposal.</w:t>
      </w:r>
    </w:p>
    <w:p>
      <w:pPr>
        <w:spacing w:after="0" w:line="184"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litigation could prevent or delay the completion of the Daré Transaction or result in the payment of damages following completion of the Daré Transaction.</w:t>
      </w:r>
    </w:p>
    <w:p>
      <w:pPr>
        <w:spacing w:after="0" w:line="15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and members of our board of directors or executive officers may in the future be parties, among others, to claims and litigation related to the Daré Transaction, including putative stockholder class actions. Among other remedies, the plaintiffs in such matters could seek to enjoin the Daré Transaction. The results of complex legal proceedings are difficult to predict, and could delay or prevent the Daré Transaction from being completed in a timely manner or at all. In addition, the existence or threat of litigation relating to the Daré Transaction could impact the likelihood of obtaining approval from our stockholders of the Daré Transaction. Moreover, any future litigation could be time consuming and expensive, could divert our attention away from regular business, and, if any potential lawsuit is adversely resolved, could have a material adverse effect on our results of operations and financial condition.</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One of the conditions to the closing of the Daré Transaction is that no applicable governmental entity shall have enacted, issued, promulgated, enforced or entered any order, executive order, stay, decree, judgment or injunction (preliminary or permanent) or statute, rule or regulation which is in effect and which has the effect of making the Daré Transaction illegal or otherwise prohibiting consummation of the Daré Transaction. Consequently, if a settlement or other resolution is not reached in any potential lawsuit and the plaintiffs secure injunctive or other relief prohibiting, delaying or otherwise adversely affecting Daré’s and/or our ability to complete the Daré Transaction, such injunctive or other relief may prevent the Daré Transaction from being completed in a timely manner, or at all.</w:t>
      </w:r>
    </w:p>
    <w:p>
      <w:pPr>
        <w:spacing w:after="0" w:line="184"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Daré Transaction, whether or not consummated, may adversely affect the trading price of our common stock and our business prospects.</w:t>
      </w:r>
    </w:p>
    <w:p>
      <w:pPr>
        <w:spacing w:after="0" w:line="15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announcement and pendency of the Daré Transaction, whether or not consummated, may adversely affect the trading price of our common stock and our business prospects. For example, the closing price of our common stock as reported by NASDAQ Global Market on March 17, 2017, prior to our announcement of the Daré Transaction, was $3.32 per share, and the closing price of our common stock as reported by the NASDAQ Global Market on May 8, 2017 was $0.46 per share. This decline may be attributable in part to such announcement. In the event that the Daré Transaction is not completed, the announcement of the termination of the Stock Purchase Agreement may also adversely affect the trading price of our common stock and our business prospects.</w:t>
      </w:r>
    </w:p>
    <w:p>
      <w:pPr>
        <w:spacing w:after="0" w:line="184"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consummate the Daré Transaction may result in us paying a termination fee to Daré and could harm our common stock price and our future business and operations.</w:t>
      </w:r>
    </w:p>
    <w:p>
      <w:pPr>
        <w:spacing w:after="0" w:line="159"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Daré Transaction will not be consummated if the conditions precedent to the consummation of the transaction are not satisfied or waived, or if the Stock Purchase Agreement is terminated in accordance with its terms. If the Daré Transaction is not consummated, we are subject to the following risks, among others:</w:t>
      </w:r>
    </w:p>
    <w:p>
      <w:pPr>
        <w:spacing w:after="0" w:line="82"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Purchase Agreement is terminated under certain circumstances, we will be required to pay Daré a termination fee of $300,000;</w:t>
      </w:r>
    </w:p>
    <w:p>
      <w:pPr>
        <w:sectPr>
          <w:pgSz w:w="11900" w:h="16838" w:orient="portrait"/>
          <w:cols w:equalWidth="0" w:num="1">
            <w:col w:w="11400"/>
          </w:cols>
          <w:pgMar w:left="240" w:top="455"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type w:val="continuous"/>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may decline and remain volatile; and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insufficient assets to continue operating our business or remain solvent and could be forced to dissolve our company and liquidate our assets to pursue a dissolution and liquidation.</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Daré Transaction does not close for any reason, our board of directors may elect to, among other things, attempt to complete another strategic transaction, attempt to sell or otherwise dispose of our various assets or dissolve our company and liquidate our assets. If we seek another strategic transaction or attempt to sell or otherwise dispose of our various assets, there is no assurance that we will be able to do so, that the terms would be equal to or superior to the terms of the Daré Transaction or as to the timing of such transaction. If we decide to dissolve and liquidate our assets, we would be required to pay all of our debts and contractual obligations, and to set aside certain reserves for potential future claims, and there can be no assurance as to the amount or timing of available cash left to distribute to stockholders after paying our debts and other obligations and setting aside funds for reserves.</w:t>
      </w:r>
    </w:p>
    <w:p>
      <w:pPr>
        <w:spacing w:after="0" w:line="184"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consummate the transaction with Daré, our board of directors may dissolve our company and liquidate our assets to pursue a dissolution and liquidation. In such an event, the amount of cash available for distribution to our stockholders will depend heavily on the timing of such transaction or liquidation.</w:t>
      </w:r>
    </w:p>
    <w:p>
      <w:pPr>
        <w:spacing w:after="0" w:line="175" w:lineRule="exact"/>
        <w:rPr>
          <w:sz w:val="20"/>
          <w:szCs w:val="20"/>
          <w:color w:val="auto"/>
        </w:rPr>
      </w:pPr>
    </w:p>
    <w:p>
      <w:pPr>
        <w:jc w:val="both"/>
        <w:ind w:right="160" w:firstLine="456"/>
        <w:spacing w:after="0" w:line="258" w:lineRule="auto"/>
        <w:rPr>
          <w:sz w:val="20"/>
          <w:szCs w:val="20"/>
          <w:color w:val="auto"/>
        </w:rPr>
      </w:pPr>
      <w:r>
        <w:rPr>
          <w:rFonts w:ascii="Times New Roman" w:cs="Times New Roman" w:eastAsia="Times New Roman" w:hAnsi="Times New Roman"/>
          <w:sz w:val="18"/>
          <w:szCs w:val="18"/>
          <w:color w:val="auto"/>
        </w:rPr>
        <w:t>If the Daré Transaction does not close for any reason, our board of directors may elect to, among other things, dissolve our company. If we decide to dissolve, whether under the Bankruptcy Code or otherwise, we would be required to pay all of our debts and contractual obligations, and to set aside certain reserves for potential future claims, prior to any distribution to stockholders. There can be no assurances as to the amount or timing of available cash left to distribute to stockholders, if any, after paying our debts and other obligations and setting aside funds for reserves. If the Cerulean Board decides to pursue a case under the Bankruptcy Code, it will not be required to seek stockholder approval for the commencement of such a case.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event of a dissolution, the amount of cash available for distribution to our stockholders, if any, will depend heavily on the timing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and any related transaction or liquidation, since the amount of cash available for distribution continues to decrease as we fund our operations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preparation for the consummation of the Daré Transaction. In addition, the amount of cash available for distribution in the event of a dissolution will heavily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 on whether we consummate the sale of our Dynamic Tumor Targeting platform technology, or the Platform, to Novartis Institutes of BioMedical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Inc., or Novartis, in connection with which we would receive a $6.0 million purchase price. Further, the Stock Purchase Agreement contains certain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rights for each party, and provides that, upon termination under specified circumstances, we may be required to pay Daré a termination fee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 which would further decrease our available cash resources. If our board of directors were to approve and recommend, and our stockholders were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 a dissolution under Delaware corporate law, we would be required to pay our outstanding obligations, as well as to make reasonable provision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and unknown obligations, prior to making any distributions in liquidation to our stockholders. A similar requirement would apply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of the company under the Bankruptcy Code. Our commitments and contingent liabilities may include (i) regulatory and clinical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under our clinical trials; (ii) obligations under our employment and retention agreements with certain employees; and (iii) potential litigation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us, and other various claims and legal actions arising in the ordinary course of business. As a result of this requirement, a portion of our assets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 to be reserved pending the resolution of such obligations. In addition, we may be subject to litigation or other claims related to a dissolution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liquidation of our company. If a dissolution were pursued, our board of directors, in consultation with our advisors, would need to evaluate these matters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a determination about a reasonable amount to reserve for contingent and unknown obligations. Accordingly, holders of our common stock could lose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 significant portion of their investment in the event of our, whether under the Bankruptcy Code or otherwise. In the event that we were to pursue a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Chapter 7 of the Bankruptcy Code, a Chapter 7 trustee would be appointed for us and that trustee would displace our board of directors with respect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regarding our dissolution and any related transaction or liquidation, but the same requirements regarding payment of and provision for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any distributions to stockholders, would apply in that context as well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 Without Consummation of the Daré Transaction and/or the Novartis Transaction.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3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research and development programs or commercialization efforts.</w:t>
      </w:r>
    </w:p>
    <w:p>
      <w:pPr>
        <w:spacing w:after="0" w:line="15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to fund any continued research or development programs using the Platform. As a result of our reduction in force and other cost control measures, we expect our expenses to decrease in the short term. In the future, however, we expect that our expenses may increase in connection with our ongoing activities, particularly if we continue research and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development and initiate any clinical trials of, and seek regulatory approval for nanoparticle-drug conjugates, or NDCs generated through use of the Platform. In addition, if we obtain regulatory approval for any of our NDCs, we expect to incur significant commercialization expenses related to product manufacturing, marketing, sales and distribution. In particular, the costs that may be required for the manufacture of any NDC that receives marketing approval may be substantial, and manufacturing our NDCs for commercial sale will require expensive and specialized facilities, processes and materials. Accordingly we will need to obtain substantial additional funding to advance the research and development of any NDC and to fund our continuing operations. We may be unable to raise capital when needed or on attractive terms, and if so we could be forced to delay, reduce or eliminate any research and development programs.</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October 2016, we entered into a common stock purchase agreement with Aspire Capital Fund, LLC, or Aspire, pursuant to which Cerulean has the right to sell certain amounts of its common stock, up to an aggregate total of $20.0 million of our common stock, over a 24-month period, at prices based on a formula linked to current market prices at the time of each sale. We refer to this as the ATM. In connection with entry into the ATM, we issued 700,000 shares of our common stock to Aspire as a commitment fee, and sold 800,000 shares of our common stock at $1.25 per share, for an initial amount of $1.0 million. Up to $19.0 million remains available under the ATM, upon the terms and subject to the conditions and limitations set forth therein. While we have the right to determine the amounts and timing of sales of common stock to Aspire under the ATM, these rights are subject to certain limits and restrictions. These limits and restrictions include limits on the number of shares we can sell to Aspire on any one trading day, as well as stock price trading price restrictions, which prohibit us from making certain sales to Aspire on any trading day on which the closing sale price of our common stock is below $0.50 per share and from making any sales to Aspire on any trading on which the closing sale price is less than $0.25 per share. Accordingly, we may not be able to sell shares under the agreement at prices that we deem acceptable, and there can be no assurance that we will be able to sell the remaining $19.0 million of common stock contemplated under the ATM.</w:t>
      </w:r>
    </w:p>
    <w:p>
      <w:pPr>
        <w:spacing w:after="0" w:line="19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of March 31, 2017, we had cash and cash equivalents of $12.0 million. We have no other sources of significant liquidity in place as of March 31, 2017. Based on our 2017 operating plan and our estimates as of the date of this Quarterly Report on Form 10-Q regarding our rate of cash expenditures, we estimate that our cash and cash equivalents as of June 30, 2017, assuming we have not consummated the transactions contemplated under either the Novartis Transaction or the Daré Transaction, will be between $4 million and $6 million. In the event that the Daré Transaction does not close, our board of directors may elect to, among other things, dissolve the company and liquidate our assets whether under Title 7 or Title 11 of the United States Code or otherwise. If our board of directors decides to dissolve the company and liquidate its assets, we would be required to pay all of our debts and contractual obligations, and to set aside certain reserves for potential future claims, prior to any distribution to stockholders. There can be no assurances as to the amount or timing of available cash left to distribute to our stockholders, if any, after we pay our debts and other obligations and set aside funds for reserves. We expect that the amount of cash left, if any, to distribute to our stockholders would be materially less than the expected cash and cash equivalents amounts set forth herein as of June 30, 2017.</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NDCs we or any collaborators pursue;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NDCs, and conducting preclinical studies and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NDCs in the United States and abroad;</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NDCs for which we or a collaborator receive marketing approval;</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NDCs for which we or a collaborator receive marketing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approval and achieve product sales. In addition, any product candidates we may choose to develop, if approved, may not achieve commercial success. Our commercial revenues, if any, would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76"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license and development agreements with collaboration partners or other sources.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any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Any future indebtedness could adversely affect our ability to operate our business.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Any future indebtedness, combined with current and future financial obligations and contractual commitments, could have significant adverse consequences, including:</w:t>
      </w:r>
    </w:p>
    <w:p>
      <w:pPr>
        <w:spacing w:after="0" w:line="67" w:lineRule="exact"/>
        <w:rPr>
          <w:sz w:val="20"/>
          <w:szCs w:val="20"/>
          <w:color w:val="auto"/>
        </w:rPr>
      </w:pPr>
    </w:p>
    <w:p>
      <w:pPr>
        <w:ind w:left="900" w:right="400" w:hanging="446"/>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225"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Failure to make payments or comply with other covenants under any future debt instruments could result in an event of default and acceleration of amounts due. If an event of default occurs and any future lenders to us accelerate the amounts due, we may not be able to make accelerated payments, and such future lenders could seek to enforce security interests in the collateral securing such indebtedness, which could include all or substantially all of our assets.</w:t>
      </w:r>
    </w:p>
    <w:p>
      <w:pPr>
        <w:spacing w:after="0" w:line="176"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March 31, 2017, we had an accumulated deficit of $207.0 million. We do not know whether or when we will become profitable. We have not generated any revenues to date from product sales and have financed our operations primarily through public offerings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95" w:lineRule="exact"/>
        <w:rPr>
          <w:sz w:val="20"/>
          <w:szCs w:val="20"/>
          <w:color w:val="auto"/>
        </w:rPr>
      </w:pPr>
    </w:p>
    <w:p>
      <w:pPr>
        <w:ind w:left="5620" w:right="4600" w:hanging="5166"/>
        <w:spacing w:after="0" w:line="454" w:lineRule="auto"/>
        <w:tabs>
          <w:tab w:leader="none" w:pos="8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or start any new discovery and research programs utilizing the Platform; 25</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embark on new preclinical and clinical development of any NDC generated from the Platform;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corresponding manufacturing, shipping and storage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NDC that successfully completes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establish a sales, marketing and distribution infrastructure in the United States;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external manufacturing capabilities to commercialize any NDC for which we may obtain regulatory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and/or incur severance costs associated with the termination of employment of any existing personnel.</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product candidates. This will require us to be successful in a range of challenging activities, including discovering product candidates, completing preclinical testing and clinical trials of product candidates obtaining regulatory approval for these product candidates, manufacturing, marketing and selling any products for which we may obtain regulatory approval, satisfying any post-marketing requirements and obtaining reimbursement for products from private insurance or government payors. We have not yet commenced most of these activities. We may never succeed in these activities and, even if we do, may never generate revenues that are significant enough to achieve profitability.</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or other regulatory authorities to perform studies in addition to those we may expect to conduct, or if there are any delays in completing our clinical trials or the development of any of any product candidates we may choose to develop, our expenses could increase.</w:t>
      </w:r>
    </w:p>
    <w:p>
      <w:pPr>
        <w:spacing w:after="0" w:line="184"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even continue our operations. A decline in the value of our company could cause our stockholders to lose all or part of their investment.</w:t>
      </w:r>
    </w:p>
    <w:p>
      <w:pPr>
        <w:spacing w:after="0" w:line="176" w:lineRule="exact"/>
        <w:rPr>
          <w:sz w:val="20"/>
          <w:szCs w:val="20"/>
          <w:color w:val="auto"/>
        </w:rPr>
      </w:pPr>
    </w:p>
    <w:p>
      <w:pPr>
        <w:ind w:right="6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managing our staffing, developing and securing our technology, raising capital and undertaking preclinical studies and clinical trials of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product candidates we may choose to develop,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Product Candidates</w:t>
      </w:r>
    </w:p>
    <w:p>
      <w:pPr>
        <w:spacing w:after="0" w:line="117" w:lineRule="exact"/>
        <w:rPr>
          <w:sz w:val="20"/>
          <w:szCs w:val="20"/>
          <w:color w:val="auto"/>
        </w:rPr>
      </w:pPr>
    </w:p>
    <w:p>
      <w:pPr>
        <w:ind w:right="1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the Platform is unproven, and we do not know whether we will be able to develop any products of commercial value.</w:t>
      </w:r>
    </w:p>
    <w:p>
      <w:pPr>
        <w:spacing w:after="0" w:line="15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Platform has the potential to create drugs that may have significant utility in several indications, particularly in combination with other therapies. While the results of preclinical studies and early-stage clinical trials have suggested that certain of our previous product candidates may have such utility, we have not yet succeeded and may not succeed in demonstrating efficacy and safety for any product candidate in later stage clinical trials or in obtaining marketing approval thereafter. For example, we have not yet advanced a compound beyond Phase 2 clinical development. Moreover, the product candidate known as CRLX101, which we sold to BlueLink Pharmaceuticals, Inc. in March 2017, failed to meet its primary endpoint in two randomized Phase 2 trials: a Phase 2 clinical trial of single agent CRLX101 in advanced non-small cell lung cancer, or NSCLC, for patients who had progressed through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one or two prior regimens of chemotherapy, and a Phase 2 clinical trial of CRLX101 combined with Avastin (bevacizumab) in relapsed renal cell carcinoma, or relapsed RCC, in patients who had progressed through two or three prior therapies. We refer to this latter trial as our RCC Trial.</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 (doxorubicin hydrochloride liposome injection), Abraxane® (nab-paclitaxel), Onivyde™ (irinotecan liposomal injection) and Marqibo® (vincristine sulfate liposome injection),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18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have a lead product candidate. If we are unable to identify a product candidate to advance through research and development efforts, our business would be materially harmed.</w:t>
      </w:r>
    </w:p>
    <w:p>
      <w:pPr>
        <w:spacing w:after="0" w:line="15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sale of CRLX101 and CRLX301 to BlueLink Pharmaceuticals, Inc., a wholly owned subsidiary of NewLink Genetics Corporation in March 2017, we currently have no product candidates suitable for advancing into clinical trials. If the Novartis Transaction is not consummated, and our board decides to continue operating our business based on the Platform, we will need to evaluate our NDCs to determine which, if any, are ready to move further into preclinical and clinical development. If in such event we determine that the Platform has not generated any NDCs worthy of development, our business would be materially harmed.</w:t>
      </w:r>
    </w:p>
    <w:p>
      <w:pPr>
        <w:spacing w:after="0" w:line="180"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any product candidates that we may choose to develop if we are unable to locate and enroll a sufficient number of eligible patients to participate in clinical trials. Patient enrollment is a significant factor in the timing of clinical trials, and is affected by many factors, including:</w:t>
      </w:r>
    </w:p>
    <w:p>
      <w:pPr>
        <w:spacing w:after="0" w:line="82"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serious adverse events that occur in the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sites;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engagement with, or enthusiasm about,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initiating or expanding trials with sites outside the United States;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trials; and</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any product candidates we may choose to develop, delay or halt the development of and approval processes for product candidates and jeopardize our ability to achieve clinical development timeline and goals, including the dates by which we will commence, complete and receive results from clinical trials. Enrollment delays may also delay or jeopardize our ability to commence sales and generate revenues from product candidates. Any of the foregoing could cause the value of our company to decline and limit our ability to obtain additional financing, if and when needed.</w:t>
      </w:r>
    </w:p>
    <w:p>
      <w:pPr>
        <w:spacing w:after="0" w:line="184" w:lineRule="exact"/>
        <w:rPr>
          <w:sz w:val="20"/>
          <w:szCs w:val="20"/>
          <w:color w:val="auto"/>
        </w:rPr>
      </w:pPr>
    </w:p>
    <w:p>
      <w:pPr>
        <w:ind w:right="5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may require more extensive or expensive trials for our combination product candidates than may be required for single agent pharmaceuticals.</w:t>
      </w:r>
    </w:p>
    <w:p>
      <w:pPr>
        <w:spacing w:after="0" w:line="15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To obtain regulatory approval for a combination product candidate, the FDA typically requires an applicant to show that each active ingredient in an investigational combination drug candidate makes a contribution to the combined investigational drug</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candidate’s claimed effects and that the dosage of each component, including amount, frequency and duration, is such that the combination is safe and effective for a significant patient population requiring such concurrent therapy. This could require us to conduct more extensive and more expensive clinical trials than would be the case for a single agent pharmaceutical. As a result, the need to conduct such trials could make it more difficult and costly for us to obtain regulatory approval of combination drug product candidate than of a new drug containing only a single active pharmaceutical ingredient.</w:t>
      </w:r>
    </w:p>
    <w:p>
      <w:pPr>
        <w:spacing w:after="0" w:line="176" w:lineRule="exact"/>
        <w:rPr>
          <w:sz w:val="20"/>
          <w:szCs w:val="20"/>
          <w:color w:val="auto"/>
        </w:rPr>
      </w:pPr>
    </w:p>
    <w:p>
      <w:pPr>
        <w:ind w:right="180" w:firstLine="45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an uncertain outcome. We may incur unexpected costs or experience delays in completing, or ultimately be unable to complete, the development and commercialization of any product candidates we may choose to develop.</w:t>
      </w:r>
    </w:p>
    <w:p>
      <w:pPr>
        <w:spacing w:after="0" w:line="13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It is impossible to predict when or if any product candidate that we may choose to develop will prove effective or safe in humans or will receive regulatory approval. Before obtaining marketing approval from regulatory authorities for the sale of any product candidate, we would be required to complete preclinical development and then conduct extensive clinical trials to demonstrate the safety and efficacy of the product candidates in humans. Clinical testing is expensive, difficult to design and implement, can take many years to complete and is uncertain as to outcome. A failure of one or more clinical trials can occur at any stage of testing. The clinical development of any product candidate that we may choose to develop would be susceptible to the risk of failure inherent at any stage of drug development, including failure to have a sufficient quantity of the product candidate available when needed,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a product candidate has a beneficial effect, that effect will not be detected during clinical evaluation as a result of one or more of a variety of factors, including the size, duration, dose, dosing schedule, design, measurements, conduct or analysis of the applicable clinical trials. Conversely, as a result of the same factors, any clinical trials that we may conduct may indicate an apparent positive effect of a product candidate that is greater than the actual positive effect, if any. Similarly, in any clinical trials that we may conduct, we may fail to detect toxicity of or intolerability caused by product candidates, or mistakenly believe that product candidates are toxic or not well tolerated when that is not in fact the case.</w:t>
      </w:r>
    </w:p>
    <w:p>
      <w:pPr>
        <w:spacing w:after="0" w:line="19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the results of the Phase 1b/2 single-arm investigator sponsored trial, or IST, of CRLX101 in patients with relapsed RCC supported our hypothesis that CRLX101 in combination with Avastin may be effective in this setting, the combination of CRLX101 and Avastin failed to meet the primary endpoint in the RCC Trial. Many companies in the pharmaceutical and biotechnology industries have suffered significant setbacks in late-stage clinical trials after achieving positive results in earlier development, and we cannot be certain that we will not face additional setbacks with respect to any product candidates that we may choose to develop.</w:t>
      </w:r>
    </w:p>
    <w:p>
      <w:pPr>
        <w:spacing w:after="0" w:line="188"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The design of a clinical trial can determine whether its results will support approval of a product, and flaws in the design of a clinical trial may not become apparent until the clinical trial is well advanced or completed and protocol amendments, if any, to address such flaws may not be sufficiently timely or corrective. We have limited experience in designing clinical trials and may be unable to design and execute a clinical trial to support marketing approval.</w:t>
      </w:r>
    </w:p>
    <w:p>
      <w:pPr>
        <w:spacing w:after="0" w:line="15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Another challenge is that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a product candidates warrant marketing approval, the FDA or comparable non-U.S. regulatory authorities may disagree and may not grant marketing approval of that product candidate.</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type and disease progression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a product candidate that we have chosen to develop.</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any product candidates that we may choose to develop, potential marketing approval or commercialization of those product candidates could be delayed or prevented.</w:t>
      </w:r>
    </w:p>
    <w:p>
      <w:pPr>
        <w:spacing w:after="0" w:line="15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any product candidate that we may choose to develop, including:</w:t>
      </w:r>
    </w:p>
    <w:p>
      <w:pPr>
        <w:spacing w:after="0" w:line="67"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the product candidate may produce unfavorable, incomplete or inconclusive results;</w:t>
      </w:r>
    </w:p>
    <w:p>
      <w:pPr>
        <w:spacing w:after="0" w:line="130" w:lineRule="exact"/>
        <w:rPr>
          <w:rFonts w:ascii="Times New Roman" w:cs="Times New Roman" w:eastAsia="Times New Roman" w:hAnsi="Times New Roman"/>
          <w:sz w:val="18"/>
          <w:szCs w:val="18"/>
          <w:color w:val="auto"/>
        </w:rPr>
      </w:pPr>
    </w:p>
    <w:p>
      <w:pPr>
        <w:ind w:left="900" w:right="46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advise us, to conduct additional clinical trials or we may decide to abandon an indication or development program following changes in the regulatory environment or competitive landscape;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add or to change a dosing schedule for any given clinical trial based on relevant data;</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the product candidate may be larger than we anticipate, patient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1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the product candidate may be insufficient to complete our clinical trials as planned due to a batch failure, a lack of funds, a change in priorities, planning errors or other reasons;</w:t>
      </w:r>
    </w:p>
    <w:p>
      <w:pPr>
        <w:spacing w:after="0" w:line="67"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party contractors, including those manufacturing the product candidate or components or ingredients thereof or conducting clinical trials on our behalf, may fail to comply with regulatory requirements or meet our expectations in a timely manner or at all;</w:t>
      </w:r>
    </w:p>
    <w:p>
      <w:pPr>
        <w:spacing w:after="0" w:line="67"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make changes to a trial protocol and fail to receive timely approval for the amendment from the applicable institutional review board(s) or ethics committee(s);</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67"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enrollment size for the clinical trial or extend the clinical trial’s duration;</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30"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one or more clinical trials of the product candidate for various reasons, including unfavorable, incomplete or inconclusive data, unexpected delays, a change in funding priorities, a determination that the path to commercialization is too difficult or uncertain, a lack of sufficient funding, changes in the competitive or regulatory landscape, a finding that the participants are being exposed to unacceptable health risks, unexpected or serious adverse events or other unexpected characteristics of the product candidate;</w:t>
      </w:r>
    </w:p>
    <w:p>
      <w:pPr>
        <w:spacing w:after="0" w:line="85" w:lineRule="exact"/>
        <w:rPr>
          <w:rFonts w:ascii="Times New Roman" w:cs="Times New Roman" w:eastAsia="Times New Roman" w:hAnsi="Times New Roman"/>
          <w:sz w:val="18"/>
          <w:szCs w:val="18"/>
          <w:color w:val="auto"/>
        </w:rPr>
      </w:pPr>
    </w:p>
    <w:p>
      <w:pPr>
        <w:ind w:left="900" w:right="120" w:hanging="446"/>
        <w:spacing w:after="0" w:line="258"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clinical trials or findings of undesirable effects caused by a chemically or mechanistically similar drug or drug candidate;</w:t>
      </w:r>
    </w:p>
    <w:p>
      <w:pPr>
        <w:spacing w:after="0" w:line="89" w:lineRule="exact"/>
        <w:rPr>
          <w:rFonts w:ascii="Times New Roman" w:cs="Times New Roman" w:eastAsia="Times New Roman" w:hAnsi="Times New Roman"/>
          <w:sz w:val="18"/>
          <w:szCs w:val="18"/>
          <w:color w:val="auto"/>
        </w:rPr>
      </w:pPr>
    </w:p>
    <w:p>
      <w:pPr>
        <w:jc w:val="both"/>
        <w:ind w:left="900" w:right="200" w:hanging="44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 or may change the requirements for approval even after it has reviewed and commented on the design of our clinical trials;</w:t>
      </w:r>
    </w:p>
    <w:p>
      <w:pPr>
        <w:spacing w:after="0" w:line="81" w:lineRule="exact"/>
        <w:rPr>
          <w:rFonts w:ascii="Times New Roman" w:cs="Times New Roman" w:eastAsia="Times New Roman" w:hAnsi="Times New Roman"/>
          <w:sz w:val="18"/>
          <w:szCs w:val="18"/>
          <w:color w:val="auto"/>
        </w:rPr>
      </w:pPr>
    </w:p>
    <w:p>
      <w:pPr>
        <w:ind w:left="900" w:right="52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 w:hanging="446"/>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the manufactured product candidate or drugs (whether provided by us or third parties) or other materials necessary to conduct clinical trials of the product candidate may be insufficient, inadequate or not available at an acceptable cost, or we may experience interruptions in supply; and</w:t>
      </w:r>
    </w:p>
    <w:p>
      <w:pPr>
        <w:spacing w:after="0" w:line="81"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62" w:lineRule="exact"/>
        <w:rPr>
          <w:sz w:val="20"/>
          <w:szCs w:val="20"/>
          <w:color w:val="auto"/>
        </w:rPr>
      </w:pPr>
    </w:p>
    <w:p>
      <w:pPr>
        <w:jc w:val="both"/>
        <w:ind w:right="40" w:firstLine="456"/>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any product candidates that we may choose to develop.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product candidates or allow our competitors to bring products to market before we do and impair our ability to successfully commercialize product candidates and may harm our business and results of operations. In addition, many of the factors that cause, or lead to, clinical trial delays may ultimately lead to the denial of marketing approval of any product candidate that we may choose to develop.</w:t>
      </w:r>
    </w:p>
    <w:p>
      <w:pPr>
        <w:spacing w:after="0" w:line="185"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conduct clinical trials for product candidates at sites outside the United States, and the FDA may not accept data from trials conducted in such locations or the complexity of regulatory burdens may otherwise adversely impact us.</w:t>
      </w:r>
    </w:p>
    <w:p>
      <w:pPr>
        <w:spacing w:after="0" w:line="15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Opening trial sites outside the United States may involve additional regulatory, administrative and financial burdens, including compliance with foreign and local requirements relating to regulatory submission and clinical trial practices.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Nonetheless, there can be no assurance that the FDA will accept data from trials conducted outside the United States. If the FDA does not accept the data from any trial that we conduct outside the United States, it would likely result in the need for additional clinical trials, which would be costly and time-consuming and delay or permanently halt our development of any applicable product candidates.</w:t>
      </w:r>
    </w:p>
    <w:p>
      <w:pPr>
        <w:spacing w:after="0" w:line="193"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spacing w:after="0" w:line="67"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heightened supply constraints associated with the acquisition of standard of care drugs and/or combination or comparator agents for which we may bear responsibility in certain jurisdictions;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burdensome 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consistency in standard of care from country to country;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country or regional regulatory requirements.</w:t>
      </w:r>
    </w:p>
    <w:p>
      <w:pPr>
        <w:spacing w:after="0" w:line="221" w:lineRule="exact"/>
        <w:rPr>
          <w:sz w:val="20"/>
          <w:szCs w:val="20"/>
          <w:color w:val="auto"/>
        </w:rPr>
      </w:pPr>
    </w:p>
    <w:p>
      <w:pPr>
        <w:jc w:val="both"/>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any product candidates that we may choose to develop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the product candidates in humans before we will be able to obtain these approvals.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product candidates.</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or different clinical trials or preclinical testing of product candidates beyond the trials and testing that we contemplate, (2) we are unable to successfully complete clinical trials or preclinical testing of product candidates, (3) the results of these trials or tests are unfavorable, incomplete or inconclusive, or (4) there are unacceptable safety concerns associated with any product candidates that we may choose to develop, we, in addition to incurring additional costs, may:</w:t>
      </w:r>
    </w:p>
    <w:p>
      <w:pPr>
        <w:spacing w:after="0" w:line="89"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the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may seek a fast track designation for product candidates that we may seek to develop.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the FDA may still decide not to grant it. Even if we receive fast track designation, however, fast track designation does not ensure that we will receive marketing approval or that we may experience a faster development process, review or approval compared to conventional FDA procedures. The FDA may withdraw fast track designation if it believes that the designation is no longer supported by data from or stated intentions of our clinical development program.</w:t>
      </w:r>
    </w:p>
    <w:p>
      <w:pPr>
        <w:spacing w:after="0" w:line="185"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any product candidates that we may choose to develop may not lead to a faster development or regulatory review or approval process, and it does not increase the likelihood that any product candidates that we may choose to develop will receive marketing approval.</w:t>
      </w:r>
    </w:p>
    <w:p>
      <w:pPr>
        <w:spacing w:after="0" w:line="17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product candidates that we may choose to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a product candidate that we have chosen to develop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that we choose to develop qualifies as a breakthrough therapy, the FDA may later decide that the product no longer meets the conditions for qualification or decide that the time period for FDA review or approval will not be shortened.</w:t>
      </w:r>
    </w:p>
    <w:p>
      <w:pPr>
        <w:spacing w:after="0" w:line="184" w:lineRule="exact"/>
        <w:rPr>
          <w:sz w:val="20"/>
          <w:szCs w:val="20"/>
          <w:color w:val="auto"/>
        </w:rPr>
      </w:pPr>
    </w:p>
    <w:p>
      <w:pPr>
        <w:ind w:right="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maintain orphan drug exclusivity for any product candidates that we may choose to develop, we will miss out on certain valuable incentives including a period of marketing exclusivity as well as federal grants, tax credits and a waiver of Prescription Drug User Fee Act filing fees.</w:t>
      </w:r>
    </w:p>
    <w:p>
      <w:pPr>
        <w:spacing w:after="0" w:line="17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Under the Orphan Drug Act, the FDA has discretion to designate a product as an orphan drug if it is designed to treat a rare disease or condition, which is defined as a patient population of less than 200,000 in the United States. The applicant that first obtains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FDA approval for a designated orphan drug receives marketing exclusivity for use of that drug for the stated condition or disease for a period of seven years and becomes eligible for certain federal grants, tax credits and a waiver of Prescription Drug User Fee Act filing fees.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For any product candidates that we may choose to develop that are eligible, we would plan to rely on the exclusivity period under the Orphan Drug Act to attain a competitive position. If we do not obtain orphan drug exclusivity for any drug products that do not have broad patent protection, our competitors may then sell the same drug to treat the same condition and our revenues would be reduced.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Even if we obtain orphan drug designation for a product candidate, we still may not be the first to obtain marketing approval for the particular orphan indication. Further, even if we obtain orphan drug exclusivity for a product candidate, that exclusivity may not effectively protect it from competition because different drugs can be approved for the same condition. Even after an orphan drug is approved and granted orphan drug exclusivity, the FDA can subsequently approve the same drug for the same condition. Orphan drug designation neither shortens the development time or regulatory review time of a drug, nor gives the drug any advantage in the regulatory review or approval process.</w:t>
      </w:r>
    </w:p>
    <w:p>
      <w:pPr>
        <w:spacing w:after="0" w:line="180"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for one or more product candidates that we may choose to develop at the time of the submission of the NDA to the FDA. The FDA may not grant Priority Review for any such product candidates. Moreover, even if the FDA designated Priority Review for any such product candidate, that designation may not lead to a faster regulatory review or approval process and, in any event, would not assure FDA approval.</w:t>
      </w:r>
    </w:p>
    <w:p>
      <w:pPr>
        <w:spacing w:after="0" w:line="175"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 ten-month standard NDA review clock will begin at the conclusion of the 60 calendar day filing review period that starts on the date the FDA receives the original submission. This means the FDA has a total of twelve months from its receipt of the original submission to take regulatory action. We may be eligible for Priority Review designation for our NDA submission if the FDA determines that a product candidate that we may have chosen to develop treats a serious condition and, if approved, would provide a significant improvement in safety or effectiveness. The six-month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standard total of twelve months. We may request Priority Review for any future product candidates if and when we submit an NDA for such product candidate. The FDA has broad discretion whether or not to grant Priority Review to a product candidate, so even if we believe a particular product candidate is eligible for such designation or status, the FDA may decide not to grant it. Moreover, even if a product candidate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 cycle or thereafter.</w:t>
      </w:r>
    </w:p>
    <w:p>
      <w:pPr>
        <w:spacing w:after="0" w:line="189" w:lineRule="exact"/>
        <w:rPr>
          <w:sz w:val="20"/>
          <w:szCs w:val="20"/>
          <w:color w:val="auto"/>
        </w:rPr>
      </w:pPr>
    </w:p>
    <w:p>
      <w:pPr>
        <w:ind w:right="1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We may seek an Accelerated Approval development pathway for certain indications for product candidates that we may choose to develop.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Accelerated Approval. If such post-approval studies fail to confirm the drug’s clinical profile or risks and benefits, the FDA may withdraw its approval of the drug.</w:t>
      </w:r>
    </w:p>
    <w:p>
      <w:pPr>
        <w:spacing w:after="0" w:line="18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a product candidate that we may choose to develop would result in a longer time period to commercialize such product candidate, could increase the cost of development of such product candidate and could harm our competitive position in the marketplace.</w:t>
      </w:r>
    </w:p>
    <w:p>
      <w:pPr>
        <w:spacing w:after="0" w:line="172"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any product candidates that we may choose to develop may be identified during clinical development. Further, other unexpected properties of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any product candidates that we may choose to develop could cause us, an institutional review board or regulatory authorities to interrupt, delay or halt clinical trials of one or more of such product candidates and could result in a more restrictive label or the delay or denial of marketing approval by the FDA or comparable non-U.S. regulatory authorities. If any product candidate that we may choose to develop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any product candidate that we may choose to develop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While we believe that the Platform has the potential to improve the unfavorable adverse event profiles of multiple chemotherapeutic agents, if this hypothesis is wrong and we experience unexpected or more severe toxicities in clinical trials we conduct in the future, we may not receive approval to market, or achieve commercial success with respect to, any product candidates that we may choose to develop, which could prevent us from ever generating revenues or achieving profitability. In addition, the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potential product candidates.</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development of new NDCs based on the Platform is a key area of research for us. The drug discovery that we are conducting using the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82" w:lineRule="exact"/>
        <w:rPr>
          <w:sz w:val="20"/>
          <w:szCs w:val="20"/>
          <w:color w:val="auto"/>
        </w:rPr>
      </w:pPr>
    </w:p>
    <w:p>
      <w:pPr>
        <w:ind w:left="900" w:hanging="446"/>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To identify new product candidates, our research programs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that we have chosen to develop receives marketing approval, it may fail to achieve the degree of market acceptance by physicians, patients, third party payors and others in the medical community necessary for commercial success or the market opportunity for the product candidate may be smaller than we estimate.</w:t>
      </w:r>
    </w:p>
    <w:p>
      <w:pPr>
        <w:spacing w:after="0" w:line="17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a product candidate that we have chosen to develop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product candidates may require significant resources and may not be successful. If any product candidate that we have chosen to develop is approved but does not achieve an adequate level of market acceptance, we may not generate significant revenues and may not become profitable. The degree of market acceptance of any such product candidates, if approved for commercial sale, will depend on a number of factors, including:</w:t>
      </w:r>
    </w:p>
    <w:p>
      <w:pPr>
        <w:spacing w:after="0" w:line="86" w:lineRule="exact"/>
        <w:rPr>
          <w:sz w:val="20"/>
          <w:szCs w:val="20"/>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alternative treatments;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third- or later line therapy;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pricing sufficient to realize a meaningful return on our investment;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treatments already approved or approval of other new products for the same indications;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 and other therapies;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reimbursement from government payors, managed care plans and other third party payors;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efficacy of our marketing and distribution efforts;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any product candidates that we may choose to develop would be difficult to estimate precisely. Our estimates of the potential market opportunities would be predicated on many assumptions, including industry knowledge and publications, third party research reports and other surveys, and these assumptions would involve the exercise of significant judgment on the part of our management and would be inherently uncertain. If any of the assumptions proves to be inaccurate, the actual markets for any such product candidates could be smaller than our estimates of the potential market opportunities.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candidate that we have chosen to develop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Clinical trials of any product candidate that we may choose to develop would be conducted in carefully defined subsets of patients who have agreed to enter into clinical trials. Consequently, it is possible that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serious or fatal side effects that were not previously identified, any of the following adverse events could occur:</w:t>
      </w:r>
    </w:p>
    <w:p>
      <w:pPr>
        <w:spacing w:after="0" w:line="89"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drug or change the way the drug is administered;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ind w:right="1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may choose to develop, if and when those product candidates are approved.</w:t>
      </w:r>
    </w:p>
    <w:p>
      <w:pPr>
        <w:spacing w:after="0" w:line="17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any product candidates that we may choose to develop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product candidates that we may choose to develop.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a product candidate that we may choose to develop, then we may seek to collaborate with that potential partner even if we believe we could otherwise develop and commercialize the product candidate independently.</w:t>
      </w:r>
    </w:p>
    <w:p>
      <w:pPr>
        <w:spacing w:after="0" w:line="18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may seek one or more strategic partners for commercialization of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any products that we may have developed effectively.</w:t>
      </w:r>
    </w:p>
    <w:p>
      <w:pPr>
        <w:spacing w:after="0" w:line="188" w:lineRule="exact"/>
        <w:rPr>
          <w:sz w:val="20"/>
          <w:szCs w:val="20"/>
          <w:color w:val="auto"/>
        </w:rPr>
      </w:pPr>
    </w:p>
    <w:p>
      <w:pPr>
        <w:ind w:right="940" w:firstLine="456"/>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product candidates that receive marketing approval.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may develop, which could render any of our potential product candidates obsolete and noncompetitive.</w:t>
      </w:r>
    </w:p>
    <w:p>
      <w:pPr>
        <w:spacing w:after="0" w:line="189"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Companies with marketed nanotechnology-based oncology products include Celgene Corporation (Abraxane indicated for breast cancer, NSCLC and pancreatic cancer), Janssen Products, LP (Doxil indicated for ovarian cancer and, in combination with Velcade® (bortezomib), for multiple myeloma), Merrimack Pharmaceuticals, Inc. (Onivyde indicated for pancreatic cancer) and Spectrum Pharmaceuticals, Inc. (Marqibo indicated for relapsed Philadelphia chromosome-negative acute lymphoblastic leukemia). Companies with nanotechnology-based oncology product candidates in clinical development include, without limitation, BlueLink Pharmaceuticals, Inc. (wholly owned subsidiary of NewLink Genetics Corporation, now developing CRLX101 and CRLX301), Celsion Corporation (ThermoDox® (lyso-thermosensitive liposomal doxorubicin) for liver cancer and breast cancer), Cristal Delivery B.V. d/b/a Cristal Therapeutics (CriPec® docetaxel for oncology), Cytimmune Sciences, Inc. (CYT-6091 for NSCLC), Jazz Pharmaceuticals plc (which acquired Celator Pharmaceuticals, Inc. (Vyxeos™ for acute myeloid leukemia)), NanoCarrier Co., Ltd. (NC-6004 for bladder, bile duct and head and neck cancers, and NC-4016, and NC-6300 for solid tumors), NantPharma (Cynviloq™, which received fast-track designation from the FDA for breast and lung cancer), Nektar Therapeutics (OnzyealdTM for breast cancer and brain metastases), Nippon Kayku Seizo Co., Ltd. (NK105 in gastric cancer), Starpharma Holdings Ltd. (DEP® docetaxel for oncology), and Supratek Pharma Inc. (SP1049C for solid tumors).</w:t>
      </w:r>
    </w:p>
    <w:p>
      <w:pPr>
        <w:spacing w:after="0" w:line="193"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choose to develop. Our competitors also may obtain FDA or other marketing approval for their product candidates before we are able to obtain approval for any product candidates that we may choose to develop, which could result in our competitors establishing a strong market position before we are able to enter the market.</w:t>
      </w:r>
    </w:p>
    <w:p>
      <w:pPr>
        <w:spacing w:after="0" w:line="180"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right="2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products that we may develop that receive marketing approval, or such authorities do not grant such products appropriate periods of data exclusivity before approving generic versions of such products, the sales of such products could be adversely affected.</w:t>
      </w:r>
    </w:p>
    <w:p>
      <w:pPr>
        <w:spacing w:after="0" w:line="17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Manufacturers may seek to launch these generic products following the expiration of the applicable marketing exclusivity period, even if we still have patent protection for our product.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Competition that any products that we may develop may face from generic versions of such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ind w:right="40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Although we may have intellectual property rights, including composition of matter patents, covering any product candidates that we may choose to develop, if approved, we expect that any such product candidates will compete in the same indications against other nanoparticles and delivery platforms incorporating the same generic therapeutics. In particular, if any product candidate that we may choose to develop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5" w:lineRule="exact"/>
        <w:rPr>
          <w:sz w:val="20"/>
          <w:szCs w:val="20"/>
          <w:color w:val="auto"/>
        </w:rPr>
      </w:pPr>
    </w:p>
    <w:p>
      <w:pPr>
        <w:ind w:right="2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commercial success of any product candidates that we may choose to develop will depend substantially, both domestically and abroad, on the extent to which the costs of such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such product candidates. Even if coverage is provided, the approved reimbursement amount may not be high enough to allow us to establish and maintain pricing sufficient to realize a meaningful return on our investment.</w:t>
      </w:r>
    </w:p>
    <w:p>
      <w:pPr>
        <w:spacing w:after="0" w:line="188" w:lineRule="exact"/>
        <w:rPr>
          <w:sz w:val="20"/>
          <w:szCs w:val="20"/>
          <w:color w:val="auto"/>
        </w:rPr>
      </w:pPr>
    </w:p>
    <w:p>
      <w:pPr>
        <w:ind w:right="240" w:firstLine="456"/>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periods, which may negatively impact the revenues we are able to generate from the sale of the product in that country. Adverse pricing limitations may hinder our ability to recoup our investment in one or more product candidates, even if the product candidates obtain marketing approval.</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any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8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others,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product candidates for which we obtain marketing approval could have a material adverse effect on our operating results, our ability to raise capital needed to commercialize products and our financial condition.</w:t>
      </w:r>
    </w:p>
    <w:p>
      <w:pPr>
        <w:spacing w:after="0" w:line="18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any product candidates that we may choose to develop despite obtaining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applicable product candidates. Regardless of the merits or eventual outcome, liability claims may result in:</w:t>
      </w:r>
    </w:p>
    <w:p>
      <w:pPr>
        <w:spacing w:after="0" w:line="95" w:lineRule="exact"/>
        <w:rPr>
          <w:sz w:val="20"/>
          <w:szCs w:val="20"/>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existing clinical trial participants or difficulty in enrolling future clinical trial participants;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 or to reach a settlement;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product candidates that we may choose to develop, which could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conduct ISTs of any future product candidates. Any failure by a third party to meet its obligations with respect to the clinical development of any product candidates that we chose to develop may delay or impair our ability to obtain regulatory approval for such product candidates.</w:t>
      </w:r>
    </w:p>
    <w:p>
      <w:pPr>
        <w:spacing w:after="0" w:line="17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may rely on academic and scientific research institutions to conduct and sponsor clinical trials relating to any future product candidates. We would not control the design or administration of ISTs, and our reliance on third parties to conduct ISTs could, depending on the actions of such third parties, jeopardize the quality or timeliness of the clinical data generated and adversely affect our ability to obtain marketing approval from the FDA or other applicable regulatory authorities.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Such arrangements would provide us with certain information rights with respect to ISTs, including access to and the ability to use and reference the data resulting from the IST, including for our own regulatory filings. However, we would not control patient enrollment in, or the quality, timing and reporting of the data from, ISTs, nor would we own the data from the ISTs. Moreover, if we were unable to confirm or replicate the results from the ISTs or if negative results are obtained in the ISTs, we would likely be further delayed or prevented from advancing further clinical development of any applicable product candidates. Further, if investigators or institutions were to breach their obligations with respect to the clinical development of any such product candidates, or if the data were to prove to be unfavorable, incomplete or inconclusive, then our ability to design and conduct any future clinical trials ourselves could be adversely affected.</w:t>
      </w:r>
    </w:p>
    <w:p>
      <w:pPr>
        <w:sectPr>
          <w:pgSz w:w="11900" w:h="16838" w:orient="portrait"/>
          <w:cols w:equalWidth="0" w:num="1">
            <w:col w:w="11420"/>
          </w:cols>
          <w:pgMar w:left="240" w:top="45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any planned trials and/or may not accept such additional data as adequate to initiate any planned trials. Moreover, there is typically no independent review of the results of ISTs. Therefore, the investigators may interpret the results of ISTs more favorably than an independent review would.</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Moreover, ISTs of any product candidates that we may choose to develop may continue even after we commence company-sponsored trials in the same or different indications. To the extent the results of these ISTs are inconsistent with, or different from, the results of any such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We may rely on third party clinical research organizations, or CROs, site management organizations, clinical data management organizations, medical institutions and clinical investigators, to conduct future clinical trials of any product candidates that we may choose to develop. We may also rely on these third parties to collect and monitor adverse event data for clinical trials. Any agreements with these third parties would generally allow the third party to terminate the agreement at any time. If we are required to enter into alternative arrangements because of any such termination the introduction of the applicable product candidate to market could be delayed.</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would reduce our control over these activities but would not relieve us of our responsibilities. For example, we would design our clinical trials and would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would not relieve us of these responsibilities and requirements. We are also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might not be able to obtain, or could be delayed in obtaining, marketing approvals for the applicable product candidates and might not be able to, or could be delayed in our efforts to, successfully commercialize the applicable product candidates.</w:t>
      </w:r>
    </w:p>
    <w:p>
      <w:pPr>
        <w:spacing w:after="0" w:line="180"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also may rely on other third parties to manufacture, store and distribute drug supplies for clinical trials. Any performance failure on the part of such distributors could delay clinical development or marketing approval of any product candidates that we may choose to develop or commercialization of products, producing additional losses and depriving us of potential product revenue.</w:t>
      </w:r>
    </w:p>
    <w:p>
      <w:pPr>
        <w:spacing w:after="0" w:line="172" w:lineRule="exact"/>
        <w:rPr>
          <w:sz w:val="20"/>
          <w:szCs w:val="20"/>
          <w:color w:val="auto"/>
        </w:rPr>
      </w:pPr>
    </w:p>
    <w:p>
      <w:pPr>
        <w:ind w:right="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product candidates that we may choose to develop and to leverage the Platform for our collaborators’ product candidates. If such collaborations are not successful, or we fail to enter into such collaborations, we may not be able to capitalize on the market potential of any such product candidates or the Platform.</w:t>
      </w:r>
    </w:p>
    <w:p>
      <w:pPr>
        <w:spacing w:after="0" w:line="175"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product candidates that we may choose to develop or to leverage the Platform. Our likely collaborators for any marketing, distribution, development, licensing or broader collaboration arrangements include large and mid-size pharmaceutical companies, regional and national pharmaceutical companies, biotechnology companies and certain governmental agencies. We will have limited control over the amount and timing of resources that any of our current or potential future collaborations dedicate to the development or commercialization of product candidates that we may choose to develop or to the use of the Platform. Our ability to generate revenues from these arrangements will depend significantly on our collaborators’ abilities to successfully perform the functions assigned to them in these arrangements.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Collaborations involving product candidates that we may choose to develop or the Platform pose the following risks to us:</w:t>
      </w:r>
    </w:p>
    <w:p>
      <w:pPr>
        <w:spacing w:after="0" w:line="131"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900" w:right="40" w:hanging="446"/>
        <w:spacing w:after="0" w:line="261"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the product candidates that we have chosen to develop or the product candidates we help them develop, or they may elect not to continue or renew research, development or commercialization programs based on preclinical or clinical trial results, changes in the collaborators’ strategic focus or available funding, or external factors such as an acquisition that diverts resources or creates competing priorities;</w:t>
      </w:r>
    </w:p>
    <w:p>
      <w:pPr>
        <w:spacing w:after="0" w:line="85"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agreements with collaborators may block us from researching and developing product candidates for our own benefit or for the benefit of other or future collaborators;</w:t>
      </w:r>
    </w:p>
    <w:p>
      <w:pPr>
        <w:spacing w:after="0" w:line="67"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initiate clinical trials or if initiated, they may delay clinical trials, provide insufficient funding for a clinical trial program, stop a clinical trial or abandon a product candidate, repeat or conduct new clinical trials or require a new dosing schedule, dose level or formulation of a product candidate for clinical testing;</w:t>
      </w:r>
    </w:p>
    <w:p>
      <w:pPr>
        <w:spacing w:after="0" w:line="81" w:lineRule="exact"/>
        <w:rPr>
          <w:rFonts w:ascii="Times New Roman" w:cs="Times New Roman" w:eastAsia="Times New Roman" w:hAnsi="Times New Roman"/>
          <w:sz w:val="18"/>
          <w:szCs w:val="18"/>
          <w:color w:val="auto"/>
        </w:rPr>
      </w:pPr>
    </w:p>
    <w:p>
      <w:pPr>
        <w:ind w:left="900" w:right="160" w:hanging="446"/>
        <w:spacing w:after="0" w:line="266"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products or product candidates that we have chosen to develop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900" w:right="8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900" w:right="36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our intellectual property rights or the intellectual property rights of third parties, which may expose us to litigation and potential liability;</w:t>
      </w:r>
    </w:p>
    <w:p>
      <w:pPr>
        <w:spacing w:after="0" w:line="67"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relevant products or product candidates or that result in costly litigation or arbitration that diverts management attention and resources; and</w:t>
      </w:r>
    </w:p>
    <w:p>
      <w:pPr>
        <w:spacing w:after="0" w:line="67" w:lineRule="exact"/>
        <w:rPr>
          <w:rFonts w:ascii="Times New Roman" w:cs="Times New Roman" w:eastAsia="Times New Roman" w:hAnsi="Times New Roman"/>
          <w:sz w:val="18"/>
          <w:szCs w:val="18"/>
          <w:color w:val="auto"/>
        </w:rPr>
      </w:pPr>
    </w:p>
    <w:p>
      <w:pPr>
        <w:ind w:left="900" w:right="128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62" w:lineRule="exact"/>
        <w:rPr>
          <w:sz w:val="20"/>
          <w:szCs w:val="20"/>
          <w:color w:val="auto"/>
        </w:rPr>
      </w:pPr>
    </w:p>
    <w:p>
      <w:pPr>
        <w:jc w:val="both"/>
        <w:ind w:right="680" w:firstLine="456"/>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or divestiture, the continued pursuit and emphasis on our product development or commercialization program could be delayed, diminished or terminated.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research, development and commercialization plans.</w:t>
      </w:r>
    </w:p>
    <w:p>
      <w:pPr>
        <w:spacing w:after="0" w:line="229" w:lineRule="exact"/>
        <w:rPr>
          <w:sz w:val="20"/>
          <w:szCs w:val="20"/>
          <w:color w:val="auto"/>
        </w:rPr>
      </w:pPr>
    </w:p>
    <w:p>
      <w:pPr>
        <w:jc w:val="both"/>
        <w:ind w:right="460" w:firstLine="456"/>
        <w:spacing w:after="0" w:line="266" w:lineRule="auto"/>
        <w:rPr>
          <w:sz w:val="20"/>
          <w:szCs w:val="20"/>
          <w:color w:val="auto"/>
        </w:rPr>
      </w:pPr>
      <w:r>
        <w:rPr>
          <w:rFonts w:ascii="Times New Roman" w:cs="Times New Roman" w:eastAsia="Times New Roman" w:hAnsi="Times New Roman"/>
          <w:sz w:val="18"/>
          <w:szCs w:val="18"/>
          <w:color w:val="auto"/>
        </w:rPr>
        <w:t>The Platform, our drug development programs and the potential commercialization of any product candidates that we may choose to develop will require substantial additional cash to fund expenses and we may seek collaborations with pharmaceutical and biotechnology companies to leverage our Platform for the development and potential commercialization of product candidates.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would face significant competition in seeking appropriate collaborators. Whether we reach a definitive agreement with a potential collaborator will depend, among other things, upon our assessment of the collaborator’s resources and expertise, the terms and conditions of the proposed collaboration and the proposed collaborator’s evaluation of a number of factors. Those factors may include the value of the Platform and associated intellectual property rights,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technology platforms, product candidates or technologies for similar indications that may be available to collaborate on and whether such a collaboration could be more attractive than the one with us for our technology or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Platform or a product candidate, reduce or delay research or relevant development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programs, delay potential commercialization of product candidates or reduce the scope of any sales or marketing activities, or increase our expenditures and undertake development or commercialization activities at our own expense. If we elect to increase our expenditures to fund research, development or commercialization activities on our own, we may need to obtain additional capital, which may not be available to us on acceptable terms or at all. If we do not have sufficient funds, we may not be able to further research or develop product candidates or technology to bring them to market and generate product revenue.</w:t>
      </w:r>
    </w:p>
    <w:p>
      <w:pPr>
        <w:spacing w:after="0" w:line="180" w:lineRule="exact"/>
        <w:rPr>
          <w:sz w:val="20"/>
          <w:szCs w:val="20"/>
          <w:color w:val="auto"/>
        </w:rPr>
      </w:pPr>
    </w:p>
    <w:p>
      <w:pPr>
        <w:ind w:right="16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contract with third parties for the manufacture of any future product candidates for preclinical and clinical testing and likely also for commercialization. This reliance on third parties increases the risk that we will not have sufficient quantities of such product candidates or such quantities at an acceptable cost, which could delay, prevent or impair our development or commercialization efforts.</w:t>
      </w:r>
    </w:p>
    <w:p>
      <w:pPr>
        <w:spacing w:after="0" w:line="175"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trial materials and have limited personnel with manufacturing experience. We will need to rely on third party contract manufacturers to manufacture supplies of any product candidates for preclinical and clinical testing, as well as for commercial manufacture if any product candidates that we may choose to develop receive marketing approval.</w:t>
      </w:r>
    </w:p>
    <w:p>
      <w:pPr>
        <w:spacing w:after="0" w:line="17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NDCs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Failures in either drug substance manufacture or drug product manufacture, whether on the part of our future manufacturers or as a result of our failure to make timely and effective improvements in our manufacturing processes, could materially delay clinical development or marketing approval of any product candidates that we may choose to develop or result in our inability to generate sufficient supplies to meet clinical or commercial demands.</w:t>
      </w:r>
    </w:p>
    <w:p>
      <w:pPr>
        <w:spacing w:after="0" w:line="188"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7"/>
          <w:szCs w:val="17"/>
          <w:color w:val="auto"/>
        </w:rPr>
        <w:t>Typically,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we may need to identify a third-party manufacturer capable of providing commercial quantities of drug product. If we are unable to arrange for such a third-party manufacturing source, or fail to do so on commercially reasonable terms, we may not be able to successfully produce and market a product candidate or may be delayed in doing so.</w:t>
      </w:r>
    </w:p>
    <w:p>
      <w:pPr>
        <w:spacing w:after="0" w:line="168" w:lineRule="exact"/>
        <w:rPr>
          <w:sz w:val="20"/>
          <w:szCs w:val="20"/>
          <w:color w:val="auto"/>
        </w:rPr>
      </w:pPr>
    </w:p>
    <w:p>
      <w:pPr>
        <w:ind w:right="580" w:firstLine="456"/>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spacing w:after="0" w:line="67" w:lineRule="exact"/>
        <w:rPr>
          <w:sz w:val="20"/>
          <w:szCs w:val="20"/>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manufacturers to consistently produce intermediates, drug substance or drug product that meet required quality specifications;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any such product candidates or products.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future product candidates that we may develop may compete with other product candidates and products for access to manufacturing facilities.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limited number of manufacturers that operate under cGMP regulations and that might be capable of manufacturing for us.</w:t>
      </w:r>
    </w:p>
    <w:p>
      <w:pPr>
        <w:spacing w:after="0" w:line="20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we may rely on our manufacturers to purchase from third-party suppliers the materials necessary to produce product candidates for clinical studies. There are a small number of suppliers for certain capital equipment and raw materials that are used in the manufacture of NDCs. Such suppliers may not sell these raw materials to our manufacturers at the times we need them or on commercially reasonable terms. We may not have any control over the process or timing of the acquisition of these raw materials by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manufacturers. Moreover, we may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clinical studies, product testing and potential regulatory approval of product candidates. If our manufacturers or we are unable to purchase these raw materials after regulatory approval has been obtained for product candidates that we have chosen to develop, the commercial launch of such product candidates would be delayed or there would be a shortage in supply, which would impair our ability to generate revenues from the sale of the product candidates.</w:t>
      </w:r>
    </w:p>
    <w:p>
      <w:pPr>
        <w:spacing w:after="0" w:line="188"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anticipated future dependence upon others for the manufacture of any product candidates that we may choose to develop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any products that we may develop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any products that we may develop. We seek to protect our proprietary position by filing patent applications in the United States and abroad related to our novel technologies and any product candidates that we may choose to develop.</w:t>
      </w:r>
    </w:p>
    <w:p>
      <w:pPr>
        <w:spacing w:after="0" w:line="176" w:lineRule="exact"/>
        <w:rPr>
          <w:sz w:val="20"/>
          <w:szCs w:val="20"/>
          <w:color w:val="auto"/>
        </w:rPr>
      </w:pPr>
    </w:p>
    <w:p>
      <w:pPr>
        <w:ind w:right="460" w:firstLine="456"/>
        <w:spacing w:after="0" w:line="277" w:lineRule="auto"/>
        <w:rPr>
          <w:sz w:val="20"/>
          <w:szCs w:val="20"/>
          <w:color w:val="auto"/>
        </w:rPr>
      </w:pPr>
      <w:r>
        <w:rPr>
          <w:rFonts w:ascii="Times New Roman" w:cs="Times New Roman" w:eastAsia="Times New Roman" w:hAnsi="Times New Roman"/>
          <w:sz w:val="17"/>
          <w:szCs w:val="17"/>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or that we develop on third parties’ behalf. Therefore, these patents and applications may not be prosecuted and enforced in a manner consistent with the best interests of our business.</w:t>
      </w:r>
    </w:p>
    <w:p>
      <w:pPr>
        <w:spacing w:after="0" w:line="168" w:lineRule="exact"/>
        <w:rPr>
          <w:sz w:val="20"/>
          <w:szCs w:val="20"/>
          <w:color w:val="auto"/>
        </w:rPr>
      </w:pPr>
    </w:p>
    <w:p>
      <w:pPr>
        <w:jc w:val="both"/>
        <w:ind w:right="20" w:firstLine="456"/>
        <w:spacing w:after="0" w:line="25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w:t>
      </w:r>
    </w:p>
    <w:p>
      <w:pPr>
        <w:spacing w:after="0" w:line="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or licensees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any products that we may develop,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ultimately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any future product candidates.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any products that we may develop.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proceedings,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jc w:val="both"/>
        <w:ind w:right="8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aspects of the Platform technology are protected in whole or in part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products for which we have obtained approval will be harmed.</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the Platform depend on patents and/or patent applications owned by others. In particular, we hold exclusive licenses from Calando Pharmaceuticals, Inc., or Calando, and California Institute of Technology, or Caltech, and have been assigned certain patents from Calando for CDP-based product candidates. We may enter into additional license agreements as part of the development of our business in the future. If we are unable to maintain these patent rights for any reason, our ability to develop and commercialize product candidates could be materially harmed.</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licensors or licensees may not successfully prosecute certain patent applications under which we are licensed and on which our business depends. Even if patents issue from these applications, our licensors or licensees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NDCs and our ability to utilize the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In March 2015, the bankruptcy court granted Calando’s bankruptcy trustee’s application to retain a broker to help sell Calando’s rights in certain assets including its rights in the license agreements with Cerulean. We reserved our rights with respect to any such sale. The bankruptcy trustee has obtained numerous extensions to the deadline to reject, assume or assume and assign executory contracts including our license agreements. The trustee’s last deadline was February 7, 2017. To our knowledge, no sale of such rights was ever consummated.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may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the Platform and future NDCs,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7"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These United States government rights in certain inventions developed under a government-funded program include a non-exclusive, non-transferable, irrevocable worldwide license to use the inventions for any governmental purpose. In addition, the United States government would have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would also have the right to take title to these inventions if we fail to disclose the invention to the government and fail to file an application to register the intellectual property within specified time limits. In addition, the United States government would be permitted to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3" w:lineRule="exact"/>
        <w:rPr>
          <w:sz w:val="20"/>
          <w:szCs w:val="20"/>
          <w:color w:val="auto"/>
        </w:rPr>
      </w:pPr>
    </w:p>
    <w:p>
      <w:pPr>
        <w:ind w:right="5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product candidates and use the Platform and any related intellectual property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any products that we may develop and our technology, including interference or derivation proceedings before the USPTO. Third parties may assert infringement claims against us based on existing patents or patents that may be granted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any products that we may develop and our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1" w:lineRule="exact"/>
        <w:rPr>
          <w:sz w:val="20"/>
          <w:szCs w:val="20"/>
          <w:color w:val="auto"/>
        </w:rPr>
      </w:pPr>
    </w:p>
    <w:p>
      <w:pPr>
        <w:ind w:right="5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potentially seeking patents for product candidates that we chose to develop,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In addition, we face the risk of cybercrime. For instance, someone could hack our information networks and gain illicit access to our proprietary information including our trade secrets.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Any Product Candidates that We May Choose to Develop and Other Legal Compliance Matters</w:t>
      </w:r>
    </w:p>
    <w:p>
      <w:pPr>
        <w:spacing w:after="0" w:line="47"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any product candidates that we may choose to develop. If we are not able to obtain, or if there are delays in obtaining, required regulatory approvals, we will not be able to commercialize such product candidates, and our ability to generate revenue will be materially impaired.</w:t>
      </w:r>
    </w:p>
    <w:p>
      <w:pPr>
        <w:spacing w:after="0" w:line="18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Drug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other similar regulatory authorities outside the United States. Failure to obtain marketing approval for a product candidate will prevent us from commercializing the product candidate. Any product candidates that we may choose to develop would be subject to the risks of failure inherent in drug development. We have not received approval to market any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Any product candidates that we may choose to develop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product candidate that we may choose to develop receives marketing approval, the accompanying label may limit the approved use of the drug in this way, which could limit sales of the product.</w:t>
      </w:r>
    </w:p>
    <w:p>
      <w:pPr>
        <w:spacing w:after="0" w:line="19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that we may choose to develop, the commercial prospects for such product candidates may be harmed and our ability to generate revenues will be materially impaired.</w:t>
      </w:r>
    </w:p>
    <w:p>
      <w:pPr>
        <w:spacing w:after="0" w:line="158" w:lineRule="exact"/>
        <w:rPr>
          <w:sz w:val="20"/>
          <w:szCs w:val="20"/>
          <w:color w:val="auto"/>
        </w:rPr>
      </w:pPr>
    </w:p>
    <w:p>
      <w:pPr>
        <w:ind w:right="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successfully complete the necessary clinical trials for a marketing registration in the U.S., the FDA may convene an advisory committee meeting that could influence their approval decision and the timing of that decision.</w:t>
      </w:r>
    </w:p>
    <w:p>
      <w:pPr>
        <w:spacing w:after="0" w:line="159" w:lineRule="exact"/>
        <w:rPr>
          <w:sz w:val="20"/>
          <w:szCs w:val="20"/>
          <w:color w:val="auto"/>
        </w:rPr>
      </w:pPr>
    </w:p>
    <w:p>
      <w:pPr>
        <w:ind w:right="100" w:firstLine="456"/>
        <w:spacing w:after="0" w:line="269" w:lineRule="auto"/>
        <w:rPr>
          <w:sz w:val="20"/>
          <w:szCs w:val="20"/>
          <w:color w:val="auto"/>
        </w:rPr>
      </w:pPr>
      <w:r>
        <w:rPr>
          <w:rFonts w:ascii="Times New Roman" w:cs="Times New Roman" w:eastAsia="Times New Roman" w:hAnsi="Times New Roman"/>
          <w:sz w:val="17"/>
          <w:szCs w:val="17"/>
          <w:color w:val="auto"/>
        </w:rPr>
        <w:t>Upon submission of an application for marketing approval in the United States, the FDA may convene an advisory committee (public or closed) to provide the FDA with independent advice from outside experts with specific questions regarding a pending review matter. The opinions or advice expressed by the advisory committee, or any voting decision, are not binding and the FDA retains the ultimate approval power over an application. Regardless of the committee meeting outcome or the FDA’s final approval decision, public presentation of our data may shed positive or negative light on our application. A negative advisory committee meeting could signal a lower likelihood of approval, although the FDA may still end up approving our application. Conversely, an oncologic drugs advisory committee, or ODAC, could vote in favor of approval and the FDA may still not approve our application. For an expedited review such as priority review, where the FDA’s oncology office has moved focus to how quickly a drug might be approved and has commonly completed their review and approved products well before the PDUFA goal date, preparations for an ODAC could slow down approval. For us as the applicant, preparation time for an ODAC could take six months or more of dedicated effort by the program team, management, and consultants, in addition to supporting the FDA’s review queries or any other activities in the same timeframe, reducing resource efficiency. It should not be assumed that an application brought in front of the ODAC means that a negative decision is pending. The FDA determines whether or not to have an ODAC meeting depending on the quality of the application, the results of the clinical trials, and whether similar issues, such as endpoints or trial designs, have been previously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455"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discussed at these meetings. The FDA has generally taken more problematic or complicated applications to an ODAC, which allows for presentation of their findings and a public discussion of issues at hand. On occasion, the FDA will convene an ODAC to have the public clearly understand their viewpoint on the particular application and its supporting evidence, or if there is a first in class or first in indication compound under review.</w:t>
      </w:r>
    </w:p>
    <w:p>
      <w:pPr>
        <w:spacing w:after="0" w:line="172" w:lineRule="exact"/>
        <w:rPr>
          <w:sz w:val="20"/>
          <w:szCs w:val="20"/>
          <w:color w:val="auto"/>
        </w:rPr>
      </w:pPr>
    </w:p>
    <w:p>
      <w:pPr>
        <w:ind w:right="4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that we may choose to develop from being marketed abroad.</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order to market and sell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any products we develop in any market.</w:t>
      </w:r>
    </w:p>
    <w:p>
      <w:pPr>
        <w:spacing w:after="0" w:line="185"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On June 23, 2016, a referendum held in the United Kingdom resulted in a majority of U.K. voters electing to leave the European Union. While the impact of this non-binding referendum is still not clear, at this point the vote creates additional uncertainty with respect to obtaining marketing approval for the sale of any product in the U.K.</w:t>
      </w:r>
    </w:p>
    <w:p>
      <w:pPr>
        <w:spacing w:after="0" w:line="172"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any product candidates that we may develop, the terms of approvals and ongoing regulation of such products may limit how we manufacture and market such products, which could materially impair our ability to generate revenue.</w:t>
      </w:r>
    </w:p>
    <w:p>
      <w:pPr>
        <w:spacing w:after="0" w:line="159" w:lineRule="exact"/>
        <w:rPr>
          <w:sz w:val="20"/>
          <w:szCs w:val="20"/>
          <w:color w:val="auto"/>
        </w:rPr>
      </w:pPr>
    </w:p>
    <w:p>
      <w:pPr>
        <w:jc w:val="both"/>
        <w:ind w:right="540" w:firstLine="456"/>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and other regulatory authorities to monitor and ensure compliance with cGMPs.</w:t>
      </w:r>
    </w:p>
    <w:p>
      <w:pPr>
        <w:spacing w:after="0" w:line="180"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Accordingly, assuming we receive marketing approval for any product candidate that we may choose to develop, we and our contract manufacturers will continue to expend time, money and effort in all areas of regulatory compliance, including manufacturing, production, product surveillance and quality control.</w:t>
      </w:r>
    </w:p>
    <w:p>
      <w:pPr>
        <w:spacing w:after="0" w:line="176"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post-approval regulatory requirements, we could have the marketing approvals for any future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2"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any future products, when and if any of them are approved.</w:t>
      </w:r>
    </w:p>
    <w:p>
      <w:pPr>
        <w:spacing w:after="0" w:line="175"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product candidate that we choose to develop receives marketing approval, the accompanying label may limit the approved use of our drug in this way, which could limit sales of the product.</w:t>
      </w:r>
    </w:p>
    <w:p>
      <w:pPr>
        <w:spacing w:after="0" w:line="16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Regulatory authorities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89"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products that we have developed, manufacturers or manufacturing processes, or failure to comply with regulatory requirements, may yield various results, including:</w:t>
      </w:r>
    </w:p>
    <w:p>
      <w:pPr>
        <w:spacing w:after="0" w:line="67" w:lineRule="exact"/>
        <w:rPr>
          <w:sz w:val="20"/>
          <w:szCs w:val="20"/>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such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the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3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 party payors will be subject to applicable anti-kickback, fraud and abuse and other healthcare laws and regulations, which, in the event of a violation, could expose us to criminal sanctions, civil penalties, contractual damages, reputational harm and diminished profits and future earnings.</w:t>
      </w:r>
    </w:p>
    <w:p>
      <w:pPr>
        <w:spacing w:after="0" w:line="17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healthcare providers, physicians, and third party payors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9" w:lineRule="exact"/>
        <w:rPr>
          <w:sz w:val="20"/>
          <w:szCs w:val="20"/>
          <w:color w:val="auto"/>
        </w:rPr>
      </w:pPr>
    </w:p>
    <w:p>
      <w:pPr>
        <w:ind w:left="900" w:right="20" w:hanging="446"/>
        <w:spacing w:after="0" w:line="261"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85"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89"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00" w:right="40" w:hanging="446"/>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 products to report payments and other transfers of value to physicians and teaching hospitals with data collection beginning in August 2013; and</w:t>
      </w:r>
    </w:p>
    <w:p>
      <w:pPr>
        <w:spacing w:after="0" w:line="67" w:lineRule="exact"/>
        <w:rPr>
          <w:rFonts w:ascii="Times New Roman" w:cs="Times New Roman" w:eastAsia="Times New Roman" w:hAnsi="Times New Roman"/>
          <w:sz w:val="18"/>
          <w:szCs w:val="18"/>
          <w:color w:val="auto"/>
        </w:rPr>
      </w:pPr>
    </w:p>
    <w:p>
      <w:pPr>
        <w:ind w:left="900" w:right="4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non-governmental payors, including private insurers.</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product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8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ind w:right="2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obtain marketing approval of and commercialize product candidates and affect the prices we may obtain.</w:t>
      </w:r>
    </w:p>
    <w:p>
      <w:pPr>
        <w:spacing w:after="0" w:line="159"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any product candidates that we</w:t>
      </w:r>
    </w:p>
    <w:p>
      <w:pPr>
        <w:sectPr>
          <w:pgSz w:w="11900" w:h="16838" w:orient="portrait"/>
          <w:cols w:equalWidth="0" w:num="1">
            <w:col w:w="11420"/>
          </w:cols>
          <w:pgMar w:left="240" w:top="455" w:right="239" w:bottom="1440" w:gutter="0" w:footer="0" w:header="0"/>
        </w:sectPr>
      </w:pP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may choose to develop,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any products that we may develop, if approved, to be cost-effective compared to other available therapies, they may not cover such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any products that we may develop, if approved.</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any products that we may develop,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In March 2010, President Obama signed into law the Patient Protection and Affordable Care Act, as amended by the Health Care and Education Affordability Reconciliation Act, or collectively the ACA. Among the provisions of the ACA of potential importance to our business and any product candidates that we may choose to develop are the following.</w:t>
      </w:r>
    </w:p>
    <w:p>
      <w:pPr>
        <w:spacing w:after="0" w:line="82" w:lineRule="exact"/>
        <w:rPr>
          <w:sz w:val="20"/>
          <w:szCs w:val="20"/>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products and biologic agents;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30" w:lineRule="exact"/>
        <w:rPr>
          <w:rFonts w:ascii="Times New Roman" w:cs="Times New Roman" w:eastAsia="Times New Roman" w:hAnsi="Times New Roman"/>
          <w:sz w:val="18"/>
          <w:szCs w:val="18"/>
          <w:color w:val="auto"/>
        </w:rPr>
      </w:pPr>
    </w:p>
    <w:p>
      <w:pPr>
        <w:ind w:left="900" w:right="48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products that are inhaled, infused, instilled, implanted or injected;</w:t>
      </w:r>
    </w:p>
    <w:p>
      <w:pPr>
        <w:spacing w:after="0" w:line="67" w:lineRule="exact"/>
        <w:rPr>
          <w:rFonts w:ascii="Times New Roman" w:cs="Times New Roman" w:eastAsia="Times New Roman" w:hAnsi="Times New Roman"/>
          <w:sz w:val="18"/>
          <w:szCs w:val="18"/>
          <w:color w:val="auto"/>
        </w:rPr>
      </w:pPr>
    </w:p>
    <w:p>
      <w:pPr>
        <w:ind w:left="900" w:right="48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civil False Claims Act and the federal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900" w:right="220" w:hanging="446"/>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products to eligible beneficiaries during their coverage gap period, as a condition for the manufacturer’s outpatient products to be covered under Medicare Part D;;</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certain financial arrangements with physicians and teaching hospitals;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product samples that manufacturers and distributors provide to physicians;</w:t>
      </w:r>
    </w:p>
    <w:p>
      <w:pPr>
        <w:spacing w:after="0" w:line="130"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67"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Independent Payment Advisory Board, which has authority to recommend certain changes to the Medicare program to reduce expenditures by the program that could result in reduced payments for prescription products;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Center for Medicare and Medicaid Innovation within CMS to test innovative payment and service delivery models.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2025 unless additional Congressional action is taken, and the American Taxpayer Relief Act of 2012, which, among other things, reduced</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product candidates for which we may obtain regulatory approval or the frequency with which any such product candidate is prescribed or used. Further,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 products.</w:t>
      </w:r>
    </w:p>
    <w:p>
      <w:pPr>
        <w:spacing w:after="0" w:line="188"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products.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with the new Administration and Congress, there may be additional legislative changes, including potential repeal and replacement of certain provisions of the ACA. It remains to be seen, however, precisely what any new legislation will provide, when it will be enacted and what impact it will have on the availability of healthcare and containing or lowering the cost of healthcare. Such reforms could have an adverse effect on anticipated revenue from product candidates that we may successfully develop and for which we may obtain marketing approval and may affect our overall financial condition and ability to develop or commercialize product candidates. For example, the President and congressional leaders have expressed interest in repealing certain ACA provisions and replacing them with alternatives that may be less costly and provide state Medicaid programs and private health plans more flexibility. It is possible that these repeal and replacement initiatives, if enacted into law, could ultimately result in fewer individuals having health insurance coverage or in individuals having insurance coverage with less generous benefits. The scope and likelihood of potential future legislation to repeal and replace ACA provisions is highly uncertain in many respects, however, and it is possible that some of the ACA provisions that generally are not favorable for the research-based pharmaceutical industry could also be repealed along with ACA coverage expansion provisions.</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any product candidates that we may seek to develop,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any products that we may develop, if any.</w:t>
      </w:r>
    </w:p>
    <w:p>
      <w:pPr>
        <w:spacing w:after="0" w:line="15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the applicable product candidate to other available therapies. If reimbursement of any products that we may develop is unavailable or limited in scope or amount, or if pricing is set at unsatisfactory levels, our business could be harmed, possibly materially.</w:t>
      </w:r>
    </w:p>
    <w:p>
      <w:pPr>
        <w:spacing w:after="0" w:line="180" w:lineRule="exact"/>
        <w:rPr>
          <w:sz w:val="20"/>
          <w:szCs w:val="20"/>
          <w:color w:val="auto"/>
        </w:rPr>
      </w:pPr>
    </w:p>
    <w:p>
      <w:pPr>
        <w:ind w:right="2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consultants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or consultants,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Misconduct by employees or consultants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ind w:right="600" w:firstLine="456"/>
        <w:spacing w:after="0" w:line="261" w:lineRule="auto"/>
        <w:rPr>
          <w:sz w:val="20"/>
          <w:szCs w:val="20"/>
          <w:color w:val="auto"/>
        </w:rPr>
      </w:pPr>
      <w:r>
        <w:rPr>
          <w:rFonts w:ascii="Times New Roman" w:cs="Times New Roman" w:eastAsia="Times New Roman" w:hAnsi="Times New Roman"/>
          <w:sz w:val="18"/>
          <w:szCs w:val="18"/>
          <w:color w:val="auto"/>
        </w:rPr>
        <w:t>We are highly dependent on Christopher Guiffre, our President and Chief Executive Officer, as well as the other members of our executive and scientific teams. The loss of any of these persons could impede the achievement of our goals. Although we have formal employment agreements with</w:t>
      </w:r>
    </w:p>
    <w:p>
      <w:pPr>
        <w:ind w:right="140"/>
        <w:spacing w:after="0" w:line="261" w:lineRule="auto"/>
        <w:rPr>
          <w:sz w:val="20"/>
          <w:szCs w:val="20"/>
          <w:color w:val="auto"/>
        </w:rPr>
      </w:pPr>
      <w:r>
        <w:rPr>
          <w:rFonts w:ascii="Times New Roman" w:cs="Times New Roman" w:eastAsia="Times New Roman" w:hAnsi="Times New Roman"/>
          <w:sz w:val="18"/>
          <w:szCs w:val="18"/>
          <w:color w:val="auto"/>
        </w:rPr>
        <w:t>Mr. Guiffre and other officers of the company, these agreements do not prevent any one of them from terminating their employment with us at any time. We do not maintain “key person” insurance for any of our executives or other employees.</w:t>
      </w:r>
    </w:p>
    <w:p>
      <w:pPr>
        <w:spacing w:after="0" w:line="180"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Recruiting and retaining qualified scientific, clinical, manufacturing, finance and sales and marketing personnel will also be critical to our success. The loss of the services of key employees could impede the achievement of our research, development and commercialization objectives and seriously harm our ability to successfully implement our business strategy. For example, if key scientific personnel are terminated or voluntary resign, our ability to operate the Platform and generate future product candidates could be materially harmed. Furthermore, replacing executive officers and key employees, including, for example, finance and clinical personnel, may be difficult and may take an extended period of time because of the limited number of individuals in our industry with the breadth of skills and experience required to successfully develop, gain regulatory approval of and commercialize any product candidates we may choose to develop.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0"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August 2016, we have twice reduced the size of our organization, and we may encounter difficulties in managing our business as a result of these reductions, or the attrition that may occur following these reductions, which could disrupt our operations. In addition, we may not achieve anticipated benefits and savings from these reductions.</w:t>
      </w:r>
    </w:p>
    <w:p>
      <w:pPr>
        <w:spacing w:after="0" w:line="175"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In August 2016, we implemented a reduction in force that reduced the number of our employees by approximately 48%. In March 2017, we implemented a reduction in force that reduced the number of our employees by approximately 58%. These reductions in force resulted in the loss of employees across all functions, the loss of institutional knowledge and expertise and the reallocation and combination of certain roles and responsibilities across our organization, all of which could adversely affect our operations. In addition, as with any reduction in force, there is a risk of reduced employee morale and we may face difficulties retaining employees that we have asked to stay, which could result in further attrition.</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must continue to manage our operations and retain qualified personnel, each of which will be made more challenging by these reductions in force. As a result, our management may need to divert a disproportionate amount of its attention away from our day-to-day strategic and operational activities, and devote a substantial amount of time to managing the organizational changes brought about by these reductions in force. Due to our limited resources, we may not be able to effectively manage the changes in our business operations resulting from these reductions in force, which may result in weaknesses in our operations, risks that we may not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be able to comply with legal and regulatory requirements, loss of business opportunities, loss of employees and reduced productivity among remaining employees. If our management is unable to effectively manage this transition, our expenses may be higher than expected, and we may not be able to implement our business strategy or achieve the anticipated benefits and savings from these reductions in force. We may also determine to take additional measures to reduce costs, which could result in further disruptions to our operations and present additional challenges to the effective management of our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March 31, 2017, the closing price of our common stock as reported by the NASDAQ Global Market ranged from a high of $10.66 per share to a low of $0.63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6" w:lineRule="exact"/>
        <w:rPr>
          <w:sz w:val="20"/>
          <w:szCs w:val="20"/>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consummate the Daré Transaction and the Novartis Transaction;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 candidates or products,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research programs;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from, and any delays in, any future clinical trials, as well as results of regulatory reviews relating to the approval of any product candidates that we may choose to develop;</w:t>
      </w:r>
    </w:p>
    <w:p>
      <w:pPr>
        <w:spacing w:after="0" w:line="67"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product candidates that we may choose to develop or clinical development programs that we may choose to pursue;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any collaboration or licensing arrangement;</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900" w:right="56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30"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biopharmaceutical industries;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80"/>
          </w:cols>
          <w:pgMar w:left="240" w:top="455" w:right="3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delisted from The NASDAQ Global Market, it could reduce the visibility, liquidity and price of our common stock.</w:t>
      </w:r>
    </w:p>
    <w:p>
      <w:pPr>
        <w:spacing w:after="0" w:line="229"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There are various quantitative listing requirements for a company to remain listed on The NASDAQ Global Market, including maintaining a minimum bid price of $1.00 per share. The closing price per share of our common stock from January 1, 2017 to May 8, 2017 ranged from a high of $3.32 to a low of $0.40. On May 5, 2017, NASDAQ notified us that we were not in compliance with the $1.00 minimum bid price because the minimum bid price of our common stock fell below $1.00 for 30 consecutive business days. We have been provided an initial period of 180 calendar days, or until November 1, 2017, to regain compliance with the listing requirements. If, at any time before November 1, 2017, the bid price for our common stock closes at $1.00 or more for a minimum of 10 consecutive business days we may be eligible to regain compliance with the minimum bid requirement. Under certain circumstances, NASDAQ could require that the minimum bid price exceed $1.00 for more than ten consecutive business days before determining that we comply with NASDAQ’s continued listing standards. We received a similar noncompliance letter on November 17, 2016, however, on February 17, 2017 this minimum bid deficiency was cured because the closing bid price of our common stock had been above $1.00 for the prior 10 consecutive trading days. There is no guarantee that we will be able to continue complying with the minimum bid price rule or other NASDAQ Global Market requirements.</w:t>
      </w:r>
    </w:p>
    <w:p>
      <w:pPr>
        <w:spacing w:after="0" w:line="18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Delisting from the NASDAQ Global Market could reduce the visibility, liquidity and price of our common stock and make it more difficult for us to raise additional capital.</w:t>
      </w:r>
    </w:p>
    <w:p>
      <w:pPr>
        <w:spacing w:after="0" w:line="158"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believe that as of March 15, 2017, our executive officers and directors and their affiliates beneficially owned 20.7% of our outstanding common stock. As a result, if these stockholders were to choose to act together, they would be able to exert a significant degree of influence over matters submitted to our stockholders for approval, as well as our management and affairs. This concentration of voting power could delay or prevent an acquisition of our company on terms that other stockholders may desire. For example, these persons, if they choose to act together, would be able to have significant influence on the election of directors and approval of any merger, consolidation or sale of all or substantially all of our assets, including the outcome of the anticipated stockholder votes with respect to the Daré Transaction and the Novartis Transaction. In particular, each of our directors and their affiliates, beneficially owning in the aggregate approximately 20.7% of our outstanding common stock have each entered into a support agreement in favor of Cerulean in connection with the Daré Transaction</w:t>
      </w:r>
    </w:p>
    <w:p>
      <w:pPr>
        <w:spacing w:after="0" w:line="181" w:lineRule="exact"/>
        <w:rPr>
          <w:sz w:val="20"/>
          <w:szCs w:val="20"/>
          <w:color w:val="auto"/>
        </w:rPr>
      </w:pPr>
    </w:p>
    <w:p>
      <w:pPr>
        <w:ind w:right="3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120" w:firstLine="456"/>
        <w:spacing w:after="0" w:line="281"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6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of March 31, 2017, there were 5,441,105 shares subject to outstanding options. All of these shares under the Securities Act have been registered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March 31, 2017, there were 365,564 shares subject to outstanding warrants to purchase common stock. These shares will become eligible for sale in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public market, to the extent such warrants are exercised, as permitted by Rule 144 under the Securities Act. Moreover, holders of approximately 6.3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72"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of our common stock to Aspire may cause substantial dilution to our existing stockholders and the sale of shares of our common stock acquired by Aspire could cause the price of our common stock to decline.</w:t>
      </w:r>
    </w:p>
    <w:p>
      <w:pPr>
        <w:spacing w:after="0" w:line="15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2016, we entered into a common stock purchase agreement with Aspire Capital Fund, LLC, or Aspire, pursuant to which we have the right to sell up to an aggregate of $20.0 million of our common stock over a 24-month period, at prices based on a formula linked to current market prices at the time of each sale. We refer to this as our ATM. As of March 31, 2017, up to $19.0 million remained available for us to sell to Aspire pursuant to the terms and conditions of the ATM. Although we have the right to control the timing and amount of sales of our shares to Aspire under the ATM, we are subject to certain restrictions, including without limitation restrictions on the number of shares we can sell to Aspire on any one trading day, as well as trading restrictions based on the price of our common stock. Accordingly, we may not be able to sell shares of our common stock to Aspire under the ATM at prices that we deem acceptable. There can be no assurance that we will be able to sell the remaining $19.0 million of common stock contemplated under the ATM.</w:t>
      </w:r>
    </w:p>
    <w:p>
      <w:pPr>
        <w:spacing w:after="0" w:line="18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Additionally, our sales of shares to Aspire may result in substantial dilution to the interests of other holders of our common stock, and such sales, or the anticipation of such sales, may cause the trading price of our common stock to decline. Furthermore, Aspire may sell some or all of our shares that it has purchased or may in the future purchase from us under the facility and any such sales may cause the trading price of our common stock to decline.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any product candidates that we may choose to develop. Pending their use, we may invest our cash reserves in a manner that does not produce income or that loses value.</w:t>
      </w:r>
    </w:p>
    <w:p>
      <w:pPr>
        <w:spacing w:after="0" w:line="176" w:lineRule="exact"/>
        <w:rPr>
          <w:sz w:val="20"/>
          <w:szCs w:val="20"/>
          <w:color w:val="auto"/>
        </w:rPr>
      </w:pPr>
    </w:p>
    <w:p>
      <w:pPr>
        <w:ind w:right="6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2" w:lineRule="exact"/>
        <w:rPr>
          <w:sz w:val="20"/>
          <w:szCs w:val="20"/>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30" w:lineRule="exact"/>
        <w:rPr>
          <w:rFonts w:ascii="Times New Roman" w:cs="Times New Roman" w:eastAsia="Times New Roman" w:hAnsi="Times New Roman"/>
          <w:sz w:val="18"/>
          <w:szCs w:val="18"/>
          <w:color w:val="auto"/>
        </w:rPr>
      </w:pPr>
    </w:p>
    <w:p>
      <w:pPr>
        <w:ind w:left="900" w:right="740" w:hanging="446"/>
        <w:spacing w:after="0" w:line="266"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5" w:lineRule="exact"/>
        <w:rPr>
          <w:sz w:val="20"/>
          <w:szCs w:val="20"/>
          <w:color w:val="auto"/>
        </w:rPr>
      </w:pPr>
    </w:p>
    <w:p>
      <w:pPr>
        <w:ind w:firstLine="456"/>
        <w:spacing w:after="0" w:line="271" w:lineRule="auto"/>
        <w:rPr>
          <w:sz w:val="20"/>
          <w:szCs w:val="20"/>
          <w:color w:val="auto"/>
        </w:rPr>
      </w:pPr>
      <w:r>
        <w:rPr>
          <w:rFonts w:ascii="Times New Roman" w:cs="Times New Roman" w:eastAsia="Times New Roman" w:hAnsi="Times New Roman"/>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ind w:right="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Accordingly, capital appreciation, if any, of our common stock will be the sole source of gain for our stockholders for the foreseeable future.</w:t>
      </w:r>
    </w:p>
    <w:p>
      <w:pPr>
        <w:spacing w:after="0" w:line="172" w:lineRule="exact"/>
        <w:rPr>
          <w:sz w:val="20"/>
          <w:szCs w:val="20"/>
          <w:color w:val="auto"/>
        </w:rPr>
      </w:pPr>
    </w:p>
    <w:p>
      <w:pPr>
        <w:ind w:right="1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ind w:left="900" w:right="360" w:hanging="446"/>
        <w:spacing w:after="0" w:line="313" w:lineRule="auto"/>
        <w:tabs>
          <w:tab w:leader="none" w:pos="9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43" w:lineRule="exact"/>
        <w:rPr>
          <w:rFonts w:ascii="Times New Roman" w:cs="Times New Roman" w:eastAsia="Times New Roman" w:hAnsi="Times New Roman"/>
          <w:sz w:val="17"/>
          <w:szCs w:val="17"/>
          <w:color w:val="auto"/>
        </w:rPr>
      </w:pPr>
    </w:p>
    <w:p>
      <w:pPr>
        <w:ind w:left="900" w:right="520" w:hanging="446"/>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40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9" w:lineRule="exact"/>
        <w:rPr>
          <w:sz w:val="20"/>
          <w:szCs w:val="20"/>
          <w:color w:val="auto"/>
        </w:rPr>
      </w:pPr>
    </w:p>
    <w:p>
      <w:pPr>
        <w:spacing w:after="0"/>
        <w:tabs>
          <w:tab w:leader="none" w:pos="5880" w:val="left"/>
          <w:tab w:leader="none" w:pos="7580" w:val="left"/>
          <w:tab w:leader="none" w:pos="7940" w:val="left"/>
        </w:tabs>
        <w:rPr>
          <w:sz w:val="20"/>
          <w:szCs w:val="20"/>
          <w:color w:val="auto"/>
        </w:rPr>
      </w:pPr>
      <w:r>
        <w:rPr>
          <w:rFonts w:ascii="Times New Roman" w:cs="Times New Roman" w:eastAsia="Times New Roman" w:hAnsi="Times New Roman"/>
          <w:sz w:val="18"/>
          <w:szCs w:val="18"/>
          <w:color w:val="auto"/>
        </w:rPr>
        <w:t>Date: May 12,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Christopher D.T. Guiffre</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spacing w:after="0"/>
        <w:tabs>
          <w:tab w:leader="none" w:pos="5880" w:val="left"/>
          <w:tab w:leader="none" w:pos="8000" w:val="left"/>
          <w:tab w:leader="none" w:pos="8360" w:val="left"/>
        </w:tabs>
        <w:rPr>
          <w:sz w:val="20"/>
          <w:szCs w:val="20"/>
          <w:color w:val="auto"/>
        </w:rPr>
      </w:pPr>
      <w:r>
        <w:rPr>
          <w:rFonts w:ascii="Times New Roman" w:cs="Times New Roman" w:eastAsia="Times New Roman" w:hAnsi="Times New Roman"/>
          <w:sz w:val="18"/>
          <w:szCs w:val="18"/>
          <w:color w:val="auto"/>
        </w:rPr>
        <w:t>Date: May 12, 2017</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Gregg Beloff</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Interim Chief Financial Officer</w:t>
      </w:r>
    </w:p>
    <w:p>
      <w:pPr>
        <w:spacing w:after="0" w:line="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740"/>
          </w:cols>
          <w:pgMar w:left="240" w:top="455" w:right="9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vMerge w:val="restart"/>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7"/>
        </w:trPr>
        <w:tc>
          <w:tcPr>
            <w:tcW w:w="640" w:type="dxa"/>
            <w:vAlign w:val="bottom"/>
            <w:vMerge w:val="continue"/>
          </w:tcPr>
          <w:p>
            <w:pPr>
              <w:spacing w:after="0"/>
              <w:rPr>
                <w:sz w:val="9"/>
                <w:szCs w:val="9"/>
                <w:color w:val="auto"/>
              </w:rPr>
            </w:pPr>
          </w:p>
        </w:tc>
        <w:tc>
          <w:tcPr>
            <w:tcW w:w="6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6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2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89"/>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Agreement dated as of March 19, 2017, entered into by and among</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Cerulean Pharma Inc., Daré Bioscience, Inc. and equityholders of Daré Bioscience, Inc.</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named therein.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Purchase Agreement dated as of March 19, 2017, entered into by and between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Cerulean Pharma Inc. and Novartis Institutes for BioMedical Research, Inc.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Purchase Agreement dated as of March 19, 2017, entered into by and between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Cerulean Pharma Inc. and BlueLink Pharmaceuticals, Inc.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Amended and Restated By-laws of Cerulean Pharma Inc.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Support Agreement dated as of March 19, 2017, entered into by and among Cerulean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 Inc., Daré Bioscience, Inc. and shareholders of Cerulean Pharma Inc. named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therein.</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10.2</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 Agreement dated as of March 19, 2017, entered into by and between Cerulean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 Inc. and BlueLink Pharmaceuticals, Inc.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10.3</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Payoff Letter dated as of March 17, 2017, entered into by and between Cerulean Pharma</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 and Hercules Capital, Inc. (formerly known as Hercules Technology Growth Capital,</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10.4</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Retention Agreement dated as of March 19, 2017, entered into by and between Cerulean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 Inc. and Christopher D. T. Guiffre.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10.5</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Retention Agreement dated as of March 19, 2017, entered into by and between Cerulean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 Inc. and Adrian Senderowicz.</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10.6</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Retention Agreement dated as of March 19, 2017, entered into by and between Cerulean</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 Inc. and Alejandra Carvajal.</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3/20/2017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10.7</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Amendment of Lease, dated March 29, 2017, to Lease dated July 9, 2015, between the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Registrant and AstraZeneca Pharmaceuticals Limited Partnership</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001-36395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3/31/2017</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31.1</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 14(a)/15d 14(a) of the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31.2</w:t>
            </w: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13a-14(a)/15d-14(a) of the</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60" w:type="dxa"/>
            <w:vAlign w:val="bottom"/>
          </w:tcPr>
          <w:p>
            <w:pPr>
              <w:spacing w:after="0"/>
              <w:rPr>
                <w:sz w:val="13"/>
                <w:szCs w:val="13"/>
                <w:color w:val="auto"/>
              </w:rPr>
            </w:pPr>
          </w:p>
        </w:tc>
        <w:tc>
          <w:tcPr>
            <w:tcW w:w="346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60" w:type="dxa"/>
            <w:vAlign w:val="bottom"/>
            <w:vMerge w:val="restart"/>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49"/>
        </w:trPr>
        <w:tc>
          <w:tcPr>
            <w:tcW w:w="780" w:type="dxa"/>
            <w:vAlign w:val="bottom"/>
            <w:vMerge w:val="continue"/>
          </w:tcPr>
          <w:p>
            <w:pPr>
              <w:spacing w:after="0"/>
              <w:rPr>
                <w:sz w:val="12"/>
                <w:szCs w:val="12"/>
                <w:color w:val="auto"/>
              </w:rPr>
            </w:pPr>
          </w:p>
        </w:tc>
        <w:tc>
          <w:tcPr>
            <w:tcW w:w="6460" w:type="dxa"/>
            <w:vAlign w:val="bottom"/>
          </w:tcPr>
          <w:p>
            <w:pPr>
              <w:spacing w:after="0"/>
              <w:rPr>
                <w:sz w:val="12"/>
                <w:szCs w:val="12"/>
                <w:color w:val="auto"/>
              </w:rPr>
            </w:pPr>
          </w:p>
        </w:tc>
        <w:tc>
          <w:tcPr>
            <w:tcW w:w="3460" w:type="dxa"/>
            <w:vAlign w:val="bottom"/>
          </w:tcPr>
          <w:p>
            <w:pPr>
              <w:ind w:left="2880"/>
              <w:spacing w:after="0" w:line="149" w:lineRule="exact"/>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60" w:type="dxa"/>
            <w:vAlign w:val="bottom"/>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34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Form   File Number   Date of Filing  Number</w:t>
            </w: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89"/>
        </w:trPr>
        <w:tc>
          <w:tcPr>
            <w:tcW w:w="7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32.1</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32.2</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c>
          <w:tcPr>
            <w:tcW w:w="3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w w:val="99"/>
              </w:rPr>
              <w:t>101.INS</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7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101.SCH</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7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101.CAL</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7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101.DEF</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78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101.LAB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24"/>
        </w:trPr>
        <w:tc>
          <w:tcPr>
            <w:tcW w:w="7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101.PRE</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3460" w:type="dxa"/>
            <w:vAlign w:val="bottom"/>
          </w:tcPr>
          <w:p>
            <w:pPr>
              <w:spacing w:after="0"/>
              <w:rPr>
                <w:sz w:val="24"/>
                <w:szCs w:val="24"/>
                <w:color w:val="auto"/>
              </w:rPr>
            </w:pPr>
          </w:p>
        </w:tc>
        <w:tc>
          <w:tcPr>
            <w:tcW w:w="6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Submitted electronically herewith</w:t>
      </w:r>
    </w:p>
    <w:p>
      <w:pPr>
        <w:sectPr>
          <w:pgSz w:w="11900" w:h="16838" w:orient="portrait"/>
          <w:cols w:equalWidth="0" w:num="1">
            <w:col w:w="11360"/>
          </w:cols>
          <w:pgMar w:left="240" w:top="455" w:right="2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31" w:lineRule="exact"/>
        <w:rPr>
          <w:sz w:val="20"/>
          <w:szCs w:val="20"/>
          <w:color w:val="auto"/>
        </w:rPr>
      </w:pPr>
    </w:p>
    <w:p>
      <w:pPr>
        <w:ind w:left="900" w:hanging="446"/>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Gregg Beloff, certify that:</w:t>
      </w:r>
    </w:p>
    <w:p>
      <w:pPr>
        <w:spacing w:after="0" w:line="131" w:lineRule="exact"/>
        <w:rPr>
          <w:sz w:val="20"/>
          <w:szCs w:val="20"/>
          <w:color w:val="auto"/>
        </w:rPr>
      </w:pPr>
    </w:p>
    <w:p>
      <w:pPr>
        <w:ind w:left="900" w:hanging="446"/>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2017</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2017,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2017</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2017, as filed with the Securities and Exchange Commission on the date hereof (the “Report”), the undersigned, Gregg Beloff, Interim Chief Financial Officer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12, 2017</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Gregg Beloff</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5"/>
    </w:lvl>
  </w:abstractNum>
  <w:abstractNum w:abstractNumId="7">
    <w:nsid w:val="189A769B"/>
    <w:multiLevelType w:val="hybridMultilevel"/>
    <w:lvl w:ilvl="0">
      <w:lvlJc w:val="left"/>
      <w:lvlText w:val="%1."/>
      <w:numFmt w:val="decimal"/>
      <w:start w:val="6"/>
    </w:lvl>
  </w:abstractNum>
  <w:abstractNum w:abstractNumId="8">
    <w:nsid w:val="54E49EB4"/>
    <w:multiLevelType w:val="hybridMultilevel"/>
    <w:lvl w:ilvl="0">
      <w:lvlJc w:val="left"/>
      <w:lvlText w:val="%1."/>
      <w:numFmt w:val="decimal"/>
      <w:start w:val="7"/>
    </w:lvl>
  </w:abstractNum>
  <w:abstractNum w:abstractNumId="9">
    <w:nsid w:val="71F32454"/>
    <w:multiLevelType w:val="hybridMultilevel"/>
    <w:lvl w:ilvl="0">
      <w:lvlJc w:val="left"/>
      <w:lvlText w:val="%1."/>
      <w:numFmt w:val="decimal"/>
      <w:start w:val="8"/>
    </w:lvl>
  </w:abstractNum>
  <w:abstractNum w:abstractNumId="10">
    <w:nsid w:val="2CA88611"/>
    <w:multiLevelType w:val="hybridMultilevel"/>
    <w:lvl w:ilvl="0">
      <w:lvlJc w:val="left"/>
      <w:lvlText w:val="%1."/>
      <w:numFmt w:val="decimal"/>
      <w:start w:val="9"/>
    </w:lvl>
  </w:abstractNum>
  <w:abstractNum w:abstractNumId="11">
    <w:nsid w:val="836C40E"/>
    <w:multiLevelType w:val="hybridMultilevel"/>
    <w:lvl w:ilvl="0">
      <w:lvlJc w:val="left"/>
      <w:lvlText w:val="%1."/>
      <w:numFmt w:val="decimal"/>
      <w:start w:val="10"/>
    </w:lvl>
  </w:abstractNum>
  <w:abstractNum w:abstractNumId="12">
    <w:nsid w:val="2901D82"/>
    <w:multiLevelType w:val="hybridMultilevel"/>
    <w:lvl w:ilvl="0">
      <w:lvlJc w:val="left"/>
      <w:lvlText w:val="(%1)"/>
      <w:numFmt w:val="decimal"/>
      <w:start w:val="2"/>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2019-12-29T06:35:51Z</dcterms:created>
  <dcterms:modified xsi:type="dcterms:W3CDTF">2019-12-29T06:35:51Z</dcterms:modified>
</cp:coreProperties>
</file>