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Dare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L1 Capital Global Opportunities Master Fund, Ltd.</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2,028,885.00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2,028,885.00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2,028,885.00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Dare Biosciences,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3655 Nobel Drive, Suite 260, San Diego, CA 92122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L1 Capital Global Opportunities Master Fund,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3rd Floor, Citrus Grove Building, 106 Goring Ave. George Town PO Box 10085 Grand Cayman, Cayman Islands KY1-1001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2,028,885 The amounts in Row (5), (7) and (9) represent 1,094,890 shares of Common Stock and 933,995 Series A Warrants, subject to a 9.99% beneficial ownership limitation. The amounts do not include 160,895 Series A Warrants and 1,094,890 Series B Warrants, each of which is subject to a 9.99% beneficial ownership limitation. The percentage set forth on Row (11) of the cover page for the Reporting Person is based on 19,375,189 shares of Common Stock outstanding, based on the Issuer's Prospectus under Rule 424(b)(5) and a Current Report on Form 8-K, each filed with the Securities and Exchange Commission on August 17, 2026. The numbers of shares outstanding gives no effect to any exercise of Pre-Funded Warrants. David Feldman and Joel Arber are the Directors of L1 Capital Global Opportunities Master Fund, Ltd. As such, L1 Capital Global Opportunities Master Fund, Ltd., Mr. Feldman, and Mr. Arber may be deemed to beneficially own (as that term is defined in Rule 13d-3 under the Securities Exchange Act of 1934) the issuer's securities described herein. To the extent Mr. Feldman and Mr. Arber are deemed to beneficially own such securities, Mr. Feldman and Mr. Arber disclaim beneficial ownership of these securities for all other purposes.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2,028,885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2,028,885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9"/>
        <w:gridCol w:w="5096"/>
      </w:tblGrid>
      <w:tr>
        <w:trPr/>
        <w:tc>
          <w:tcPr>
            <w:tcW w:w="5109" w:type="dxa"/>
            <w:tcBorders/>
            <w:vAlign w:val="center"/>
          </w:tcPr>
          <w:p>
            <w:pPr>
              <w:pStyle w:val="TableContents"/>
              <w:bidi w:val="0"/>
              <w:spacing w:before="0" w:after="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0"/>
                    <w:jc w:val="left"/>
                    <w:rPr/>
                  </w:pPr>
                  <w:r>
                    <w:rPr/>
                    <w:t>L1 Capital Global Opportunities Master Fund, Ltd.</w:t>
                  </w:r>
                </w:p>
              </w:tc>
            </w:tr>
          </w:tbl>
          <w:p>
            <w:pPr>
              <w:pStyle w:val="TableContents"/>
              <w:bidi w:val="0"/>
              <w:spacing w:before="0" w:after="283"/>
              <w:jc w:val="left"/>
              <w:rPr/>
            </w:pPr>
            <w:r>
              <w:rPr/>
            </w:r>
          </w:p>
        </w:tc>
        <w:tc>
          <w:tcPr>
            <w:tcW w:w="50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David Feldman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David Feldman,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937</Words>
  <Characters>4856</Characters>
  <CharactersWithSpaces>5784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